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318E5" w:rsidP="002318E5">
      <w:pPr>
        <w:pStyle w:val="Heading1"/>
        <w:spacing w:before="0"/>
      </w:pPr>
      <w:bookmarkStart w:id="0" w:name="ChapterNumber"/>
      <w:bookmarkStart w:id="1" w:name="_GoBack"/>
      <w:bookmarkEnd w:id="1"/>
      <w:r>
        <w:t>4</w:t>
      </w:r>
      <w:bookmarkEnd w:id="0"/>
      <w:r>
        <w:tab/>
      </w:r>
      <w:bookmarkStart w:id="2" w:name="ChapterTitle"/>
      <w:r>
        <w:t>Re-benchmarking the Commission's assistance estimates</w:t>
      </w:r>
      <w:bookmarkEnd w:id="2"/>
    </w:p>
    <w:p w:rsidR="00756854" w:rsidRDefault="00CA5B8F" w:rsidP="00CA5B8F">
      <w:pPr>
        <w:pStyle w:val="BodyText"/>
      </w:pPr>
      <w:bookmarkStart w:id="3" w:name="begin"/>
      <w:bookmarkEnd w:id="3"/>
      <w:r>
        <w:t xml:space="preserve">For the </w:t>
      </w:r>
      <w:r w:rsidR="004D0E16">
        <w:t xml:space="preserve">new </w:t>
      </w:r>
      <w:r>
        <w:t xml:space="preserve">series of assistance estimates, as first published in </w:t>
      </w:r>
      <w:r w:rsidRPr="00CA5B8F">
        <w:rPr>
          <w:i/>
        </w:rPr>
        <w:t>Trade &amp; Assistance Review 20</w:t>
      </w:r>
      <w:r w:rsidR="00750B43">
        <w:rPr>
          <w:i/>
        </w:rPr>
        <w:t>11</w:t>
      </w:r>
      <w:r>
        <w:noBreakHyphen/>
      </w:r>
      <w:r w:rsidR="00750B43" w:rsidRPr="00BD3C7B">
        <w:rPr>
          <w:i/>
        </w:rPr>
        <w:t>12</w:t>
      </w:r>
      <w:r>
        <w:t xml:space="preserve">, the Commission </w:t>
      </w:r>
      <w:r w:rsidR="00756854">
        <w:t xml:space="preserve">has re-benchmarked </w:t>
      </w:r>
      <w:r w:rsidR="007F3631">
        <w:t xml:space="preserve">its </w:t>
      </w:r>
      <w:r w:rsidR="00756854">
        <w:t>estimates from data fo</w:t>
      </w:r>
      <w:r w:rsidR="00547BFB">
        <w:t>r</w:t>
      </w:r>
      <w:r w:rsidR="00756854">
        <w:t xml:space="preserve"> the years 2004</w:t>
      </w:r>
      <w:r w:rsidR="009B6EE7">
        <w:noBreakHyphen/>
      </w:r>
      <w:r w:rsidR="00756854">
        <w:t>05 to 2008</w:t>
      </w:r>
      <w:r w:rsidR="009B6EE7">
        <w:noBreakHyphen/>
      </w:r>
      <w:r w:rsidR="00756854">
        <w:t xml:space="preserve">09. Other changes have included the introduction of the latest ANZSIC industry classification </w:t>
      </w:r>
      <w:r w:rsidR="00C757BA">
        <w:t xml:space="preserve">— ANZSIC 2006 — </w:t>
      </w:r>
      <w:r w:rsidR="00756854">
        <w:t xml:space="preserve">and adjustments to </w:t>
      </w:r>
      <w:r>
        <w:t xml:space="preserve">the data and methodology that </w:t>
      </w:r>
      <w:r w:rsidR="00981ADE">
        <w:t xml:space="preserve">had </w:t>
      </w:r>
      <w:r>
        <w:t>underpinned the previous 200</w:t>
      </w:r>
      <w:r w:rsidR="00750B43">
        <w:t>4</w:t>
      </w:r>
      <w:r>
        <w:noBreakHyphen/>
        <w:t>0</w:t>
      </w:r>
      <w:r w:rsidR="00750B43">
        <w:t>5</w:t>
      </w:r>
      <w:r>
        <w:t xml:space="preserve"> series. </w:t>
      </w:r>
    </w:p>
    <w:p w:rsidR="00547BFB" w:rsidRDefault="00547BFB" w:rsidP="00CA5B8F">
      <w:pPr>
        <w:pStyle w:val="BodyText"/>
      </w:pPr>
      <w:r>
        <w:t>The benchmarking of the assistance estimates to the 2008</w:t>
      </w:r>
      <w:r>
        <w:noBreakHyphen/>
        <w:t>09 input-output tables follows closely the methodology adopted for the 2004</w:t>
      </w:r>
      <w:r>
        <w:noBreakHyphen/>
        <w:t xml:space="preserve">05 re-benchmarking exercise. This chapter sets out the main steps and conventions adopted in the updating and assistance estimation process. </w:t>
      </w:r>
    </w:p>
    <w:p w:rsidR="00676B96" w:rsidRDefault="002318E5" w:rsidP="00676B96">
      <w:pPr>
        <w:pStyle w:val="Heading2"/>
      </w:pPr>
      <w:r>
        <w:t>4.</w:t>
      </w:r>
      <w:r>
        <w:rPr>
          <w:noProof/>
        </w:rPr>
        <w:t>1</w:t>
      </w:r>
      <w:r w:rsidR="00676B96">
        <w:tab/>
        <w:t xml:space="preserve">Updating the underlying input-output </w:t>
      </w:r>
      <w:r w:rsidR="001C6A17">
        <w:t xml:space="preserve">data </w:t>
      </w:r>
      <w:r w:rsidR="00676B96">
        <w:t>to ABS 200</w:t>
      </w:r>
      <w:r w:rsidR="008F0280">
        <w:t>8</w:t>
      </w:r>
      <w:r w:rsidR="00676B96">
        <w:noBreakHyphen/>
        <w:t>0</w:t>
      </w:r>
      <w:r w:rsidR="008F0280">
        <w:t>9</w:t>
      </w:r>
      <w:r w:rsidR="00676B96">
        <w:t xml:space="preserve"> </w:t>
      </w:r>
      <w:r w:rsidR="001C6A17">
        <w:t>tables</w:t>
      </w:r>
    </w:p>
    <w:p w:rsidR="00CA5B8F" w:rsidRDefault="00CA5B8F" w:rsidP="00CA5B8F">
      <w:pPr>
        <w:pStyle w:val="BodyText"/>
      </w:pPr>
      <w:r>
        <w:t xml:space="preserve">The calculation of effective rates of (tariff) assistance requires data on industry inputs, or ‘cost structures’. </w:t>
      </w:r>
      <w:r w:rsidR="00E32D32">
        <w:t xml:space="preserve">In </w:t>
      </w:r>
      <w:r w:rsidR="009B6EE7">
        <w:t>the formative years of assistance estimation</w:t>
      </w:r>
      <w:r w:rsidR="002E6F87">
        <w:t xml:space="preserve"> the Commission benchmarked its estimates to economic census and survey information. </w:t>
      </w:r>
      <w:r w:rsidR="00C90494">
        <w:t>From 2001</w:t>
      </w:r>
      <w:r w:rsidR="00C90494">
        <w:noBreakHyphen/>
        <w:t>02, the assistance estimation methodology for manufacturing and agriculture was integrated and benchmarked to ABS input-output tables (box </w:t>
      </w:r>
      <w:r w:rsidR="002318E5">
        <w:t>4.1</w:t>
      </w:r>
      <w:r w:rsidR="00C90494">
        <w:t xml:space="preserve">). </w:t>
      </w:r>
    </w:p>
    <w:p w:rsidR="002E72D2" w:rsidRDefault="002E72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2D2">
        <w:tc>
          <w:tcPr>
            <w:tcW w:w="8771" w:type="dxa"/>
            <w:tcBorders>
              <w:top w:val="single" w:sz="6" w:space="0" w:color="auto"/>
              <w:bottom w:val="nil"/>
            </w:tcBorders>
          </w:tcPr>
          <w:p w:rsidR="002E72D2" w:rsidRDefault="002E72D2">
            <w:pPr>
              <w:pStyle w:val="BoxTitle"/>
            </w:pPr>
            <w:r>
              <w:rPr>
                <w:b w:val="0"/>
              </w:rPr>
              <w:t xml:space="preserve">Box </w:t>
            </w:r>
            <w:bookmarkStart w:id="4" w:name="OLE_LINK9"/>
            <w:r w:rsidR="002318E5">
              <w:rPr>
                <w:b w:val="0"/>
              </w:rPr>
              <w:t>4.</w:t>
            </w:r>
            <w:r w:rsidR="002318E5">
              <w:rPr>
                <w:b w:val="0"/>
                <w:noProof/>
              </w:rPr>
              <w:t>1</w:t>
            </w:r>
            <w:bookmarkEnd w:id="4"/>
            <w:r>
              <w:tab/>
              <w:t>Cost structures information</w:t>
            </w:r>
          </w:p>
        </w:tc>
      </w:tr>
      <w:tr w:rsidR="002E72D2">
        <w:trPr>
          <w:cantSplit/>
        </w:trPr>
        <w:tc>
          <w:tcPr>
            <w:tcW w:w="8771" w:type="dxa"/>
            <w:tcBorders>
              <w:top w:val="nil"/>
              <w:left w:val="single" w:sz="6" w:space="0" w:color="auto"/>
              <w:bottom w:val="nil"/>
              <w:right w:val="single" w:sz="6" w:space="0" w:color="auto"/>
            </w:tcBorders>
          </w:tcPr>
          <w:p w:rsidR="002E72D2" w:rsidRDefault="002E72D2" w:rsidP="002E72D2">
            <w:pPr>
              <w:pStyle w:val="BoxHeading1"/>
            </w:pPr>
            <w:r>
              <w:t>Manufacturing estimates</w:t>
            </w:r>
          </w:p>
          <w:p w:rsidR="0011740F" w:rsidRDefault="002E72D2" w:rsidP="002E72D2">
            <w:pPr>
              <w:pStyle w:val="Box"/>
            </w:pPr>
            <w:r>
              <w:t>Prior to 2000, ABS manufacturing census data was used to derive measures of inputs and outputs</w:t>
            </w:r>
            <w:r w:rsidR="00F96A8A">
              <w:t xml:space="preserve"> for manufacturing industries</w:t>
            </w:r>
            <w:r>
              <w:t xml:space="preserve">. This changed for </w:t>
            </w:r>
            <w:r w:rsidRPr="00CA5B8F">
              <w:rPr>
                <w:i/>
              </w:rPr>
              <w:t>Trade &amp; Assistance Review 1999</w:t>
            </w:r>
            <w:r w:rsidRPr="00CA5B8F">
              <w:rPr>
                <w:i/>
              </w:rPr>
              <w:noBreakHyphen/>
              <w:t>2000</w:t>
            </w:r>
            <w:r>
              <w:t xml:space="preserve"> and </w:t>
            </w:r>
            <w:r w:rsidRPr="00CA5B8F">
              <w:rPr>
                <w:i/>
              </w:rPr>
              <w:t>Trade &amp; Assistance Review 2000</w:t>
            </w:r>
            <w:r>
              <w:rPr>
                <w:i/>
              </w:rPr>
              <w:noBreakHyphen/>
            </w:r>
            <w:r w:rsidRPr="00CA5B8F">
              <w:rPr>
                <w:i/>
              </w:rPr>
              <w:t>01</w:t>
            </w:r>
            <w:r>
              <w:t xml:space="preserve"> when ABS </w:t>
            </w:r>
            <w:r w:rsidR="0011740F">
              <w:t>i</w:t>
            </w:r>
            <w:r>
              <w:t>nput-</w:t>
            </w:r>
            <w:r w:rsidR="0011740F">
              <w:t>o</w:t>
            </w:r>
            <w:r>
              <w:t>utput cost-structure data, for 1994</w:t>
            </w:r>
            <w:r>
              <w:noBreakHyphen/>
              <w:t xml:space="preserve">95, were adopted. </w:t>
            </w:r>
          </w:p>
          <w:p w:rsidR="0011740F" w:rsidRDefault="002E72D2" w:rsidP="002E72D2">
            <w:pPr>
              <w:pStyle w:val="Box"/>
            </w:pPr>
            <w:r>
              <w:t>The Input-Output data were next updated, to 1996</w:t>
            </w:r>
            <w:r>
              <w:noBreakHyphen/>
              <w:t xml:space="preserve">97, for the manufacturing estimates published in </w:t>
            </w:r>
            <w:r w:rsidRPr="00CA5B8F">
              <w:rPr>
                <w:i/>
              </w:rPr>
              <w:t>Trade &amp; Assistance Review 2001</w:t>
            </w:r>
            <w:r>
              <w:rPr>
                <w:i/>
              </w:rPr>
              <w:noBreakHyphen/>
            </w:r>
            <w:r w:rsidRPr="00CA5B8F">
              <w:rPr>
                <w:i/>
              </w:rPr>
              <w:t>02</w:t>
            </w:r>
            <w:r>
              <w:t xml:space="preserve">. The ABS data were also adjusted to incorporate the Commission’s preferred treatment of transport margins — see Methodological Annex A to that </w:t>
            </w:r>
            <w:r w:rsidRPr="00CA5B8F">
              <w:rPr>
                <w:i/>
              </w:rPr>
              <w:t>Review</w:t>
            </w:r>
            <w:r>
              <w:t xml:space="preserve">. </w:t>
            </w:r>
          </w:p>
          <w:p w:rsidR="00466491" w:rsidRDefault="00466491" w:rsidP="002E72D2">
            <w:pPr>
              <w:pStyle w:val="Box"/>
            </w:pPr>
            <w:r>
              <w:t>T</w:t>
            </w:r>
            <w:r w:rsidR="002E72D2">
              <w:t xml:space="preserve">he input-output benchmark for the assistance estimates was </w:t>
            </w:r>
            <w:r>
              <w:t xml:space="preserve">next </w:t>
            </w:r>
            <w:r w:rsidR="002E72D2">
              <w:t xml:space="preserve">updated </w:t>
            </w:r>
            <w:r>
              <w:t xml:space="preserve">to </w:t>
            </w:r>
            <w:r w:rsidR="002E72D2">
              <w:t>2001</w:t>
            </w:r>
            <w:r w:rsidR="002E72D2">
              <w:noBreakHyphen/>
              <w:t>02</w:t>
            </w:r>
            <w:r>
              <w:t xml:space="preserve"> and was first </w:t>
            </w:r>
            <w:r w:rsidR="002E72D2">
              <w:t xml:space="preserve">published in the </w:t>
            </w:r>
            <w:r w:rsidR="002E72D2" w:rsidRPr="00CA5B8F">
              <w:rPr>
                <w:i/>
              </w:rPr>
              <w:t>Trade &amp; Assistance Review 2005</w:t>
            </w:r>
            <w:r w:rsidR="002E72D2">
              <w:rPr>
                <w:i/>
              </w:rPr>
              <w:noBreakHyphen/>
            </w:r>
            <w:r w:rsidR="002E72D2" w:rsidRPr="00CA5B8F">
              <w:rPr>
                <w:i/>
              </w:rPr>
              <w:t>06</w:t>
            </w:r>
            <w:r w:rsidR="002E72D2">
              <w:t xml:space="preserve">. </w:t>
            </w:r>
            <w:r>
              <w:t>For the 2001</w:t>
            </w:r>
            <w:r>
              <w:noBreakHyphen/>
              <w:t xml:space="preserve">02 series, </w:t>
            </w:r>
            <w:r w:rsidR="002E72D2">
              <w:t xml:space="preserve">the Commission reclassified manufacturing work undertaken by wholesale and retail service industries to the manufacturing sector so as to maintain comparability with the previous series of estimates (see the Methodological Annex to the </w:t>
            </w:r>
            <w:r w:rsidR="002E72D2" w:rsidRPr="00CA5B8F">
              <w:rPr>
                <w:i/>
              </w:rPr>
              <w:t>Trade &amp; Assistance Review 2005</w:t>
            </w:r>
            <w:r w:rsidR="002E72D2">
              <w:rPr>
                <w:i/>
              </w:rPr>
              <w:noBreakHyphen/>
            </w:r>
            <w:r w:rsidR="002E72D2" w:rsidRPr="00CA5B8F">
              <w:rPr>
                <w:i/>
              </w:rPr>
              <w:t>06</w:t>
            </w:r>
            <w:r w:rsidR="002E72D2">
              <w:t xml:space="preserve"> and </w:t>
            </w:r>
            <w:r w:rsidR="002E72D2" w:rsidRPr="00CA5B8F">
              <w:rPr>
                <w:i/>
              </w:rPr>
              <w:t>2006</w:t>
            </w:r>
            <w:r w:rsidR="002E72D2">
              <w:rPr>
                <w:i/>
              </w:rPr>
              <w:noBreakHyphen/>
            </w:r>
            <w:r w:rsidR="002E72D2" w:rsidRPr="00CA5B8F">
              <w:rPr>
                <w:i/>
              </w:rPr>
              <w:t>07</w:t>
            </w:r>
            <w:r w:rsidR="002E72D2">
              <w:t xml:space="preserve">). </w:t>
            </w:r>
          </w:p>
          <w:p w:rsidR="002E72D2" w:rsidRDefault="002E72D2" w:rsidP="002E72D2">
            <w:pPr>
              <w:pStyle w:val="Box"/>
            </w:pPr>
            <w:r>
              <w:t>The input-output benchmark was next updated to 2004</w:t>
            </w:r>
            <w:r>
              <w:noBreakHyphen/>
              <w:t xml:space="preserve">05 and first published in the </w:t>
            </w:r>
            <w:r w:rsidRPr="009C0589">
              <w:rPr>
                <w:i/>
              </w:rPr>
              <w:t xml:space="preserve">Trade &amp; Assistance </w:t>
            </w:r>
            <w:r w:rsidR="00F10B83">
              <w:rPr>
                <w:i/>
              </w:rPr>
              <w:t xml:space="preserve">Review </w:t>
            </w:r>
            <w:r w:rsidRPr="009C0589">
              <w:rPr>
                <w:i/>
              </w:rPr>
              <w:t>2008</w:t>
            </w:r>
            <w:r w:rsidRPr="009C0589">
              <w:rPr>
                <w:i/>
              </w:rPr>
              <w:noBreakHyphen/>
              <w:t>09</w:t>
            </w:r>
            <w:r>
              <w:t>. For the 2004</w:t>
            </w:r>
            <w:r>
              <w:noBreakHyphen/>
              <w:t>05 series</w:t>
            </w:r>
            <w:r w:rsidR="00C90494">
              <w:t>,</w:t>
            </w:r>
            <w:r>
              <w:t xml:space="preserve"> the Commission carried out a more comprehensive modification of the ABS input-output data to further enhance comparability with earlier series of estimates (see </w:t>
            </w:r>
            <w:r w:rsidRPr="00981ADE">
              <w:rPr>
                <w:i/>
              </w:rPr>
              <w:t>Methodological Annex</w:t>
            </w:r>
            <w:r w:rsidR="00C90494">
              <w:rPr>
                <w:i/>
              </w:rPr>
              <w:t xml:space="preserve"> to the 2008</w:t>
            </w:r>
            <w:r w:rsidR="00C90494">
              <w:rPr>
                <w:i/>
              </w:rPr>
              <w:noBreakHyphen/>
              <w:t>09 Review</w:t>
            </w:r>
            <w:r>
              <w:t xml:space="preserve">). </w:t>
            </w:r>
          </w:p>
          <w:p w:rsidR="002E72D2" w:rsidRDefault="002E72D2" w:rsidP="002E72D2">
            <w:pPr>
              <w:pStyle w:val="BoxHeading1"/>
            </w:pPr>
            <w:r>
              <w:t>Agricultural estimates</w:t>
            </w:r>
          </w:p>
          <w:p w:rsidR="002E72D2" w:rsidRDefault="00466491" w:rsidP="009613CE">
            <w:pPr>
              <w:pStyle w:val="Box"/>
            </w:pPr>
            <w:r>
              <w:t>P</w:t>
            </w:r>
            <w:r w:rsidR="002E72D2" w:rsidRPr="002E72D2">
              <w:t>rior to 2001</w:t>
            </w:r>
            <w:r w:rsidR="00F10B83">
              <w:t>,</w:t>
            </w:r>
            <w:r w:rsidR="002E72D2" w:rsidRPr="002E72D2">
              <w:t xml:space="preserve"> a combination of ABARE farm survey and ABS agricultural finance survey and commodities data </w:t>
            </w:r>
            <w:r w:rsidR="009613CE">
              <w:t xml:space="preserve">were </w:t>
            </w:r>
            <w:r w:rsidR="002E72D2" w:rsidRPr="002E72D2">
              <w:t>used to derive measures of inputs and outputs by agricultural commodity. For the ‘1996</w:t>
            </w:r>
            <w:r w:rsidR="002E72D2" w:rsidRPr="002E72D2">
              <w:noBreakHyphen/>
              <w:t xml:space="preserve">97 series’ introduced in </w:t>
            </w:r>
            <w:r w:rsidR="002E72D2" w:rsidRPr="00F96A8A">
              <w:rPr>
                <w:i/>
              </w:rPr>
              <w:t>Trade &amp; Assistance Review 2001</w:t>
            </w:r>
            <w:r w:rsidR="002E72D2" w:rsidRPr="00F96A8A">
              <w:rPr>
                <w:i/>
              </w:rPr>
              <w:noBreakHyphen/>
              <w:t>02</w:t>
            </w:r>
            <w:r w:rsidR="002E72D2" w:rsidRPr="002E72D2">
              <w:t xml:space="preserve">, the Commission adopted a cost-structure for agriculture based on the average of four years </w:t>
            </w:r>
            <w:r>
              <w:t>i</w:t>
            </w:r>
            <w:r w:rsidR="002E72D2" w:rsidRPr="002E72D2">
              <w:t>nput-</w:t>
            </w:r>
            <w:r>
              <w:t>o</w:t>
            </w:r>
            <w:r w:rsidR="002E72D2" w:rsidRPr="002E72D2">
              <w:t>utput data: 1992</w:t>
            </w:r>
            <w:r w:rsidR="002E72D2" w:rsidRPr="002E72D2">
              <w:noBreakHyphen/>
              <w:t>93, 1993</w:t>
            </w:r>
            <w:r w:rsidR="002E72D2" w:rsidRPr="002E72D2">
              <w:noBreakHyphen/>
              <w:t>94, 1994</w:t>
            </w:r>
            <w:r w:rsidR="002E72D2" w:rsidRPr="004D0E16">
              <w:noBreakHyphen/>
              <w:t>95 and 1996</w:t>
            </w:r>
            <w:r w:rsidR="002E72D2" w:rsidRPr="004D0E16">
              <w:noBreakHyphen/>
              <w:t>97. Multiple years were selected in order to reduce the impact of the often cyclical nature of agricultural production. This approach, however, subsequently ceased (beginning with the ‘2001</w:t>
            </w:r>
            <w:r w:rsidR="002E72D2" w:rsidRPr="00E32D32">
              <w:noBreakHyphen/>
              <w:t>02’ series of assistance estimates, where only a single year was selected. The Commission had found that estimates for the 2001</w:t>
            </w:r>
            <w:r w:rsidR="002E72D2" w:rsidRPr="00E32D32">
              <w:noBreakHyphen/>
              <w:t>02 (and subsequently 2004</w:t>
            </w:r>
            <w:r w:rsidR="002E72D2" w:rsidRPr="00E32D32">
              <w:noBreakHyphen/>
              <w:t>05 and 2008</w:t>
            </w:r>
            <w:r w:rsidR="002E72D2" w:rsidRPr="00E32D32">
              <w:noBreakHyphen/>
              <w:t xml:space="preserve">09) series using a single year of agricultural data was not significantly different </w:t>
            </w:r>
            <w:r w:rsidR="00F10B83">
              <w:t>from</w:t>
            </w:r>
            <w:r w:rsidR="002E72D2" w:rsidRPr="00466491">
              <w:t xml:space="preserve"> those based on an average of a number of years.</w:t>
            </w:r>
            <w:r w:rsidR="002E72D2">
              <w:t xml:space="preserve"> </w:t>
            </w:r>
          </w:p>
        </w:tc>
      </w:tr>
      <w:tr w:rsidR="002E72D2">
        <w:trPr>
          <w:cantSplit/>
        </w:trPr>
        <w:tc>
          <w:tcPr>
            <w:tcW w:w="8771" w:type="dxa"/>
            <w:tcBorders>
              <w:top w:val="nil"/>
              <w:left w:val="single" w:sz="6" w:space="0" w:color="auto"/>
              <w:bottom w:val="single" w:sz="6" w:space="0" w:color="auto"/>
              <w:right w:val="single" w:sz="6" w:space="0" w:color="auto"/>
            </w:tcBorders>
          </w:tcPr>
          <w:p w:rsidR="002E72D2" w:rsidRDefault="002E72D2">
            <w:pPr>
              <w:pStyle w:val="Box"/>
              <w:spacing w:before="0" w:line="120" w:lineRule="exact"/>
            </w:pPr>
          </w:p>
        </w:tc>
      </w:tr>
      <w:tr w:rsidR="002E72D2" w:rsidRPr="000863A5">
        <w:tc>
          <w:tcPr>
            <w:tcW w:w="8771" w:type="dxa"/>
            <w:tcBorders>
              <w:top w:val="nil"/>
              <w:left w:val="nil"/>
              <w:bottom w:val="nil"/>
              <w:right w:val="nil"/>
            </w:tcBorders>
          </w:tcPr>
          <w:p w:rsidR="002E72D2" w:rsidRPr="00626D32" w:rsidRDefault="002E72D2" w:rsidP="00547BFB">
            <w:pPr>
              <w:pStyle w:val="BoxSpaceBelow"/>
            </w:pPr>
          </w:p>
        </w:tc>
      </w:tr>
    </w:tbl>
    <w:p w:rsidR="00676B96" w:rsidRDefault="002318E5" w:rsidP="002E72D2">
      <w:pPr>
        <w:pStyle w:val="Heading2"/>
      </w:pPr>
      <w:r w:rsidRPr="002318E5">
        <w:t>4.</w:t>
      </w:r>
      <w:r>
        <w:rPr>
          <w:noProof/>
        </w:rPr>
        <w:t>2</w:t>
      </w:r>
      <w:r w:rsidR="002E72D2">
        <w:tab/>
      </w:r>
      <w:r w:rsidR="00676B96">
        <w:t>Modifications to ABS input-output data</w:t>
      </w:r>
    </w:p>
    <w:p w:rsidR="00C868FD" w:rsidRDefault="00C868FD" w:rsidP="00C868FD">
      <w:pPr>
        <w:pStyle w:val="BodyText"/>
      </w:pPr>
      <w:r>
        <w:t xml:space="preserve">Some </w:t>
      </w:r>
      <w:r w:rsidR="00AE4585">
        <w:t xml:space="preserve">aspects of the construction of </w:t>
      </w:r>
      <w:r>
        <w:t xml:space="preserve">ABS </w:t>
      </w:r>
      <w:r w:rsidR="00AE4585">
        <w:t>i</w:t>
      </w:r>
      <w:r>
        <w:t>nput-</w:t>
      </w:r>
      <w:r w:rsidR="00AE4585">
        <w:t>o</w:t>
      </w:r>
      <w:r>
        <w:t>utput tables ha</w:t>
      </w:r>
      <w:r w:rsidR="00C757BA">
        <w:t>ve</w:t>
      </w:r>
      <w:r>
        <w:t xml:space="preserve"> reduced their usefulness for estimating effective rates of assistance</w:t>
      </w:r>
      <w:r w:rsidR="00C757BA">
        <w:t xml:space="preserve">. These are </w:t>
      </w:r>
      <w:r>
        <w:t xml:space="preserve">primarily </w:t>
      </w:r>
      <w:r w:rsidR="00AE4585">
        <w:t xml:space="preserve">a </w:t>
      </w:r>
      <w:r>
        <w:t xml:space="preserve">consequence of the ABS collecting statistical data at a higher level of aggregation that </w:t>
      </w:r>
      <w:r w:rsidR="00AE4585">
        <w:t>limits</w:t>
      </w:r>
      <w:r>
        <w:t xml:space="preserve"> </w:t>
      </w:r>
      <w:r w:rsidR="00F011C4">
        <w:t xml:space="preserve">the availability of data for </w:t>
      </w:r>
      <w:r>
        <w:t xml:space="preserve">separating industries out into more </w:t>
      </w:r>
      <w:r>
        <w:lastRenderedPageBreak/>
        <w:t>homogeneous activities</w:t>
      </w:r>
      <w:r w:rsidR="00D15BE8">
        <w:t xml:space="preserve"> (Gretton 2005).</w:t>
      </w:r>
      <w:r w:rsidR="00332149">
        <w:rPr>
          <w:rStyle w:val="FootnoteReference"/>
        </w:rPr>
        <w:footnoteReference w:id="1"/>
      </w:r>
      <w:r>
        <w:t xml:space="preserve"> As a consequence of </w:t>
      </w:r>
      <w:r w:rsidR="00D56AB0">
        <w:t xml:space="preserve">the change in ABS </w:t>
      </w:r>
      <w:r w:rsidR="00436B0C">
        <w:t>statistical</w:t>
      </w:r>
      <w:r w:rsidR="00D56AB0">
        <w:t xml:space="preserve"> unit conventions </w:t>
      </w:r>
      <w:r>
        <w:t>the amount of ‘off-diagonal production’ of commodities</w:t>
      </w:r>
      <w:r w:rsidR="00F011C4">
        <w:t xml:space="preserve"> reported in input-output tables</w:t>
      </w:r>
      <w:r>
        <w:t xml:space="preserve"> increased materially from 1996</w:t>
      </w:r>
      <w:r w:rsidR="00332149">
        <w:noBreakHyphen/>
      </w:r>
      <w:r>
        <w:t>97</w:t>
      </w:r>
      <w:r w:rsidR="00F011C4">
        <w:t>.</w:t>
      </w:r>
      <w:r w:rsidR="00F011C4">
        <w:rPr>
          <w:rStyle w:val="FootnoteReference"/>
        </w:rPr>
        <w:footnoteReference w:id="2"/>
      </w:r>
      <w:r w:rsidR="00F011C4">
        <w:t xml:space="preserve"> </w:t>
      </w:r>
    </w:p>
    <w:p w:rsidR="00C868FD" w:rsidRDefault="00C868FD" w:rsidP="007F3631">
      <w:pPr>
        <w:pStyle w:val="BodyText"/>
      </w:pPr>
      <w:r>
        <w:t xml:space="preserve">The ABS made adjustments to earlier input-output tables to improve the homogeneity of industries. However, these adjustments have largely been discontinued in more recent editions of the input-output tables. More specifically, the ABS </w:t>
      </w:r>
      <w:r w:rsidR="00F10B83">
        <w:t xml:space="preserve">has </w:t>
      </w:r>
      <w:r>
        <w:t>discontinued</w:t>
      </w:r>
      <w:r w:rsidR="00D56AB0">
        <w:t xml:space="preserve"> </w:t>
      </w:r>
      <w:r>
        <w:t xml:space="preserve">the practice of ‘grossing-up’ (adjusting of) manufacturing work undertaken by other industries on a commission or fee-for-service basis — as commission work involves one industry (such as wholesale or retail trade) engaging another industry (usually a manufacturing industry) to produce output on its behalf (frequently using inputs supplied by the commissioning industry) — whereby the commissioned output is reclassified from the commissioning industry to the producing industry. </w:t>
      </w:r>
    </w:p>
    <w:p w:rsidR="00C868FD" w:rsidRDefault="00D56AB0" w:rsidP="007F3631">
      <w:pPr>
        <w:pStyle w:val="BodyText"/>
      </w:pPr>
      <w:r>
        <w:t xml:space="preserve">The ABS has also discontinued </w:t>
      </w:r>
      <w:r w:rsidR="00C868FD">
        <w:t xml:space="preserve">the practice of ‘re-defining’ secondary production — whereby secondary production is ‘returned’ to the </w:t>
      </w:r>
      <w:r w:rsidR="00C868FD" w:rsidRPr="00332149">
        <w:rPr>
          <w:i/>
        </w:rPr>
        <w:t>industry</w:t>
      </w:r>
      <w:r w:rsidR="00C868FD">
        <w:t xml:space="preserve"> in which the activity is primarily undertaken, so as to improve industry homogeneity levels (under this convention, wholesaling work undertaken by manufacturers would be re-defined in the input-output tables from the manufacturing sector to the wholesale trade). </w:t>
      </w:r>
    </w:p>
    <w:p w:rsidR="00C868FD" w:rsidRDefault="00C868FD" w:rsidP="00C868FD">
      <w:pPr>
        <w:pStyle w:val="BodyText"/>
      </w:pPr>
      <w:r>
        <w:t xml:space="preserve">For the Commission’s assistance estimates, the use of (unadjusted) published data could give rise to estimated changes in effective rates of assistance between series, without any statutory changes in tariffs or budgetary assistance. For example, for both the </w:t>
      </w:r>
      <w:r w:rsidR="00301B18">
        <w:rPr>
          <w:i/>
        </w:rPr>
        <w:t>T</w:t>
      </w:r>
      <w:r w:rsidRPr="00332149">
        <w:rPr>
          <w:i/>
        </w:rPr>
        <w:t xml:space="preserve">extile, </w:t>
      </w:r>
      <w:r w:rsidR="00865F95">
        <w:rPr>
          <w:i/>
        </w:rPr>
        <w:t xml:space="preserve">leather, </w:t>
      </w:r>
      <w:r w:rsidRPr="00332149">
        <w:rPr>
          <w:i/>
        </w:rPr>
        <w:t>clothing</w:t>
      </w:r>
      <w:r w:rsidR="00865F95">
        <w:rPr>
          <w:i/>
        </w:rPr>
        <w:t xml:space="preserve"> and </w:t>
      </w:r>
      <w:r w:rsidRPr="00332149">
        <w:rPr>
          <w:i/>
        </w:rPr>
        <w:t>footwear</w:t>
      </w:r>
      <w:r>
        <w:t xml:space="preserve"> and </w:t>
      </w:r>
      <w:r w:rsidR="00301B18">
        <w:rPr>
          <w:i/>
        </w:rPr>
        <w:t>M</w:t>
      </w:r>
      <w:r w:rsidRPr="00332149">
        <w:rPr>
          <w:i/>
        </w:rPr>
        <w:t>otor vehicles and parts</w:t>
      </w:r>
      <w:r>
        <w:t xml:space="preserve"> industries, the relative importance of secondary production (such as wholesale trade) increased in published series. As there are no tariffs on wholesale trade, the change in statistical conventions alone would dilute the reported level of tariff protection afforded to the relevant manufacturing activities across assistance series</w:t>
      </w:r>
      <w:r w:rsidR="00945111">
        <w:t xml:space="preserve">. </w:t>
      </w:r>
    </w:p>
    <w:p w:rsidR="00C868FD" w:rsidRDefault="00C868FD" w:rsidP="00C868FD">
      <w:pPr>
        <w:pStyle w:val="BodyText"/>
      </w:pPr>
      <w:r>
        <w:t xml:space="preserve">With the objective of maintaining comparability across series and maintaining the industry homogeneity assumptions that underpin the input-output tables, </w:t>
      </w:r>
      <w:r w:rsidR="00D55C51">
        <w:t>following the methodology established for the previous series</w:t>
      </w:r>
      <w:r w:rsidR="00BF7FAF">
        <w:t>,</w:t>
      </w:r>
      <w:r w:rsidR="00D55C51">
        <w:t xml:space="preserve"> </w:t>
      </w:r>
      <w:r>
        <w:t>the Commission adjust</w:t>
      </w:r>
      <w:r w:rsidR="00301B18">
        <w:t xml:space="preserve">s </w:t>
      </w:r>
      <w:r>
        <w:t xml:space="preserve">the </w:t>
      </w:r>
      <w:r>
        <w:lastRenderedPageBreak/>
        <w:t xml:space="preserve">ABS </w:t>
      </w:r>
      <w:r w:rsidR="00301B18">
        <w:t>i</w:t>
      </w:r>
      <w:r>
        <w:t>nput-</w:t>
      </w:r>
      <w:r w:rsidR="00301B18">
        <w:t>o</w:t>
      </w:r>
      <w:r>
        <w:t xml:space="preserve">utput tables, as far as practicable, to place the </w:t>
      </w:r>
      <w:r w:rsidR="00301B18">
        <w:t xml:space="preserve">data </w:t>
      </w:r>
      <w:r>
        <w:t xml:space="preserve">on a basis consistent with earlier tables. </w:t>
      </w:r>
      <w:r w:rsidR="00F10B83">
        <w:t>The</w:t>
      </w:r>
      <w:r>
        <w:t xml:space="preserve"> process has been carried out in two parts — first, a ‘grossing up’ adjustment (to address commissioned work) and then, a ‘full redefinition’ of the ABS’s Input-Output industry groupings (to address secondary production). </w:t>
      </w:r>
    </w:p>
    <w:p w:rsidR="00717CB2" w:rsidRDefault="00C868FD" w:rsidP="00717CB2">
      <w:pPr>
        <w:pStyle w:val="BodyText"/>
      </w:pPr>
      <w:r>
        <w:t xml:space="preserve">The grossing up adjustment involved removing petroleum produced on behalf of the wholesale industry from </w:t>
      </w:r>
      <w:r w:rsidR="00717CB2">
        <w:rPr>
          <w:i/>
        </w:rPr>
        <w:t>W</w:t>
      </w:r>
      <w:r w:rsidRPr="00945111">
        <w:rPr>
          <w:i/>
        </w:rPr>
        <w:t>holesale trade</w:t>
      </w:r>
      <w:r>
        <w:t xml:space="preserve">, together with the </w:t>
      </w:r>
      <w:r w:rsidR="00717CB2">
        <w:t xml:space="preserve">crude oil and other </w:t>
      </w:r>
      <w:r>
        <w:t xml:space="preserve">inputs </w:t>
      </w:r>
      <w:r w:rsidR="00717CB2">
        <w:t>purchased by wholesalers</w:t>
      </w:r>
      <w:r>
        <w:t xml:space="preserve"> to produce this output, and then adding this production and associated inputs to the </w:t>
      </w:r>
      <w:r w:rsidR="00717CB2">
        <w:rPr>
          <w:i/>
        </w:rPr>
        <w:t>P</w:t>
      </w:r>
      <w:r w:rsidRPr="00945111">
        <w:rPr>
          <w:i/>
        </w:rPr>
        <w:t>etroleum and coal products</w:t>
      </w:r>
      <w:r>
        <w:t xml:space="preserve"> industry (box</w:t>
      </w:r>
      <w:r w:rsidR="00945111">
        <w:t> </w:t>
      </w:r>
      <w:r w:rsidR="002318E5">
        <w:t>4.2</w:t>
      </w:r>
      <w:r>
        <w:t>).</w:t>
      </w:r>
      <w:r w:rsidR="00945111">
        <w:rPr>
          <w:rStyle w:val="FootnoteReference"/>
        </w:rPr>
        <w:footnoteReference w:id="3"/>
      </w:r>
      <w:r>
        <w:t xml:space="preserve"> </w:t>
      </w:r>
      <w:r w:rsidR="00F2560D">
        <w:t>In the 2008</w:t>
      </w:r>
      <w:r w:rsidR="00F2560D">
        <w:noBreakHyphen/>
        <w:t>09 year, t</w:t>
      </w:r>
      <w:r>
        <w:t>he adjustment reduce</w:t>
      </w:r>
      <w:r w:rsidR="00F2560D">
        <w:t>d</w:t>
      </w:r>
      <w:r>
        <w:t xml:space="preserve"> </w:t>
      </w:r>
      <w:r w:rsidR="00F2560D" w:rsidRPr="007F3631">
        <w:rPr>
          <w:i/>
        </w:rPr>
        <w:t>W</w:t>
      </w:r>
      <w:r w:rsidRPr="007F3631">
        <w:rPr>
          <w:i/>
        </w:rPr>
        <w:t>holesale</w:t>
      </w:r>
      <w:r w:rsidR="00F2560D">
        <w:rPr>
          <w:i/>
        </w:rPr>
        <w:t xml:space="preserve"> trade</w:t>
      </w:r>
      <w:r>
        <w:t xml:space="preserve"> industry production by around $</w:t>
      </w:r>
      <w:r w:rsidR="00F8380B">
        <w:t>3.5</w:t>
      </w:r>
      <w:r w:rsidR="000C1E98">
        <w:t> </w:t>
      </w:r>
      <w:r>
        <w:t xml:space="preserve">billion (or around </w:t>
      </w:r>
      <w:r w:rsidR="00F8380B">
        <w:t>3</w:t>
      </w:r>
      <w:r w:rsidR="000C1E98">
        <w:t> </w:t>
      </w:r>
      <w:r>
        <w:t>per</w:t>
      </w:r>
      <w:r w:rsidR="000C1E98">
        <w:t> </w:t>
      </w:r>
      <w:r>
        <w:t xml:space="preserve">cent of </w:t>
      </w:r>
      <w:r w:rsidR="00F2560D">
        <w:rPr>
          <w:i/>
        </w:rPr>
        <w:t>Wh</w:t>
      </w:r>
      <w:r w:rsidRPr="000C1E98">
        <w:rPr>
          <w:i/>
        </w:rPr>
        <w:t>olesale</w:t>
      </w:r>
      <w:r w:rsidR="00F2560D">
        <w:rPr>
          <w:i/>
        </w:rPr>
        <w:t xml:space="preserve"> trade</w:t>
      </w:r>
      <w:r>
        <w:t xml:space="preserve"> production), and increase</w:t>
      </w:r>
      <w:r w:rsidR="0093493E">
        <w:t>d</w:t>
      </w:r>
      <w:r>
        <w:t xml:space="preserve"> </w:t>
      </w:r>
      <w:r w:rsidR="00F2560D">
        <w:rPr>
          <w:i/>
        </w:rPr>
        <w:t>P</w:t>
      </w:r>
      <w:r w:rsidRPr="000C1E98">
        <w:rPr>
          <w:i/>
        </w:rPr>
        <w:t>etroleum and coal products</w:t>
      </w:r>
      <w:r>
        <w:t xml:space="preserve"> </w:t>
      </w:r>
      <w:r w:rsidR="00F2560D">
        <w:t>output</w:t>
      </w:r>
      <w:r>
        <w:t xml:space="preserve"> by the same dollar amount. The adjustment accounts for around </w:t>
      </w:r>
      <w:r w:rsidR="00F8380B">
        <w:t xml:space="preserve">11 per cent </w:t>
      </w:r>
      <w:r>
        <w:t>of the (adjusted) output of the</w:t>
      </w:r>
      <w:r w:rsidR="00F2560D">
        <w:rPr>
          <w:i/>
        </w:rPr>
        <w:t xml:space="preserve"> P</w:t>
      </w:r>
      <w:r w:rsidRPr="000C1E98">
        <w:rPr>
          <w:i/>
        </w:rPr>
        <w:t>etroleum and coal products</w:t>
      </w:r>
      <w:r>
        <w:t xml:space="preserve"> industry. </w:t>
      </w:r>
    </w:p>
    <w:p w:rsidR="0038532D" w:rsidRDefault="0038532D" w:rsidP="00717CB2">
      <w:pPr>
        <w:pStyle w:val="BodyText"/>
      </w:pPr>
      <w:r>
        <w:t xml:space="preserve">The full redefinition involved reclassifying all remaining secondary production to the industry in which the activity is primarily undertaken. For example, all footwear related products, not recorded as being produced by the ABS Input-Output Industry Group (IOIG) </w:t>
      </w:r>
      <w:r w:rsidRPr="00FD104C">
        <w:rPr>
          <w:i/>
        </w:rPr>
        <w:t>Footwear manufacturing</w:t>
      </w:r>
      <w:r w:rsidRPr="00FD104C">
        <w:t xml:space="preserve"> industry</w:t>
      </w:r>
      <w:r>
        <w:t xml:space="preserve">, were reclassified back to the </w:t>
      </w:r>
      <w:r w:rsidRPr="00FD104C">
        <w:rPr>
          <w:i/>
        </w:rPr>
        <w:t>Footwear manufacturing</w:t>
      </w:r>
      <w:r>
        <w:t xml:space="preserve"> industry. This adjustment to industry outputs was performed on the detailed 112 industry by 1285 product supply table (which denotes the production of each commodity by each industry). Some significant examples of this adjustment include the shifting of wholesale activity undertaken in the manufacturing and other non-wholesale trade industries to the </w:t>
      </w:r>
      <w:r>
        <w:rPr>
          <w:i/>
        </w:rPr>
        <w:t>W</w:t>
      </w:r>
      <w:r w:rsidRPr="0048540D">
        <w:rPr>
          <w:i/>
        </w:rPr>
        <w:t>holesale trade</w:t>
      </w:r>
      <w:r>
        <w:t xml:space="preserve"> industry and shifting all clothing production reported as under non-clothing industries (particularly </w:t>
      </w:r>
      <w:r w:rsidRPr="00FD104C">
        <w:rPr>
          <w:i/>
        </w:rPr>
        <w:t>Wholesale</w:t>
      </w:r>
      <w:r>
        <w:t xml:space="preserve"> and </w:t>
      </w:r>
      <w:r w:rsidRPr="00FD104C">
        <w:rPr>
          <w:i/>
        </w:rPr>
        <w:t>Retail trade</w:t>
      </w:r>
      <w:r>
        <w:t xml:space="preserve">) to the IOIG </w:t>
      </w:r>
      <w:r w:rsidRPr="00FD104C">
        <w:rPr>
          <w:i/>
        </w:rPr>
        <w:t>Clothing manufacturing</w:t>
      </w:r>
      <w:r>
        <w:t xml:space="preserve"> industry.</w:t>
      </w:r>
    </w:p>
    <w:p w:rsidR="00717CB2" w:rsidRDefault="00717CB2" w:rsidP="00717CB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7CB2" w:rsidTr="00F96A8A">
        <w:tc>
          <w:tcPr>
            <w:tcW w:w="8771" w:type="dxa"/>
            <w:tcBorders>
              <w:top w:val="single" w:sz="6" w:space="0" w:color="auto"/>
              <w:bottom w:val="nil"/>
            </w:tcBorders>
          </w:tcPr>
          <w:p w:rsidR="00717CB2" w:rsidRDefault="00717CB2" w:rsidP="00F96A8A">
            <w:pPr>
              <w:pStyle w:val="BoxTitle"/>
            </w:pPr>
            <w:r>
              <w:rPr>
                <w:b w:val="0"/>
              </w:rPr>
              <w:t xml:space="preserve">Box </w:t>
            </w:r>
            <w:bookmarkStart w:id="5" w:name="OLE_LINK10"/>
            <w:r w:rsidR="002318E5">
              <w:rPr>
                <w:b w:val="0"/>
              </w:rPr>
              <w:t>4.</w:t>
            </w:r>
            <w:r w:rsidR="002318E5">
              <w:rPr>
                <w:b w:val="0"/>
                <w:noProof/>
              </w:rPr>
              <w:t>2</w:t>
            </w:r>
            <w:bookmarkEnd w:id="5"/>
            <w:r>
              <w:tab/>
              <w:t>Grossing up: shifting petroleum production from the wholesale industry to the petroleum industry</w:t>
            </w:r>
          </w:p>
        </w:tc>
      </w:tr>
      <w:tr w:rsidR="00717CB2" w:rsidTr="00F96A8A">
        <w:trPr>
          <w:cantSplit/>
        </w:trPr>
        <w:tc>
          <w:tcPr>
            <w:tcW w:w="8771" w:type="dxa"/>
            <w:tcBorders>
              <w:top w:val="nil"/>
              <w:left w:val="single" w:sz="6" w:space="0" w:color="auto"/>
              <w:bottom w:val="nil"/>
              <w:right w:val="single" w:sz="6" w:space="0" w:color="auto"/>
            </w:tcBorders>
          </w:tcPr>
          <w:p w:rsidR="00717CB2" w:rsidRDefault="00717CB2" w:rsidP="00F96A8A">
            <w:pPr>
              <w:pStyle w:val="Box"/>
            </w:pPr>
            <w:r>
              <w:t xml:space="preserve">The grossing up adjustment involved carrying out modifications to both the supply and use tables of the ABS </w:t>
            </w:r>
            <w:r w:rsidR="00436B0C">
              <w:t>i</w:t>
            </w:r>
            <w:r>
              <w:t>nput-</w:t>
            </w:r>
            <w:r w:rsidR="00436B0C">
              <w:t>o</w:t>
            </w:r>
            <w:r>
              <w:t xml:space="preserve">utput </w:t>
            </w:r>
            <w:r w:rsidR="00CC4018">
              <w:t>framework</w:t>
            </w:r>
            <w:r>
              <w:t xml:space="preserve">. </w:t>
            </w:r>
          </w:p>
          <w:p w:rsidR="00717CB2" w:rsidRDefault="00717CB2" w:rsidP="00F96A8A">
            <w:pPr>
              <w:pStyle w:val="Box"/>
            </w:pPr>
            <w:r>
              <w:t>For the supply table (table 1)</w:t>
            </w:r>
            <w:r w:rsidR="00CC4018">
              <w:t>,</w:t>
            </w:r>
            <w:r>
              <w:t xml:space="preserve"> the grossing up adjustment involved</w:t>
            </w:r>
            <w:r w:rsidR="00CC4018">
              <w:t xml:space="preserve"> two steps.</w:t>
            </w:r>
            <w:r>
              <w:t xml:space="preserve"> </w:t>
            </w:r>
          </w:p>
          <w:p w:rsidR="00717CB2" w:rsidRDefault="00717CB2" w:rsidP="00F96A8A">
            <w:pPr>
              <w:pStyle w:val="BoxListBullet"/>
            </w:pPr>
            <w:r>
              <w:t xml:space="preserve">Shifting all petroleum products (IOPC code 17010010: </w:t>
            </w:r>
            <w:r w:rsidRPr="00187B0B">
              <w:rPr>
                <w:i/>
              </w:rPr>
              <w:t>Automotive petrol; gasoline refining or blending; motor spirit (including aviation spirit))</w:t>
            </w:r>
            <w:r>
              <w:t xml:space="preserve"> produced by the </w:t>
            </w:r>
            <w:r w:rsidR="00CC4018">
              <w:rPr>
                <w:i/>
              </w:rPr>
              <w:t>W</w:t>
            </w:r>
            <w:r w:rsidRPr="00187B0B">
              <w:rPr>
                <w:i/>
              </w:rPr>
              <w:t>holesale trade</w:t>
            </w:r>
            <w:r>
              <w:t xml:space="preserve"> industry (IOIG 3301) to the </w:t>
            </w:r>
            <w:r w:rsidR="00CC4018">
              <w:rPr>
                <w:i/>
              </w:rPr>
              <w:t>P</w:t>
            </w:r>
            <w:r w:rsidRPr="00187B0B">
              <w:rPr>
                <w:i/>
              </w:rPr>
              <w:t>etroleum and coal products</w:t>
            </w:r>
            <w:r>
              <w:t xml:space="preserve"> industry (IOIG 1701). </w:t>
            </w:r>
          </w:p>
          <w:p w:rsidR="00717CB2" w:rsidRDefault="00717CB2" w:rsidP="00F96A8A">
            <w:pPr>
              <w:pStyle w:val="BoxListBullet"/>
            </w:pPr>
            <w:r>
              <w:t xml:space="preserve">Reducing income derived from contract refining (IOPC 17091700: </w:t>
            </w:r>
            <w:r w:rsidRPr="00E15D07">
              <w:rPr>
                <w:i/>
              </w:rPr>
              <w:t>Petroleum and coal products – commission production</w:t>
            </w:r>
            <w:r>
              <w:t xml:space="preserve"> (1701-1709)), by the </w:t>
            </w:r>
            <w:r w:rsidR="00CC4018">
              <w:rPr>
                <w:i/>
              </w:rPr>
              <w:t>P</w:t>
            </w:r>
            <w:r w:rsidRPr="00187B0B">
              <w:rPr>
                <w:i/>
              </w:rPr>
              <w:t>etroleum and coal products</w:t>
            </w:r>
            <w:r>
              <w:t xml:space="preserve"> industry by the amount spent on contract refining (IOPC 17091700) by the </w:t>
            </w:r>
            <w:r w:rsidR="00CC4018">
              <w:rPr>
                <w:i/>
              </w:rPr>
              <w:t>W</w:t>
            </w:r>
            <w:r w:rsidRPr="00187B0B">
              <w:rPr>
                <w:i/>
              </w:rPr>
              <w:t>holesale trade</w:t>
            </w:r>
            <w:r>
              <w:t xml:space="preserve"> industry (derived from the use table). </w:t>
            </w:r>
          </w:p>
          <w:p w:rsidR="00717CB2" w:rsidRDefault="00717CB2" w:rsidP="00F96A8A">
            <w:pPr>
              <w:pStyle w:val="Box"/>
            </w:pPr>
            <w:r>
              <w:t>For the use table (table 2)</w:t>
            </w:r>
            <w:r w:rsidR="00CC4018">
              <w:t>,</w:t>
            </w:r>
            <w:r>
              <w:t xml:space="preserve"> the grossing up adjustments included</w:t>
            </w:r>
            <w:r w:rsidR="00CC4018">
              <w:t xml:space="preserve"> a number of steps.</w:t>
            </w:r>
            <w:r>
              <w:t xml:space="preserve"> </w:t>
            </w:r>
          </w:p>
          <w:p w:rsidR="00717CB2" w:rsidRDefault="00717CB2" w:rsidP="00F96A8A">
            <w:pPr>
              <w:pStyle w:val="BoxListBullet"/>
            </w:pPr>
            <w:r>
              <w:t xml:space="preserve">Shifting all crude oil (used to manufacture petroleum) (IOPC 07000010: </w:t>
            </w:r>
            <w:r w:rsidRPr="00874D59">
              <w:rPr>
                <w:i/>
              </w:rPr>
              <w:t>Crude oil (incl. condensate))</w:t>
            </w:r>
            <w:r>
              <w:t xml:space="preserve"> from the </w:t>
            </w:r>
            <w:r w:rsidR="00CC4018">
              <w:rPr>
                <w:i/>
              </w:rPr>
              <w:t>W</w:t>
            </w:r>
            <w:r w:rsidRPr="00874D59">
              <w:rPr>
                <w:i/>
              </w:rPr>
              <w:t>holesale trade</w:t>
            </w:r>
            <w:r>
              <w:t xml:space="preserve"> industry to the </w:t>
            </w:r>
            <w:r w:rsidR="00CC4018">
              <w:rPr>
                <w:i/>
              </w:rPr>
              <w:t>P</w:t>
            </w:r>
            <w:r w:rsidRPr="00874D59">
              <w:rPr>
                <w:i/>
              </w:rPr>
              <w:t>etroleum and coal products</w:t>
            </w:r>
            <w:r>
              <w:t xml:space="preserve"> industry. </w:t>
            </w:r>
          </w:p>
          <w:p w:rsidR="00717CB2" w:rsidRDefault="00717CB2" w:rsidP="00F96A8A">
            <w:pPr>
              <w:pStyle w:val="BoxListBullet"/>
            </w:pPr>
            <w:r>
              <w:t xml:space="preserve">Setting the cost of contract refining (IOPC 17091700: </w:t>
            </w:r>
            <w:r w:rsidRPr="00E15D07">
              <w:rPr>
                <w:i/>
              </w:rPr>
              <w:t>Petroleum and coal products – commission production</w:t>
            </w:r>
            <w:r>
              <w:t xml:space="preserve"> (1701-1709)) or commission work </w:t>
            </w:r>
            <w:r w:rsidR="0093493E">
              <w:t>paid</w:t>
            </w:r>
            <w:r>
              <w:t xml:space="preserve"> by the </w:t>
            </w:r>
            <w:r w:rsidR="00CC4018">
              <w:rPr>
                <w:i/>
              </w:rPr>
              <w:t>W</w:t>
            </w:r>
            <w:r w:rsidRPr="00874D59">
              <w:rPr>
                <w:i/>
              </w:rPr>
              <w:t>holesale trade</w:t>
            </w:r>
            <w:r>
              <w:t xml:space="preserve"> industry to have petroleum produced on its behalf (by the </w:t>
            </w:r>
            <w:r w:rsidR="00CC4018">
              <w:rPr>
                <w:i/>
              </w:rPr>
              <w:t>P</w:t>
            </w:r>
            <w:r w:rsidRPr="00874D59">
              <w:rPr>
                <w:i/>
              </w:rPr>
              <w:t>etroleum and coal products</w:t>
            </w:r>
            <w:r>
              <w:t xml:space="preserve"> industry) equal to zero. </w:t>
            </w:r>
          </w:p>
          <w:p w:rsidR="00717CB2" w:rsidRDefault="00717CB2" w:rsidP="00CC4018">
            <w:pPr>
              <w:pStyle w:val="BoxListBullet"/>
            </w:pPr>
            <w:r>
              <w:t xml:space="preserve">Adjusting all other inputs used by the </w:t>
            </w:r>
            <w:r w:rsidR="00CC4018">
              <w:rPr>
                <w:i/>
              </w:rPr>
              <w:t>W</w:t>
            </w:r>
            <w:r w:rsidRPr="00874D59">
              <w:rPr>
                <w:i/>
              </w:rPr>
              <w:t>holesale trade</w:t>
            </w:r>
            <w:r>
              <w:t xml:space="preserve"> industry in equal proportion such that the reduction in </w:t>
            </w:r>
            <w:r w:rsidR="00CC4018">
              <w:rPr>
                <w:i/>
              </w:rPr>
              <w:t>W</w:t>
            </w:r>
            <w:r w:rsidRPr="00874D59">
              <w:rPr>
                <w:i/>
              </w:rPr>
              <w:t>holesale trade</w:t>
            </w:r>
            <w:r>
              <w:t xml:space="preserve"> industry production (equal to the amount of petroleum refining it commissioned) is equal to the reduction in usage of </w:t>
            </w:r>
            <w:r w:rsidR="00CC4018">
              <w:t xml:space="preserve">all inputs (that is, </w:t>
            </w:r>
            <w:r>
              <w:t>crude oil and other inputs</w:t>
            </w:r>
            <w:r w:rsidR="00CC4018">
              <w:t>)</w:t>
            </w:r>
            <w:r>
              <w:t xml:space="preserve"> used to produce petroleum. These inputs were shifted to the </w:t>
            </w:r>
            <w:r w:rsidR="00CC4018">
              <w:rPr>
                <w:i/>
              </w:rPr>
              <w:t>P</w:t>
            </w:r>
            <w:r w:rsidRPr="00874D59">
              <w:rPr>
                <w:i/>
              </w:rPr>
              <w:t>etroleum and coal products</w:t>
            </w:r>
            <w:r>
              <w:t xml:space="preserve"> industry. </w:t>
            </w:r>
          </w:p>
        </w:tc>
      </w:tr>
      <w:tr w:rsidR="00717CB2" w:rsidTr="00F96A8A">
        <w:trPr>
          <w:cantSplit/>
        </w:trPr>
        <w:tc>
          <w:tcPr>
            <w:tcW w:w="8771" w:type="dxa"/>
            <w:tcBorders>
              <w:top w:val="nil"/>
              <w:left w:val="single" w:sz="6" w:space="0" w:color="auto"/>
              <w:bottom w:val="single" w:sz="6" w:space="0" w:color="auto"/>
              <w:right w:val="single" w:sz="6" w:space="0" w:color="auto"/>
            </w:tcBorders>
          </w:tcPr>
          <w:p w:rsidR="00717CB2" w:rsidRDefault="00717CB2" w:rsidP="00F96A8A">
            <w:pPr>
              <w:pStyle w:val="Box"/>
              <w:spacing w:before="0" w:line="120" w:lineRule="exact"/>
            </w:pPr>
          </w:p>
        </w:tc>
      </w:tr>
      <w:tr w:rsidR="00717CB2" w:rsidRPr="000863A5" w:rsidTr="00F96A8A">
        <w:tc>
          <w:tcPr>
            <w:tcW w:w="8771" w:type="dxa"/>
            <w:tcBorders>
              <w:top w:val="nil"/>
              <w:left w:val="nil"/>
              <w:bottom w:val="nil"/>
              <w:right w:val="nil"/>
            </w:tcBorders>
          </w:tcPr>
          <w:p w:rsidR="00717CB2" w:rsidRPr="00626D32" w:rsidRDefault="00717CB2" w:rsidP="00F96A8A">
            <w:pPr>
              <w:pStyle w:val="BoxSpaceBelow"/>
            </w:pPr>
          </w:p>
        </w:tc>
      </w:tr>
    </w:tbl>
    <w:p w:rsidR="00BA0560" w:rsidRDefault="00C868FD" w:rsidP="00C868FD">
      <w:pPr>
        <w:pStyle w:val="BodyText"/>
      </w:pPr>
      <w:r>
        <w:t>As a result of these adjustments to industry output, inputs used in production also need to be adjusted (table</w:t>
      </w:r>
      <w:r w:rsidR="0048540D">
        <w:t> </w:t>
      </w:r>
      <w:r>
        <w:t>2 of the ABS’s Input-Output data). Ideally, the adjustments to the inputs would reflect the production technology of the goods. However, detailed information on the inputs used to produce the secondary production is not available. The Commission has therefore adjusted the inputs used in each of the 1</w:t>
      </w:r>
      <w:r w:rsidR="00633C2B">
        <w:t>12</w:t>
      </w:r>
      <w:r>
        <w:t xml:space="preserve"> industry groups in proportion to the change in production for each industry by reallocating intermediate and primary inputs in proportion to the reallocation of outputs</w:t>
      </w:r>
      <w:r w:rsidR="003D1B29">
        <w:t xml:space="preserve"> (that is, the industry technology assumption i</w:t>
      </w:r>
      <w:r w:rsidR="0093493E">
        <w:t>s</w:t>
      </w:r>
      <w:r w:rsidR="003D1B29">
        <w:t xml:space="preserve"> adopted to re-allocated inputs)</w:t>
      </w:r>
      <w:r>
        <w:t>. For example, where</w:t>
      </w:r>
      <w:r w:rsidR="003D1B29">
        <w:t xml:space="preserve"> IOIG</w:t>
      </w:r>
      <w:r>
        <w:t xml:space="preserve"> </w:t>
      </w:r>
      <w:r w:rsidR="003D1B29">
        <w:rPr>
          <w:i/>
        </w:rPr>
        <w:t>C</w:t>
      </w:r>
      <w:r w:rsidRPr="0048540D">
        <w:rPr>
          <w:i/>
        </w:rPr>
        <w:t>lothing</w:t>
      </w:r>
      <w:r w:rsidR="003D1B29">
        <w:rPr>
          <w:i/>
        </w:rPr>
        <w:t xml:space="preserve"> manufacturing</w:t>
      </w:r>
      <w:r>
        <w:t xml:space="preserve"> industry output declines by 10</w:t>
      </w:r>
      <w:r w:rsidR="0048540D">
        <w:t> </w:t>
      </w:r>
      <w:r>
        <w:t>per</w:t>
      </w:r>
      <w:r w:rsidR="0048540D">
        <w:t> </w:t>
      </w:r>
      <w:r>
        <w:t>cent then the clothing industry’s usage of inputs is also reduced by 10</w:t>
      </w:r>
      <w:r w:rsidR="0048540D">
        <w:t> </w:t>
      </w:r>
      <w:r>
        <w:t>per</w:t>
      </w:r>
      <w:r w:rsidR="0048540D">
        <w:t> </w:t>
      </w:r>
      <w:r>
        <w:t xml:space="preserve">cent. </w:t>
      </w:r>
      <w:r w:rsidR="003D1B29">
        <w:t xml:space="preserve">Those inputs are added to the inputs of the industry </w:t>
      </w:r>
      <w:r w:rsidR="00BA0560">
        <w:t xml:space="preserve">to which the output is redefined. </w:t>
      </w:r>
    </w:p>
    <w:p w:rsidR="00BA0560" w:rsidRDefault="00C868FD" w:rsidP="00C868FD">
      <w:pPr>
        <w:pStyle w:val="BodyText"/>
      </w:pPr>
      <w:r>
        <w:lastRenderedPageBreak/>
        <w:t>Conversely, a 5</w:t>
      </w:r>
      <w:r w:rsidR="0048540D">
        <w:t> </w:t>
      </w:r>
      <w:r>
        <w:t>per</w:t>
      </w:r>
      <w:r w:rsidR="0048540D">
        <w:t> </w:t>
      </w:r>
      <w:r>
        <w:t xml:space="preserve">cent increase in </w:t>
      </w:r>
      <w:r w:rsidRPr="0048540D">
        <w:rPr>
          <w:i/>
        </w:rPr>
        <w:t>metal products</w:t>
      </w:r>
      <w:r>
        <w:t xml:space="preserve"> output results in a 5</w:t>
      </w:r>
      <w:r w:rsidR="0048540D">
        <w:t> </w:t>
      </w:r>
      <w:r>
        <w:t>per</w:t>
      </w:r>
      <w:r w:rsidR="0048540D">
        <w:t> </w:t>
      </w:r>
      <w:r>
        <w:t xml:space="preserve">cent increase in the usage of inputs by the metal products industry. </w:t>
      </w:r>
      <w:r w:rsidR="00BA0560">
        <w:t xml:space="preserve">Those inputs would be transferred from the industry initially recorded as producing the output. </w:t>
      </w:r>
    </w:p>
    <w:p w:rsidR="00C868FD" w:rsidRDefault="00C868FD" w:rsidP="00C868FD">
      <w:pPr>
        <w:pStyle w:val="BodyText"/>
      </w:pPr>
      <w:r>
        <w:t>It is important to note</w:t>
      </w:r>
      <w:r w:rsidR="00BA0560">
        <w:t xml:space="preserve"> in this redefinition process</w:t>
      </w:r>
      <w:r w:rsidR="00BF7FAF">
        <w:t>,</w:t>
      </w:r>
      <w:r w:rsidR="00BA0560">
        <w:t xml:space="preserve"> </w:t>
      </w:r>
      <w:r w:rsidR="0093493E">
        <w:t xml:space="preserve">that </w:t>
      </w:r>
      <w:r>
        <w:t xml:space="preserve">the total usage of inputs across all industries is unchanged as inputs are only reallocated between industry groups in proportion to the changes in outputs. As no net change in total industry output occurs there is also no net change in the total usage of inputs by industry. </w:t>
      </w:r>
    </w:p>
    <w:p w:rsidR="00676B96" w:rsidRDefault="00C868FD" w:rsidP="00676B96">
      <w:pPr>
        <w:pStyle w:val="BodyText"/>
      </w:pPr>
      <w:r>
        <w:t xml:space="preserve">These </w:t>
      </w:r>
      <w:r w:rsidR="00BA0560">
        <w:t xml:space="preserve">processes are </w:t>
      </w:r>
      <w:r>
        <w:t xml:space="preserve">undertaken by the ABS on request from the Commission using the more detailed (unpublished) input-output data tables and using programs provided by the Commission. Summary non-confidential results were provided to the Commission for inclusion in its assistance estimates. </w:t>
      </w:r>
    </w:p>
    <w:p w:rsidR="00676B96" w:rsidRDefault="00C868FD" w:rsidP="00676B96">
      <w:pPr>
        <w:pStyle w:val="BodyText"/>
      </w:pPr>
      <w:r w:rsidRPr="00C868FD">
        <w:t>The impact of modifying the 200</w:t>
      </w:r>
      <w:r w:rsidR="00905C4E">
        <w:t>8</w:t>
      </w:r>
      <w:r w:rsidR="00874D59">
        <w:noBreakHyphen/>
      </w:r>
      <w:r w:rsidRPr="00C868FD">
        <w:t>0</w:t>
      </w:r>
      <w:r w:rsidR="00905C4E">
        <w:t>9</w:t>
      </w:r>
      <w:r w:rsidRPr="00C868FD">
        <w:t xml:space="preserve"> ABS </w:t>
      </w:r>
      <w:r w:rsidR="00436B0C">
        <w:t>i</w:t>
      </w:r>
      <w:r w:rsidRPr="00C868FD">
        <w:t>nput-</w:t>
      </w:r>
      <w:r w:rsidR="00436B0C">
        <w:t>o</w:t>
      </w:r>
      <w:r w:rsidRPr="00C868FD">
        <w:t>utput tables on the effective rates of assistance for the Commission’s ANZSIC-based industry groupings in 20</w:t>
      </w:r>
      <w:r w:rsidR="001C4C6D">
        <w:t>11</w:t>
      </w:r>
      <w:r w:rsidR="00874D59">
        <w:noBreakHyphen/>
      </w:r>
      <w:r w:rsidR="001C4C6D">
        <w:t>12</w:t>
      </w:r>
      <w:r w:rsidRPr="00C868FD">
        <w:t xml:space="preserve"> </w:t>
      </w:r>
      <w:r w:rsidR="0093493E">
        <w:t xml:space="preserve">is </w:t>
      </w:r>
      <w:r w:rsidRPr="00C868FD">
        <w:t>presented in table</w:t>
      </w:r>
      <w:r w:rsidR="00874D59">
        <w:t> </w:t>
      </w:r>
      <w:r w:rsidR="002318E5">
        <w:t>4.1</w:t>
      </w:r>
      <w:r w:rsidRPr="00C868FD">
        <w:t xml:space="preserve">. Most notably, estimated effective rates for the </w:t>
      </w:r>
      <w:r w:rsidR="00865F95" w:rsidRPr="00865F95">
        <w:rPr>
          <w:i/>
        </w:rPr>
        <w:t>T</w:t>
      </w:r>
      <w:r w:rsidRPr="005D4B70">
        <w:rPr>
          <w:i/>
        </w:rPr>
        <w:t>extile,</w:t>
      </w:r>
      <w:r w:rsidR="00865F95">
        <w:rPr>
          <w:i/>
        </w:rPr>
        <w:t xml:space="preserve"> leather,</w:t>
      </w:r>
      <w:r w:rsidRPr="005D4B70">
        <w:rPr>
          <w:i/>
        </w:rPr>
        <w:t xml:space="preserve"> clothing</w:t>
      </w:r>
      <w:r w:rsidR="00865F95">
        <w:rPr>
          <w:i/>
        </w:rPr>
        <w:t xml:space="preserve"> and </w:t>
      </w:r>
      <w:r w:rsidRPr="005D4B70">
        <w:rPr>
          <w:i/>
        </w:rPr>
        <w:t>footwear</w:t>
      </w:r>
      <w:r w:rsidRPr="00C868FD">
        <w:t xml:space="preserve"> industry increase</w:t>
      </w:r>
      <w:r w:rsidR="00746869">
        <w:t>d</w:t>
      </w:r>
      <w:r w:rsidRPr="00C868FD">
        <w:t xml:space="preserve"> from </w:t>
      </w:r>
      <w:r w:rsidR="00416469">
        <w:t>6.4</w:t>
      </w:r>
      <w:r w:rsidR="005D4B70">
        <w:t> </w:t>
      </w:r>
      <w:r w:rsidRPr="00C868FD">
        <w:t>per</w:t>
      </w:r>
      <w:r w:rsidR="005D4B70">
        <w:t> </w:t>
      </w:r>
      <w:r w:rsidRPr="00C868FD">
        <w:t xml:space="preserve">cent to </w:t>
      </w:r>
      <w:r w:rsidR="00416469">
        <w:t>7.3</w:t>
      </w:r>
      <w:r w:rsidR="005D4B70">
        <w:t> </w:t>
      </w:r>
      <w:r w:rsidRPr="00C868FD">
        <w:t>per</w:t>
      </w:r>
      <w:r w:rsidR="005D4B70">
        <w:t> </w:t>
      </w:r>
      <w:r w:rsidRPr="00C868FD">
        <w:t xml:space="preserve">cent and for the </w:t>
      </w:r>
      <w:r w:rsidR="00865F95" w:rsidRPr="00865F95">
        <w:rPr>
          <w:i/>
        </w:rPr>
        <w:t>M</w:t>
      </w:r>
      <w:r w:rsidRPr="005D4B70">
        <w:rPr>
          <w:i/>
        </w:rPr>
        <w:t>otor vehicles and parts</w:t>
      </w:r>
      <w:r w:rsidRPr="00C868FD">
        <w:t xml:space="preserve"> industry </w:t>
      </w:r>
      <w:r w:rsidRPr="00416469">
        <w:t xml:space="preserve">from </w:t>
      </w:r>
      <w:r w:rsidR="00416469">
        <w:t>4.6</w:t>
      </w:r>
      <w:r w:rsidR="005D4B70" w:rsidRPr="00416469">
        <w:t> </w:t>
      </w:r>
      <w:r w:rsidRPr="00C868FD">
        <w:t>per</w:t>
      </w:r>
      <w:r w:rsidR="005D4B70">
        <w:t> </w:t>
      </w:r>
      <w:r w:rsidRPr="00C868FD">
        <w:t xml:space="preserve">cent to </w:t>
      </w:r>
      <w:r w:rsidR="00416469">
        <w:t>4.7</w:t>
      </w:r>
      <w:r w:rsidR="005D4B70">
        <w:t> </w:t>
      </w:r>
      <w:r w:rsidRPr="00C868FD">
        <w:t>per</w:t>
      </w:r>
      <w:r w:rsidR="005D4B70">
        <w:t> </w:t>
      </w:r>
      <w:r w:rsidRPr="00C868FD">
        <w:t xml:space="preserve">cent. The estimated effective rate of assistance for the </w:t>
      </w:r>
      <w:r w:rsidR="00865F95">
        <w:rPr>
          <w:i/>
        </w:rPr>
        <w:t>P</w:t>
      </w:r>
      <w:r w:rsidRPr="005D4B70">
        <w:rPr>
          <w:i/>
        </w:rPr>
        <w:t>etroleum, coal, chemical and associated products</w:t>
      </w:r>
      <w:r w:rsidRPr="00C868FD">
        <w:t xml:space="preserve"> industry </w:t>
      </w:r>
      <w:r w:rsidR="00416469">
        <w:t>increase</w:t>
      </w:r>
      <w:r w:rsidR="00746869">
        <w:t>d</w:t>
      </w:r>
      <w:r w:rsidRPr="00C868FD">
        <w:t xml:space="preserve"> from </w:t>
      </w:r>
      <w:r w:rsidR="00416469">
        <w:t>2.5</w:t>
      </w:r>
      <w:r w:rsidR="005D4B70">
        <w:t> </w:t>
      </w:r>
      <w:r w:rsidRPr="00C868FD">
        <w:t>per</w:t>
      </w:r>
      <w:r w:rsidR="005D4B70">
        <w:t> </w:t>
      </w:r>
      <w:r w:rsidRPr="00C868FD">
        <w:t xml:space="preserve">cent to </w:t>
      </w:r>
      <w:r w:rsidR="00416469">
        <w:t>2.8</w:t>
      </w:r>
      <w:r w:rsidR="005D4B70">
        <w:t> </w:t>
      </w:r>
      <w:r w:rsidRPr="00C868FD">
        <w:t>per</w:t>
      </w:r>
      <w:r w:rsidR="005D4B70">
        <w:t> </w:t>
      </w:r>
      <w:r w:rsidRPr="00C868FD">
        <w:t>cent.</w:t>
      </w:r>
    </w:p>
    <w:p w:rsidR="00676B96" w:rsidRDefault="00676B96">
      <w:pPr>
        <w:pStyle w:val="TableTitle"/>
      </w:pPr>
      <w:r>
        <w:rPr>
          <w:b w:val="0"/>
        </w:rPr>
        <w:lastRenderedPageBreak/>
        <w:t xml:space="preserve">Table </w:t>
      </w:r>
      <w:bookmarkStart w:id="6" w:name="OLE_LINK4"/>
      <w:r w:rsidR="002318E5">
        <w:rPr>
          <w:b w:val="0"/>
        </w:rPr>
        <w:t>4.</w:t>
      </w:r>
      <w:r w:rsidR="002318E5">
        <w:rPr>
          <w:b w:val="0"/>
          <w:noProof/>
        </w:rPr>
        <w:t>1</w:t>
      </w:r>
      <w:bookmarkEnd w:id="6"/>
      <w:r>
        <w:tab/>
        <w:t>Impact of input-output table modifications on effective rates of combined assistance</w:t>
      </w:r>
      <w:r w:rsidR="002C4E95">
        <w:t>, 2011</w:t>
      </w:r>
      <w:r w:rsidR="002C4E95">
        <w:noBreakHyphen/>
        <w:t>12</w:t>
      </w:r>
    </w:p>
    <w:p w:rsidR="00676B96" w:rsidRDefault="00676B96">
      <w:pPr>
        <w:pStyle w:val="Subtitle"/>
      </w:pPr>
      <w:r>
        <w:t>per cent</w:t>
      </w:r>
    </w:p>
    <w:tbl>
      <w:tblPr>
        <w:tblW w:w="5000" w:type="pct"/>
        <w:tblCellMar>
          <w:left w:w="0" w:type="dxa"/>
          <w:right w:w="0" w:type="dxa"/>
        </w:tblCellMar>
        <w:tblLook w:val="0000" w:firstRow="0" w:lastRow="0" w:firstColumn="0" w:lastColumn="0" w:noHBand="0" w:noVBand="0"/>
      </w:tblPr>
      <w:tblGrid>
        <w:gridCol w:w="4196"/>
        <w:gridCol w:w="1533"/>
        <w:gridCol w:w="1529"/>
        <w:gridCol w:w="1531"/>
      </w:tblGrid>
      <w:tr w:rsidR="001C4C6D" w:rsidTr="00E027F7">
        <w:tc>
          <w:tcPr>
            <w:tcW w:w="2387" w:type="pct"/>
            <w:tcBorders>
              <w:top w:val="single" w:sz="6" w:space="0" w:color="auto"/>
              <w:bottom w:val="single" w:sz="6" w:space="0" w:color="auto"/>
            </w:tcBorders>
            <w:shd w:val="clear" w:color="auto" w:fill="auto"/>
            <w:vAlign w:val="bottom"/>
          </w:tcPr>
          <w:p w:rsidR="001C4C6D" w:rsidRDefault="001C4C6D" w:rsidP="00E027F7">
            <w:pPr>
              <w:pStyle w:val="TableColumnHeading"/>
              <w:jc w:val="left"/>
            </w:pPr>
            <w:r>
              <w:t>Industry</w:t>
            </w:r>
          </w:p>
        </w:tc>
        <w:tc>
          <w:tcPr>
            <w:tcW w:w="872" w:type="pct"/>
            <w:tcBorders>
              <w:top w:val="single" w:sz="6" w:space="0" w:color="auto"/>
              <w:bottom w:val="single" w:sz="6" w:space="0" w:color="auto"/>
            </w:tcBorders>
            <w:vAlign w:val="bottom"/>
          </w:tcPr>
          <w:p w:rsidR="001C4C6D" w:rsidRDefault="001C4C6D" w:rsidP="0093244A">
            <w:pPr>
              <w:pStyle w:val="TableColumnHeading"/>
            </w:pPr>
            <w:r>
              <w:t>ABS 2008</w:t>
            </w:r>
            <w:r>
              <w:noBreakHyphen/>
              <w:t>09 Input-Output tables</w:t>
            </w:r>
          </w:p>
        </w:tc>
        <w:tc>
          <w:tcPr>
            <w:tcW w:w="870" w:type="pct"/>
            <w:tcBorders>
              <w:top w:val="single" w:sz="6" w:space="0" w:color="auto"/>
              <w:bottom w:val="single" w:sz="6" w:space="0" w:color="auto"/>
            </w:tcBorders>
            <w:shd w:val="clear" w:color="auto" w:fill="auto"/>
            <w:vAlign w:val="bottom"/>
          </w:tcPr>
          <w:p w:rsidR="001C4C6D" w:rsidRDefault="001C4C6D" w:rsidP="0093244A">
            <w:pPr>
              <w:pStyle w:val="TableColumnHeading"/>
            </w:pPr>
            <w:r>
              <w:t>Commission modified ABS 2008</w:t>
            </w:r>
            <w:r>
              <w:noBreakHyphen/>
              <w:t>09 Input-Output tables</w:t>
            </w:r>
          </w:p>
        </w:tc>
        <w:tc>
          <w:tcPr>
            <w:tcW w:w="871" w:type="pct"/>
            <w:tcBorders>
              <w:top w:val="single" w:sz="6" w:space="0" w:color="auto"/>
              <w:bottom w:val="single" w:sz="6" w:space="0" w:color="auto"/>
            </w:tcBorders>
            <w:shd w:val="clear" w:color="auto" w:fill="auto"/>
            <w:vAlign w:val="bottom"/>
          </w:tcPr>
          <w:p w:rsidR="001C4C6D" w:rsidRDefault="001C4C6D" w:rsidP="0093244A">
            <w:pPr>
              <w:pStyle w:val="TableColumnHeading"/>
            </w:pPr>
            <w:r>
              <w:t>Percentage point difference in effective  rates</w:t>
            </w:r>
          </w:p>
        </w:tc>
      </w:tr>
      <w:tr w:rsidR="001C4C6D" w:rsidRPr="00E027F7" w:rsidTr="00E027F7">
        <w:tc>
          <w:tcPr>
            <w:tcW w:w="2387" w:type="pct"/>
            <w:tcBorders>
              <w:top w:val="single" w:sz="6" w:space="0" w:color="auto"/>
            </w:tcBorders>
          </w:tcPr>
          <w:p w:rsidR="001C4C6D" w:rsidRPr="009B7715" w:rsidRDefault="001C4C6D" w:rsidP="00E027F7">
            <w:pPr>
              <w:pStyle w:val="TableUnitsRow"/>
              <w:spacing w:after="40"/>
              <w:ind w:left="57"/>
              <w:jc w:val="left"/>
              <w:rPr>
                <w:b/>
              </w:rPr>
            </w:pPr>
            <w:r w:rsidRPr="009B7715">
              <w:rPr>
                <w:b/>
              </w:rPr>
              <w:t>Primary production</w:t>
            </w:r>
            <w:r w:rsidR="00130ADB" w:rsidRPr="00130ADB">
              <w:rPr>
                <w:rStyle w:val="NoteLabel"/>
              </w:rPr>
              <w:t>a</w:t>
            </w:r>
          </w:p>
        </w:tc>
        <w:tc>
          <w:tcPr>
            <w:tcW w:w="872" w:type="pct"/>
            <w:tcBorders>
              <w:top w:val="single" w:sz="6" w:space="0" w:color="auto"/>
            </w:tcBorders>
          </w:tcPr>
          <w:p w:rsidR="001C4C6D" w:rsidRPr="009B7715" w:rsidRDefault="00416469" w:rsidP="00416469">
            <w:pPr>
              <w:pStyle w:val="TableUnitsRow"/>
              <w:spacing w:after="40"/>
              <w:ind w:left="57"/>
              <w:rPr>
                <w:b/>
              </w:rPr>
            </w:pPr>
            <w:r>
              <w:rPr>
                <w:b/>
              </w:rPr>
              <w:t>3.3</w:t>
            </w:r>
          </w:p>
        </w:tc>
        <w:tc>
          <w:tcPr>
            <w:tcW w:w="870" w:type="pct"/>
            <w:tcBorders>
              <w:top w:val="single" w:sz="6" w:space="0" w:color="auto"/>
            </w:tcBorders>
          </w:tcPr>
          <w:p w:rsidR="001C4C6D" w:rsidRPr="009250C1" w:rsidRDefault="009B7715" w:rsidP="0093244A">
            <w:pPr>
              <w:pStyle w:val="TableUnitsRow"/>
              <w:spacing w:after="40"/>
              <w:ind w:left="57"/>
              <w:rPr>
                <w:b/>
              </w:rPr>
            </w:pPr>
            <w:r w:rsidRPr="009250C1">
              <w:rPr>
                <w:b/>
              </w:rPr>
              <w:t>3.3</w:t>
            </w:r>
          </w:p>
        </w:tc>
        <w:tc>
          <w:tcPr>
            <w:tcW w:w="871" w:type="pct"/>
            <w:tcBorders>
              <w:top w:val="single" w:sz="6" w:space="0" w:color="auto"/>
            </w:tcBorders>
          </w:tcPr>
          <w:p w:rsidR="001C4C6D" w:rsidRPr="00416469" w:rsidRDefault="00416469" w:rsidP="0093244A">
            <w:pPr>
              <w:pStyle w:val="TableUnitsRow"/>
              <w:spacing w:after="40"/>
              <w:ind w:left="57"/>
              <w:rPr>
                <w:b/>
                <w:i/>
              </w:rPr>
            </w:pPr>
            <w:r>
              <w:rPr>
                <w:b/>
                <w:i/>
              </w:rPr>
              <w:t>0.0</w:t>
            </w:r>
          </w:p>
        </w:tc>
      </w:tr>
      <w:tr w:rsidR="001C4C6D" w:rsidTr="00E027F7">
        <w:tc>
          <w:tcPr>
            <w:tcW w:w="2387" w:type="pct"/>
          </w:tcPr>
          <w:p w:rsidR="001C4C6D" w:rsidRPr="009B7715" w:rsidRDefault="009B7715" w:rsidP="00CA5B8F">
            <w:pPr>
              <w:pStyle w:val="TableBodyText"/>
              <w:jc w:val="left"/>
            </w:pPr>
            <w:r w:rsidRPr="008F20D6">
              <w:t xml:space="preserve">  </w:t>
            </w:r>
            <w:r w:rsidRPr="008F20D6">
              <w:rPr>
                <w:snapToGrid w:val="0"/>
                <w:lang w:val="en-US"/>
              </w:rPr>
              <w:t>Horticulture and fruit growing</w:t>
            </w:r>
          </w:p>
        </w:tc>
        <w:tc>
          <w:tcPr>
            <w:tcW w:w="872" w:type="pct"/>
          </w:tcPr>
          <w:p w:rsidR="001C4C6D" w:rsidRPr="009B7715" w:rsidRDefault="00416469" w:rsidP="00416469">
            <w:pPr>
              <w:pStyle w:val="TableBodyText"/>
            </w:pPr>
            <w:r>
              <w:t>3.5</w:t>
            </w:r>
          </w:p>
        </w:tc>
        <w:tc>
          <w:tcPr>
            <w:tcW w:w="870" w:type="pct"/>
          </w:tcPr>
          <w:p w:rsidR="001C4C6D" w:rsidRPr="009B7715" w:rsidRDefault="009B7715" w:rsidP="00416469">
            <w:pPr>
              <w:pStyle w:val="TableBodyText"/>
            </w:pPr>
            <w:r>
              <w:t>3.5</w:t>
            </w:r>
          </w:p>
        </w:tc>
        <w:tc>
          <w:tcPr>
            <w:tcW w:w="871" w:type="pct"/>
          </w:tcPr>
          <w:p w:rsidR="001C4C6D" w:rsidRPr="00416469" w:rsidRDefault="00416469" w:rsidP="00416469">
            <w:pPr>
              <w:pStyle w:val="TableBodyText"/>
              <w:rPr>
                <w:i/>
              </w:rPr>
            </w:pPr>
            <w:r>
              <w:rPr>
                <w:i/>
              </w:rPr>
              <w:t>0.0</w:t>
            </w:r>
          </w:p>
        </w:tc>
      </w:tr>
      <w:tr w:rsidR="001C4C6D" w:rsidTr="00E027F7">
        <w:tc>
          <w:tcPr>
            <w:tcW w:w="2387" w:type="pct"/>
          </w:tcPr>
          <w:p w:rsidR="001C4C6D" w:rsidRPr="009B7715" w:rsidRDefault="009B7715" w:rsidP="00CA5B8F">
            <w:pPr>
              <w:pStyle w:val="TableBodyText"/>
              <w:jc w:val="left"/>
            </w:pPr>
            <w:r w:rsidRPr="008F20D6">
              <w:t xml:space="preserve">  Sheep, beef cattle and grain growing </w:t>
            </w:r>
          </w:p>
        </w:tc>
        <w:tc>
          <w:tcPr>
            <w:tcW w:w="872" w:type="pct"/>
          </w:tcPr>
          <w:p w:rsidR="001C4C6D" w:rsidRPr="009B7715" w:rsidRDefault="00416469" w:rsidP="00416469">
            <w:pPr>
              <w:pStyle w:val="TableBodyText"/>
            </w:pPr>
            <w:r>
              <w:t>2.7</w:t>
            </w:r>
          </w:p>
        </w:tc>
        <w:tc>
          <w:tcPr>
            <w:tcW w:w="870" w:type="pct"/>
          </w:tcPr>
          <w:p w:rsidR="001C4C6D" w:rsidRPr="009B7715" w:rsidRDefault="009B7715" w:rsidP="00416469">
            <w:pPr>
              <w:pStyle w:val="TableBodyText"/>
            </w:pPr>
            <w:r>
              <w:t>2.7</w:t>
            </w:r>
          </w:p>
        </w:tc>
        <w:tc>
          <w:tcPr>
            <w:tcW w:w="871" w:type="pct"/>
          </w:tcPr>
          <w:p w:rsidR="001C4C6D" w:rsidRPr="00416469" w:rsidRDefault="00416469" w:rsidP="00416469">
            <w:pPr>
              <w:pStyle w:val="TableBodyText"/>
              <w:rPr>
                <w:i/>
              </w:rPr>
            </w:pPr>
            <w:r>
              <w:rPr>
                <w:i/>
              </w:rPr>
              <w:t>0.0</w:t>
            </w:r>
          </w:p>
        </w:tc>
      </w:tr>
      <w:tr w:rsidR="001C4C6D" w:rsidTr="00E027F7">
        <w:tc>
          <w:tcPr>
            <w:tcW w:w="2387" w:type="pct"/>
          </w:tcPr>
          <w:p w:rsidR="001C4C6D" w:rsidRPr="009B7715" w:rsidRDefault="001C4C6D" w:rsidP="009B7715">
            <w:pPr>
              <w:pStyle w:val="TableBodyText"/>
              <w:jc w:val="left"/>
            </w:pPr>
            <w:r w:rsidRPr="008F20D6">
              <w:t xml:space="preserve">  </w:t>
            </w:r>
            <w:r w:rsidR="009B7715" w:rsidRPr="008F20D6">
              <w:rPr>
                <w:snapToGrid w:val="0"/>
                <w:lang w:val="en-US"/>
              </w:rPr>
              <w:t>Other crop growing</w:t>
            </w:r>
            <w:r w:rsidR="009B7715" w:rsidRPr="008F20D6" w:rsidDel="009B7715">
              <w:rPr>
                <w:snapToGrid w:val="0"/>
                <w:lang w:val="en-US"/>
              </w:rPr>
              <w:t xml:space="preserve"> </w:t>
            </w:r>
          </w:p>
        </w:tc>
        <w:tc>
          <w:tcPr>
            <w:tcW w:w="872" w:type="pct"/>
          </w:tcPr>
          <w:p w:rsidR="001C4C6D" w:rsidRPr="009250C1" w:rsidRDefault="00416469" w:rsidP="00416469">
            <w:pPr>
              <w:pStyle w:val="TableBodyText"/>
            </w:pPr>
            <w:r>
              <w:t>1.6</w:t>
            </w:r>
          </w:p>
        </w:tc>
        <w:tc>
          <w:tcPr>
            <w:tcW w:w="870" w:type="pct"/>
          </w:tcPr>
          <w:p w:rsidR="001C4C6D" w:rsidRPr="009B7715" w:rsidRDefault="009B7715" w:rsidP="00416469">
            <w:pPr>
              <w:pStyle w:val="TableBodyText"/>
            </w:pPr>
            <w:r>
              <w:t>1.6</w:t>
            </w:r>
          </w:p>
        </w:tc>
        <w:tc>
          <w:tcPr>
            <w:tcW w:w="871" w:type="pct"/>
          </w:tcPr>
          <w:p w:rsidR="001C4C6D" w:rsidRPr="00416469" w:rsidRDefault="00416469" w:rsidP="00416469">
            <w:pPr>
              <w:pStyle w:val="TableBodyText"/>
              <w:rPr>
                <w:i/>
              </w:rPr>
            </w:pPr>
            <w:r>
              <w:rPr>
                <w:i/>
              </w:rPr>
              <w:t>0.0</w:t>
            </w:r>
          </w:p>
        </w:tc>
      </w:tr>
      <w:tr w:rsidR="001C4C6D" w:rsidTr="00E027F7">
        <w:tc>
          <w:tcPr>
            <w:tcW w:w="2387" w:type="pct"/>
          </w:tcPr>
          <w:p w:rsidR="001C4C6D" w:rsidRPr="009B7715" w:rsidRDefault="001C4C6D" w:rsidP="009B7715">
            <w:pPr>
              <w:pStyle w:val="TableBodyText"/>
              <w:jc w:val="left"/>
            </w:pPr>
            <w:r w:rsidRPr="008F20D6">
              <w:t xml:space="preserve">  </w:t>
            </w:r>
            <w:r w:rsidR="009B7715" w:rsidRPr="008F20D6">
              <w:t>Dairy cattle farming</w:t>
            </w:r>
          </w:p>
        </w:tc>
        <w:tc>
          <w:tcPr>
            <w:tcW w:w="872" w:type="pct"/>
          </w:tcPr>
          <w:p w:rsidR="001C4C6D" w:rsidRPr="009B7715" w:rsidRDefault="00416469" w:rsidP="00416469">
            <w:pPr>
              <w:pStyle w:val="TableBodyText"/>
            </w:pPr>
            <w:r>
              <w:t>1.8</w:t>
            </w:r>
          </w:p>
        </w:tc>
        <w:tc>
          <w:tcPr>
            <w:tcW w:w="870" w:type="pct"/>
          </w:tcPr>
          <w:p w:rsidR="001C4C6D" w:rsidRPr="009B7715" w:rsidRDefault="009B7715" w:rsidP="00416469">
            <w:pPr>
              <w:pStyle w:val="TableBodyText"/>
            </w:pPr>
            <w:r>
              <w:t>1.8</w:t>
            </w:r>
          </w:p>
        </w:tc>
        <w:tc>
          <w:tcPr>
            <w:tcW w:w="871" w:type="pct"/>
          </w:tcPr>
          <w:p w:rsidR="001C4C6D" w:rsidRPr="00416469" w:rsidRDefault="00416469" w:rsidP="00416469">
            <w:pPr>
              <w:pStyle w:val="TableBodyText"/>
              <w:rPr>
                <w:i/>
              </w:rPr>
            </w:pPr>
            <w:r>
              <w:rPr>
                <w:i/>
              </w:rPr>
              <w:t>0.0</w:t>
            </w:r>
          </w:p>
        </w:tc>
      </w:tr>
      <w:tr w:rsidR="001C4C6D" w:rsidTr="00E027F7">
        <w:tc>
          <w:tcPr>
            <w:tcW w:w="2387" w:type="pct"/>
          </w:tcPr>
          <w:p w:rsidR="001C4C6D" w:rsidRPr="009B7715" w:rsidRDefault="001C4C6D" w:rsidP="00CA5B8F">
            <w:pPr>
              <w:pStyle w:val="TableBodyText"/>
              <w:jc w:val="left"/>
            </w:pPr>
            <w:r w:rsidRPr="008F20D6">
              <w:t xml:space="preserve">  </w:t>
            </w:r>
            <w:r w:rsidRPr="008F20D6">
              <w:rPr>
                <w:snapToGrid w:val="0"/>
                <w:lang w:val="en-US"/>
              </w:rPr>
              <w:t>Other livestock farming</w:t>
            </w:r>
          </w:p>
        </w:tc>
        <w:tc>
          <w:tcPr>
            <w:tcW w:w="872" w:type="pct"/>
          </w:tcPr>
          <w:p w:rsidR="001C4C6D" w:rsidRPr="009B7715" w:rsidRDefault="00416469" w:rsidP="00416469">
            <w:pPr>
              <w:pStyle w:val="TableBodyText"/>
            </w:pPr>
            <w:r>
              <w:t>1.1</w:t>
            </w:r>
          </w:p>
        </w:tc>
        <w:tc>
          <w:tcPr>
            <w:tcW w:w="870" w:type="pct"/>
          </w:tcPr>
          <w:p w:rsidR="001C4C6D" w:rsidRPr="009B7715" w:rsidRDefault="009B7715" w:rsidP="00416469">
            <w:pPr>
              <w:pStyle w:val="TableBodyText"/>
            </w:pPr>
            <w:r>
              <w:t>1.1</w:t>
            </w:r>
          </w:p>
        </w:tc>
        <w:tc>
          <w:tcPr>
            <w:tcW w:w="871" w:type="pct"/>
          </w:tcPr>
          <w:p w:rsidR="001C4C6D" w:rsidRPr="00416469" w:rsidRDefault="00416469" w:rsidP="00416469">
            <w:pPr>
              <w:pStyle w:val="TableBodyText"/>
              <w:rPr>
                <w:i/>
              </w:rPr>
            </w:pPr>
            <w:r>
              <w:rPr>
                <w:i/>
              </w:rPr>
              <w:t>0.0</w:t>
            </w:r>
          </w:p>
        </w:tc>
      </w:tr>
      <w:tr w:rsidR="001C4C6D" w:rsidTr="00E027F7">
        <w:tc>
          <w:tcPr>
            <w:tcW w:w="2387" w:type="pct"/>
          </w:tcPr>
          <w:p w:rsidR="001C4C6D" w:rsidRPr="009B7715" w:rsidRDefault="001C4C6D" w:rsidP="009B7715">
            <w:pPr>
              <w:pStyle w:val="TableBodyText"/>
              <w:jc w:val="left"/>
            </w:pPr>
            <w:r w:rsidRPr="008F20D6">
              <w:t xml:space="preserve">  </w:t>
            </w:r>
            <w:r w:rsidR="009B7715" w:rsidRPr="008F20D6">
              <w:t>Aquaculture and f</w:t>
            </w:r>
            <w:r w:rsidRPr="008F20D6">
              <w:t>ish</w:t>
            </w:r>
            <w:r w:rsidR="009B7715" w:rsidRPr="008F20D6">
              <w:t>ing</w:t>
            </w:r>
          </w:p>
        </w:tc>
        <w:tc>
          <w:tcPr>
            <w:tcW w:w="872" w:type="pct"/>
          </w:tcPr>
          <w:p w:rsidR="001C4C6D" w:rsidRPr="009250C1" w:rsidRDefault="00416469" w:rsidP="00416469">
            <w:pPr>
              <w:pStyle w:val="TableBodyText"/>
            </w:pPr>
            <w:r>
              <w:t>3.5</w:t>
            </w:r>
          </w:p>
        </w:tc>
        <w:tc>
          <w:tcPr>
            <w:tcW w:w="870" w:type="pct"/>
          </w:tcPr>
          <w:p w:rsidR="001C4C6D" w:rsidRPr="009B7715" w:rsidRDefault="009B7715" w:rsidP="00416469">
            <w:pPr>
              <w:pStyle w:val="TableBodyText"/>
            </w:pPr>
            <w:r>
              <w:t>3.3</w:t>
            </w:r>
          </w:p>
        </w:tc>
        <w:tc>
          <w:tcPr>
            <w:tcW w:w="871" w:type="pct"/>
          </w:tcPr>
          <w:p w:rsidR="001C4C6D" w:rsidRPr="00416469" w:rsidRDefault="00416469" w:rsidP="00416469">
            <w:pPr>
              <w:pStyle w:val="TableBodyText"/>
              <w:rPr>
                <w:i/>
              </w:rPr>
            </w:pPr>
            <w:r>
              <w:rPr>
                <w:i/>
              </w:rPr>
              <w:t>-0.1</w:t>
            </w:r>
          </w:p>
        </w:tc>
      </w:tr>
      <w:tr w:rsidR="001C4C6D" w:rsidTr="00E027F7">
        <w:tc>
          <w:tcPr>
            <w:tcW w:w="2387" w:type="pct"/>
          </w:tcPr>
          <w:p w:rsidR="001C4C6D" w:rsidRPr="009B7715" w:rsidRDefault="001C4C6D" w:rsidP="009B7715">
            <w:pPr>
              <w:pStyle w:val="TableBodyText"/>
              <w:jc w:val="left"/>
            </w:pPr>
            <w:r w:rsidRPr="008F20D6">
              <w:t xml:space="preserve">  Forestry </w:t>
            </w:r>
            <w:r w:rsidR="009B7715" w:rsidRPr="008F20D6">
              <w:t xml:space="preserve">and </w:t>
            </w:r>
            <w:r w:rsidRPr="008F20D6">
              <w:t>logging</w:t>
            </w:r>
          </w:p>
        </w:tc>
        <w:tc>
          <w:tcPr>
            <w:tcW w:w="872" w:type="pct"/>
          </w:tcPr>
          <w:p w:rsidR="001C4C6D" w:rsidRPr="009250C1" w:rsidRDefault="00416469" w:rsidP="00416469">
            <w:pPr>
              <w:pStyle w:val="TableBodyText"/>
            </w:pPr>
            <w:r>
              <w:t>7.1</w:t>
            </w:r>
          </w:p>
        </w:tc>
        <w:tc>
          <w:tcPr>
            <w:tcW w:w="870" w:type="pct"/>
          </w:tcPr>
          <w:p w:rsidR="001C4C6D" w:rsidRPr="009B7715" w:rsidRDefault="009B7715" w:rsidP="00416469">
            <w:pPr>
              <w:pStyle w:val="TableBodyText"/>
            </w:pPr>
            <w:r>
              <w:t>7.2</w:t>
            </w:r>
          </w:p>
        </w:tc>
        <w:tc>
          <w:tcPr>
            <w:tcW w:w="871" w:type="pct"/>
          </w:tcPr>
          <w:p w:rsidR="001C4C6D" w:rsidRPr="00416469" w:rsidRDefault="00416469" w:rsidP="00416469">
            <w:pPr>
              <w:pStyle w:val="TableBodyText"/>
              <w:rPr>
                <w:i/>
              </w:rPr>
            </w:pPr>
            <w:r>
              <w:rPr>
                <w:i/>
              </w:rPr>
              <w:t>0.1</w:t>
            </w:r>
          </w:p>
        </w:tc>
      </w:tr>
      <w:tr w:rsidR="001C4C6D" w:rsidTr="00E027F7">
        <w:tc>
          <w:tcPr>
            <w:tcW w:w="2387" w:type="pct"/>
          </w:tcPr>
          <w:p w:rsidR="001C4C6D" w:rsidRPr="009B7715" w:rsidRDefault="001C4C6D" w:rsidP="009B7715">
            <w:pPr>
              <w:pStyle w:val="TableBodyText"/>
              <w:jc w:val="left"/>
            </w:pPr>
            <w:r w:rsidRPr="008F20D6">
              <w:t xml:space="preserve">  </w:t>
            </w:r>
            <w:r w:rsidR="009B7715" w:rsidRPr="008F20D6">
              <w:t>P</w:t>
            </w:r>
            <w:r w:rsidRPr="008F20D6">
              <w:t>rimary production</w:t>
            </w:r>
            <w:r w:rsidR="009B7715" w:rsidRPr="008F20D6">
              <w:t xml:space="preserve"> support services</w:t>
            </w:r>
          </w:p>
        </w:tc>
        <w:tc>
          <w:tcPr>
            <w:tcW w:w="872" w:type="pct"/>
          </w:tcPr>
          <w:p w:rsidR="001C4C6D" w:rsidRPr="009B7715" w:rsidRDefault="00416469" w:rsidP="00416469">
            <w:pPr>
              <w:pStyle w:val="TableBodyText"/>
            </w:pPr>
            <w:r>
              <w:t>0.1</w:t>
            </w:r>
          </w:p>
        </w:tc>
        <w:tc>
          <w:tcPr>
            <w:tcW w:w="870" w:type="pct"/>
          </w:tcPr>
          <w:p w:rsidR="001C4C6D" w:rsidRPr="009B7715" w:rsidRDefault="009B7715" w:rsidP="00416469">
            <w:pPr>
              <w:pStyle w:val="TableBodyText"/>
            </w:pPr>
            <w:r>
              <w:t>0.1</w:t>
            </w:r>
          </w:p>
        </w:tc>
        <w:tc>
          <w:tcPr>
            <w:tcW w:w="871" w:type="pct"/>
          </w:tcPr>
          <w:p w:rsidR="001C4C6D" w:rsidRPr="00416469" w:rsidRDefault="00416469" w:rsidP="00416469">
            <w:pPr>
              <w:pStyle w:val="TableBodyText"/>
              <w:rPr>
                <w:i/>
              </w:rPr>
            </w:pPr>
            <w:r>
              <w:rPr>
                <w:i/>
              </w:rPr>
              <w:t>0.0</w:t>
            </w:r>
          </w:p>
        </w:tc>
      </w:tr>
      <w:tr w:rsidR="001C4C6D" w:rsidRPr="00E027F7" w:rsidTr="00E027F7">
        <w:tc>
          <w:tcPr>
            <w:tcW w:w="2387" w:type="pct"/>
          </w:tcPr>
          <w:p w:rsidR="001C4C6D" w:rsidRPr="009B7715" w:rsidRDefault="001C4C6D" w:rsidP="00E027F7">
            <w:pPr>
              <w:pStyle w:val="TableBodyText"/>
              <w:spacing w:before="40"/>
              <w:ind w:left="57"/>
              <w:jc w:val="left"/>
              <w:rPr>
                <w:b/>
              </w:rPr>
            </w:pPr>
            <w:r w:rsidRPr="009B7715">
              <w:rPr>
                <w:b/>
              </w:rPr>
              <w:t>Mining</w:t>
            </w:r>
          </w:p>
        </w:tc>
        <w:tc>
          <w:tcPr>
            <w:tcW w:w="872" w:type="pct"/>
          </w:tcPr>
          <w:p w:rsidR="001C4C6D" w:rsidRPr="009B7715" w:rsidRDefault="00416469" w:rsidP="00416469">
            <w:pPr>
              <w:pStyle w:val="TableBodyText"/>
              <w:spacing w:before="40"/>
              <w:ind w:left="57"/>
              <w:rPr>
                <w:b/>
              </w:rPr>
            </w:pPr>
            <w:r>
              <w:rPr>
                <w:b/>
              </w:rPr>
              <w:t>0.3</w:t>
            </w:r>
          </w:p>
        </w:tc>
        <w:tc>
          <w:tcPr>
            <w:tcW w:w="870" w:type="pct"/>
          </w:tcPr>
          <w:p w:rsidR="001C4C6D" w:rsidRPr="009B7715" w:rsidRDefault="009B7715" w:rsidP="0093244A">
            <w:pPr>
              <w:pStyle w:val="TableBodyText"/>
              <w:spacing w:before="40"/>
              <w:ind w:left="57"/>
              <w:rPr>
                <w:b/>
              </w:rPr>
            </w:pPr>
            <w:r>
              <w:rPr>
                <w:b/>
              </w:rPr>
              <w:t>0.3</w:t>
            </w:r>
          </w:p>
        </w:tc>
        <w:tc>
          <w:tcPr>
            <w:tcW w:w="871" w:type="pct"/>
          </w:tcPr>
          <w:p w:rsidR="001C4C6D" w:rsidRPr="00416469" w:rsidRDefault="00416469" w:rsidP="0093244A">
            <w:pPr>
              <w:pStyle w:val="TableBodyText"/>
              <w:spacing w:before="40"/>
              <w:ind w:left="57"/>
              <w:rPr>
                <w:b/>
                <w:i/>
              </w:rPr>
            </w:pPr>
            <w:r>
              <w:rPr>
                <w:b/>
                <w:i/>
              </w:rPr>
              <w:t>0.0</w:t>
            </w:r>
          </w:p>
        </w:tc>
      </w:tr>
      <w:tr w:rsidR="001C4C6D" w:rsidRPr="00E027F7" w:rsidTr="00E027F7">
        <w:tc>
          <w:tcPr>
            <w:tcW w:w="2387" w:type="pct"/>
          </w:tcPr>
          <w:p w:rsidR="001C4C6D" w:rsidRPr="009B7715" w:rsidRDefault="001C4C6D" w:rsidP="00E027F7">
            <w:pPr>
              <w:pStyle w:val="TableBodyText"/>
              <w:spacing w:before="40"/>
              <w:ind w:left="57"/>
              <w:jc w:val="left"/>
              <w:rPr>
                <w:b/>
              </w:rPr>
            </w:pPr>
            <w:r w:rsidRPr="009B7715">
              <w:rPr>
                <w:b/>
              </w:rPr>
              <w:t>Manufacturing</w:t>
            </w:r>
            <w:r w:rsidR="00130ADB" w:rsidRPr="001E4923">
              <w:rPr>
                <w:rStyle w:val="NoteLabel"/>
              </w:rPr>
              <w:t>a</w:t>
            </w:r>
          </w:p>
        </w:tc>
        <w:tc>
          <w:tcPr>
            <w:tcW w:w="872" w:type="pct"/>
          </w:tcPr>
          <w:p w:rsidR="001C4C6D" w:rsidRPr="009B7715" w:rsidRDefault="00416469" w:rsidP="00416469">
            <w:pPr>
              <w:pStyle w:val="TableBodyText"/>
              <w:spacing w:before="40"/>
              <w:ind w:left="57"/>
              <w:rPr>
                <w:b/>
              </w:rPr>
            </w:pPr>
            <w:r>
              <w:rPr>
                <w:b/>
              </w:rPr>
              <w:t>3.9</w:t>
            </w:r>
          </w:p>
        </w:tc>
        <w:tc>
          <w:tcPr>
            <w:tcW w:w="870" w:type="pct"/>
          </w:tcPr>
          <w:p w:rsidR="001C4C6D" w:rsidRPr="009250C1" w:rsidRDefault="009250C1" w:rsidP="0093244A">
            <w:pPr>
              <w:pStyle w:val="TableBodyText"/>
              <w:spacing w:before="40"/>
              <w:ind w:left="57"/>
              <w:rPr>
                <w:b/>
              </w:rPr>
            </w:pPr>
            <w:r>
              <w:rPr>
                <w:b/>
              </w:rPr>
              <w:t>4.1</w:t>
            </w:r>
          </w:p>
        </w:tc>
        <w:tc>
          <w:tcPr>
            <w:tcW w:w="871" w:type="pct"/>
          </w:tcPr>
          <w:p w:rsidR="001C4C6D" w:rsidRPr="00416469" w:rsidRDefault="00416469" w:rsidP="0093244A">
            <w:pPr>
              <w:pStyle w:val="TableBodyText"/>
              <w:spacing w:before="40"/>
              <w:ind w:left="57"/>
              <w:rPr>
                <w:b/>
                <w:i/>
              </w:rPr>
            </w:pPr>
            <w:r>
              <w:rPr>
                <w:b/>
                <w:i/>
              </w:rPr>
              <w:t>0.2</w:t>
            </w:r>
          </w:p>
        </w:tc>
      </w:tr>
      <w:tr w:rsidR="001C4C6D" w:rsidTr="00E027F7">
        <w:tc>
          <w:tcPr>
            <w:tcW w:w="2387" w:type="pct"/>
          </w:tcPr>
          <w:p w:rsidR="001C4C6D" w:rsidRPr="009B7715" w:rsidRDefault="001C4C6D" w:rsidP="009B7715">
            <w:pPr>
              <w:pStyle w:val="TableBodyText"/>
              <w:jc w:val="left"/>
            </w:pPr>
            <w:r w:rsidRPr="008F20D6">
              <w:t xml:space="preserve">  Food, beverages </w:t>
            </w:r>
            <w:r w:rsidR="009B7715" w:rsidRPr="008F20D6">
              <w:t>and</w:t>
            </w:r>
            <w:r w:rsidRPr="008F20D6">
              <w:t xml:space="preserve"> tobacco</w:t>
            </w:r>
          </w:p>
        </w:tc>
        <w:tc>
          <w:tcPr>
            <w:tcW w:w="872" w:type="pct"/>
          </w:tcPr>
          <w:p w:rsidR="001C4C6D" w:rsidRPr="009250C1" w:rsidRDefault="00416469" w:rsidP="00416469">
            <w:pPr>
              <w:pStyle w:val="TableBodyText"/>
            </w:pPr>
            <w:r>
              <w:t>3.1</w:t>
            </w:r>
          </w:p>
        </w:tc>
        <w:tc>
          <w:tcPr>
            <w:tcW w:w="870" w:type="pct"/>
          </w:tcPr>
          <w:p w:rsidR="001C4C6D" w:rsidRPr="009250C1" w:rsidRDefault="009250C1" w:rsidP="00416469">
            <w:pPr>
              <w:pStyle w:val="TableBodyText"/>
            </w:pPr>
            <w:r>
              <w:t>3.3</w:t>
            </w:r>
          </w:p>
        </w:tc>
        <w:tc>
          <w:tcPr>
            <w:tcW w:w="871" w:type="pct"/>
          </w:tcPr>
          <w:p w:rsidR="001C4C6D" w:rsidRPr="00416469" w:rsidRDefault="00416469" w:rsidP="00416469">
            <w:pPr>
              <w:pStyle w:val="TableBodyText"/>
              <w:rPr>
                <w:i/>
              </w:rPr>
            </w:pPr>
            <w:r>
              <w:rPr>
                <w:i/>
              </w:rPr>
              <w:t>0.2</w:t>
            </w:r>
          </w:p>
        </w:tc>
      </w:tr>
      <w:tr w:rsidR="001C4C6D" w:rsidTr="001C4C6D">
        <w:tc>
          <w:tcPr>
            <w:tcW w:w="2387" w:type="pct"/>
          </w:tcPr>
          <w:p w:rsidR="001C4C6D" w:rsidRPr="009B7715" w:rsidRDefault="001C4C6D" w:rsidP="00D34932">
            <w:pPr>
              <w:pStyle w:val="TableBodyText"/>
              <w:jc w:val="left"/>
            </w:pPr>
            <w:r w:rsidRPr="008F20D6">
              <w:t xml:space="preserve">  Textile, </w:t>
            </w:r>
            <w:r w:rsidR="009B7715" w:rsidRPr="008F20D6">
              <w:t xml:space="preserve">leather, </w:t>
            </w:r>
            <w:r w:rsidRPr="008F20D6">
              <w:t>clothing</w:t>
            </w:r>
            <w:r w:rsidR="009B7715" w:rsidRPr="008F20D6">
              <w:t xml:space="preserve"> and </w:t>
            </w:r>
            <w:r w:rsidRPr="008F20D6">
              <w:t>footwear</w:t>
            </w:r>
          </w:p>
        </w:tc>
        <w:tc>
          <w:tcPr>
            <w:tcW w:w="872" w:type="pct"/>
          </w:tcPr>
          <w:p w:rsidR="001C4C6D" w:rsidRPr="009250C1" w:rsidRDefault="00416469" w:rsidP="00416469">
            <w:pPr>
              <w:pStyle w:val="TableBodyText"/>
            </w:pPr>
            <w:r>
              <w:t>6.4</w:t>
            </w:r>
          </w:p>
        </w:tc>
        <w:tc>
          <w:tcPr>
            <w:tcW w:w="870" w:type="pct"/>
          </w:tcPr>
          <w:p w:rsidR="001C4C6D" w:rsidRPr="009250C1" w:rsidRDefault="009250C1" w:rsidP="00416469">
            <w:pPr>
              <w:pStyle w:val="TableBodyText"/>
            </w:pPr>
            <w:r>
              <w:t>7.3</w:t>
            </w:r>
          </w:p>
        </w:tc>
        <w:tc>
          <w:tcPr>
            <w:tcW w:w="871" w:type="pct"/>
          </w:tcPr>
          <w:p w:rsidR="001C4C6D" w:rsidRPr="00416469" w:rsidRDefault="00416469" w:rsidP="00416469">
            <w:pPr>
              <w:pStyle w:val="TableBodyText"/>
              <w:rPr>
                <w:i/>
              </w:rPr>
            </w:pPr>
            <w:r>
              <w:rPr>
                <w:i/>
              </w:rPr>
              <w:t>0.9</w:t>
            </w:r>
          </w:p>
        </w:tc>
      </w:tr>
      <w:tr w:rsidR="001C4C6D" w:rsidTr="001C4C6D">
        <w:tc>
          <w:tcPr>
            <w:tcW w:w="2387" w:type="pct"/>
          </w:tcPr>
          <w:p w:rsidR="001C4C6D" w:rsidRPr="009B7715" w:rsidRDefault="001C4C6D" w:rsidP="009B7715">
            <w:pPr>
              <w:pStyle w:val="TableBodyText"/>
              <w:jc w:val="left"/>
            </w:pPr>
            <w:r w:rsidRPr="008F20D6">
              <w:t xml:space="preserve">  Wood </w:t>
            </w:r>
            <w:r w:rsidR="009B7715" w:rsidRPr="008F20D6">
              <w:t>and p</w:t>
            </w:r>
            <w:r w:rsidRPr="008F20D6">
              <w:t>aper products</w:t>
            </w:r>
          </w:p>
        </w:tc>
        <w:tc>
          <w:tcPr>
            <w:tcW w:w="872" w:type="pct"/>
          </w:tcPr>
          <w:p w:rsidR="001C4C6D" w:rsidRPr="009250C1" w:rsidRDefault="00416469" w:rsidP="00416469">
            <w:pPr>
              <w:pStyle w:val="TableBodyText"/>
            </w:pPr>
            <w:r>
              <w:t>4.5</w:t>
            </w:r>
          </w:p>
        </w:tc>
        <w:tc>
          <w:tcPr>
            <w:tcW w:w="870" w:type="pct"/>
          </w:tcPr>
          <w:p w:rsidR="001C4C6D" w:rsidRPr="009250C1" w:rsidRDefault="009250C1" w:rsidP="00416469">
            <w:pPr>
              <w:pStyle w:val="TableBodyText"/>
            </w:pPr>
            <w:r>
              <w:t>4.6</w:t>
            </w:r>
          </w:p>
        </w:tc>
        <w:tc>
          <w:tcPr>
            <w:tcW w:w="871" w:type="pct"/>
          </w:tcPr>
          <w:p w:rsidR="001C4C6D" w:rsidRPr="00416469" w:rsidRDefault="00416469" w:rsidP="00416469">
            <w:pPr>
              <w:pStyle w:val="TableBodyText"/>
              <w:rPr>
                <w:i/>
              </w:rPr>
            </w:pPr>
            <w:r>
              <w:rPr>
                <w:i/>
              </w:rPr>
              <w:t>0.1</w:t>
            </w:r>
          </w:p>
        </w:tc>
      </w:tr>
      <w:tr w:rsidR="001C4C6D" w:rsidTr="001C4C6D">
        <w:tc>
          <w:tcPr>
            <w:tcW w:w="2387" w:type="pct"/>
          </w:tcPr>
          <w:p w:rsidR="001C4C6D" w:rsidRPr="009B7715" w:rsidRDefault="001C4C6D" w:rsidP="009B7715">
            <w:pPr>
              <w:pStyle w:val="TableBodyText"/>
              <w:jc w:val="left"/>
            </w:pPr>
            <w:r w:rsidRPr="008F20D6">
              <w:t xml:space="preserve">  Printing</w:t>
            </w:r>
            <w:r w:rsidR="009B7715" w:rsidRPr="008F20D6">
              <w:t xml:space="preserve"> and </w:t>
            </w:r>
            <w:r w:rsidRPr="008F20D6">
              <w:t>recorded media</w:t>
            </w:r>
          </w:p>
        </w:tc>
        <w:tc>
          <w:tcPr>
            <w:tcW w:w="872" w:type="pct"/>
          </w:tcPr>
          <w:p w:rsidR="001C4C6D" w:rsidRPr="009250C1" w:rsidRDefault="00416469" w:rsidP="00416469">
            <w:pPr>
              <w:pStyle w:val="TableBodyText"/>
            </w:pPr>
            <w:r>
              <w:t>2.8</w:t>
            </w:r>
          </w:p>
        </w:tc>
        <w:tc>
          <w:tcPr>
            <w:tcW w:w="870" w:type="pct"/>
          </w:tcPr>
          <w:p w:rsidR="001C4C6D" w:rsidRPr="009250C1" w:rsidRDefault="009250C1" w:rsidP="00416469">
            <w:pPr>
              <w:pStyle w:val="TableBodyText"/>
            </w:pPr>
            <w:r>
              <w:t>3.4</w:t>
            </w:r>
          </w:p>
        </w:tc>
        <w:tc>
          <w:tcPr>
            <w:tcW w:w="871" w:type="pct"/>
          </w:tcPr>
          <w:p w:rsidR="001C4C6D" w:rsidRPr="00416469" w:rsidRDefault="00416469" w:rsidP="00416469">
            <w:pPr>
              <w:pStyle w:val="TableBodyText"/>
              <w:rPr>
                <w:i/>
              </w:rPr>
            </w:pPr>
            <w:r>
              <w:rPr>
                <w:i/>
              </w:rPr>
              <w:t>0.6</w:t>
            </w:r>
          </w:p>
        </w:tc>
      </w:tr>
      <w:tr w:rsidR="001C4C6D" w:rsidTr="001C4C6D">
        <w:tc>
          <w:tcPr>
            <w:tcW w:w="2387" w:type="pct"/>
          </w:tcPr>
          <w:p w:rsidR="001C4C6D" w:rsidRPr="009B7715" w:rsidRDefault="001C4C6D" w:rsidP="004D509A">
            <w:pPr>
              <w:pStyle w:val="TableBodyText"/>
              <w:jc w:val="left"/>
            </w:pPr>
            <w:r w:rsidRPr="008F20D6">
              <w:t xml:space="preserve">  Petroleum, coal, chemical </w:t>
            </w:r>
            <w:r w:rsidR="009B7715" w:rsidRPr="008F20D6">
              <w:t>and rubber</w:t>
            </w:r>
            <w:r w:rsidR="004D509A">
              <w:br/>
              <w:t xml:space="preserve"> </w:t>
            </w:r>
            <w:r w:rsidR="009B7715" w:rsidRPr="008F20D6">
              <w:t xml:space="preserve"> </w:t>
            </w:r>
            <w:r w:rsidRPr="008F20D6">
              <w:t>products</w:t>
            </w:r>
          </w:p>
        </w:tc>
        <w:tc>
          <w:tcPr>
            <w:tcW w:w="872" w:type="pct"/>
          </w:tcPr>
          <w:p w:rsidR="001C4C6D" w:rsidRPr="009B7715" w:rsidRDefault="00416469" w:rsidP="00416469">
            <w:pPr>
              <w:pStyle w:val="TableBodyText"/>
            </w:pPr>
            <w:r>
              <w:t>2.5</w:t>
            </w:r>
          </w:p>
        </w:tc>
        <w:tc>
          <w:tcPr>
            <w:tcW w:w="870" w:type="pct"/>
          </w:tcPr>
          <w:p w:rsidR="001C4C6D" w:rsidRPr="009250C1" w:rsidRDefault="009250C1" w:rsidP="00416469">
            <w:pPr>
              <w:pStyle w:val="TableBodyText"/>
            </w:pPr>
            <w:r>
              <w:t>2.8</w:t>
            </w:r>
          </w:p>
        </w:tc>
        <w:tc>
          <w:tcPr>
            <w:tcW w:w="871" w:type="pct"/>
          </w:tcPr>
          <w:p w:rsidR="001C4C6D" w:rsidRPr="00416469" w:rsidRDefault="00416469" w:rsidP="00416469">
            <w:pPr>
              <w:pStyle w:val="TableBodyText"/>
              <w:rPr>
                <w:i/>
              </w:rPr>
            </w:pPr>
            <w:r>
              <w:rPr>
                <w:i/>
              </w:rPr>
              <w:t>0.3</w:t>
            </w:r>
          </w:p>
        </w:tc>
      </w:tr>
      <w:tr w:rsidR="001C4C6D" w:rsidTr="001C4C6D">
        <w:tc>
          <w:tcPr>
            <w:tcW w:w="2387" w:type="pct"/>
          </w:tcPr>
          <w:p w:rsidR="001C4C6D" w:rsidRPr="009B7715" w:rsidRDefault="001C4C6D" w:rsidP="00CA5B8F">
            <w:pPr>
              <w:pStyle w:val="TableBodyText"/>
              <w:jc w:val="left"/>
            </w:pPr>
            <w:r w:rsidRPr="008F20D6">
              <w:t xml:space="preserve">  Non-metallic mineral products</w:t>
            </w:r>
          </w:p>
        </w:tc>
        <w:tc>
          <w:tcPr>
            <w:tcW w:w="872" w:type="pct"/>
          </w:tcPr>
          <w:p w:rsidR="001C4C6D" w:rsidRPr="009B7715" w:rsidRDefault="00416469" w:rsidP="00416469">
            <w:pPr>
              <w:pStyle w:val="TableBodyText"/>
            </w:pPr>
            <w:r>
              <w:t>2.8</w:t>
            </w:r>
          </w:p>
        </w:tc>
        <w:tc>
          <w:tcPr>
            <w:tcW w:w="870" w:type="pct"/>
          </w:tcPr>
          <w:p w:rsidR="001C4C6D" w:rsidRPr="009250C1" w:rsidRDefault="009250C1" w:rsidP="00416469">
            <w:pPr>
              <w:pStyle w:val="TableBodyText"/>
            </w:pPr>
            <w:r>
              <w:t>2.8</w:t>
            </w:r>
          </w:p>
        </w:tc>
        <w:tc>
          <w:tcPr>
            <w:tcW w:w="871" w:type="pct"/>
          </w:tcPr>
          <w:p w:rsidR="001C4C6D" w:rsidRPr="00416469" w:rsidRDefault="00416469" w:rsidP="00416469">
            <w:pPr>
              <w:pStyle w:val="TableBodyText"/>
              <w:rPr>
                <w:i/>
              </w:rPr>
            </w:pPr>
            <w:r>
              <w:rPr>
                <w:i/>
              </w:rPr>
              <w:t>0.1</w:t>
            </w:r>
          </w:p>
        </w:tc>
      </w:tr>
      <w:tr w:rsidR="001C4C6D" w:rsidTr="001C4C6D">
        <w:tc>
          <w:tcPr>
            <w:tcW w:w="2387" w:type="pct"/>
          </w:tcPr>
          <w:p w:rsidR="001C4C6D" w:rsidRPr="009B7715" w:rsidRDefault="001C4C6D" w:rsidP="009B7715">
            <w:pPr>
              <w:pStyle w:val="TableBodyText"/>
              <w:jc w:val="left"/>
            </w:pPr>
            <w:r w:rsidRPr="008F20D6">
              <w:t xml:space="preserve">  Metal </w:t>
            </w:r>
            <w:r w:rsidR="009B7715" w:rsidRPr="008F20D6">
              <w:t xml:space="preserve">and fabricated metal </w:t>
            </w:r>
            <w:r w:rsidRPr="008F20D6">
              <w:t>product</w:t>
            </w:r>
            <w:r w:rsidR="009B7715" w:rsidRPr="008F20D6">
              <w:t>s</w:t>
            </w:r>
          </w:p>
        </w:tc>
        <w:tc>
          <w:tcPr>
            <w:tcW w:w="872" w:type="pct"/>
          </w:tcPr>
          <w:p w:rsidR="001C4C6D" w:rsidRPr="009250C1" w:rsidRDefault="00416469" w:rsidP="00416469">
            <w:pPr>
              <w:pStyle w:val="TableBodyText"/>
            </w:pPr>
            <w:r>
              <w:t>4.6</w:t>
            </w:r>
          </w:p>
        </w:tc>
        <w:tc>
          <w:tcPr>
            <w:tcW w:w="870" w:type="pct"/>
          </w:tcPr>
          <w:p w:rsidR="001C4C6D" w:rsidRPr="009250C1" w:rsidRDefault="009250C1" w:rsidP="00416469">
            <w:pPr>
              <w:pStyle w:val="TableBodyText"/>
            </w:pPr>
            <w:r>
              <w:t>4.7</w:t>
            </w:r>
          </w:p>
        </w:tc>
        <w:tc>
          <w:tcPr>
            <w:tcW w:w="871" w:type="pct"/>
          </w:tcPr>
          <w:p w:rsidR="001C4C6D" w:rsidRPr="00416469" w:rsidRDefault="00416469" w:rsidP="00416469">
            <w:pPr>
              <w:pStyle w:val="TableBodyText"/>
              <w:rPr>
                <w:i/>
              </w:rPr>
            </w:pPr>
            <w:r>
              <w:rPr>
                <w:i/>
              </w:rPr>
              <w:t>0.2</w:t>
            </w:r>
          </w:p>
        </w:tc>
      </w:tr>
      <w:tr w:rsidR="001C4C6D" w:rsidTr="001C4C6D">
        <w:tc>
          <w:tcPr>
            <w:tcW w:w="2387" w:type="pct"/>
          </w:tcPr>
          <w:p w:rsidR="001C4C6D" w:rsidRPr="009B7715" w:rsidRDefault="001C4C6D" w:rsidP="009B7715">
            <w:pPr>
              <w:pStyle w:val="TableBodyText"/>
              <w:jc w:val="left"/>
            </w:pPr>
            <w:r w:rsidRPr="008F20D6">
              <w:t xml:space="preserve">  Motor vehicles </w:t>
            </w:r>
            <w:r w:rsidR="009B7715" w:rsidRPr="008F20D6">
              <w:t>and</w:t>
            </w:r>
            <w:r w:rsidRPr="008F20D6">
              <w:t xml:space="preserve"> parts</w:t>
            </w:r>
          </w:p>
        </w:tc>
        <w:tc>
          <w:tcPr>
            <w:tcW w:w="872" w:type="pct"/>
          </w:tcPr>
          <w:p w:rsidR="001C4C6D" w:rsidRPr="009B7715" w:rsidRDefault="00416469" w:rsidP="00416469">
            <w:pPr>
              <w:pStyle w:val="TableBodyText"/>
            </w:pPr>
            <w:r>
              <w:t>9.3</w:t>
            </w:r>
          </w:p>
        </w:tc>
        <w:tc>
          <w:tcPr>
            <w:tcW w:w="870" w:type="pct"/>
          </w:tcPr>
          <w:p w:rsidR="001C4C6D" w:rsidRPr="009250C1" w:rsidRDefault="009250C1" w:rsidP="00416469">
            <w:pPr>
              <w:pStyle w:val="TableBodyText"/>
            </w:pPr>
            <w:r>
              <w:t>9.4</w:t>
            </w:r>
          </w:p>
        </w:tc>
        <w:tc>
          <w:tcPr>
            <w:tcW w:w="871" w:type="pct"/>
          </w:tcPr>
          <w:p w:rsidR="001C4C6D" w:rsidRPr="00416469" w:rsidRDefault="00416469" w:rsidP="00416469">
            <w:pPr>
              <w:pStyle w:val="TableBodyText"/>
              <w:rPr>
                <w:i/>
              </w:rPr>
            </w:pPr>
            <w:r>
              <w:rPr>
                <w:i/>
              </w:rPr>
              <w:t>0.2</w:t>
            </w:r>
          </w:p>
        </w:tc>
      </w:tr>
      <w:tr w:rsidR="001C4C6D" w:rsidTr="001C4C6D">
        <w:tc>
          <w:tcPr>
            <w:tcW w:w="2387" w:type="pct"/>
          </w:tcPr>
          <w:p w:rsidR="001C4C6D" w:rsidRPr="009B7715" w:rsidRDefault="001C4C6D" w:rsidP="00CA5B8F">
            <w:pPr>
              <w:pStyle w:val="TableBodyText"/>
              <w:jc w:val="left"/>
            </w:pPr>
            <w:r w:rsidRPr="008F20D6">
              <w:t xml:space="preserve">  Other transport equipment</w:t>
            </w:r>
          </w:p>
        </w:tc>
        <w:tc>
          <w:tcPr>
            <w:tcW w:w="872" w:type="pct"/>
          </w:tcPr>
          <w:p w:rsidR="001C4C6D" w:rsidRPr="009B7715" w:rsidRDefault="00416469" w:rsidP="00416469">
            <w:pPr>
              <w:pStyle w:val="TableBodyText"/>
            </w:pPr>
            <w:r>
              <w:t>0.5</w:t>
            </w:r>
          </w:p>
        </w:tc>
        <w:tc>
          <w:tcPr>
            <w:tcW w:w="870" w:type="pct"/>
          </w:tcPr>
          <w:p w:rsidR="001C4C6D" w:rsidRPr="009250C1" w:rsidRDefault="009250C1" w:rsidP="00416469">
            <w:pPr>
              <w:pStyle w:val="TableBodyText"/>
            </w:pPr>
            <w:r>
              <w:t>0.9</w:t>
            </w:r>
          </w:p>
        </w:tc>
        <w:tc>
          <w:tcPr>
            <w:tcW w:w="871" w:type="pct"/>
          </w:tcPr>
          <w:p w:rsidR="001C4C6D" w:rsidRPr="00416469" w:rsidRDefault="00416469" w:rsidP="00416469">
            <w:pPr>
              <w:pStyle w:val="TableBodyText"/>
              <w:rPr>
                <w:i/>
              </w:rPr>
            </w:pPr>
            <w:r>
              <w:rPr>
                <w:i/>
              </w:rPr>
              <w:t>0.3</w:t>
            </w:r>
          </w:p>
        </w:tc>
      </w:tr>
      <w:tr w:rsidR="001C4C6D" w:rsidTr="009B7715">
        <w:tc>
          <w:tcPr>
            <w:tcW w:w="2387" w:type="pct"/>
          </w:tcPr>
          <w:p w:rsidR="001C4C6D" w:rsidRPr="009B7715" w:rsidRDefault="001C4C6D" w:rsidP="009B7715">
            <w:pPr>
              <w:pStyle w:val="TableBodyText"/>
              <w:jc w:val="left"/>
            </w:pPr>
            <w:r w:rsidRPr="008F20D6">
              <w:t xml:space="preserve">  </w:t>
            </w:r>
            <w:r w:rsidR="009B7715" w:rsidRPr="008F20D6">
              <w:t>M</w:t>
            </w:r>
            <w:r w:rsidRPr="008F20D6">
              <w:t xml:space="preserve">achinery </w:t>
            </w:r>
            <w:r w:rsidR="009B7715" w:rsidRPr="008F20D6">
              <w:t xml:space="preserve">and </w:t>
            </w:r>
            <w:r w:rsidRPr="008F20D6">
              <w:t>equipment</w:t>
            </w:r>
            <w:r w:rsidR="009B7715" w:rsidRPr="008F20D6">
              <w:t xml:space="preserve"> manufacturing</w:t>
            </w:r>
          </w:p>
        </w:tc>
        <w:tc>
          <w:tcPr>
            <w:tcW w:w="872" w:type="pct"/>
          </w:tcPr>
          <w:p w:rsidR="001C4C6D" w:rsidRPr="009B7715" w:rsidRDefault="00416469" w:rsidP="00416469">
            <w:pPr>
              <w:pStyle w:val="TableBodyText"/>
            </w:pPr>
            <w:r>
              <w:t>2.7</w:t>
            </w:r>
          </w:p>
        </w:tc>
        <w:tc>
          <w:tcPr>
            <w:tcW w:w="870" w:type="pct"/>
          </w:tcPr>
          <w:p w:rsidR="001C4C6D" w:rsidRPr="009B7715" w:rsidRDefault="009250C1" w:rsidP="00416469">
            <w:pPr>
              <w:pStyle w:val="TableBodyText"/>
            </w:pPr>
            <w:r>
              <w:t>3.0</w:t>
            </w:r>
          </w:p>
        </w:tc>
        <w:tc>
          <w:tcPr>
            <w:tcW w:w="871" w:type="pct"/>
          </w:tcPr>
          <w:p w:rsidR="001C4C6D" w:rsidRPr="00416469" w:rsidRDefault="00416469" w:rsidP="00416469">
            <w:pPr>
              <w:pStyle w:val="TableBodyText"/>
              <w:rPr>
                <w:i/>
              </w:rPr>
            </w:pPr>
            <w:r>
              <w:rPr>
                <w:i/>
              </w:rPr>
              <w:t>0.3</w:t>
            </w:r>
          </w:p>
        </w:tc>
      </w:tr>
      <w:tr w:rsidR="001C4C6D" w:rsidTr="008F20D6">
        <w:tc>
          <w:tcPr>
            <w:tcW w:w="2387" w:type="pct"/>
            <w:tcBorders>
              <w:bottom w:val="single" w:sz="4" w:space="0" w:color="auto"/>
            </w:tcBorders>
          </w:tcPr>
          <w:p w:rsidR="001C4C6D" w:rsidRPr="009B7715" w:rsidRDefault="001C4C6D" w:rsidP="009B7715">
            <w:pPr>
              <w:pStyle w:val="TableBodyText"/>
              <w:jc w:val="left"/>
            </w:pPr>
            <w:r w:rsidRPr="009B7715">
              <w:t xml:space="preserve">  </w:t>
            </w:r>
            <w:r w:rsidR="009B7715" w:rsidRPr="009B7715">
              <w:t>Furniture and o</w:t>
            </w:r>
            <w:r w:rsidRPr="009B7715">
              <w:t>ther manufacturing</w:t>
            </w:r>
          </w:p>
        </w:tc>
        <w:tc>
          <w:tcPr>
            <w:tcW w:w="872" w:type="pct"/>
            <w:tcBorders>
              <w:bottom w:val="single" w:sz="4" w:space="0" w:color="auto"/>
            </w:tcBorders>
          </w:tcPr>
          <w:p w:rsidR="001C4C6D" w:rsidRPr="009B7715" w:rsidRDefault="00416469" w:rsidP="00416469">
            <w:pPr>
              <w:pStyle w:val="TableBodyText"/>
            </w:pPr>
            <w:r>
              <w:t>4.1</w:t>
            </w:r>
          </w:p>
        </w:tc>
        <w:tc>
          <w:tcPr>
            <w:tcW w:w="870" w:type="pct"/>
            <w:tcBorders>
              <w:bottom w:val="single" w:sz="4" w:space="0" w:color="auto"/>
            </w:tcBorders>
          </w:tcPr>
          <w:p w:rsidR="001C4C6D" w:rsidRPr="009B7715" w:rsidRDefault="009250C1" w:rsidP="00416469">
            <w:pPr>
              <w:pStyle w:val="TableBodyText"/>
            </w:pPr>
            <w:r>
              <w:t>4.4</w:t>
            </w:r>
          </w:p>
        </w:tc>
        <w:tc>
          <w:tcPr>
            <w:tcW w:w="871" w:type="pct"/>
            <w:tcBorders>
              <w:bottom w:val="single" w:sz="4" w:space="0" w:color="auto"/>
            </w:tcBorders>
          </w:tcPr>
          <w:p w:rsidR="001C4C6D" w:rsidRPr="00416469" w:rsidRDefault="00416469" w:rsidP="00416469">
            <w:pPr>
              <w:pStyle w:val="TableBodyText"/>
              <w:rPr>
                <w:i/>
              </w:rPr>
            </w:pPr>
            <w:r>
              <w:rPr>
                <w:i/>
              </w:rPr>
              <w:t>0.4</w:t>
            </w:r>
          </w:p>
        </w:tc>
      </w:tr>
    </w:tbl>
    <w:p w:rsidR="00676B96" w:rsidRDefault="00130ADB" w:rsidP="00CA5B8F">
      <w:pPr>
        <w:pStyle w:val="Note"/>
      </w:pPr>
      <w:r>
        <w:rPr>
          <w:rStyle w:val="NoteLabel"/>
        </w:rPr>
        <w:t>a</w:t>
      </w:r>
      <w:r w:rsidR="0030106F">
        <w:t> </w:t>
      </w:r>
      <w:r w:rsidR="0030106F" w:rsidRPr="0030106F">
        <w:t>Sectoral estimates include assistance to the sector that has not been allocated to specific industry groupings.</w:t>
      </w:r>
      <w:r w:rsidR="0030106F">
        <w:t xml:space="preserve"> </w:t>
      </w:r>
    </w:p>
    <w:p w:rsidR="0093244A" w:rsidRPr="0093244A" w:rsidRDefault="00676B96" w:rsidP="0093244A">
      <w:pPr>
        <w:pStyle w:val="Source"/>
      </w:pPr>
      <w:r>
        <w:rPr>
          <w:i/>
        </w:rPr>
        <w:t>Source</w:t>
      </w:r>
      <w:r>
        <w:t xml:space="preserve">: Commission estimates. </w:t>
      </w:r>
    </w:p>
    <w:p w:rsidR="00676B96" w:rsidRDefault="002318E5" w:rsidP="00676B96">
      <w:pPr>
        <w:pStyle w:val="Heading2"/>
      </w:pPr>
      <w:r>
        <w:t>4.</w:t>
      </w:r>
      <w:r>
        <w:rPr>
          <w:noProof/>
        </w:rPr>
        <w:t>3</w:t>
      </w:r>
      <w:r w:rsidR="00676B96">
        <w:tab/>
        <w:t>Updating import data to 200</w:t>
      </w:r>
      <w:r w:rsidR="00B42B3D">
        <w:t>8</w:t>
      </w:r>
      <w:r w:rsidR="00676B96">
        <w:noBreakHyphen/>
        <w:t>0</w:t>
      </w:r>
      <w:r w:rsidR="00B42B3D">
        <w:t>9</w:t>
      </w:r>
    </w:p>
    <w:p w:rsidR="00C868FD" w:rsidRDefault="00C868FD" w:rsidP="00C868FD">
      <w:pPr>
        <w:pStyle w:val="BodyText"/>
      </w:pPr>
      <w:r>
        <w:t>The Commission uses ABS import data, together with Customs tariff rate information, to derive estimates of the price impacts of tariffs for both output and input goods</w:t>
      </w:r>
      <w:r w:rsidR="00BF7FAF">
        <w:t xml:space="preserve"> (see chapter 3)</w:t>
      </w:r>
      <w:r>
        <w:t xml:space="preserve">. These results are then combined with ABS input-output data to derive GSE and TEM estimates and in turn NSE estimates of tariff assistance. </w:t>
      </w:r>
    </w:p>
    <w:p w:rsidR="00C868FD" w:rsidRDefault="00C868FD" w:rsidP="00C868FD">
      <w:pPr>
        <w:pStyle w:val="BodyText"/>
      </w:pPr>
      <w:r>
        <w:t>For the new series of assistance estimates, the Commission has updated the ABS import data from 2004</w:t>
      </w:r>
      <w:r w:rsidR="00EF656A">
        <w:noBreakHyphen/>
      </w:r>
      <w:r>
        <w:t>05</w:t>
      </w:r>
      <w:r w:rsidR="00B42B3D">
        <w:t xml:space="preserve"> to 2008</w:t>
      </w:r>
      <w:r w:rsidR="00B42B3D">
        <w:noBreakHyphen/>
        <w:t>09</w:t>
      </w:r>
      <w:r>
        <w:t xml:space="preserve">, the same year as the ABS </w:t>
      </w:r>
      <w:r w:rsidR="00436B0C">
        <w:t>i</w:t>
      </w:r>
      <w:r>
        <w:t>nput-</w:t>
      </w:r>
      <w:r w:rsidR="00436B0C">
        <w:t>o</w:t>
      </w:r>
      <w:r>
        <w:t xml:space="preserve">utput data. </w:t>
      </w:r>
    </w:p>
    <w:p w:rsidR="00676B96" w:rsidRDefault="00C868FD" w:rsidP="00676B96">
      <w:pPr>
        <w:pStyle w:val="BodyText"/>
      </w:pPr>
      <w:r>
        <w:lastRenderedPageBreak/>
        <w:t>The use of 200</w:t>
      </w:r>
      <w:r w:rsidR="00B42B3D">
        <w:t>8</w:t>
      </w:r>
      <w:r w:rsidR="00EF656A">
        <w:noBreakHyphen/>
      </w:r>
      <w:r>
        <w:t>0</w:t>
      </w:r>
      <w:r w:rsidR="00B42B3D">
        <w:t>9</w:t>
      </w:r>
      <w:r>
        <w:t xml:space="preserve"> ABS import data has also involved updating the estimated ad</w:t>
      </w:r>
      <w:r w:rsidR="00B844D4">
        <w:t> </w:t>
      </w:r>
      <w:r>
        <w:t>valorem tariff rates for specific-rate tariff items. Excluding excise tariff items, there are currently five tariff items (at the eight digit classification level) that have a specific tariff rate rather than the more common ad valorem tariff rate. These items relate to imports of cheese and curd (mostly cheddar cheese) and, since 1</w:t>
      </w:r>
      <w:r w:rsidR="00B844D4">
        <w:t> </w:t>
      </w:r>
      <w:r>
        <w:t>January 2000, have a specific tariff rate of $1.22 per kilogram or $1220 per tonne. As all tariff rates in the Commission’s Tariff and Import Database Estimating System (TIDES) model are expressed in ad valorem terms, each specific rate tariff item was converted to an ad</w:t>
      </w:r>
      <w:r w:rsidR="00B844D4">
        <w:t> </w:t>
      </w:r>
      <w:r>
        <w:t>valorem tariff rate based on 200</w:t>
      </w:r>
      <w:r w:rsidR="00B42B3D">
        <w:t>8</w:t>
      </w:r>
      <w:r w:rsidR="00B844D4">
        <w:noBreakHyphen/>
      </w:r>
      <w:r>
        <w:t>0</w:t>
      </w:r>
      <w:r w:rsidR="00B42B3D">
        <w:t>9</w:t>
      </w:r>
      <w:r>
        <w:t xml:space="preserve"> import quantities and values</w:t>
      </w:r>
      <w:r w:rsidR="0093244A">
        <w:t xml:space="preserve"> (table </w:t>
      </w:r>
      <w:r w:rsidR="002318E5">
        <w:t>4.2</w:t>
      </w:r>
      <w:r w:rsidR="0093244A">
        <w:t>)</w:t>
      </w:r>
      <w:r>
        <w:t xml:space="preserve">. </w:t>
      </w:r>
    </w:p>
    <w:p w:rsidR="00981ADE" w:rsidRDefault="00981ADE">
      <w:pPr>
        <w:pStyle w:val="TableTitle"/>
      </w:pPr>
      <w:r>
        <w:rPr>
          <w:b w:val="0"/>
        </w:rPr>
        <w:t xml:space="preserve">Table </w:t>
      </w:r>
      <w:bookmarkStart w:id="7" w:name="OLE_LINK2"/>
      <w:r w:rsidR="002318E5">
        <w:rPr>
          <w:b w:val="0"/>
        </w:rPr>
        <w:t>4.</w:t>
      </w:r>
      <w:r w:rsidR="002318E5">
        <w:rPr>
          <w:b w:val="0"/>
          <w:noProof/>
        </w:rPr>
        <w:t>2</w:t>
      </w:r>
      <w:bookmarkEnd w:id="7"/>
      <w:r>
        <w:tab/>
        <w:t>Specific</w:t>
      </w:r>
      <w:r w:rsidR="0093244A">
        <w:t>-</w:t>
      </w:r>
      <w:r>
        <w:t>rate tariff items converted to an ad valorem</w:t>
      </w:r>
      <w:r w:rsidR="007D4EFE">
        <w:t xml:space="preserve"> basis,</w:t>
      </w:r>
      <w:r w:rsidR="00F32B56">
        <w:t xml:space="preserve"> 2011</w:t>
      </w:r>
      <w:r w:rsidR="00F32B56">
        <w:noBreakHyphen/>
        <w:t>12</w:t>
      </w:r>
      <w:r w:rsidR="007D4EFE">
        <w:t xml:space="preserve"> </w:t>
      </w:r>
    </w:p>
    <w:tbl>
      <w:tblPr>
        <w:tblW w:w="5000" w:type="pct"/>
        <w:tblCellMar>
          <w:left w:w="0" w:type="dxa"/>
          <w:right w:w="0" w:type="dxa"/>
        </w:tblCellMar>
        <w:tblLook w:val="0000" w:firstRow="0" w:lastRow="0" w:firstColumn="0" w:lastColumn="0" w:noHBand="0" w:noVBand="0"/>
      </w:tblPr>
      <w:tblGrid>
        <w:gridCol w:w="2836"/>
        <w:gridCol w:w="1985"/>
        <w:gridCol w:w="1985"/>
        <w:gridCol w:w="1983"/>
      </w:tblGrid>
      <w:tr w:rsidR="00156666" w:rsidTr="00F57B90">
        <w:tc>
          <w:tcPr>
            <w:tcW w:w="1614" w:type="pct"/>
            <w:tcBorders>
              <w:top w:val="single" w:sz="6" w:space="0" w:color="auto"/>
              <w:bottom w:val="single" w:sz="4" w:space="0" w:color="auto"/>
            </w:tcBorders>
            <w:shd w:val="clear" w:color="auto" w:fill="auto"/>
            <w:vAlign w:val="bottom"/>
          </w:tcPr>
          <w:p w:rsidR="00F32B56" w:rsidRDefault="00F32B56" w:rsidP="00F32B56">
            <w:pPr>
              <w:pStyle w:val="TableColumnHeading"/>
              <w:jc w:val="left"/>
            </w:pPr>
            <w:r>
              <w:t>Description</w:t>
            </w:r>
          </w:p>
        </w:tc>
        <w:tc>
          <w:tcPr>
            <w:tcW w:w="1129" w:type="pct"/>
            <w:tcBorders>
              <w:top w:val="single" w:sz="6" w:space="0" w:color="auto"/>
              <w:bottom w:val="single" w:sz="4" w:space="0" w:color="auto"/>
            </w:tcBorders>
            <w:shd w:val="clear" w:color="auto" w:fill="auto"/>
            <w:vAlign w:val="bottom"/>
          </w:tcPr>
          <w:p w:rsidR="00F32B56" w:rsidRDefault="00F32B56" w:rsidP="00F32B56">
            <w:pPr>
              <w:pStyle w:val="TableColumnHeading"/>
            </w:pPr>
            <w:r>
              <w:t>Tariff code</w:t>
            </w:r>
          </w:p>
        </w:tc>
        <w:tc>
          <w:tcPr>
            <w:tcW w:w="1129" w:type="pct"/>
            <w:tcBorders>
              <w:top w:val="single" w:sz="6" w:space="0" w:color="auto"/>
              <w:bottom w:val="single" w:sz="4" w:space="0" w:color="auto"/>
            </w:tcBorders>
            <w:vAlign w:val="bottom"/>
          </w:tcPr>
          <w:p w:rsidR="00F32B56" w:rsidRDefault="003D1216" w:rsidP="00F57B90">
            <w:pPr>
              <w:pStyle w:val="TableColumnHeading"/>
              <w:ind w:right="28"/>
            </w:pPr>
            <w:r>
              <w:t>Specific</w:t>
            </w:r>
            <w:r w:rsidR="00F32B56">
              <w:t xml:space="preserve"> </w:t>
            </w:r>
            <w:r w:rsidR="00F57B90">
              <w:br/>
            </w:r>
            <w:r w:rsidR="00F32B56">
              <w:t>tariff rate</w:t>
            </w:r>
          </w:p>
        </w:tc>
        <w:tc>
          <w:tcPr>
            <w:tcW w:w="1128" w:type="pct"/>
            <w:tcBorders>
              <w:top w:val="single" w:sz="6" w:space="0" w:color="auto"/>
              <w:bottom w:val="single" w:sz="4" w:space="0" w:color="auto"/>
            </w:tcBorders>
            <w:shd w:val="clear" w:color="auto" w:fill="auto"/>
            <w:vAlign w:val="bottom"/>
          </w:tcPr>
          <w:p w:rsidR="00F32B56" w:rsidRDefault="00F57B90" w:rsidP="00F57B90">
            <w:pPr>
              <w:pStyle w:val="TableColumnHeading"/>
              <w:ind w:right="28"/>
            </w:pPr>
            <w:r>
              <w:t>Implied a</w:t>
            </w:r>
            <w:r w:rsidR="00F32B56">
              <w:t xml:space="preserve">d </w:t>
            </w:r>
            <w:r>
              <w:br/>
            </w:r>
            <w:r w:rsidR="00F32B56">
              <w:t>valorem rate</w:t>
            </w:r>
          </w:p>
        </w:tc>
      </w:tr>
      <w:tr w:rsidR="00F57B90" w:rsidRPr="00F57B90" w:rsidTr="00F57B90">
        <w:tc>
          <w:tcPr>
            <w:tcW w:w="1614" w:type="pct"/>
            <w:tcBorders>
              <w:top w:val="single" w:sz="4" w:space="0" w:color="auto"/>
            </w:tcBorders>
          </w:tcPr>
          <w:p w:rsidR="00F57B90" w:rsidRPr="00F57B90" w:rsidRDefault="00F57B90" w:rsidP="005425C1">
            <w:pPr>
              <w:pStyle w:val="TableUnitsRow"/>
              <w:jc w:val="left"/>
            </w:pPr>
          </w:p>
        </w:tc>
        <w:tc>
          <w:tcPr>
            <w:tcW w:w="1129" w:type="pct"/>
            <w:tcBorders>
              <w:top w:val="single" w:sz="4" w:space="0" w:color="auto"/>
            </w:tcBorders>
          </w:tcPr>
          <w:p w:rsidR="00F57B90" w:rsidRPr="00F57B90" w:rsidRDefault="00F57B90" w:rsidP="005425C1">
            <w:pPr>
              <w:pStyle w:val="TableUnitsRow"/>
            </w:pPr>
          </w:p>
        </w:tc>
        <w:tc>
          <w:tcPr>
            <w:tcW w:w="1129" w:type="pct"/>
            <w:tcBorders>
              <w:top w:val="single" w:sz="4" w:space="0" w:color="auto"/>
            </w:tcBorders>
          </w:tcPr>
          <w:p w:rsidR="00F57B90" w:rsidRPr="00F57B90" w:rsidRDefault="00F57B90" w:rsidP="005425C1">
            <w:pPr>
              <w:pStyle w:val="TableUnitsRow"/>
              <w:ind w:right="28"/>
            </w:pPr>
            <w:r w:rsidRPr="00F57B90">
              <w:t>$/kg</w:t>
            </w:r>
          </w:p>
        </w:tc>
        <w:tc>
          <w:tcPr>
            <w:tcW w:w="1128" w:type="pct"/>
            <w:tcBorders>
              <w:top w:val="single" w:sz="4" w:space="0" w:color="auto"/>
            </w:tcBorders>
          </w:tcPr>
          <w:p w:rsidR="00F57B90" w:rsidRPr="00F57B90" w:rsidRDefault="00F57B90" w:rsidP="005425C1">
            <w:pPr>
              <w:pStyle w:val="TableUnitsRow"/>
              <w:ind w:right="28"/>
            </w:pPr>
            <w:r w:rsidRPr="00F57B90">
              <w:t>%</w:t>
            </w:r>
          </w:p>
        </w:tc>
      </w:tr>
      <w:tr w:rsidR="00156666" w:rsidTr="00F57B90">
        <w:tc>
          <w:tcPr>
            <w:tcW w:w="1614" w:type="pct"/>
          </w:tcPr>
          <w:p w:rsidR="00F32B56" w:rsidRDefault="00156666" w:rsidP="00F57B90">
            <w:pPr>
              <w:pStyle w:val="TableUnitsRow"/>
              <w:spacing w:before="0" w:after="40"/>
              <w:jc w:val="left"/>
            </w:pPr>
            <w:r>
              <w:t>Fresh cheese</w:t>
            </w:r>
          </w:p>
        </w:tc>
        <w:tc>
          <w:tcPr>
            <w:tcW w:w="1129" w:type="pct"/>
          </w:tcPr>
          <w:p w:rsidR="00F32B56" w:rsidRDefault="00F32B56" w:rsidP="00F57B90">
            <w:pPr>
              <w:pStyle w:val="TableUnitsRow"/>
              <w:spacing w:before="0" w:after="40"/>
            </w:pPr>
            <w:r>
              <w:t>04061000</w:t>
            </w:r>
          </w:p>
        </w:tc>
        <w:tc>
          <w:tcPr>
            <w:tcW w:w="1129" w:type="pct"/>
          </w:tcPr>
          <w:p w:rsidR="00F32B56" w:rsidRDefault="00F32B56" w:rsidP="00F57B90">
            <w:pPr>
              <w:pStyle w:val="TableUnitsRow"/>
              <w:spacing w:before="0" w:after="40"/>
              <w:ind w:right="28"/>
            </w:pPr>
            <w:r>
              <w:t>1.22</w:t>
            </w:r>
          </w:p>
        </w:tc>
        <w:tc>
          <w:tcPr>
            <w:tcW w:w="1128" w:type="pct"/>
          </w:tcPr>
          <w:p w:rsidR="00F32B56" w:rsidRDefault="00F32B56" w:rsidP="00F57B90">
            <w:pPr>
              <w:pStyle w:val="TableUnitsRow"/>
              <w:spacing w:before="0" w:after="40"/>
              <w:ind w:right="28"/>
            </w:pPr>
            <w:r>
              <w:t>21.7</w:t>
            </w:r>
          </w:p>
        </w:tc>
      </w:tr>
      <w:tr w:rsidR="00156666" w:rsidTr="00156666">
        <w:tc>
          <w:tcPr>
            <w:tcW w:w="1614" w:type="pct"/>
          </w:tcPr>
          <w:p w:rsidR="00F32B56" w:rsidRDefault="00156666" w:rsidP="00190259">
            <w:pPr>
              <w:pStyle w:val="TableBodyText"/>
              <w:jc w:val="left"/>
            </w:pPr>
            <w:r>
              <w:t>Grated cheese</w:t>
            </w:r>
          </w:p>
        </w:tc>
        <w:tc>
          <w:tcPr>
            <w:tcW w:w="1129" w:type="pct"/>
          </w:tcPr>
          <w:p w:rsidR="00F32B56" w:rsidRDefault="00F32B56" w:rsidP="00F32B56">
            <w:pPr>
              <w:pStyle w:val="TableBodyText"/>
            </w:pPr>
            <w:r>
              <w:t>04062000</w:t>
            </w:r>
          </w:p>
        </w:tc>
        <w:tc>
          <w:tcPr>
            <w:tcW w:w="1129" w:type="pct"/>
          </w:tcPr>
          <w:p w:rsidR="00F32B56" w:rsidRDefault="00156666" w:rsidP="005425C1">
            <w:pPr>
              <w:pStyle w:val="TableBodyText"/>
              <w:ind w:right="28"/>
            </w:pPr>
            <w:r>
              <w:t>1.22</w:t>
            </w:r>
          </w:p>
        </w:tc>
        <w:tc>
          <w:tcPr>
            <w:tcW w:w="1128" w:type="pct"/>
          </w:tcPr>
          <w:p w:rsidR="00F32B56" w:rsidRDefault="00F32B56" w:rsidP="005425C1">
            <w:pPr>
              <w:pStyle w:val="TableBodyText"/>
              <w:ind w:right="28"/>
            </w:pPr>
            <w:r>
              <w:t>25.5</w:t>
            </w:r>
          </w:p>
        </w:tc>
      </w:tr>
      <w:tr w:rsidR="00156666" w:rsidTr="00156666">
        <w:tc>
          <w:tcPr>
            <w:tcW w:w="1614" w:type="pct"/>
          </w:tcPr>
          <w:p w:rsidR="00F32B56" w:rsidRDefault="00156666" w:rsidP="005425C1">
            <w:pPr>
              <w:pStyle w:val="TableBodyText"/>
              <w:jc w:val="left"/>
            </w:pPr>
            <w:r>
              <w:t>Processed cheese</w:t>
            </w:r>
          </w:p>
        </w:tc>
        <w:tc>
          <w:tcPr>
            <w:tcW w:w="1129" w:type="pct"/>
          </w:tcPr>
          <w:p w:rsidR="00F32B56" w:rsidRDefault="00F32B56" w:rsidP="005425C1">
            <w:pPr>
              <w:pStyle w:val="TableBodyText"/>
            </w:pPr>
            <w:r>
              <w:t>04063000</w:t>
            </w:r>
          </w:p>
        </w:tc>
        <w:tc>
          <w:tcPr>
            <w:tcW w:w="1129" w:type="pct"/>
          </w:tcPr>
          <w:p w:rsidR="00F32B56" w:rsidRDefault="00156666" w:rsidP="005425C1">
            <w:pPr>
              <w:pStyle w:val="TableBodyText"/>
              <w:ind w:right="28"/>
            </w:pPr>
            <w:r>
              <w:t>1.22</w:t>
            </w:r>
          </w:p>
        </w:tc>
        <w:tc>
          <w:tcPr>
            <w:tcW w:w="1128" w:type="pct"/>
          </w:tcPr>
          <w:p w:rsidR="00F32B56" w:rsidRDefault="00F32B56" w:rsidP="005425C1">
            <w:pPr>
              <w:pStyle w:val="TableBodyText"/>
              <w:ind w:right="28"/>
            </w:pPr>
            <w:r>
              <w:t>25.7</w:t>
            </w:r>
          </w:p>
        </w:tc>
      </w:tr>
      <w:tr w:rsidR="00156666" w:rsidTr="00156666">
        <w:tc>
          <w:tcPr>
            <w:tcW w:w="1614" w:type="pct"/>
          </w:tcPr>
          <w:p w:rsidR="00F32B56" w:rsidRDefault="00156666" w:rsidP="00156666">
            <w:pPr>
              <w:pStyle w:val="TableBodyText"/>
              <w:jc w:val="left"/>
            </w:pPr>
            <w:r>
              <w:t>Blue-veined cheese</w:t>
            </w:r>
          </w:p>
        </w:tc>
        <w:tc>
          <w:tcPr>
            <w:tcW w:w="1129" w:type="pct"/>
          </w:tcPr>
          <w:p w:rsidR="00F32B56" w:rsidRDefault="00F32B56" w:rsidP="005425C1">
            <w:pPr>
              <w:pStyle w:val="TableBodyText"/>
            </w:pPr>
            <w:r>
              <w:t>04064090</w:t>
            </w:r>
          </w:p>
        </w:tc>
        <w:tc>
          <w:tcPr>
            <w:tcW w:w="1129" w:type="pct"/>
          </w:tcPr>
          <w:p w:rsidR="00F32B56" w:rsidRDefault="00156666" w:rsidP="005425C1">
            <w:pPr>
              <w:pStyle w:val="TableBodyText"/>
              <w:ind w:right="28"/>
            </w:pPr>
            <w:r>
              <w:t>1.22</w:t>
            </w:r>
          </w:p>
        </w:tc>
        <w:tc>
          <w:tcPr>
            <w:tcW w:w="1128" w:type="pct"/>
          </w:tcPr>
          <w:p w:rsidR="00F32B56" w:rsidRDefault="00F32B56" w:rsidP="005425C1">
            <w:pPr>
              <w:pStyle w:val="TableBodyText"/>
              <w:ind w:right="28"/>
            </w:pPr>
            <w:r>
              <w:t>8.2</w:t>
            </w:r>
          </w:p>
        </w:tc>
      </w:tr>
      <w:tr w:rsidR="00156666" w:rsidTr="00156666">
        <w:tc>
          <w:tcPr>
            <w:tcW w:w="1614" w:type="pct"/>
            <w:tcBorders>
              <w:bottom w:val="single" w:sz="6" w:space="0" w:color="auto"/>
            </w:tcBorders>
            <w:shd w:val="clear" w:color="auto" w:fill="auto"/>
          </w:tcPr>
          <w:p w:rsidR="00F32B56" w:rsidRDefault="00156666" w:rsidP="005425C1">
            <w:pPr>
              <w:pStyle w:val="TableBodyText"/>
              <w:jc w:val="left"/>
            </w:pPr>
            <w:r>
              <w:t>Other cheese</w:t>
            </w:r>
          </w:p>
        </w:tc>
        <w:tc>
          <w:tcPr>
            <w:tcW w:w="1129" w:type="pct"/>
            <w:tcBorders>
              <w:bottom w:val="single" w:sz="6" w:space="0" w:color="auto"/>
            </w:tcBorders>
            <w:shd w:val="clear" w:color="auto" w:fill="auto"/>
          </w:tcPr>
          <w:p w:rsidR="00F32B56" w:rsidRDefault="00F32B56" w:rsidP="005425C1">
            <w:pPr>
              <w:pStyle w:val="TableBodyText"/>
            </w:pPr>
            <w:r>
              <w:t>04069090</w:t>
            </w:r>
          </w:p>
        </w:tc>
        <w:tc>
          <w:tcPr>
            <w:tcW w:w="1129" w:type="pct"/>
            <w:tcBorders>
              <w:bottom w:val="single" w:sz="6" w:space="0" w:color="auto"/>
            </w:tcBorders>
          </w:tcPr>
          <w:p w:rsidR="00F32B56" w:rsidRDefault="00156666" w:rsidP="005425C1">
            <w:pPr>
              <w:pStyle w:val="TableBodyText"/>
              <w:ind w:right="28"/>
            </w:pPr>
            <w:r>
              <w:t>1.22</w:t>
            </w:r>
          </w:p>
        </w:tc>
        <w:tc>
          <w:tcPr>
            <w:tcW w:w="1128" w:type="pct"/>
            <w:tcBorders>
              <w:bottom w:val="single" w:sz="6" w:space="0" w:color="auto"/>
            </w:tcBorders>
            <w:shd w:val="clear" w:color="auto" w:fill="auto"/>
          </w:tcPr>
          <w:p w:rsidR="00F32B56" w:rsidRDefault="00F32B56" w:rsidP="005425C1">
            <w:pPr>
              <w:pStyle w:val="TableBodyText"/>
              <w:ind w:right="28"/>
            </w:pPr>
            <w:r>
              <w:t>24.3</w:t>
            </w:r>
          </w:p>
        </w:tc>
      </w:tr>
    </w:tbl>
    <w:p w:rsidR="00981ADE" w:rsidRPr="008E77FE" w:rsidRDefault="00981ADE" w:rsidP="005425C1">
      <w:pPr>
        <w:pStyle w:val="Source"/>
      </w:pPr>
      <w:r>
        <w:rPr>
          <w:i/>
        </w:rPr>
        <w:t>Source</w:t>
      </w:r>
      <w:r>
        <w:t xml:space="preserve">: Commission estimates based on Australian Customs </w:t>
      </w:r>
      <w:r w:rsidR="00035363">
        <w:t xml:space="preserve">and </w:t>
      </w:r>
      <w:r w:rsidR="00156666">
        <w:t>ABS trade data</w:t>
      </w:r>
      <w:r>
        <w:t xml:space="preserve">. </w:t>
      </w:r>
    </w:p>
    <w:p w:rsidR="00981ADE" w:rsidRDefault="002318E5" w:rsidP="00981ADE">
      <w:pPr>
        <w:pStyle w:val="Heading2"/>
      </w:pPr>
      <w:r>
        <w:t>4.</w:t>
      </w:r>
      <w:r>
        <w:rPr>
          <w:noProof/>
        </w:rPr>
        <w:t>4</w:t>
      </w:r>
      <w:r w:rsidR="00981ADE">
        <w:tab/>
        <w:t>Australian and New Zealand Standard Industrial Classification 2006</w:t>
      </w:r>
    </w:p>
    <w:p w:rsidR="00C336BC" w:rsidRDefault="00C336BC" w:rsidP="00981ADE">
      <w:pPr>
        <w:pStyle w:val="BodyText"/>
      </w:pPr>
      <w:r>
        <w:t xml:space="preserve">The Commission’s previous series of assistance estimates were reported according to the ABS’s 1993 version of the Australian and New Zealand Standard Industrial Classification </w:t>
      </w:r>
      <w:r w:rsidR="007D6AFF">
        <w:t xml:space="preserve">(ANZSIC). As part of the re-benchmarking exercise carried out for </w:t>
      </w:r>
      <w:r w:rsidR="007D6AFF" w:rsidRPr="007D6AFF">
        <w:rPr>
          <w:i/>
        </w:rPr>
        <w:t>Trade &amp; Assistance Revie</w:t>
      </w:r>
      <w:r w:rsidR="007D6AFF">
        <w:rPr>
          <w:i/>
        </w:rPr>
        <w:t>w</w:t>
      </w:r>
      <w:r w:rsidR="007D6AFF" w:rsidRPr="007D6AFF">
        <w:rPr>
          <w:i/>
        </w:rPr>
        <w:t xml:space="preserve"> 2011</w:t>
      </w:r>
      <w:r w:rsidR="007D6AFF" w:rsidRPr="007D6AFF">
        <w:rPr>
          <w:i/>
        </w:rPr>
        <w:noBreakHyphen/>
        <w:t>12</w:t>
      </w:r>
      <w:r w:rsidR="007D6AFF">
        <w:t xml:space="preserve">, </w:t>
      </w:r>
      <w:r w:rsidR="00A77BF0">
        <w:t xml:space="preserve">the Commission’s new series </w:t>
      </w:r>
      <w:r w:rsidR="00AC7F23">
        <w:t xml:space="preserve">of estimates are now reported according to the ABS’s latest classification, ANZSIC 2006 (ABS 2006). </w:t>
      </w:r>
    </w:p>
    <w:p w:rsidR="00981ADE" w:rsidRDefault="00A77BF0" w:rsidP="00676B96">
      <w:pPr>
        <w:pStyle w:val="BodyText"/>
      </w:pPr>
      <w:r>
        <w:t xml:space="preserve">To facilitate comparability of industry estimates overtime, as </w:t>
      </w:r>
      <w:r w:rsidR="00AC7F23">
        <w:t xml:space="preserve">far as practical, the ANZSIC 1993 industries adopted in the previous </w:t>
      </w:r>
      <w:r w:rsidR="00AC7F23" w:rsidRPr="0093244A">
        <w:rPr>
          <w:i/>
        </w:rPr>
        <w:t>Reviews</w:t>
      </w:r>
      <w:r w:rsidR="00AC7F23">
        <w:t xml:space="preserve"> have been concorded with the 34 ANZSIC 2006-based industries in the updated classification</w:t>
      </w:r>
      <w:r w:rsidR="001C745E">
        <w:t xml:space="preserve"> (table </w:t>
      </w:r>
      <w:r w:rsidR="002318E5">
        <w:t>4.3</w:t>
      </w:r>
      <w:r w:rsidR="001C745E">
        <w:t>)</w:t>
      </w:r>
      <w:r w:rsidR="00AC7F23">
        <w:t xml:space="preserve">. </w:t>
      </w:r>
    </w:p>
    <w:p w:rsidR="0093244A" w:rsidRDefault="0093244A">
      <w:pPr>
        <w:pStyle w:val="TableTitle"/>
      </w:pPr>
      <w:r>
        <w:rPr>
          <w:b w:val="0"/>
        </w:rPr>
        <w:lastRenderedPageBreak/>
        <w:t xml:space="preserve">Table </w:t>
      </w:r>
      <w:bookmarkStart w:id="8" w:name="OLE_LINK7"/>
      <w:r w:rsidR="002318E5">
        <w:rPr>
          <w:b w:val="0"/>
        </w:rPr>
        <w:t>4.</w:t>
      </w:r>
      <w:r w:rsidR="002318E5">
        <w:rPr>
          <w:b w:val="0"/>
          <w:noProof/>
        </w:rPr>
        <w:t>3</w:t>
      </w:r>
      <w:bookmarkEnd w:id="8"/>
      <w:r>
        <w:tab/>
        <w:t xml:space="preserve">Concordance between trade </w:t>
      </w:r>
      <w:r w:rsidR="001C6A17">
        <w:t xml:space="preserve">and </w:t>
      </w:r>
      <w:r>
        <w:t>assistance industry group</w:t>
      </w:r>
      <w:r>
        <w:br/>
        <w:t xml:space="preserve">ANZSIC </w:t>
      </w:r>
      <w:r w:rsidR="0064103A">
        <w:t>2006</w:t>
      </w:r>
      <w:r w:rsidR="006F3357">
        <w:t xml:space="preserve"> and 1993</w:t>
      </w:r>
    </w:p>
    <w:tbl>
      <w:tblPr>
        <w:tblW w:w="5000" w:type="pct"/>
        <w:tblCellMar>
          <w:left w:w="0" w:type="dxa"/>
          <w:right w:w="0" w:type="dxa"/>
        </w:tblCellMar>
        <w:tblLook w:val="0000" w:firstRow="0" w:lastRow="0" w:firstColumn="0" w:lastColumn="0" w:noHBand="0" w:noVBand="0"/>
      </w:tblPr>
      <w:tblGrid>
        <w:gridCol w:w="4424"/>
        <w:gridCol w:w="4365"/>
      </w:tblGrid>
      <w:tr w:rsidR="006F3357" w:rsidTr="006F3357">
        <w:tc>
          <w:tcPr>
            <w:tcW w:w="2517" w:type="pct"/>
            <w:tcBorders>
              <w:top w:val="single" w:sz="6" w:space="0" w:color="auto"/>
              <w:bottom w:val="single" w:sz="6" w:space="0" w:color="auto"/>
            </w:tcBorders>
          </w:tcPr>
          <w:p w:rsidR="006F3357" w:rsidRDefault="006F3357" w:rsidP="006F3357">
            <w:pPr>
              <w:pStyle w:val="TableColumnHeading"/>
              <w:ind w:right="28"/>
              <w:jc w:val="left"/>
            </w:pPr>
            <w:r>
              <w:t xml:space="preserve">Trade &amp; Assistance industry group </w:t>
            </w:r>
            <w:r>
              <w:br/>
              <w:t>(ANZSIC 2006)</w:t>
            </w:r>
          </w:p>
        </w:tc>
        <w:tc>
          <w:tcPr>
            <w:tcW w:w="2483" w:type="pct"/>
            <w:tcBorders>
              <w:top w:val="single" w:sz="6" w:space="0" w:color="auto"/>
              <w:bottom w:val="single" w:sz="6" w:space="0" w:color="auto"/>
            </w:tcBorders>
            <w:shd w:val="clear" w:color="auto" w:fill="auto"/>
          </w:tcPr>
          <w:p w:rsidR="006F3357" w:rsidRDefault="006F3357" w:rsidP="0064103A">
            <w:pPr>
              <w:pStyle w:val="TableColumnHeading"/>
              <w:jc w:val="left"/>
            </w:pPr>
            <w:r>
              <w:t xml:space="preserve">Trade &amp; Assistance industry group </w:t>
            </w:r>
            <w:r>
              <w:br/>
              <w:t>(ANZSIC 1993)</w:t>
            </w:r>
          </w:p>
        </w:tc>
      </w:tr>
      <w:tr w:rsidR="006F3357" w:rsidRPr="003531E4" w:rsidTr="006F3357">
        <w:tc>
          <w:tcPr>
            <w:tcW w:w="2517" w:type="pct"/>
            <w:tcBorders>
              <w:top w:val="single" w:sz="6" w:space="0" w:color="auto"/>
            </w:tcBorders>
          </w:tcPr>
          <w:p w:rsidR="006F3357" w:rsidRPr="003531E4" w:rsidRDefault="006F3357" w:rsidP="0015528D">
            <w:pPr>
              <w:pStyle w:val="TableUnitsRow"/>
              <w:ind w:right="28"/>
              <w:jc w:val="left"/>
              <w:rPr>
                <w:b/>
              </w:rPr>
            </w:pPr>
            <w:r w:rsidRPr="003531E4">
              <w:rPr>
                <w:b/>
              </w:rPr>
              <w:t>Primary production</w:t>
            </w:r>
          </w:p>
        </w:tc>
        <w:tc>
          <w:tcPr>
            <w:tcW w:w="2483" w:type="pct"/>
            <w:tcBorders>
              <w:top w:val="single" w:sz="6" w:space="0" w:color="auto"/>
            </w:tcBorders>
          </w:tcPr>
          <w:p w:rsidR="006F3357" w:rsidRPr="003531E4" w:rsidRDefault="006F3357" w:rsidP="0093244A">
            <w:pPr>
              <w:pStyle w:val="TableUnitsRow"/>
              <w:jc w:val="left"/>
              <w:rPr>
                <w:b/>
              </w:rPr>
            </w:pPr>
            <w:r w:rsidRPr="00844B11">
              <w:rPr>
                <w:b/>
              </w:rPr>
              <w:t>Primary production</w:t>
            </w:r>
          </w:p>
        </w:tc>
      </w:tr>
      <w:tr w:rsidR="006F3357" w:rsidTr="006F3357">
        <w:tc>
          <w:tcPr>
            <w:tcW w:w="2517" w:type="pct"/>
          </w:tcPr>
          <w:p w:rsidR="006F3357" w:rsidRDefault="006F3357" w:rsidP="0015528D">
            <w:pPr>
              <w:pStyle w:val="TableBodyText"/>
              <w:ind w:right="28"/>
              <w:jc w:val="left"/>
            </w:pPr>
            <w:r>
              <w:t xml:space="preserve"> Horticulture and fruit growing</w:t>
            </w:r>
          </w:p>
        </w:tc>
        <w:tc>
          <w:tcPr>
            <w:tcW w:w="2483" w:type="pct"/>
          </w:tcPr>
          <w:p w:rsidR="006F3357" w:rsidRDefault="006F3357" w:rsidP="003531E4">
            <w:pPr>
              <w:pStyle w:val="TableBodyText"/>
              <w:ind w:left="0"/>
              <w:jc w:val="left"/>
            </w:pPr>
            <w:r>
              <w:t xml:space="preserve"> Horticulture and fruit growing</w:t>
            </w:r>
          </w:p>
        </w:tc>
      </w:tr>
      <w:tr w:rsidR="006F3357" w:rsidTr="006F3357">
        <w:tc>
          <w:tcPr>
            <w:tcW w:w="2517" w:type="pct"/>
          </w:tcPr>
          <w:p w:rsidR="006F3357" w:rsidRDefault="006F3357" w:rsidP="0015528D">
            <w:pPr>
              <w:pStyle w:val="TableBodyText"/>
              <w:ind w:right="28"/>
              <w:jc w:val="left"/>
            </w:pPr>
            <w:r>
              <w:t xml:space="preserve"> Sheep, beef cattle and grain farming</w:t>
            </w:r>
          </w:p>
        </w:tc>
        <w:tc>
          <w:tcPr>
            <w:tcW w:w="2483" w:type="pct"/>
          </w:tcPr>
          <w:p w:rsidR="006F3357" w:rsidRDefault="006F3357" w:rsidP="0093244A">
            <w:pPr>
              <w:pStyle w:val="TableBodyText"/>
              <w:jc w:val="left"/>
            </w:pPr>
            <w:r>
              <w:t xml:space="preserve"> Grain, sheep and beef cattle farming</w:t>
            </w:r>
          </w:p>
        </w:tc>
      </w:tr>
      <w:tr w:rsidR="006F3357" w:rsidTr="006F3357">
        <w:tc>
          <w:tcPr>
            <w:tcW w:w="2517" w:type="pct"/>
          </w:tcPr>
          <w:p w:rsidR="006F3357" w:rsidRDefault="006F3357" w:rsidP="0015528D">
            <w:pPr>
              <w:pStyle w:val="TableBodyText"/>
              <w:ind w:right="28"/>
              <w:jc w:val="left"/>
            </w:pPr>
            <w:r>
              <w:t xml:space="preserve"> Other crop growing</w:t>
            </w:r>
          </w:p>
        </w:tc>
        <w:tc>
          <w:tcPr>
            <w:tcW w:w="2483" w:type="pct"/>
          </w:tcPr>
          <w:p w:rsidR="006F3357" w:rsidRDefault="006F3357" w:rsidP="0093244A">
            <w:pPr>
              <w:pStyle w:val="TableBodyText"/>
              <w:jc w:val="left"/>
            </w:pPr>
            <w:r>
              <w:t xml:space="preserve"> Other crop growing</w:t>
            </w:r>
          </w:p>
        </w:tc>
      </w:tr>
      <w:tr w:rsidR="006F3357" w:rsidTr="006F3357">
        <w:tc>
          <w:tcPr>
            <w:tcW w:w="2517" w:type="pct"/>
          </w:tcPr>
          <w:p w:rsidR="006F3357" w:rsidRDefault="006F3357" w:rsidP="0015528D">
            <w:pPr>
              <w:pStyle w:val="TableBodyText"/>
              <w:ind w:right="28"/>
              <w:jc w:val="left"/>
            </w:pPr>
            <w:r>
              <w:t xml:space="preserve"> Dairy cattle farming</w:t>
            </w:r>
          </w:p>
        </w:tc>
        <w:tc>
          <w:tcPr>
            <w:tcW w:w="2483" w:type="pct"/>
          </w:tcPr>
          <w:p w:rsidR="006F3357" w:rsidRDefault="006F3357" w:rsidP="0093244A">
            <w:pPr>
              <w:pStyle w:val="TableBodyText"/>
              <w:jc w:val="left"/>
            </w:pPr>
            <w:r>
              <w:t xml:space="preserve"> Dairy cattle farming</w:t>
            </w:r>
          </w:p>
        </w:tc>
      </w:tr>
      <w:tr w:rsidR="006F3357" w:rsidTr="006F3357">
        <w:tc>
          <w:tcPr>
            <w:tcW w:w="2517" w:type="pct"/>
          </w:tcPr>
          <w:p w:rsidR="006F3357" w:rsidRDefault="006F3357" w:rsidP="0015528D">
            <w:pPr>
              <w:pStyle w:val="TableBodyText"/>
              <w:ind w:right="28"/>
              <w:jc w:val="left"/>
            </w:pPr>
            <w:r>
              <w:t xml:space="preserve"> Other livestock farming</w:t>
            </w:r>
          </w:p>
        </w:tc>
        <w:tc>
          <w:tcPr>
            <w:tcW w:w="2483" w:type="pct"/>
          </w:tcPr>
          <w:p w:rsidR="006F3357" w:rsidRDefault="006F3357" w:rsidP="0093244A">
            <w:pPr>
              <w:pStyle w:val="TableBodyText"/>
              <w:jc w:val="left"/>
            </w:pPr>
            <w:r>
              <w:t xml:space="preserve"> Other livestock farming</w:t>
            </w:r>
          </w:p>
        </w:tc>
      </w:tr>
      <w:tr w:rsidR="006F3357" w:rsidTr="006F3357">
        <w:tc>
          <w:tcPr>
            <w:tcW w:w="2517" w:type="pct"/>
          </w:tcPr>
          <w:p w:rsidR="006F3357" w:rsidRDefault="006F3357" w:rsidP="0015528D">
            <w:pPr>
              <w:pStyle w:val="TableBodyText"/>
              <w:ind w:right="28"/>
              <w:jc w:val="left"/>
            </w:pPr>
            <w:r>
              <w:t xml:space="preserve"> Aquaculture and fishing</w:t>
            </w:r>
          </w:p>
        </w:tc>
        <w:tc>
          <w:tcPr>
            <w:tcW w:w="2483" w:type="pct"/>
          </w:tcPr>
          <w:p w:rsidR="006F3357" w:rsidRDefault="006F3357" w:rsidP="0093244A">
            <w:pPr>
              <w:pStyle w:val="TableBodyText"/>
              <w:jc w:val="left"/>
            </w:pPr>
            <w:r>
              <w:t xml:space="preserve"> Fisheries</w:t>
            </w:r>
          </w:p>
        </w:tc>
      </w:tr>
      <w:tr w:rsidR="006F3357" w:rsidTr="006F3357">
        <w:tc>
          <w:tcPr>
            <w:tcW w:w="2517" w:type="pct"/>
          </w:tcPr>
          <w:p w:rsidR="006F3357" w:rsidRDefault="006F3357" w:rsidP="0015528D">
            <w:pPr>
              <w:pStyle w:val="TableBodyText"/>
              <w:ind w:right="28"/>
              <w:jc w:val="left"/>
            </w:pPr>
            <w:r>
              <w:t xml:space="preserve"> Forestry and logging</w:t>
            </w:r>
          </w:p>
        </w:tc>
        <w:tc>
          <w:tcPr>
            <w:tcW w:w="2483" w:type="pct"/>
          </w:tcPr>
          <w:p w:rsidR="006F3357" w:rsidRDefault="006F3357" w:rsidP="0093244A">
            <w:pPr>
              <w:pStyle w:val="TableBodyText"/>
              <w:jc w:val="left"/>
            </w:pPr>
            <w:r>
              <w:t xml:space="preserve"> Forestry and logging</w:t>
            </w:r>
          </w:p>
        </w:tc>
      </w:tr>
      <w:tr w:rsidR="006F3357" w:rsidTr="006F3357">
        <w:tc>
          <w:tcPr>
            <w:tcW w:w="2517" w:type="pct"/>
          </w:tcPr>
          <w:p w:rsidR="006F3357" w:rsidRDefault="006F3357" w:rsidP="0015528D">
            <w:pPr>
              <w:pStyle w:val="TableBodyText"/>
              <w:ind w:right="28"/>
              <w:jc w:val="left"/>
            </w:pPr>
            <w:r>
              <w:t xml:space="preserve"> Primary production support services</w:t>
            </w:r>
          </w:p>
        </w:tc>
        <w:tc>
          <w:tcPr>
            <w:tcW w:w="2483" w:type="pct"/>
          </w:tcPr>
          <w:p w:rsidR="006F3357" w:rsidRDefault="006F3357" w:rsidP="0093244A">
            <w:pPr>
              <w:pStyle w:val="TableBodyText"/>
              <w:jc w:val="left"/>
            </w:pPr>
            <w:r>
              <w:t xml:space="preserve"> Other primary production</w:t>
            </w:r>
          </w:p>
        </w:tc>
      </w:tr>
      <w:tr w:rsidR="006F3357" w:rsidTr="006F3357">
        <w:tc>
          <w:tcPr>
            <w:tcW w:w="2517" w:type="pct"/>
          </w:tcPr>
          <w:p w:rsidR="006F3357" w:rsidRDefault="006F3357" w:rsidP="0015528D">
            <w:pPr>
              <w:pStyle w:val="TableBodyText"/>
              <w:ind w:right="28"/>
              <w:jc w:val="left"/>
            </w:pPr>
            <w:r>
              <w:t xml:space="preserve"> Unallocated primary production</w:t>
            </w:r>
          </w:p>
        </w:tc>
        <w:tc>
          <w:tcPr>
            <w:tcW w:w="2483" w:type="pct"/>
          </w:tcPr>
          <w:p w:rsidR="006F3357" w:rsidRDefault="006F3357" w:rsidP="0093244A">
            <w:pPr>
              <w:pStyle w:val="TableBodyText"/>
              <w:jc w:val="left"/>
            </w:pPr>
            <w:r>
              <w:t xml:space="preserve"> Unallocated primary production</w:t>
            </w:r>
          </w:p>
        </w:tc>
      </w:tr>
      <w:tr w:rsidR="006F3357" w:rsidRPr="003531E4" w:rsidTr="006F3357">
        <w:tc>
          <w:tcPr>
            <w:tcW w:w="2517" w:type="pct"/>
          </w:tcPr>
          <w:p w:rsidR="006F3357" w:rsidRPr="003531E4" w:rsidRDefault="006F3357" w:rsidP="0015528D">
            <w:pPr>
              <w:pStyle w:val="TableBodyText"/>
              <w:ind w:right="28"/>
              <w:jc w:val="left"/>
              <w:rPr>
                <w:b/>
              </w:rPr>
            </w:pPr>
            <w:r w:rsidRPr="003531E4">
              <w:rPr>
                <w:b/>
              </w:rPr>
              <w:t>Mining</w:t>
            </w:r>
          </w:p>
        </w:tc>
        <w:tc>
          <w:tcPr>
            <w:tcW w:w="2483" w:type="pct"/>
          </w:tcPr>
          <w:p w:rsidR="006F3357" w:rsidRPr="003531E4" w:rsidRDefault="006F3357" w:rsidP="0093244A">
            <w:pPr>
              <w:pStyle w:val="TableBodyText"/>
              <w:jc w:val="left"/>
              <w:rPr>
                <w:b/>
              </w:rPr>
            </w:pPr>
            <w:r w:rsidRPr="00844B11">
              <w:rPr>
                <w:b/>
              </w:rPr>
              <w:t>Mining</w:t>
            </w:r>
          </w:p>
        </w:tc>
      </w:tr>
      <w:tr w:rsidR="006F3357" w:rsidRPr="003531E4" w:rsidTr="006F3357">
        <w:tc>
          <w:tcPr>
            <w:tcW w:w="2517" w:type="pct"/>
          </w:tcPr>
          <w:p w:rsidR="006F3357" w:rsidRPr="003531E4" w:rsidRDefault="006F3357" w:rsidP="0015528D">
            <w:pPr>
              <w:pStyle w:val="TableBodyText"/>
              <w:ind w:right="28"/>
              <w:jc w:val="left"/>
              <w:rPr>
                <w:b/>
              </w:rPr>
            </w:pPr>
            <w:r w:rsidRPr="003531E4">
              <w:rPr>
                <w:b/>
              </w:rPr>
              <w:t>Manufacturing</w:t>
            </w:r>
          </w:p>
        </w:tc>
        <w:tc>
          <w:tcPr>
            <w:tcW w:w="2483" w:type="pct"/>
          </w:tcPr>
          <w:p w:rsidR="006F3357" w:rsidRPr="003531E4" w:rsidRDefault="006F3357" w:rsidP="0093244A">
            <w:pPr>
              <w:pStyle w:val="TableBodyText"/>
              <w:jc w:val="left"/>
              <w:rPr>
                <w:b/>
              </w:rPr>
            </w:pPr>
            <w:r w:rsidRPr="00844B11">
              <w:rPr>
                <w:b/>
              </w:rPr>
              <w:t>Manufacturing</w:t>
            </w:r>
          </w:p>
        </w:tc>
      </w:tr>
      <w:tr w:rsidR="006F3357" w:rsidTr="006F3357">
        <w:tc>
          <w:tcPr>
            <w:tcW w:w="2517" w:type="pct"/>
          </w:tcPr>
          <w:p w:rsidR="006F3357" w:rsidRDefault="006F3357" w:rsidP="0015528D">
            <w:pPr>
              <w:pStyle w:val="TableBodyText"/>
              <w:ind w:right="28"/>
              <w:jc w:val="left"/>
            </w:pPr>
            <w:r>
              <w:t xml:space="preserve"> Food, beverages and tobacco</w:t>
            </w:r>
          </w:p>
        </w:tc>
        <w:tc>
          <w:tcPr>
            <w:tcW w:w="2483" w:type="pct"/>
          </w:tcPr>
          <w:p w:rsidR="006F3357" w:rsidRDefault="006F3357" w:rsidP="0093244A">
            <w:pPr>
              <w:pStyle w:val="TableBodyText"/>
              <w:jc w:val="left"/>
            </w:pPr>
            <w:r>
              <w:t xml:space="preserve"> Food, beverages and tobacco</w:t>
            </w:r>
          </w:p>
        </w:tc>
      </w:tr>
      <w:tr w:rsidR="006F3357" w:rsidTr="006F3357">
        <w:tc>
          <w:tcPr>
            <w:tcW w:w="2517" w:type="pct"/>
          </w:tcPr>
          <w:p w:rsidR="006F3357" w:rsidRDefault="006F3357" w:rsidP="0015528D">
            <w:pPr>
              <w:pStyle w:val="TableBodyText"/>
              <w:ind w:right="28"/>
              <w:jc w:val="left"/>
            </w:pPr>
            <w:r w:rsidRPr="00884A12">
              <w:t xml:space="preserve"> Textile. leather, clothing and footwear</w:t>
            </w:r>
          </w:p>
        </w:tc>
        <w:tc>
          <w:tcPr>
            <w:tcW w:w="2483" w:type="pct"/>
          </w:tcPr>
          <w:p w:rsidR="006F3357" w:rsidRDefault="006F3357" w:rsidP="00D34932">
            <w:pPr>
              <w:pStyle w:val="TableBodyText"/>
              <w:jc w:val="left"/>
            </w:pPr>
            <w:r>
              <w:t xml:space="preserve"> Textile, clothing, footwear and leather</w:t>
            </w:r>
          </w:p>
        </w:tc>
      </w:tr>
      <w:tr w:rsidR="006F3357" w:rsidTr="006F3357">
        <w:tc>
          <w:tcPr>
            <w:tcW w:w="2517" w:type="pct"/>
          </w:tcPr>
          <w:p w:rsidR="006F3357" w:rsidRDefault="006F3357" w:rsidP="0015528D">
            <w:pPr>
              <w:pStyle w:val="TableBodyText"/>
              <w:ind w:right="28"/>
              <w:jc w:val="left"/>
            </w:pPr>
            <w:r w:rsidRPr="00884A12">
              <w:t xml:space="preserve"> Wood and paper products</w:t>
            </w:r>
          </w:p>
        </w:tc>
        <w:tc>
          <w:tcPr>
            <w:tcW w:w="2483" w:type="pct"/>
          </w:tcPr>
          <w:p w:rsidR="006F3357" w:rsidRDefault="006F3357" w:rsidP="0093244A">
            <w:pPr>
              <w:pStyle w:val="TableBodyText"/>
              <w:jc w:val="left"/>
            </w:pPr>
            <w:r>
              <w:t xml:space="preserve"> Wood and paper products</w:t>
            </w:r>
          </w:p>
        </w:tc>
      </w:tr>
      <w:tr w:rsidR="006F3357" w:rsidTr="006F3357">
        <w:tc>
          <w:tcPr>
            <w:tcW w:w="2517" w:type="pct"/>
          </w:tcPr>
          <w:p w:rsidR="006F3357" w:rsidRDefault="006F3357" w:rsidP="0015528D">
            <w:pPr>
              <w:pStyle w:val="TableBodyText"/>
              <w:ind w:right="28"/>
              <w:jc w:val="left"/>
            </w:pPr>
            <w:r w:rsidRPr="00884A12">
              <w:t xml:space="preserve"> Printing and recorded media</w:t>
            </w:r>
          </w:p>
        </w:tc>
        <w:tc>
          <w:tcPr>
            <w:tcW w:w="2483" w:type="pct"/>
          </w:tcPr>
          <w:p w:rsidR="006F3357" w:rsidRDefault="006F3357" w:rsidP="0093244A">
            <w:pPr>
              <w:pStyle w:val="TableBodyText"/>
              <w:jc w:val="left"/>
            </w:pPr>
            <w:r>
              <w:t xml:space="preserve"> </w:t>
            </w:r>
            <w:r w:rsidRPr="008B5873">
              <w:t>Printing, publishing and recorded media</w:t>
            </w:r>
          </w:p>
        </w:tc>
      </w:tr>
      <w:tr w:rsidR="006F3357" w:rsidTr="006F3357">
        <w:tc>
          <w:tcPr>
            <w:tcW w:w="2517" w:type="pct"/>
          </w:tcPr>
          <w:p w:rsidR="006F3357" w:rsidRDefault="006F3357" w:rsidP="0015528D">
            <w:pPr>
              <w:pStyle w:val="TableBodyText"/>
              <w:ind w:right="28"/>
              <w:jc w:val="left"/>
            </w:pPr>
            <w:r w:rsidRPr="00884A12">
              <w:t xml:space="preserve"> Petroleum, coal, chemical and rubber products</w:t>
            </w:r>
          </w:p>
        </w:tc>
        <w:tc>
          <w:tcPr>
            <w:tcW w:w="2483" w:type="pct"/>
          </w:tcPr>
          <w:p w:rsidR="006F3357" w:rsidRDefault="006F3357" w:rsidP="0093244A">
            <w:pPr>
              <w:pStyle w:val="TableBodyText"/>
              <w:jc w:val="left"/>
            </w:pPr>
            <w:r>
              <w:t xml:space="preserve"> </w:t>
            </w:r>
            <w:r w:rsidRPr="008B5873">
              <w:t>Petroleum, coal and chemical products</w:t>
            </w:r>
          </w:p>
        </w:tc>
      </w:tr>
      <w:tr w:rsidR="006F3357" w:rsidTr="006F3357">
        <w:tc>
          <w:tcPr>
            <w:tcW w:w="2517" w:type="pct"/>
          </w:tcPr>
          <w:p w:rsidR="006F3357" w:rsidRDefault="006F3357" w:rsidP="0015528D">
            <w:pPr>
              <w:pStyle w:val="TableBodyText"/>
              <w:ind w:right="28"/>
              <w:jc w:val="left"/>
            </w:pPr>
            <w:r w:rsidRPr="00884A12">
              <w:t xml:space="preserve"> Non-metallic mineral products</w:t>
            </w:r>
          </w:p>
        </w:tc>
        <w:tc>
          <w:tcPr>
            <w:tcW w:w="2483" w:type="pct"/>
          </w:tcPr>
          <w:p w:rsidR="006F3357" w:rsidRDefault="006F3357" w:rsidP="0093244A">
            <w:pPr>
              <w:pStyle w:val="TableBodyText"/>
              <w:jc w:val="left"/>
            </w:pPr>
            <w:r>
              <w:t xml:space="preserve"> </w:t>
            </w:r>
            <w:r w:rsidRPr="008B5873">
              <w:t>Non-metallic mineral products</w:t>
            </w:r>
          </w:p>
        </w:tc>
      </w:tr>
      <w:tr w:rsidR="006F3357" w:rsidTr="006F3357">
        <w:tc>
          <w:tcPr>
            <w:tcW w:w="2517" w:type="pct"/>
          </w:tcPr>
          <w:p w:rsidR="006F3357" w:rsidRDefault="006F3357" w:rsidP="0015528D">
            <w:pPr>
              <w:pStyle w:val="TableBodyText"/>
              <w:ind w:right="28"/>
              <w:jc w:val="left"/>
            </w:pPr>
            <w:r w:rsidRPr="00884A12">
              <w:t xml:space="preserve"> Metal and fabricated metal products</w:t>
            </w:r>
          </w:p>
        </w:tc>
        <w:tc>
          <w:tcPr>
            <w:tcW w:w="2483" w:type="pct"/>
          </w:tcPr>
          <w:p w:rsidR="006F3357" w:rsidRDefault="006F3357" w:rsidP="0093244A">
            <w:pPr>
              <w:pStyle w:val="TableBodyText"/>
              <w:jc w:val="left"/>
            </w:pPr>
            <w:r>
              <w:t xml:space="preserve"> Metal products</w:t>
            </w:r>
          </w:p>
        </w:tc>
      </w:tr>
      <w:tr w:rsidR="006F3357" w:rsidTr="006F3357">
        <w:tc>
          <w:tcPr>
            <w:tcW w:w="2517" w:type="pct"/>
          </w:tcPr>
          <w:p w:rsidR="006F3357" w:rsidRDefault="006F3357" w:rsidP="0015528D">
            <w:pPr>
              <w:pStyle w:val="TableBodyText"/>
              <w:ind w:right="28"/>
              <w:jc w:val="left"/>
            </w:pPr>
            <w:r w:rsidRPr="00884A12">
              <w:t xml:space="preserve"> Motor vehicles and parts</w:t>
            </w:r>
          </w:p>
        </w:tc>
        <w:tc>
          <w:tcPr>
            <w:tcW w:w="2483" w:type="pct"/>
          </w:tcPr>
          <w:p w:rsidR="006F3357" w:rsidRDefault="006F3357" w:rsidP="0093244A">
            <w:pPr>
              <w:pStyle w:val="TableBodyText"/>
              <w:jc w:val="left"/>
            </w:pPr>
            <w:r>
              <w:t xml:space="preserve"> Motor vehicles and parts</w:t>
            </w:r>
          </w:p>
        </w:tc>
      </w:tr>
      <w:tr w:rsidR="006F3357" w:rsidTr="006F3357">
        <w:tc>
          <w:tcPr>
            <w:tcW w:w="2517" w:type="pct"/>
          </w:tcPr>
          <w:p w:rsidR="006F3357" w:rsidRDefault="006F3357" w:rsidP="0015528D">
            <w:pPr>
              <w:pStyle w:val="TableBodyText"/>
              <w:ind w:right="28"/>
              <w:jc w:val="left"/>
            </w:pPr>
            <w:r w:rsidRPr="00884A12">
              <w:t xml:space="preserve"> Other transport equipment</w:t>
            </w:r>
          </w:p>
        </w:tc>
        <w:tc>
          <w:tcPr>
            <w:tcW w:w="2483" w:type="pct"/>
          </w:tcPr>
          <w:p w:rsidR="006F3357" w:rsidRDefault="006F3357" w:rsidP="0093244A">
            <w:pPr>
              <w:pStyle w:val="TableBodyText"/>
              <w:jc w:val="left"/>
            </w:pPr>
            <w:r>
              <w:t xml:space="preserve"> Other transport equipment</w:t>
            </w:r>
          </w:p>
        </w:tc>
      </w:tr>
      <w:tr w:rsidR="006F3357" w:rsidTr="006F3357">
        <w:tc>
          <w:tcPr>
            <w:tcW w:w="2517" w:type="pct"/>
          </w:tcPr>
          <w:p w:rsidR="006F3357" w:rsidRDefault="006F3357" w:rsidP="0015528D">
            <w:pPr>
              <w:pStyle w:val="TableBodyText"/>
              <w:ind w:right="28"/>
              <w:jc w:val="left"/>
            </w:pPr>
            <w:r w:rsidRPr="00884A12">
              <w:t xml:space="preserve"> Machinery and equipment manufacturing</w:t>
            </w:r>
          </w:p>
        </w:tc>
        <w:tc>
          <w:tcPr>
            <w:tcW w:w="2483" w:type="pct"/>
          </w:tcPr>
          <w:p w:rsidR="006F3357" w:rsidRDefault="006F3357" w:rsidP="0093244A">
            <w:pPr>
              <w:pStyle w:val="TableBodyText"/>
              <w:jc w:val="left"/>
            </w:pPr>
            <w:r>
              <w:t xml:space="preserve"> Other machinery and equipment</w:t>
            </w:r>
          </w:p>
        </w:tc>
      </w:tr>
      <w:tr w:rsidR="006F3357" w:rsidTr="006F3357">
        <w:tc>
          <w:tcPr>
            <w:tcW w:w="2517" w:type="pct"/>
          </w:tcPr>
          <w:p w:rsidR="006F3357" w:rsidRDefault="006F3357" w:rsidP="0015528D">
            <w:pPr>
              <w:pStyle w:val="TableBodyText"/>
              <w:ind w:right="28"/>
              <w:jc w:val="left"/>
            </w:pPr>
            <w:r w:rsidRPr="00884A12">
              <w:t xml:space="preserve"> Furniture and other manufacturing</w:t>
            </w:r>
          </w:p>
        </w:tc>
        <w:tc>
          <w:tcPr>
            <w:tcW w:w="2483" w:type="pct"/>
          </w:tcPr>
          <w:p w:rsidR="006F3357" w:rsidRDefault="006F3357" w:rsidP="0093244A">
            <w:pPr>
              <w:pStyle w:val="TableBodyText"/>
              <w:jc w:val="left"/>
            </w:pPr>
            <w:r>
              <w:t xml:space="preserve"> Other manufacturing</w:t>
            </w:r>
          </w:p>
        </w:tc>
      </w:tr>
      <w:tr w:rsidR="006F3357" w:rsidTr="006F3357">
        <w:tc>
          <w:tcPr>
            <w:tcW w:w="2517" w:type="pct"/>
          </w:tcPr>
          <w:p w:rsidR="006F3357" w:rsidRDefault="006F3357" w:rsidP="0015528D">
            <w:pPr>
              <w:pStyle w:val="TableBodyText"/>
              <w:ind w:right="28"/>
              <w:jc w:val="left"/>
            </w:pPr>
            <w:r w:rsidRPr="00884A12">
              <w:t xml:space="preserve"> Unallocated manufacturing</w:t>
            </w:r>
          </w:p>
        </w:tc>
        <w:tc>
          <w:tcPr>
            <w:tcW w:w="2483" w:type="pct"/>
          </w:tcPr>
          <w:p w:rsidR="006F3357" w:rsidRDefault="006F3357" w:rsidP="0093244A">
            <w:pPr>
              <w:pStyle w:val="TableBodyText"/>
              <w:jc w:val="left"/>
            </w:pPr>
            <w:r>
              <w:t xml:space="preserve"> </w:t>
            </w:r>
            <w:r w:rsidRPr="00884A12">
              <w:t>Unallocated manufacturing</w:t>
            </w:r>
          </w:p>
        </w:tc>
      </w:tr>
      <w:tr w:rsidR="006F3357" w:rsidRPr="003531E4" w:rsidTr="006F3357">
        <w:tc>
          <w:tcPr>
            <w:tcW w:w="2517" w:type="pct"/>
          </w:tcPr>
          <w:p w:rsidR="006F3357" w:rsidRPr="003531E4" w:rsidRDefault="006F3357" w:rsidP="0015528D">
            <w:pPr>
              <w:pStyle w:val="TableBodyText"/>
              <w:ind w:right="28"/>
              <w:jc w:val="left"/>
              <w:rPr>
                <w:b/>
              </w:rPr>
            </w:pPr>
            <w:r w:rsidRPr="003531E4">
              <w:rPr>
                <w:b/>
              </w:rPr>
              <w:t>Services</w:t>
            </w:r>
          </w:p>
        </w:tc>
        <w:tc>
          <w:tcPr>
            <w:tcW w:w="2483" w:type="pct"/>
          </w:tcPr>
          <w:p w:rsidR="006F3357" w:rsidRPr="003531E4" w:rsidRDefault="006F3357" w:rsidP="0093244A">
            <w:pPr>
              <w:pStyle w:val="TableBodyText"/>
              <w:jc w:val="left"/>
              <w:rPr>
                <w:b/>
              </w:rPr>
            </w:pPr>
            <w:r w:rsidRPr="00844B11">
              <w:rPr>
                <w:b/>
              </w:rPr>
              <w:t>Services</w:t>
            </w:r>
          </w:p>
        </w:tc>
      </w:tr>
      <w:tr w:rsidR="006F3357" w:rsidTr="006F3357">
        <w:tc>
          <w:tcPr>
            <w:tcW w:w="2517" w:type="pct"/>
          </w:tcPr>
          <w:p w:rsidR="006F3357" w:rsidRDefault="006F3357" w:rsidP="0015528D">
            <w:pPr>
              <w:pStyle w:val="TableBodyText"/>
              <w:ind w:right="28"/>
              <w:jc w:val="left"/>
            </w:pPr>
            <w:r w:rsidRPr="00214E88">
              <w:t xml:space="preserve"> Electricity, gas, water and waste services</w:t>
            </w:r>
          </w:p>
        </w:tc>
        <w:tc>
          <w:tcPr>
            <w:tcW w:w="2483" w:type="pct"/>
          </w:tcPr>
          <w:p w:rsidR="006F3357" w:rsidRDefault="006F3357" w:rsidP="0093244A">
            <w:pPr>
              <w:pStyle w:val="TableBodyText"/>
              <w:jc w:val="left"/>
            </w:pPr>
            <w:r>
              <w:t xml:space="preserve"> Electricity, gas and water supply</w:t>
            </w:r>
          </w:p>
        </w:tc>
      </w:tr>
      <w:tr w:rsidR="006F3357" w:rsidTr="006F3357">
        <w:tc>
          <w:tcPr>
            <w:tcW w:w="2517" w:type="pct"/>
          </w:tcPr>
          <w:p w:rsidR="006F3357" w:rsidRDefault="006F3357" w:rsidP="0015528D">
            <w:pPr>
              <w:pStyle w:val="TableBodyText"/>
              <w:ind w:right="28"/>
              <w:jc w:val="left"/>
            </w:pPr>
            <w:r w:rsidRPr="00214E88">
              <w:t xml:space="preserve"> Construction</w:t>
            </w:r>
          </w:p>
        </w:tc>
        <w:tc>
          <w:tcPr>
            <w:tcW w:w="2483" w:type="pct"/>
          </w:tcPr>
          <w:p w:rsidR="006F3357" w:rsidRDefault="006F3357" w:rsidP="0093244A">
            <w:pPr>
              <w:pStyle w:val="TableBodyText"/>
              <w:jc w:val="left"/>
            </w:pPr>
            <w:r>
              <w:t xml:space="preserve"> Construction</w:t>
            </w:r>
          </w:p>
        </w:tc>
      </w:tr>
      <w:tr w:rsidR="006F3357" w:rsidTr="006F3357">
        <w:tc>
          <w:tcPr>
            <w:tcW w:w="2517" w:type="pct"/>
          </w:tcPr>
          <w:p w:rsidR="006F3357" w:rsidRDefault="006F3357" w:rsidP="0015528D">
            <w:pPr>
              <w:pStyle w:val="TableBodyText"/>
              <w:ind w:right="28"/>
              <w:jc w:val="left"/>
            </w:pPr>
            <w:r w:rsidRPr="00214E88">
              <w:t xml:space="preserve"> Wholesale trade</w:t>
            </w:r>
          </w:p>
        </w:tc>
        <w:tc>
          <w:tcPr>
            <w:tcW w:w="2483" w:type="pct"/>
          </w:tcPr>
          <w:p w:rsidR="006F3357" w:rsidRDefault="006F3357" w:rsidP="0093244A">
            <w:pPr>
              <w:pStyle w:val="TableBodyText"/>
              <w:jc w:val="left"/>
            </w:pPr>
            <w:r>
              <w:t xml:space="preserve"> Wholesale trade</w:t>
            </w:r>
          </w:p>
        </w:tc>
      </w:tr>
      <w:tr w:rsidR="006F3357" w:rsidTr="006F3357">
        <w:tc>
          <w:tcPr>
            <w:tcW w:w="2517" w:type="pct"/>
          </w:tcPr>
          <w:p w:rsidR="006F3357" w:rsidRDefault="006F3357" w:rsidP="0015528D">
            <w:pPr>
              <w:pStyle w:val="TableBodyText"/>
              <w:ind w:right="28"/>
              <w:jc w:val="left"/>
            </w:pPr>
            <w:r w:rsidRPr="00214E88">
              <w:t xml:space="preserve"> Retail trade</w:t>
            </w:r>
          </w:p>
        </w:tc>
        <w:tc>
          <w:tcPr>
            <w:tcW w:w="2483" w:type="pct"/>
          </w:tcPr>
          <w:p w:rsidR="006F3357" w:rsidRDefault="006F3357" w:rsidP="0093244A">
            <w:pPr>
              <w:pStyle w:val="TableBodyText"/>
              <w:jc w:val="left"/>
            </w:pPr>
            <w:r>
              <w:t xml:space="preserve"> Retail trade</w:t>
            </w:r>
          </w:p>
        </w:tc>
      </w:tr>
      <w:tr w:rsidR="006F3357" w:rsidTr="006F3357">
        <w:tc>
          <w:tcPr>
            <w:tcW w:w="2517" w:type="pct"/>
          </w:tcPr>
          <w:p w:rsidR="006F3357" w:rsidRDefault="006F3357" w:rsidP="0015528D">
            <w:pPr>
              <w:pStyle w:val="TableBodyText"/>
              <w:ind w:right="28"/>
              <w:jc w:val="left"/>
            </w:pPr>
            <w:r w:rsidRPr="00214E88">
              <w:t xml:space="preserve"> Accommodation and food services</w:t>
            </w:r>
          </w:p>
        </w:tc>
        <w:tc>
          <w:tcPr>
            <w:tcW w:w="2483" w:type="pct"/>
          </w:tcPr>
          <w:p w:rsidR="006F3357" w:rsidRDefault="006F3357" w:rsidP="0093244A">
            <w:pPr>
              <w:pStyle w:val="TableBodyText"/>
              <w:jc w:val="left"/>
            </w:pPr>
            <w:r>
              <w:t xml:space="preserve"> </w:t>
            </w:r>
            <w:r w:rsidRPr="00577CCE">
              <w:t>Accommodation, cafes and restaurants</w:t>
            </w:r>
          </w:p>
        </w:tc>
      </w:tr>
      <w:tr w:rsidR="006F3357" w:rsidTr="006F3357">
        <w:tc>
          <w:tcPr>
            <w:tcW w:w="2517" w:type="pct"/>
          </w:tcPr>
          <w:p w:rsidR="006F3357" w:rsidRDefault="006F3357" w:rsidP="0015528D">
            <w:pPr>
              <w:pStyle w:val="TableBodyText"/>
              <w:ind w:right="28"/>
              <w:jc w:val="left"/>
            </w:pPr>
            <w:r w:rsidRPr="00214E88">
              <w:t xml:space="preserve"> Transport, postal and warehousing</w:t>
            </w:r>
          </w:p>
        </w:tc>
        <w:tc>
          <w:tcPr>
            <w:tcW w:w="2483" w:type="pct"/>
          </w:tcPr>
          <w:p w:rsidR="006F3357" w:rsidRDefault="006F3357" w:rsidP="0093244A">
            <w:pPr>
              <w:pStyle w:val="TableBodyText"/>
              <w:jc w:val="left"/>
            </w:pPr>
            <w:r>
              <w:t xml:space="preserve"> </w:t>
            </w:r>
            <w:r w:rsidRPr="00577CCE">
              <w:t>Transport and storage</w:t>
            </w:r>
          </w:p>
        </w:tc>
      </w:tr>
      <w:tr w:rsidR="006F3357" w:rsidTr="006F3357">
        <w:tc>
          <w:tcPr>
            <w:tcW w:w="2517" w:type="pct"/>
          </w:tcPr>
          <w:p w:rsidR="006F3357" w:rsidRDefault="006F3357" w:rsidP="0015528D">
            <w:pPr>
              <w:pStyle w:val="TableBodyText"/>
              <w:ind w:right="28"/>
              <w:jc w:val="left"/>
            </w:pPr>
            <w:r w:rsidRPr="00214E88">
              <w:t xml:space="preserve"> Information, media and telecommunications</w:t>
            </w:r>
          </w:p>
        </w:tc>
        <w:tc>
          <w:tcPr>
            <w:tcW w:w="2483" w:type="pct"/>
          </w:tcPr>
          <w:p w:rsidR="006F3357" w:rsidRDefault="006F3357" w:rsidP="0093244A">
            <w:pPr>
              <w:pStyle w:val="TableBodyText"/>
              <w:jc w:val="left"/>
            </w:pPr>
            <w:r>
              <w:t xml:space="preserve"> </w:t>
            </w:r>
            <w:r w:rsidRPr="00577CCE">
              <w:t>Communication services</w:t>
            </w:r>
          </w:p>
        </w:tc>
      </w:tr>
      <w:tr w:rsidR="006F3357" w:rsidTr="006F3357">
        <w:tc>
          <w:tcPr>
            <w:tcW w:w="2517" w:type="pct"/>
          </w:tcPr>
          <w:p w:rsidR="006F3357" w:rsidRDefault="006F3357" w:rsidP="0015528D">
            <w:pPr>
              <w:pStyle w:val="TableBodyText"/>
              <w:ind w:right="28"/>
              <w:jc w:val="left"/>
            </w:pPr>
            <w:r w:rsidRPr="00214E88">
              <w:t xml:space="preserve"> Financial and insurance services</w:t>
            </w:r>
          </w:p>
        </w:tc>
        <w:tc>
          <w:tcPr>
            <w:tcW w:w="2483" w:type="pct"/>
          </w:tcPr>
          <w:p w:rsidR="006F3357" w:rsidRDefault="006F3357" w:rsidP="00577CCE">
            <w:pPr>
              <w:pStyle w:val="TableBodyText"/>
              <w:jc w:val="left"/>
            </w:pPr>
            <w:r>
              <w:t xml:space="preserve"> </w:t>
            </w:r>
            <w:r w:rsidRPr="00577CCE">
              <w:t>Finance and insurance</w:t>
            </w:r>
            <w:r>
              <w:t xml:space="preserve"> services</w:t>
            </w:r>
          </w:p>
        </w:tc>
      </w:tr>
      <w:tr w:rsidR="006F3357" w:rsidTr="006F3357">
        <w:tc>
          <w:tcPr>
            <w:tcW w:w="2517" w:type="pct"/>
          </w:tcPr>
          <w:p w:rsidR="006F3357" w:rsidRDefault="006F3357" w:rsidP="0015528D">
            <w:pPr>
              <w:pStyle w:val="TableBodyText"/>
              <w:ind w:right="28"/>
              <w:jc w:val="left"/>
            </w:pPr>
            <w:r w:rsidRPr="00214E88">
              <w:t xml:space="preserve"> Property, professional </w:t>
            </w:r>
            <w:r>
              <w:t xml:space="preserve">and </w:t>
            </w:r>
            <w:r w:rsidRPr="00214E88">
              <w:t>administration</w:t>
            </w:r>
          </w:p>
        </w:tc>
        <w:tc>
          <w:tcPr>
            <w:tcW w:w="2483" w:type="pct"/>
          </w:tcPr>
          <w:p w:rsidR="006F3357" w:rsidRDefault="006F3357" w:rsidP="0093244A">
            <w:pPr>
              <w:pStyle w:val="TableBodyText"/>
              <w:jc w:val="left"/>
            </w:pPr>
            <w:r>
              <w:t xml:space="preserve"> </w:t>
            </w:r>
            <w:r w:rsidRPr="00577CCE">
              <w:t>Property and business services</w:t>
            </w:r>
          </w:p>
        </w:tc>
      </w:tr>
      <w:tr w:rsidR="006F3357" w:rsidTr="006F3357">
        <w:tc>
          <w:tcPr>
            <w:tcW w:w="2517" w:type="pct"/>
          </w:tcPr>
          <w:p w:rsidR="006F3357" w:rsidRDefault="006F3357" w:rsidP="0015528D">
            <w:pPr>
              <w:pStyle w:val="TableBodyText"/>
              <w:ind w:right="28"/>
              <w:jc w:val="left"/>
            </w:pPr>
            <w:r w:rsidRPr="00214E88">
              <w:t xml:space="preserve"> Public administration and safety</w:t>
            </w:r>
          </w:p>
        </w:tc>
        <w:tc>
          <w:tcPr>
            <w:tcW w:w="2483" w:type="pct"/>
          </w:tcPr>
          <w:p w:rsidR="006F3357" w:rsidRDefault="006F3357" w:rsidP="0093244A">
            <w:pPr>
              <w:pStyle w:val="TableBodyText"/>
              <w:jc w:val="left"/>
            </w:pPr>
            <w:r>
              <w:t xml:space="preserve"> </w:t>
            </w:r>
            <w:r w:rsidRPr="00577CCE">
              <w:t>Government administration and defence</w:t>
            </w:r>
          </w:p>
        </w:tc>
      </w:tr>
      <w:tr w:rsidR="006F3357" w:rsidTr="006F3357">
        <w:tc>
          <w:tcPr>
            <w:tcW w:w="2517" w:type="pct"/>
          </w:tcPr>
          <w:p w:rsidR="006F3357" w:rsidRDefault="006F3357" w:rsidP="0015528D">
            <w:pPr>
              <w:pStyle w:val="TableBodyText"/>
              <w:ind w:right="28"/>
              <w:jc w:val="left"/>
            </w:pPr>
            <w:r w:rsidRPr="006B58CA">
              <w:t xml:space="preserve"> Education and training</w:t>
            </w:r>
          </w:p>
        </w:tc>
        <w:tc>
          <w:tcPr>
            <w:tcW w:w="2483" w:type="pct"/>
          </w:tcPr>
          <w:p w:rsidR="006F3357" w:rsidRDefault="006F3357" w:rsidP="0093244A">
            <w:pPr>
              <w:pStyle w:val="TableBodyText"/>
              <w:jc w:val="left"/>
            </w:pPr>
            <w:r>
              <w:t xml:space="preserve"> Education</w:t>
            </w:r>
          </w:p>
        </w:tc>
      </w:tr>
      <w:tr w:rsidR="006F3357" w:rsidTr="006F3357">
        <w:tc>
          <w:tcPr>
            <w:tcW w:w="2517" w:type="pct"/>
          </w:tcPr>
          <w:p w:rsidR="006F3357" w:rsidRDefault="006F3357" w:rsidP="0015528D">
            <w:pPr>
              <w:pStyle w:val="TableBodyText"/>
              <w:ind w:right="28"/>
              <w:jc w:val="left"/>
            </w:pPr>
            <w:r w:rsidRPr="006B58CA">
              <w:t xml:space="preserve"> Health care and social assistance</w:t>
            </w:r>
          </w:p>
        </w:tc>
        <w:tc>
          <w:tcPr>
            <w:tcW w:w="2483" w:type="pct"/>
          </w:tcPr>
          <w:p w:rsidR="006F3357" w:rsidRDefault="006F3357" w:rsidP="0093244A">
            <w:pPr>
              <w:pStyle w:val="TableBodyText"/>
              <w:jc w:val="left"/>
            </w:pPr>
            <w:r>
              <w:t xml:space="preserve"> </w:t>
            </w:r>
            <w:r w:rsidRPr="00577CCE">
              <w:t>Health and community services</w:t>
            </w:r>
          </w:p>
        </w:tc>
      </w:tr>
      <w:tr w:rsidR="006F3357" w:rsidTr="006F3357">
        <w:tc>
          <w:tcPr>
            <w:tcW w:w="2517" w:type="pct"/>
          </w:tcPr>
          <w:p w:rsidR="006F3357" w:rsidRDefault="006F3357" w:rsidP="0015528D">
            <w:pPr>
              <w:pStyle w:val="TableBodyText"/>
              <w:ind w:right="28"/>
              <w:jc w:val="left"/>
            </w:pPr>
            <w:r w:rsidRPr="006B58CA">
              <w:t xml:space="preserve"> Arts and recreation services</w:t>
            </w:r>
          </w:p>
        </w:tc>
        <w:tc>
          <w:tcPr>
            <w:tcW w:w="2483" w:type="pct"/>
          </w:tcPr>
          <w:p w:rsidR="006F3357" w:rsidRDefault="006F3357" w:rsidP="0093244A">
            <w:pPr>
              <w:pStyle w:val="TableBodyText"/>
              <w:jc w:val="left"/>
            </w:pPr>
            <w:r>
              <w:t xml:space="preserve"> </w:t>
            </w:r>
            <w:r w:rsidRPr="00577CCE">
              <w:t>Cultural and recreational services</w:t>
            </w:r>
          </w:p>
        </w:tc>
      </w:tr>
      <w:tr w:rsidR="006F3357" w:rsidTr="006F3357">
        <w:tc>
          <w:tcPr>
            <w:tcW w:w="2517" w:type="pct"/>
          </w:tcPr>
          <w:p w:rsidR="006F3357" w:rsidRDefault="006F3357" w:rsidP="0015528D">
            <w:pPr>
              <w:pStyle w:val="TableBodyText"/>
              <w:ind w:right="28"/>
              <w:jc w:val="left"/>
            </w:pPr>
            <w:r w:rsidRPr="006B58CA">
              <w:t xml:space="preserve"> Other services</w:t>
            </w:r>
          </w:p>
        </w:tc>
        <w:tc>
          <w:tcPr>
            <w:tcW w:w="2483" w:type="pct"/>
          </w:tcPr>
          <w:p w:rsidR="006F3357" w:rsidRDefault="006F3357" w:rsidP="0093244A">
            <w:pPr>
              <w:pStyle w:val="TableBodyText"/>
              <w:jc w:val="left"/>
            </w:pPr>
            <w:r>
              <w:t xml:space="preserve"> </w:t>
            </w:r>
            <w:r w:rsidRPr="00577CCE">
              <w:t>Personal and other services</w:t>
            </w:r>
          </w:p>
        </w:tc>
      </w:tr>
      <w:tr w:rsidR="006F3357" w:rsidTr="006F3357">
        <w:tc>
          <w:tcPr>
            <w:tcW w:w="2517" w:type="pct"/>
          </w:tcPr>
          <w:p w:rsidR="006F3357" w:rsidRDefault="006F3357" w:rsidP="0015528D">
            <w:pPr>
              <w:pStyle w:val="TableBodyText"/>
              <w:ind w:right="28"/>
              <w:jc w:val="left"/>
            </w:pPr>
            <w:r>
              <w:t xml:space="preserve"> Unallocated services</w:t>
            </w:r>
          </w:p>
        </w:tc>
        <w:tc>
          <w:tcPr>
            <w:tcW w:w="2483" w:type="pct"/>
          </w:tcPr>
          <w:p w:rsidR="006F3357" w:rsidRDefault="006F3357" w:rsidP="0093244A">
            <w:pPr>
              <w:pStyle w:val="TableBodyText"/>
              <w:jc w:val="left"/>
            </w:pPr>
            <w:r>
              <w:t xml:space="preserve"> Unallocated services</w:t>
            </w:r>
          </w:p>
        </w:tc>
      </w:tr>
      <w:tr w:rsidR="006F3357" w:rsidRPr="003531E4" w:rsidTr="006F3357">
        <w:tc>
          <w:tcPr>
            <w:tcW w:w="2517" w:type="pct"/>
            <w:tcBorders>
              <w:bottom w:val="single" w:sz="6" w:space="0" w:color="auto"/>
            </w:tcBorders>
          </w:tcPr>
          <w:p w:rsidR="006F3357" w:rsidRPr="003531E4" w:rsidRDefault="006F3357" w:rsidP="0015528D">
            <w:pPr>
              <w:pStyle w:val="TableBodyText"/>
              <w:ind w:right="28"/>
              <w:jc w:val="left"/>
              <w:rPr>
                <w:b/>
              </w:rPr>
            </w:pPr>
            <w:r w:rsidRPr="003531E4">
              <w:rPr>
                <w:b/>
              </w:rPr>
              <w:t>Unallocated other</w:t>
            </w:r>
          </w:p>
        </w:tc>
        <w:tc>
          <w:tcPr>
            <w:tcW w:w="2483" w:type="pct"/>
            <w:tcBorders>
              <w:bottom w:val="single" w:sz="6" w:space="0" w:color="auto"/>
            </w:tcBorders>
            <w:shd w:val="clear" w:color="auto" w:fill="auto"/>
          </w:tcPr>
          <w:p w:rsidR="006F3357" w:rsidRPr="003531E4" w:rsidRDefault="006F3357" w:rsidP="0093244A">
            <w:pPr>
              <w:pStyle w:val="TableBodyText"/>
              <w:jc w:val="left"/>
              <w:rPr>
                <w:b/>
              </w:rPr>
            </w:pPr>
            <w:r w:rsidRPr="00844B11">
              <w:rPr>
                <w:b/>
              </w:rPr>
              <w:t>Unallocated other</w:t>
            </w:r>
          </w:p>
        </w:tc>
      </w:tr>
    </w:tbl>
    <w:p w:rsidR="0093244A" w:rsidRPr="008E77FE" w:rsidRDefault="0093244A" w:rsidP="0093244A">
      <w:pPr>
        <w:pStyle w:val="Source"/>
      </w:pPr>
      <w:r>
        <w:rPr>
          <w:i/>
        </w:rPr>
        <w:t>Source</w:t>
      </w:r>
      <w:r>
        <w:t xml:space="preserve">: </w:t>
      </w:r>
      <w:r w:rsidR="00352C05">
        <w:t>B</w:t>
      </w:r>
      <w:r w:rsidR="00D46F28">
        <w:t>ased on ABS (2006).</w:t>
      </w:r>
    </w:p>
    <w:p w:rsidR="00676B96" w:rsidRDefault="002318E5" w:rsidP="00250F17">
      <w:pPr>
        <w:pStyle w:val="Heading2"/>
      </w:pPr>
      <w:r>
        <w:lastRenderedPageBreak/>
        <w:t>4.</w:t>
      </w:r>
      <w:r>
        <w:rPr>
          <w:noProof/>
        </w:rPr>
        <w:t>5</w:t>
      </w:r>
      <w:r w:rsidR="00250F17">
        <w:tab/>
        <w:t>Tariff rate data — services sector adjustment</w:t>
      </w:r>
    </w:p>
    <w:p w:rsidR="00C868FD" w:rsidRDefault="00C868FD" w:rsidP="00C868FD">
      <w:pPr>
        <w:pStyle w:val="BodyText"/>
      </w:pPr>
      <w:r>
        <w:t>In deriving the price impacts of tariffs for both output and input goods, the Commission uses an ABS concordance from the trade classification to the ABS input-output product classification. This concordance maps imports of merchandise goods (around 5</w:t>
      </w:r>
      <w:r w:rsidR="00BE2535">
        <w:t>5</w:t>
      </w:r>
      <w:r>
        <w:t>00</w:t>
      </w:r>
      <w:r w:rsidR="00E82F8E">
        <w:t xml:space="preserve"> </w:t>
      </w:r>
      <w:r>
        <w:t>items or product categories) to the corresponding categories in the ABS’s input-output product classification (around 1</w:t>
      </w:r>
      <w:r w:rsidR="00BE2535">
        <w:t>285</w:t>
      </w:r>
      <w:r w:rsidR="00E82F8E">
        <w:t xml:space="preserve"> </w:t>
      </w:r>
      <w:r>
        <w:t xml:space="preserve">products). </w:t>
      </w:r>
    </w:p>
    <w:p w:rsidR="00C868FD" w:rsidRDefault="00C868FD" w:rsidP="00C868FD">
      <w:pPr>
        <w:pStyle w:val="BodyText"/>
      </w:pPr>
      <w:r>
        <w:t xml:space="preserve">Direct application of the ABS concordance between the merchandise traded goods and the ABS </w:t>
      </w:r>
      <w:r w:rsidR="00436B0C">
        <w:t>i</w:t>
      </w:r>
      <w:r>
        <w:t>nput-</w:t>
      </w:r>
      <w:r w:rsidR="00436B0C">
        <w:t>o</w:t>
      </w:r>
      <w:r>
        <w:t>utput classification would result in an average non-zero tariff for some broad service industry groupings</w:t>
      </w:r>
      <w:r w:rsidR="0010428B">
        <w:t xml:space="preserve"> (table </w:t>
      </w:r>
      <w:r w:rsidR="002318E5">
        <w:t>4.4</w:t>
      </w:r>
      <w:r w:rsidR="0010428B">
        <w:t>)</w:t>
      </w:r>
      <w:r>
        <w:t xml:space="preserve">. Such ‘average’ tariff rates would not be considered representative of the majority of the main service activities in that industry grouping. For example, the ABS </w:t>
      </w:r>
      <w:r w:rsidR="00865F95">
        <w:t xml:space="preserve">partly </w:t>
      </w:r>
      <w:r>
        <w:t>classif</w:t>
      </w:r>
      <w:r w:rsidR="00FE1FD1">
        <w:t>ies</w:t>
      </w:r>
      <w:r>
        <w:t xml:space="preserve"> re-imported medical waste products as </w:t>
      </w:r>
      <w:r w:rsidRPr="00854ED1">
        <w:rPr>
          <w:i/>
        </w:rPr>
        <w:t xml:space="preserve">Health </w:t>
      </w:r>
      <w:r w:rsidR="00BE2535">
        <w:rPr>
          <w:i/>
        </w:rPr>
        <w:t>care</w:t>
      </w:r>
      <w:r w:rsidR="00ED3ECD">
        <w:rPr>
          <w:i/>
        </w:rPr>
        <w:t xml:space="preserve"> and social assistance </w:t>
      </w:r>
      <w:r w:rsidRPr="00854ED1">
        <w:rPr>
          <w:i/>
        </w:rPr>
        <w:t>services</w:t>
      </w:r>
      <w:r>
        <w:t xml:space="preserve">. Direct application of the concordance would generate a non-zero average tariff rate for the entire </w:t>
      </w:r>
      <w:r w:rsidRPr="00854ED1">
        <w:rPr>
          <w:i/>
        </w:rPr>
        <w:t xml:space="preserve">Health </w:t>
      </w:r>
      <w:r w:rsidR="00BE2535">
        <w:rPr>
          <w:i/>
        </w:rPr>
        <w:t>care</w:t>
      </w:r>
      <w:r w:rsidR="00ED3ECD">
        <w:rPr>
          <w:i/>
        </w:rPr>
        <w:t xml:space="preserve"> and social assistance</w:t>
      </w:r>
      <w:r w:rsidR="00BE2535">
        <w:rPr>
          <w:i/>
        </w:rPr>
        <w:t xml:space="preserve"> </w:t>
      </w:r>
      <w:r w:rsidRPr="00854ED1">
        <w:rPr>
          <w:i/>
        </w:rPr>
        <w:t>services</w:t>
      </w:r>
      <w:r>
        <w:t xml:space="preserve"> grouping. </w:t>
      </w:r>
    </w:p>
    <w:p w:rsidR="006507DD" w:rsidRDefault="00C868FD" w:rsidP="00120072">
      <w:pPr>
        <w:pStyle w:val="BodyText"/>
      </w:pPr>
      <w:r>
        <w:t xml:space="preserve">Thus, </w:t>
      </w:r>
      <w:r w:rsidR="0017592D">
        <w:t xml:space="preserve">following the practice adopted in previous series, </w:t>
      </w:r>
      <w:r>
        <w:t>the 200</w:t>
      </w:r>
      <w:r w:rsidR="00BE2535">
        <w:t>8</w:t>
      </w:r>
      <w:r w:rsidR="00854ED1">
        <w:noBreakHyphen/>
      </w:r>
      <w:r>
        <w:t>0</w:t>
      </w:r>
      <w:r w:rsidR="00BE2535">
        <w:t>9</w:t>
      </w:r>
      <w:r>
        <w:t xml:space="preserve"> series has set tariff rates on merchandise products mapped to services industries by the ABS equal to zero. The services industries involved were</w:t>
      </w:r>
      <w:r w:rsidR="00BE2535">
        <w:t xml:space="preserve"> </w:t>
      </w:r>
      <w:r w:rsidR="00BE2535" w:rsidRPr="004342BF">
        <w:rPr>
          <w:i/>
        </w:rPr>
        <w:t>Property, professional and administrative services</w:t>
      </w:r>
      <w:r w:rsidR="00ED3ECD">
        <w:t xml:space="preserve">, </w:t>
      </w:r>
      <w:r w:rsidR="00ED3ECD" w:rsidRPr="00ED3ECD">
        <w:rPr>
          <w:i/>
        </w:rPr>
        <w:t>Public administration and safety</w:t>
      </w:r>
      <w:r w:rsidR="00ED3ECD">
        <w:t xml:space="preserve"> and </w:t>
      </w:r>
      <w:r w:rsidR="00ED3ECD" w:rsidRPr="00ED3ECD">
        <w:rPr>
          <w:i/>
        </w:rPr>
        <w:t xml:space="preserve">Health care and social assistance </w:t>
      </w:r>
      <w:r w:rsidRPr="00ED3ECD">
        <w:rPr>
          <w:i/>
        </w:rPr>
        <w:t>services</w:t>
      </w:r>
      <w:r>
        <w:t xml:space="preserve">. </w:t>
      </w:r>
    </w:p>
    <w:p w:rsidR="008E3046" w:rsidRDefault="008E3046">
      <w:pPr>
        <w:pStyle w:val="TableTitle"/>
      </w:pPr>
      <w:r>
        <w:rPr>
          <w:b w:val="0"/>
        </w:rPr>
        <w:t xml:space="preserve">Table </w:t>
      </w:r>
      <w:bookmarkStart w:id="9" w:name="OLE_LINK11"/>
      <w:r w:rsidR="002318E5">
        <w:rPr>
          <w:b w:val="0"/>
        </w:rPr>
        <w:t>4.</w:t>
      </w:r>
      <w:r w:rsidR="002318E5">
        <w:rPr>
          <w:b w:val="0"/>
          <w:noProof/>
        </w:rPr>
        <w:t>4</w:t>
      </w:r>
      <w:bookmarkEnd w:id="9"/>
      <w:r>
        <w:tab/>
      </w:r>
      <w:r w:rsidR="00035363">
        <w:t>ABS mapping of t</w:t>
      </w:r>
      <w:r>
        <w:t>ariff items to service industry groups</w:t>
      </w:r>
    </w:p>
    <w:tbl>
      <w:tblPr>
        <w:tblW w:w="4997" w:type="pct"/>
        <w:tblCellMar>
          <w:left w:w="0" w:type="dxa"/>
          <w:right w:w="0" w:type="dxa"/>
        </w:tblCellMar>
        <w:tblLook w:val="0000" w:firstRow="0" w:lastRow="0" w:firstColumn="0" w:lastColumn="0" w:noHBand="0" w:noVBand="0"/>
      </w:tblPr>
      <w:tblGrid>
        <w:gridCol w:w="3401"/>
        <w:gridCol w:w="1077"/>
        <w:gridCol w:w="1075"/>
        <w:gridCol w:w="3231"/>
      </w:tblGrid>
      <w:tr w:rsidR="0010428B" w:rsidTr="00931E8A">
        <w:tc>
          <w:tcPr>
            <w:tcW w:w="1936" w:type="pct"/>
            <w:tcBorders>
              <w:top w:val="single" w:sz="6" w:space="0" w:color="auto"/>
              <w:bottom w:val="single" w:sz="4" w:space="0" w:color="auto"/>
            </w:tcBorders>
            <w:shd w:val="clear" w:color="auto" w:fill="auto"/>
          </w:tcPr>
          <w:p w:rsidR="008E3046" w:rsidRDefault="00035363" w:rsidP="00035363">
            <w:pPr>
              <w:pStyle w:val="TableColumnHeading"/>
              <w:jc w:val="left"/>
            </w:pPr>
            <w:r>
              <w:t>Tariff item d</w:t>
            </w:r>
            <w:r w:rsidR="008E3046">
              <w:t>escription</w:t>
            </w:r>
          </w:p>
        </w:tc>
        <w:tc>
          <w:tcPr>
            <w:tcW w:w="613" w:type="pct"/>
            <w:tcBorders>
              <w:top w:val="single" w:sz="6" w:space="0" w:color="auto"/>
              <w:bottom w:val="single" w:sz="4" w:space="0" w:color="auto"/>
            </w:tcBorders>
            <w:shd w:val="clear" w:color="auto" w:fill="auto"/>
          </w:tcPr>
          <w:p w:rsidR="008E3046" w:rsidRDefault="008E3046" w:rsidP="008E3046">
            <w:pPr>
              <w:pStyle w:val="TableColumnHeading"/>
            </w:pPr>
            <w:r>
              <w:t>Tariff code</w:t>
            </w:r>
          </w:p>
        </w:tc>
        <w:tc>
          <w:tcPr>
            <w:tcW w:w="612" w:type="pct"/>
            <w:tcBorders>
              <w:top w:val="single" w:sz="6" w:space="0" w:color="auto"/>
              <w:bottom w:val="single" w:sz="4" w:space="0" w:color="auto"/>
            </w:tcBorders>
          </w:tcPr>
          <w:p w:rsidR="008E3046" w:rsidRDefault="008E3046" w:rsidP="0010428B">
            <w:pPr>
              <w:pStyle w:val="TableColumnHeading"/>
              <w:ind w:left="57"/>
            </w:pPr>
            <w:r>
              <w:t>Tariff rate</w:t>
            </w:r>
          </w:p>
        </w:tc>
        <w:tc>
          <w:tcPr>
            <w:tcW w:w="1839" w:type="pct"/>
            <w:tcBorders>
              <w:top w:val="single" w:sz="6" w:space="0" w:color="auto"/>
              <w:bottom w:val="single" w:sz="4" w:space="0" w:color="auto"/>
            </w:tcBorders>
            <w:shd w:val="clear" w:color="auto" w:fill="auto"/>
            <w:vAlign w:val="bottom"/>
          </w:tcPr>
          <w:p w:rsidR="008E3046" w:rsidRDefault="008E3046" w:rsidP="0010428B">
            <w:pPr>
              <w:pStyle w:val="TableColumnHeading"/>
              <w:ind w:left="113" w:right="57"/>
              <w:jc w:val="left"/>
            </w:pPr>
            <w:r>
              <w:t>Service industry group</w:t>
            </w:r>
            <w:r w:rsidR="00035363">
              <w:t>s</w:t>
            </w:r>
          </w:p>
        </w:tc>
      </w:tr>
      <w:tr w:rsidR="0010428B" w:rsidTr="00931E8A">
        <w:tc>
          <w:tcPr>
            <w:tcW w:w="1936" w:type="pct"/>
            <w:tcBorders>
              <w:top w:val="single" w:sz="4" w:space="0" w:color="auto"/>
            </w:tcBorders>
            <w:vAlign w:val="bottom"/>
          </w:tcPr>
          <w:p w:rsidR="0010428B" w:rsidRPr="00333014" w:rsidRDefault="0010428B" w:rsidP="008E3046">
            <w:pPr>
              <w:pStyle w:val="TableUnitsRow"/>
              <w:jc w:val="left"/>
            </w:pPr>
          </w:p>
        </w:tc>
        <w:tc>
          <w:tcPr>
            <w:tcW w:w="613" w:type="pct"/>
            <w:tcBorders>
              <w:top w:val="single" w:sz="4" w:space="0" w:color="auto"/>
            </w:tcBorders>
            <w:vAlign w:val="bottom"/>
          </w:tcPr>
          <w:p w:rsidR="0010428B" w:rsidRPr="00CF07FB" w:rsidRDefault="0010428B" w:rsidP="008E3046">
            <w:pPr>
              <w:pStyle w:val="TableUnitsRow"/>
            </w:pPr>
          </w:p>
        </w:tc>
        <w:tc>
          <w:tcPr>
            <w:tcW w:w="612" w:type="pct"/>
            <w:tcBorders>
              <w:top w:val="single" w:sz="4" w:space="0" w:color="auto"/>
            </w:tcBorders>
            <w:vAlign w:val="bottom"/>
          </w:tcPr>
          <w:p w:rsidR="0010428B" w:rsidRDefault="0010428B" w:rsidP="0010428B">
            <w:pPr>
              <w:pStyle w:val="TableUnitsRow"/>
              <w:ind w:left="57"/>
            </w:pPr>
            <w:r w:rsidRPr="00F57B90">
              <w:t>%</w:t>
            </w:r>
          </w:p>
        </w:tc>
        <w:tc>
          <w:tcPr>
            <w:tcW w:w="1839" w:type="pct"/>
            <w:tcBorders>
              <w:top w:val="single" w:sz="4" w:space="0" w:color="auto"/>
            </w:tcBorders>
            <w:vAlign w:val="bottom"/>
          </w:tcPr>
          <w:p w:rsidR="0010428B" w:rsidRPr="00935C5F" w:rsidRDefault="0010428B" w:rsidP="0010428B">
            <w:pPr>
              <w:pStyle w:val="TableUnitsRow"/>
              <w:ind w:left="113" w:right="57"/>
              <w:jc w:val="left"/>
            </w:pPr>
          </w:p>
        </w:tc>
      </w:tr>
      <w:tr w:rsidR="0010428B" w:rsidTr="009613CE">
        <w:tc>
          <w:tcPr>
            <w:tcW w:w="1936" w:type="pct"/>
          </w:tcPr>
          <w:p w:rsidR="008E3046" w:rsidRDefault="008E3046" w:rsidP="0017592D">
            <w:pPr>
              <w:pStyle w:val="TableUnitsRow"/>
              <w:spacing w:before="0" w:after="40"/>
              <w:jc w:val="left"/>
            </w:pPr>
            <w:r w:rsidRPr="00333014">
              <w:t>Vegetable saps and extracts of hops</w:t>
            </w:r>
          </w:p>
        </w:tc>
        <w:tc>
          <w:tcPr>
            <w:tcW w:w="613" w:type="pct"/>
          </w:tcPr>
          <w:p w:rsidR="008E3046" w:rsidRDefault="008E3046" w:rsidP="0017592D">
            <w:pPr>
              <w:pStyle w:val="TableUnitsRow"/>
              <w:spacing w:before="0" w:after="40"/>
            </w:pPr>
            <w:r w:rsidRPr="00CF07FB">
              <w:t>13021300</w:t>
            </w:r>
          </w:p>
        </w:tc>
        <w:tc>
          <w:tcPr>
            <w:tcW w:w="612" w:type="pct"/>
          </w:tcPr>
          <w:p w:rsidR="008E3046" w:rsidRPr="00935C5F" w:rsidRDefault="008E3046" w:rsidP="0017592D">
            <w:pPr>
              <w:pStyle w:val="TableUnitsRow"/>
              <w:spacing w:before="0" w:after="40"/>
              <w:ind w:left="57"/>
            </w:pPr>
            <w:r>
              <w:t>5</w:t>
            </w:r>
          </w:p>
        </w:tc>
        <w:tc>
          <w:tcPr>
            <w:tcW w:w="1839" w:type="pct"/>
          </w:tcPr>
          <w:p w:rsidR="008E3046" w:rsidRDefault="008E3046" w:rsidP="0017592D">
            <w:pPr>
              <w:pStyle w:val="TableUnitsRow"/>
              <w:spacing w:before="0" w:after="40"/>
              <w:ind w:left="113" w:right="57"/>
              <w:jc w:val="left"/>
            </w:pPr>
            <w:r w:rsidRPr="00935C5F">
              <w:t>Public administration and safety</w:t>
            </w:r>
          </w:p>
        </w:tc>
      </w:tr>
      <w:tr w:rsidR="008E3046" w:rsidTr="009613CE">
        <w:tc>
          <w:tcPr>
            <w:tcW w:w="1936" w:type="pct"/>
          </w:tcPr>
          <w:p w:rsidR="008E3046" w:rsidRDefault="008E3046" w:rsidP="0017592D">
            <w:pPr>
              <w:pStyle w:val="TableBodyText"/>
              <w:jc w:val="left"/>
            </w:pPr>
            <w:r w:rsidRPr="00333014">
              <w:t>Oleoresin of ginger (gingerin)</w:t>
            </w:r>
          </w:p>
        </w:tc>
        <w:tc>
          <w:tcPr>
            <w:tcW w:w="613" w:type="pct"/>
          </w:tcPr>
          <w:p w:rsidR="008E3046" w:rsidRDefault="008E3046" w:rsidP="0017592D">
            <w:pPr>
              <w:pStyle w:val="TableBodyText"/>
            </w:pPr>
            <w:r w:rsidRPr="00CF07FB">
              <w:t>13021910</w:t>
            </w:r>
          </w:p>
        </w:tc>
        <w:tc>
          <w:tcPr>
            <w:tcW w:w="612" w:type="pct"/>
          </w:tcPr>
          <w:p w:rsidR="008E3046" w:rsidRPr="00935C5F" w:rsidRDefault="008E3046" w:rsidP="0017592D">
            <w:pPr>
              <w:pStyle w:val="TableBodyText"/>
              <w:ind w:left="57"/>
            </w:pPr>
            <w:r>
              <w:t>5</w:t>
            </w:r>
          </w:p>
        </w:tc>
        <w:tc>
          <w:tcPr>
            <w:tcW w:w="1839" w:type="pct"/>
          </w:tcPr>
          <w:p w:rsidR="008E3046" w:rsidRDefault="008E3046" w:rsidP="0017592D">
            <w:pPr>
              <w:pStyle w:val="TableBodyText"/>
              <w:ind w:left="113" w:right="57"/>
              <w:jc w:val="left"/>
            </w:pPr>
            <w:r w:rsidRPr="00935C5F">
              <w:t>Public administration and safety</w:t>
            </w:r>
          </w:p>
        </w:tc>
      </w:tr>
      <w:tr w:rsidR="008E3046" w:rsidTr="009613CE">
        <w:tc>
          <w:tcPr>
            <w:tcW w:w="1936" w:type="pct"/>
          </w:tcPr>
          <w:p w:rsidR="008E3046" w:rsidRDefault="008E3046" w:rsidP="0017592D">
            <w:pPr>
              <w:pStyle w:val="TableBodyText"/>
              <w:jc w:val="left"/>
            </w:pPr>
            <w:r w:rsidRPr="00333014">
              <w:t>Municipal waste</w:t>
            </w:r>
          </w:p>
        </w:tc>
        <w:tc>
          <w:tcPr>
            <w:tcW w:w="613" w:type="pct"/>
          </w:tcPr>
          <w:p w:rsidR="008E3046" w:rsidRDefault="008E3046" w:rsidP="0017592D">
            <w:pPr>
              <w:pStyle w:val="TableBodyText"/>
            </w:pPr>
            <w:r w:rsidRPr="00CF07FB">
              <w:t>38251000</w:t>
            </w:r>
          </w:p>
        </w:tc>
        <w:tc>
          <w:tcPr>
            <w:tcW w:w="612" w:type="pct"/>
          </w:tcPr>
          <w:p w:rsidR="008E3046" w:rsidRPr="00935C5F" w:rsidRDefault="008E3046" w:rsidP="0017592D">
            <w:pPr>
              <w:pStyle w:val="TableBodyText"/>
              <w:ind w:left="57"/>
            </w:pPr>
            <w:r>
              <w:t>5</w:t>
            </w:r>
          </w:p>
        </w:tc>
        <w:tc>
          <w:tcPr>
            <w:tcW w:w="1839" w:type="pct"/>
          </w:tcPr>
          <w:p w:rsidR="008E3046" w:rsidRDefault="00A34DF5" w:rsidP="0017592D">
            <w:pPr>
              <w:pStyle w:val="TableBodyText"/>
              <w:ind w:left="113" w:right="57"/>
              <w:jc w:val="left"/>
            </w:pPr>
            <w:r w:rsidRPr="00A34DF5">
              <w:t>Property, professional and administration services</w:t>
            </w:r>
            <w:r w:rsidR="008E3046" w:rsidRPr="00935C5F">
              <w:t>; and Public administration and safety</w:t>
            </w:r>
          </w:p>
        </w:tc>
      </w:tr>
      <w:tr w:rsidR="008E3046" w:rsidTr="009613CE">
        <w:tc>
          <w:tcPr>
            <w:tcW w:w="1936" w:type="pct"/>
          </w:tcPr>
          <w:p w:rsidR="008E3046" w:rsidRDefault="008E3046" w:rsidP="0017592D">
            <w:pPr>
              <w:pStyle w:val="TableBodyText"/>
              <w:jc w:val="left"/>
            </w:pPr>
            <w:r w:rsidRPr="00333014">
              <w:t>Clinical waste - wadding, gauze and bandages</w:t>
            </w:r>
          </w:p>
        </w:tc>
        <w:tc>
          <w:tcPr>
            <w:tcW w:w="613" w:type="pct"/>
          </w:tcPr>
          <w:p w:rsidR="008E3046" w:rsidRDefault="008E3046" w:rsidP="0017592D">
            <w:pPr>
              <w:pStyle w:val="TableBodyText"/>
            </w:pPr>
            <w:r w:rsidRPr="00CF07FB">
              <w:t>38253011</w:t>
            </w:r>
          </w:p>
        </w:tc>
        <w:tc>
          <w:tcPr>
            <w:tcW w:w="612" w:type="pct"/>
          </w:tcPr>
          <w:p w:rsidR="008E3046" w:rsidRPr="00935C5F" w:rsidRDefault="008E3046" w:rsidP="0017592D">
            <w:pPr>
              <w:pStyle w:val="TableBodyText"/>
              <w:ind w:left="57"/>
            </w:pPr>
            <w:r>
              <w:t>5</w:t>
            </w:r>
          </w:p>
        </w:tc>
        <w:tc>
          <w:tcPr>
            <w:tcW w:w="1839" w:type="pct"/>
          </w:tcPr>
          <w:p w:rsidR="008E3046" w:rsidRDefault="00A34DF5" w:rsidP="0017592D">
            <w:pPr>
              <w:pStyle w:val="TableBodyText"/>
              <w:ind w:left="113" w:right="57"/>
              <w:jc w:val="left"/>
            </w:pPr>
            <w:r w:rsidRPr="00A34DF5">
              <w:t>Property, professional and administration services</w:t>
            </w:r>
            <w:r w:rsidR="008E3046" w:rsidRPr="00935C5F">
              <w:t>; and Health care and social assistance</w:t>
            </w:r>
          </w:p>
        </w:tc>
      </w:tr>
      <w:tr w:rsidR="008E3046" w:rsidTr="009613CE">
        <w:tc>
          <w:tcPr>
            <w:tcW w:w="1936" w:type="pct"/>
          </w:tcPr>
          <w:p w:rsidR="008E3046" w:rsidRDefault="008E3046" w:rsidP="0017592D">
            <w:pPr>
              <w:pStyle w:val="TableBodyText"/>
              <w:jc w:val="left"/>
            </w:pPr>
            <w:r w:rsidRPr="00333014">
              <w:t>Clinical waste - other</w:t>
            </w:r>
          </w:p>
        </w:tc>
        <w:tc>
          <w:tcPr>
            <w:tcW w:w="613" w:type="pct"/>
          </w:tcPr>
          <w:p w:rsidR="008E3046" w:rsidRDefault="008E3046" w:rsidP="0017592D">
            <w:pPr>
              <w:pStyle w:val="TableBodyText"/>
            </w:pPr>
            <w:r w:rsidRPr="00CF07FB">
              <w:t>38253090</w:t>
            </w:r>
          </w:p>
        </w:tc>
        <w:tc>
          <w:tcPr>
            <w:tcW w:w="612" w:type="pct"/>
          </w:tcPr>
          <w:p w:rsidR="008E3046" w:rsidRPr="00935C5F" w:rsidRDefault="008E3046" w:rsidP="0017592D">
            <w:pPr>
              <w:pStyle w:val="TableBodyText"/>
              <w:ind w:left="57"/>
            </w:pPr>
            <w:r>
              <w:t>5</w:t>
            </w:r>
          </w:p>
        </w:tc>
        <w:tc>
          <w:tcPr>
            <w:tcW w:w="1839" w:type="pct"/>
          </w:tcPr>
          <w:p w:rsidR="008E3046" w:rsidRDefault="00A34DF5" w:rsidP="0017592D">
            <w:pPr>
              <w:pStyle w:val="TableBodyText"/>
              <w:ind w:left="113" w:right="57"/>
              <w:jc w:val="left"/>
            </w:pPr>
            <w:r w:rsidRPr="00A34DF5">
              <w:t>Property, professional and administration services</w:t>
            </w:r>
            <w:r w:rsidR="008E3046" w:rsidRPr="00935C5F">
              <w:t>; and Health care and social assistance</w:t>
            </w:r>
          </w:p>
        </w:tc>
      </w:tr>
      <w:tr w:rsidR="00035363" w:rsidTr="009613CE">
        <w:tc>
          <w:tcPr>
            <w:tcW w:w="1936" w:type="pct"/>
            <w:tcBorders>
              <w:bottom w:val="single" w:sz="6" w:space="0" w:color="auto"/>
            </w:tcBorders>
            <w:shd w:val="clear" w:color="auto" w:fill="auto"/>
          </w:tcPr>
          <w:p w:rsidR="008E3046" w:rsidRDefault="00035363" w:rsidP="0017592D">
            <w:pPr>
              <w:pStyle w:val="TableBodyText"/>
              <w:jc w:val="left"/>
            </w:pPr>
            <w:r w:rsidRPr="00333014">
              <w:t>Australian telephone directories and Australian timetables</w:t>
            </w:r>
          </w:p>
        </w:tc>
        <w:tc>
          <w:tcPr>
            <w:tcW w:w="613" w:type="pct"/>
            <w:tcBorders>
              <w:bottom w:val="single" w:sz="6" w:space="0" w:color="auto"/>
            </w:tcBorders>
            <w:shd w:val="clear" w:color="auto" w:fill="auto"/>
          </w:tcPr>
          <w:p w:rsidR="008E3046" w:rsidRDefault="00035363" w:rsidP="0017592D">
            <w:pPr>
              <w:pStyle w:val="TableBodyText"/>
            </w:pPr>
            <w:r w:rsidRPr="00CF07FB">
              <w:t>49019910</w:t>
            </w:r>
          </w:p>
        </w:tc>
        <w:tc>
          <w:tcPr>
            <w:tcW w:w="612" w:type="pct"/>
            <w:tcBorders>
              <w:bottom w:val="single" w:sz="6" w:space="0" w:color="auto"/>
            </w:tcBorders>
          </w:tcPr>
          <w:p w:rsidR="008E3046" w:rsidRDefault="00035363" w:rsidP="0017592D">
            <w:pPr>
              <w:pStyle w:val="TableBodyText"/>
              <w:ind w:left="57"/>
            </w:pPr>
            <w:r>
              <w:t>5</w:t>
            </w:r>
          </w:p>
        </w:tc>
        <w:tc>
          <w:tcPr>
            <w:tcW w:w="1839" w:type="pct"/>
            <w:tcBorders>
              <w:bottom w:val="single" w:sz="6" w:space="0" w:color="auto"/>
            </w:tcBorders>
            <w:shd w:val="clear" w:color="auto" w:fill="auto"/>
          </w:tcPr>
          <w:p w:rsidR="008E3046" w:rsidRDefault="00035363" w:rsidP="0017592D">
            <w:pPr>
              <w:pStyle w:val="TableBodyText"/>
              <w:ind w:left="113" w:right="28"/>
              <w:jc w:val="left"/>
            </w:pPr>
            <w:r w:rsidRPr="00935C5F">
              <w:t>Information media and telecommunications</w:t>
            </w:r>
          </w:p>
        </w:tc>
      </w:tr>
    </w:tbl>
    <w:p w:rsidR="00035363" w:rsidRPr="008E77FE" w:rsidRDefault="00035363" w:rsidP="00035363">
      <w:pPr>
        <w:pStyle w:val="Source"/>
      </w:pPr>
      <w:r>
        <w:rPr>
          <w:i/>
        </w:rPr>
        <w:t>Source</w:t>
      </w:r>
      <w:r>
        <w:t xml:space="preserve">: Commission estimates based on Australian Customs </w:t>
      </w:r>
      <w:r w:rsidR="001949F7">
        <w:t xml:space="preserve">tariff schedules </w:t>
      </w:r>
      <w:r>
        <w:t xml:space="preserve">and ABS trade data. </w:t>
      </w:r>
    </w:p>
    <w:p w:rsidR="00F056FC" w:rsidRDefault="002318E5" w:rsidP="00250F17">
      <w:pPr>
        <w:pStyle w:val="Heading2"/>
      </w:pPr>
      <w:r>
        <w:lastRenderedPageBreak/>
        <w:t>4.</w:t>
      </w:r>
      <w:r>
        <w:rPr>
          <w:noProof/>
        </w:rPr>
        <w:t>6</w:t>
      </w:r>
      <w:r w:rsidR="00250F17">
        <w:tab/>
        <w:t>Coverage of budgetary assistance estimates</w:t>
      </w:r>
    </w:p>
    <w:p w:rsidR="00C868FD" w:rsidRDefault="00C868FD" w:rsidP="00C868FD">
      <w:pPr>
        <w:pStyle w:val="BodyText"/>
      </w:pPr>
      <w:r>
        <w:t>For the 200</w:t>
      </w:r>
      <w:r w:rsidR="00A9306F">
        <w:t>8</w:t>
      </w:r>
      <w:r w:rsidR="00D47B55">
        <w:noBreakHyphen/>
      </w:r>
      <w:r>
        <w:t>0</w:t>
      </w:r>
      <w:r w:rsidR="00A9306F">
        <w:t>9</w:t>
      </w:r>
      <w:r>
        <w:t xml:space="preserve"> series of assistance estimates, the Commission has continued to update the coverage of budgetary measures to reflect the introduction of new programs by the government, the inclusion of some previously unidentified or omitted assistance measures, and improvements in data availability. </w:t>
      </w:r>
    </w:p>
    <w:p w:rsidR="00250F17" w:rsidRDefault="00C868FD" w:rsidP="00120072">
      <w:pPr>
        <w:pStyle w:val="BodyText"/>
      </w:pPr>
      <w:r>
        <w:t xml:space="preserve">The measures that were newly included in </w:t>
      </w:r>
      <w:r w:rsidRPr="00D47B55">
        <w:rPr>
          <w:i/>
        </w:rPr>
        <w:t>Trade &amp; Assistance Review 20</w:t>
      </w:r>
      <w:r w:rsidR="00FD3331">
        <w:rPr>
          <w:i/>
        </w:rPr>
        <w:t>11</w:t>
      </w:r>
      <w:r w:rsidR="00D47B55">
        <w:rPr>
          <w:i/>
        </w:rPr>
        <w:noBreakHyphen/>
      </w:r>
      <w:r w:rsidR="00FD3331">
        <w:rPr>
          <w:i/>
        </w:rPr>
        <w:t>12</w:t>
      </w:r>
      <w:r>
        <w:t xml:space="preserve"> are set out in table</w:t>
      </w:r>
      <w:r w:rsidR="00D47B55">
        <w:t> </w:t>
      </w:r>
      <w:r w:rsidR="002318E5">
        <w:t>4.5</w:t>
      </w:r>
      <w:r>
        <w:t xml:space="preserve">. </w:t>
      </w:r>
    </w:p>
    <w:p w:rsidR="00250F17" w:rsidRDefault="00250F17">
      <w:pPr>
        <w:pStyle w:val="TableTitle"/>
      </w:pPr>
      <w:r>
        <w:rPr>
          <w:b w:val="0"/>
        </w:rPr>
        <w:t xml:space="preserve">Table </w:t>
      </w:r>
      <w:bookmarkStart w:id="10" w:name="OLE_LINK5"/>
      <w:r w:rsidR="002318E5">
        <w:rPr>
          <w:b w:val="0"/>
        </w:rPr>
        <w:t>4.</w:t>
      </w:r>
      <w:r w:rsidR="002318E5">
        <w:rPr>
          <w:b w:val="0"/>
          <w:noProof/>
        </w:rPr>
        <w:t>5</w:t>
      </w:r>
      <w:bookmarkEnd w:id="10"/>
      <w:r>
        <w:tab/>
      </w:r>
      <w:r w:rsidR="00D42142">
        <w:t xml:space="preserve">New </w:t>
      </w:r>
      <w:r>
        <w:t>budgetary assistance measures for</w:t>
      </w:r>
      <w:r>
        <w:br/>
      </w:r>
      <w:r w:rsidRPr="00250F17">
        <w:rPr>
          <w:i/>
        </w:rPr>
        <w:t>Trade &amp; Assistance Review 2011</w:t>
      </w:r>
      <w:r w:rsidRPr="00250F17">
        <w:rPr>
          <w:i/>
        </w:rPr>
        <w:noBreakHyphen/>
        <w:t>12</w:t>
      </w:r>
    </w:p>
    <w:tbl>
      <w:tblPr>
        <w:tblW w:w="4999" w:type="pct"/>
        <w:tblCellMar>
          <w:left w:w="0" w:type="dxa"/>
          <w:right w:w="0" w:type="dxa"/>
        </w:tblCellMar>
        <w:tblLook w:val="0000" w:firstRow="0" w:lastRow="0" w:firstColumn="0" w:lastColumn="0" w:noHBand="0" w:noVBand="0"/>
      </w:tblPr>
      <w:tblGrid>
        <w:gridCol w:w="5102"/>
        <w:gridCol w:w="2836"/>
        <w:gridCol w:w="849"/>
      </w:tblGrid>
      <w:tr w:rsidR="00F74BEA" w:rsidTr="00E1455F">
        <w:tc>
          <w:tcPr>
            <w:tcW w:w="2903" w:type="pct"/>
            <w:tcBorders>
              <w:top w:val="single" w:sz="6" w:space="0" w:color="auto"/>
              <w:bottom w:val="single" w:sz="6" w:space="0" w:color="auto"/>
            </w:tcBorders>
            <w:shd w:val="clear" w:color="auto" w:fill="auto"/>
          </w:tcPr>
          <w:p w:rsidR="00F74BEA" w:rsidRDefault="00F74BEA" w:rsidP="00CA5B8F">
            <w:pPr>
              <w:pStyle w:val="TableColumnHeading"/>
              <w:jc w:val="left"/>
            </w:pPr>
            <w:r>
              <w:t>Program</w:t>
            </w:r>
          </w:p>
        </w:tc>
        <w:tc>
          <w:tcPr>
            <w:tcW w:w="1614" w:type="pct"/>
            <w:tcBorders>
              <w:top w:val="single" w:sz="6" w:space="0" w:color="auto"/>
              <w:bottom w:val="single" w:sz="6" w:space="0" w:color="auto"/>
            </w:tcBorders>
            <w:shd w:val="clear" w:color="auto" w:fill="auto"/>
            <w:vAlign w:val="bottom"/>
          </w:tcPr>
          <w:p w:rsidR="00F74BEA" w:rsidRDefault="00F74BEA" w:rsidP="00533605">
            <w:pPr>
              <w:pStyle w:val="TableColumnHeading"/>
              <w:ind w:right="28"/>
              <w:jc w:val="left"/>
            </w:pPr>
            <w:r>
              <w:t>Category</w:t>
            </w:r>
          </w:p>
        </w:tc>
        <w:tc>
          <w:tcPr>
            <w:tcW w:w="483" w:type="pct"/>
            <w:tcBorders>
              <w:top w:val="single" w:sz="6" w:space="0" w:color="auto"/>
              <w:bottom w:val="single" w:sz="6" w:space="0" w:color="auto"/>
            </w:tcBorders>
          </w:tcPr>
          <w:p w:rsidR="00F74BEA" w:rsidDel="00F74BEA" w:rsidRDefault="00F74BEA" w:rsidP="00533605">
            <w:pPr>
              <w:pStyle w:val="TableColumnHeading"/>
              <w:ind w:right="28"/>
              <w:jc w:val="left"/>
            </w:pPr>
            <w:r>
              <w:t>Form</w:t>
            </w:r>
            <w:r w:rsidR="00CA29E4" w:rsidRPr="00CA29E4">
              <w:rPr>
                <w:rStyle w:val="NoteLabel"/>
                <w:i w:val="0"/>
              </w:rPr>
              <w:t>a</w:t>
            </w:r>
          </w:p>
        </w:tc>
      </w:tr>
      <w:tr w:rsidR="00F74BEA" w:rsidRPr="00533605" w:rsidTr="00E1455F">
        <w:tc>
          <w:tcPr>
            <w:tcW w:w="2903" w:type="pct"/>
            <w:tcBorders>
              <w:top w:val="single" w:sz="6" w:space="0" w:color="auto"/>
            </w:tcBorders>
          </w:tcPr>
          <w:p w:rsidR="00F74BEA" w:rsidRPr="00533605" w:rsidRDefault="00F74BEA" w:rsidP="00CA5B8F">
            <w:pPr>
              <w:pStyle w:val="TableUnitsRow"/>
              <w:jc w:val="left"/>
              <w:rPr>
                <w:b/>
              </w:rPr>
            </w:pPr>
            <w:r w:rsidRPr="00533605">
              <w:rPr>
                <w:b/>
              </w:rPr>
              <w:t>Programs commencing in 2011-12</w:t>
            </w:r>
          </w:p>
        </w:tc>
        <w:tc>
          <w:tcPr>
            <w:tcW w:w="1614" w:type="pct"/>
            <w:tcBorders>
              <w:top w:val="single" w:sz="6" w:space="0" w:color="auto"/>
            </w:tcBorders>
          </w:tcPr>
          <w:p w:rsidR="00F74BEA" w:rsidRPr="00533605" w:rsidRDefault="00F74BEA" w:rsidP="00CA5B8F">
            <w:pPr>
              <w:pStyle w:val="TableUnitsRow"/>
              <w:ind w:right="28"/>
              <w:rPr>
                <w:b/>
              </w:rPr>
            </w:pPr>
          </w:p>
        </w:tc>
        <w:tc>
          <w:tcPr>
            <w:tcW w:w="483" w:type="pct"/>
            <w:tcBorders>
              <w:top w:val="single" w:sz="6" w:space="0" w:color="auto"/>
            </w:tcBorders>
          </w:tcPr>
          <w:p w:rsidR="00F74BEA" w:rsidRPr="00533605" w:rsidRDefault="00F74BEA" w:rsidP="00CA5B8F">
            <w:pPr>
              <w:pStyle w:val="TableUnitsRow"/>
              <w:ind w:right="28"/>
              <w:rPr>
                <w:b/>
              </w:rPr>
            </w:pPr>
          </w:p>
        </w:tc>
      </w:tr>
      <w:tr w:rsidR="00F74BEA" w:rsidTr="00E1455F">
        <w:tc>
          <w:tcPr>
            <w:tcW w:w="2903" w:type="pct"/>
          </w:tcPr>
          <w:p w:rsidR="00F74BEA" w:rsidRDefault="00F74BEA" w:rsidP="00D1680A">
            <w:pPr>
              <w:pStyle w:val="TableBodyText"/>
              <w:jc w:val="left"/>
            </w:pPr>
            <w:r>
              <w:t>Tasmanian Forestry Industry Adjustment Package</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t>Live Animal Exports Business Assistance</w:t>
            </w:r>
          </w:p>
        </w:tc>
        <w:tc>
          <w:tcPr>
            <w:tcW w:w="1614" w:type="pct"/>
            <w:vAlign w:val="bottom"/>
          </w:tcPr>
          <w:p w:rsidR="00F74BEA" w:rsidRDefault="00E1455F" w:rsidP="00E1455F">
            <w:pPr>
              <w:pStyle w:val="TableBodyText"/>
              <w:ind w:right="28"/>
              <w:jc w:val="left"/>
            </w:pPr>
            <w:r>
              <w:t>Other measures</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t>Northern Australia Beef Industry Strategy Indigenous Pastoral Project</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t>Coal Sector Jobs Package</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t>Energy Security Fund – transitional assistance</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832795">
              <w:t>Temporary Assistance for Tasmanian Exporters</w:t>
            </w:r>
          </w:p>
        </w:tc>
        <w:tc>
          <w:tcPr>
            <w:tcW w:w="1614" w:type="pct"/>
            <w:vAlign w:val="bottom"/>
          </w:tcPr>
          <w:p w:rsidR="00F74BEA" w:rsidRDefault="00E1455F" w:rsidP="00E1455F">
            <w:pPr>
              <w:pStyle w:val="TableBodyText"/>
              <w:ind w:right="28"/>
              <w:jc w:val="left"/>
            </w:pPr>
            <w:r>
              <w:t>Other measures</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832795">
              <w:t>Community Broadcasting Program</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0F665E">
              <w:t>Tasmanian Innovation and Investment Fund</w:t>
            </w:r>
          </w:p>
        </w:tc>
        <w:tc>
          <w:tcPr>
            <w:tcW w:w="1614" w:type="pct"/>
            <w:vAlign w:val="bottom"/>
          </w:tcPr>
          <w:p w:rsidR="00F74BEA" w:rsidRDefault="00E1455F" w:rsidP="00E1455F">
            <w:pPr>
              <w:pStyle w:val="TableBodyText"/>
              <w:ind w:right="28"/>
              <w:jc w:val="left"/>
            </w:pPr>
            <w:r>
              <w:t>Other measures</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0F665E">
              <w:t>Illawarra Region Innovation and Investment Fund</w:t>
            </w:r>
          </w:p>
        </w:tc>
        <w:tc>
          <w:tcPr>
            <w:tcW w:w="1614" w:type="pct"/>
            <w:vAlign w:val="bottom"/>
          </w:tcPr>
          <w:p w:rsidR="00F74BEA" w:rsidRDefault="00E1455F" w:rsidP="00E1455F">
            <w:pPr>
              <w:pStyle w:val="TableBodyText"/>
              <w:ind w:right="28"/>
              <w:jc w:val="left"/>
            </w:pPr>
            <w:r>
              <w:t>Other measures</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0F665E">
              <w:t>South East South Australia Innovation and Investment Fund</w:t>
            </w:r>
          </w:p>
        </w:tc>
        <w:tc>
          <w:tcPr>
            <w:tcW w:w="1614" w:type="pct"/>
            <w:vAlign w:val="bottom"/>
          </w:tcPr>
          <w:p w:rsidR="00F74BEA" w:rsidRDefault="00E1455F" w:rsidP="00E1455F">
            <w:pPr>
              <w:pStyle w:val="TableBodyText"/>
              <w:ind w:right="28"/>
              <w:jc w:val="left"/>
            </w:pPr>
            <w:r>
              <w:t>Other measures</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335DCA">
              <w:t>Carbon Farming Futures</w:t>
            </w:r>
          </w:p>
        </w:tc>
        <w:tc>
          <w:tcPr>
            <w:tcW w:w="1614" w:type="pct"/>
            <w:vAlign w:val="bottom"/>
          </w:tcPr>
          <w:p w:rsidR="00F74BEA" w:rsidRDefault="00E1455F" w:rsidP="00E1455F">
            <w:pPr>
              <w:pStyle w:val="TableBodyText"/>
              <w:ind w:right="28"/>
              <w:jc w:val="left"/>
            </w:pPr>
            <w:r>
              <w:t>Sector-specific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335DCA">
              <w:t>Clean Technology Investment - General Program</w:t>
            </w:r>
          </w:p>
        </w:tc>
        <w:tc>
          <w:tcPr>
            <w:tcW w:w="1614" w:type="pct"/>
            <w:vAlign w:val="bottom"/>
          </w:tcPr>
          <w:p w:rsidR="00F74BEA" w:rsidRDefault="00E1455F" w:rsidP="00E1455F">
            <w:pPr>
              <w:pStyle w:val="TableBodyText"/>
              <w:ind w:right="28"/>
              <w:jc w:val="left"/>
            </w:pPr>
            <w:r>
              <w:t>Sector-specific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335DCA">
              <w:t>Clean Technology Investment - Food and Foundries Program</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335DCA">
              <w:t>Steel Transformation Plan</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Default="00F74BEA" w:rsidP="00D1680A">
            <w:pPr>
              <w:pStyle w:val="TableBodyText"/>
              <w:jc w:val="left"/>
            </w:pPr>
            <w:r w:rsidRPr="00FA3EBF">
              <w:t>Ford Australia Assistance</w:t>
            </w:r>
          </w:p>
        </w:tc>
        <w:tc>
          <w:tcPr>
            <w:tcW w:w="1614" w:type="pct"/>
            <w:vAlign w:val="bottom"/>
          </w:tcPr>
          <w:p w:rsidR="00F74BEA" w:rsidRDefault="00E1455F" w:rsidP="00E1455F">
            <w:pPr>
              <w:pStyle w:val="TableBodyText"/>
              <w:ind w:right="28"/>
              <w:jc w:val="left"/>
            </w:pPr>
            <w:r>
              <w:t>Industry-specific measure</w:t>
            </w:r>
          </w:p>
        </w:tc>
        <w:tc>
          <w:tcPr>
            <w:tcW w:w="483" w:type="pct"/>
            <w:vAlign w:val="bottom"/>
          </w:tcPr>
          <w:p w:rsidR="00F74BEA" w:rsidDel="00F74BEA" w:rsidRDefault="00E1455F" w:rsidP="00E1455F">
            <w:pPr>
              <w:pStyle w:val="TableBodyText"/>
              <w:ind w:right="28"/>
              <w:jc w:val="left"/>
            </w:pPr>
            <w:r>
              <w:t>BO</w:t>
            </w:r>
          </w:p>
        </w:tc>
      </w:tr>
      <w:tr w:rsidR="00F74BEA" w:rsidTr="00E1455F">
        <w:tc>
          <w:tcPr>
            <w:tcW w:w="2903" w:type="pct"/>
          </w:tcPr>
          <w:p w:rsidR="00F74BEA" w:rsidRPr="00FA3EBF" w:rsidRDefault="00F74BEA" w:rsidP="00D1680A">
            <w:pPr>
              <w:pStyle w:val="TableBodyText"/>
              <w:jc w:val="left"/>
            </w:pPr>
          </w:p>
        </w:tc>
        <w:tc>
          <w:tcPr>
            <w:tcW w:w="1614" w:type="pct"/>
          </w:tcPr>
          <w:p w:rsidR="00F74BEA" w:rsidDel="00F74BEA" w:rsidRDefault="00F74BEA" w:rsidP="00D1680A">
            <w:pPr>
              <w:pStyle w:val="TableBodyText"/>
              <w:ind w:right="28"/>
              <w:jc w:val="left"/>
            </w:pPr>
          </w:p>
        </w:tc>
        <w:tc>
          <w:tcPr>
            <w:tcW w:w="483" w:type="pct"/>
          </w:tcPr>
          <w:p w:rsidR="00F74BEA" w:rsidDel="00F74BEA" w:rsidRDefault="00F74BEA" w:rsidP="00D1680A">
            <w:pPr>
              <w:pStyle w:val="TableBodyText"/>
              <w:ind w:right="28"/>
              <w:jc w:val="left"/>
            </w:pPr>
          </w:p>
        </w:tc>
      </w:tr>
      <w:tr w:rsidR="00F74BEA" w:rsidRPr="00533605" w:rsidTr="00F74BEA">
        <w:tc>
          <w:tcPr>
            <w:tcW w:w="5000" w:type="pct"/>
            <w:gridSpan w:val="3"/>
          </w:tcPr>
          <w:p w:rsidR="00F74BEA" w:rsidRPr="00E47B4E" w:rsidRDefault="00F74BEA" w:rsidP="00E47B4E">
            <w:pPr>
              <w:pStyle w:val="TableBodyText"/>
              <w:spacing w:before="80" w:after="80"/>
              <w:jc w:val="left"/>
              <w:rPr>
                <w:b/>
              </w:rPr>
            </w:pPr>
            <w:r w:rsidRPr="00E47B4E">
              <w:rPr>
                <w:b/>
              </w:rPr>
              <w:t xml:space="preserve">Programs commencing prior to 2011-12 but not included in previous </w:t>
            </w:r>
            <w:r w:rsidRPr="00E47B4E">
              <w:rPr>
                <w:b/>
                <w:i/>
              </w:rPr>
              <w:t>Reviews</w:t>
            </w:r>
          </w:p>
        </w:tc>
      </w:tr>
      <w:tr w:rsidR="00F74BEA" w:rsidTr="00F74BEA">
        <w:tc>
          <w:tcPr>
            <w:tcW w:w="2903" w:type="pct"/>
          </w:tcPr>
          <w:p w:rsidR="00F74BEA" w:rsidRDefault="00F74BEA" w:rsidP="00D1680A">
            <w:pPr>
              <w:pStyle w:val="TableBodyText"/>
              <w:jc w:val="left"/>
            </w:pPr>
            <w:r w:rsidRPr="00FA3EBF">
              <w:t>Concessional rate of withholding tax</w:t>
            </w:r>
          </w:p>
        </w:tc>
        <w:tc>
          <w:tcPr>
            <w:tcW w:w="1614" w:type="pct"/>
          </w:tcPr>
          <w:p w:rsidR="00F74BEA" w:rsidDel="00F74BEA" w:rsidRDefault="00E1455F" w:rsidP="00D1680A">
            <w:pPr>
              <w:pStyle w:val="TableBodyText"/>
              <w:ind w:right="28"/>
              <w:jc w:val="left"/>
            </w:pPr>
            <w:r>
              <w:t>Other measures</w:t>
            </w:r>
          </w:p>
        </w:tc>
        <w:tc>
          <w:tcPr>
            <w:tcW w:w="483" w:type="pct"/>
          </w:tcPr>
          <w:p w:rsidR="00F74BEA" w:rsidDel="00F74BEA" w:rsidRDefault="00E1455F" w:rsidP="00D1680A">
            <w:pPr>
              <w:pStyle w:val="TableBodyText"/>
              <w:ind w:right="28"/>
              <w:jc w:val="left"/>
            </w:pPr>
            <w:r>
              <w:t>TE</w:t>
            </w:r>
          </w:p>
        </w:tc>
      </w:tr>
      <w:tr w:rsidR="00F74BEA" w:rsidTr="00F74BEA">
        <w:tc>
          <w:tcPr>
            <w:tcW w:w="2903" w:type="pct"/>
          </w:tcPr>
          <w:p w:rsidR="00F74BEA" w:rsidRDefault="00F74BEA" w:rsidP="00D1680A">
            <w:pPr>
              <w:pStyle w:val="TableBodyText"/>
              <w:jc w:val="left"/>
            </w:pPr>
            <w:r w:rsidRPr="00FA3EBF">
              <w:t xml:space="preserve">Small Business </w:t>
            </w:r>
            <w:r>
              <w:t>–</w:t>
            </w:r>
            <w:r w:rsidRPr="00FA3EBF">
              <w:t xml:space="preserve"> Simplified depreciation rules</w:t>
            </w:r>
          </w:p>
        </w:tc>
        <w:tc>
          <w:tcPr>
            <w:tcW w:w="1614" w:type="pct"/>
          </w:tcPr>
          <w:p w:rsidR="00F74BEA" w:rsidDel="00F74BEA" w:rsidRDefault="00E1455F" w:rsidP="00D1680A">
            <w:pPr>
              <w:pStyle w:val="TableBodyText"/>
              <w:ind w:right="28"/>
              <w:jc w:val="left"/>
            </w:pPr>
            <w:r>
              <w:t>Other measures</w:t>
            </w:r>
          </w:p>
        </w:tc>
        <w:tc>
          <w:tcPr>
            <w:tcW w:w="483" w:type="pct"/>
          </w:tcPr>
          <w:p w:rsidR="00F74BEA" w:rsidDel="00F74BEA" w:rsidRDefault="00E1455F" w:rsidP="00D1680A">
            <w:pPr>
              <w:pStyle w:val="TableBodyText"/>
              <w:ind w:right="28"/>
              <w:jc w:val="left"/>
            </w:pPr>
            <w:r>
              <w:t>TE</w:t>
            </w:r>
          </w:p>
        </w:tc>
      </w:tr>
      <w:tr w:rsidR="00F74BEA" w:rsidTr="00F74BEA">
        <w:tc>
          <w:tcPr>
            <w:tcW w:w="2903" w:type="pct"/>
          </w:tcPr>
          <w:p w:rsidR="00F74BEA" w:rsidRDefault="00F74BEA" w:rsidP="00D1680A">
            <w:pPr>
              <w:pStyle w:val="TableBodyText"/>
              <w:jc w:val="left"/>
            </w:pPr>
            <w:r w:rsidRPr="00FA3EBF">
              <w:t>Automotive Market Access Program</w:t>
            </w:r>
          </w:p>
        </w:tc>
        <w:tc>
          <w:tcPr>
            <w:tcW w:w="1614" w:type="pct"/>
          </w:tcPr>
          <w:p w:rsidR="00F74BEA" w:rsidDel="00F74BEA" w:rsidRDefault="00E1455F" w:rsidP="00D1680A">
            <w:pPr>
              <w:pStyle w:val="TableBodyText"/>
              <w:ind w:right="28"/>
              <w:jc w:val="left"/>
            </w:pPr>
            <w:r>
              <w:t>Industry-specific measure</w:t>
            </w:r>
          </w:p>
        </w:tc>
        <w:tc>
          <w:tcPr>
            <w:tcW w:w="483" w:type="pct"/>
          </w:tcPr>
          <w:p w:rsidR="00F74BEA" w:rsidDel="00F74BEA" w:rsidRDefault="00E1455F" w:rsidP="00D1680A">
            <w:pPr>
              <w:pStyle w:val="TableBodyText"/>
              <w:ind w:right="28"/>
              <w:jc w:val="left"/>
            </w:pPr>
            <w:r>
              <w:t>BO</w:t>
            </w:r>
          </w:p>
        </w:tc>
      </w:tr>
      <w:tr w:rsidR="00F74BEA" w:rsidTr="00F74BEA">
        <w:tc>
          <w:tcPr>
            <w:tcW w:w="2903" w:type="pct"/>
          </w:tcPr>
          <w:p w:rsidR="00F74BEA" w:rsidRDefault="00F74BEA" w:rsidP="00D1680A">
            <w:pPr>
              <w:pStyle w:val="TableBodyText"/>
              <w:jc w:val="left"/>
            </w:pPr>
            <w:r w:rsidRPr="008350CF">
              <w:t xml:space="preserve">Clean Business Australia </w:t>
            </w:r>
            <w:r>
              <w:t>–</w:t>
            </w:r>
            <w:r w:rsidRPr="008350CF">
              <w:t xml:space="preserve"> Climate Ready Program</w:t>
            </w:r>
          </w:p>
        </w:tc>
        <w:tc>
          <w:tcPr>
            <w:tcW w:w="1614" w:type="pct"/>
          </w:tcPr>
          <w:p w:rsidR="00F74BEA" w:rsidDel="00F74BEA" w:rsidRDefault="00E1455F" w:rsidP="00D1680A">
            <w:pPr>
              <w:pStyle w:val="TableBodyText"/>
              <w:ind w:right="28"/>
              <w:jc w:val="left"/>
            </w:pPr>
            <w:r>
              <w:t>General R&amp;D measure</w:t>
            </w:r>
          </w:p>
        </w:tc>
        <w:tc>
          <w:tcPr>
            <w:tcW w:w="483" w:type="pct"/>
          </w:tcPr>
          <w:p w:rsidR="00F74BEA" w:rsidDel="00F74BEA" w:rsidRDefault="00E1455F" w:rsidP="00D1680A">
            <w:pPr>
              <w:pStyle w:val="TableBodyText"/>
              <w:ind w:right="28"/>
              <w:jc w:val="left"/>
            </w:pPr>
            <w:r>
              <w:t>BO</w:t>
            </w:r>
          </w:p>
        </w:tc>
      </w:tr>
      <w:tr w:rsidR="00F74BEA" w:rsidTr="00F74BEA">
        <w:tc>
          <w:tcPr>
            <w:tcW w:w="2903" w:type="pct"/>
          </w:tcPr>
          <w:p w:rsidR="00F74BEA" w:rsidRDefault="00F74BEA" w:rsidP="00D1680A">
            <w:pPr>
              <w:pStyle w:val="TableBodyText"/>
              <w:jc w:val="left"/>
            </w:pPr>
            <w:r w:rsidRPr="008350CF">
              <w:t>Small scale mammalian cell production facility</w:t>
            </w:r>
          </w:p>
        </w:tc>
        <w:tc>
          <w:tcPr>
            <w:tcW w:w="1614" w:type="pct"/>
          </w:tcPr>
          <w:p w:rsidR="00F74BEA" w:rsidDel="00F74BEA" w:rsidRDefault="00E1455F" w:rsidP="00D1680A">
            <w:pPr>
              <w:pStyle w:val="TableBodyText"/>
              <w:ind w:right="28"/>
              <w:jc w:val="left"/>
            </w:pPr>
            <w:r>
              <w:t>Industry-specific measure</w:t>
            </w:r>
          </w:p>
        </w:tc>
        <w:tc>
          <w:tcPr>
            <w:tcW w:w="483" w:type="pct"/>
          </w:tcPr>
          <w:p w:rsidR="00F74BEA" w:rsidDel="00F74BEA" w:rsidRDefault="00E1455F" w:rsidP="00D1680A">
            <w:pPr>
              <w:pStyle w:val="TableBodyText"/>
              <w:ind w:right="28"/>
              <w:jc w:val="left"/>
            </w:pPr>
            <w:r>
              <w:t>BO</w:t>
            </w:r>
          </w:p>
        </w:tc>
      </w:tr>
      <w:tr w:rsidR="00F74BEA" w:rsidTr="00F74BEA">
        <w:tc>
          <w:tcPr>
            <w:tcW w:w="2903" w:type="pct"/>
            <w:tcBorders>
              <w:bottom w:val="single" w:sz="6" w:space="0" w:color="auto"/>
            </w:tcBorders>
            <w:shd w:val="clear" w:color="auto" w:fill="auto"/>
          </w:tcPr>
          <w:p w:rsidR="00F74BEA" w:rsidRDefault="00F74BEA" w:rsidP="00D1680A">
            <w:pPr>
              <w:pStyle w:val="TableBodyText"/>
              <w:jc w:val="left"/>
            </w:pPr>
            <w:r>
              <w:t>CSL – Commonwealth assistance</w:t>
            </w:r>
          </w:p>
        </w:tc>
        <w:tc>
          <w:tcPr>
            <w:tcW w:w="1614" w:type="pct"/>
            <w:tcBorders>
              <w:bottom w:val="single" w:sz="6" w:space="0" w:color="auto"/>
            </w:tcBorders>
          </w:tcPr>
          <w:p w:rsidR="00F74BEA" w:rsidDel="00F74BEA" w:rsidRDefault="00E1455F" w:rsidP="00D1680A">
            <w:pPr>
              <w:pStyle w:val="TableBodyText"/>
              <w:ind w:right="28"/>
              <w:jc w:val="left"/>
            </w:pPr>
            <w:r>
              <w:t>Industry-specific measure</w:t>
            </w:r>
          </w:p>
        </w:tc>
        <w:tc>
          <w:tcPr>
            <w:tcW w:w="483" w:type="pct"/>
            <w:tcBorders>
              <w:bottom w:val="single" w:sz="6" w:space="0" w:color="auto"/>
            </w:tcBorders>
          </w:tcPr>
          <w:p w:rsidR="00F74BEA" w:rsidDel="00F74BEA" w:rsidRDefault="00E1455F" w:rsidP="00D1680A">
            <w:pPr>
              <w:pStyle w:val="TableBodyText"/>
              <w:ind w:right="28"/>
              <w:jc w:val="left"/>
            </w:pPr>
            <w:r>
              <w:t>BO</w:t>
            </w:r>
          </w:p>
        </w:tc>
      </w:tr>
    </w:tbl>
    <w:p w:rsidR="00E1455F" w:rsidRDefault="00E1455F" w:rsidP="00E1455F">
      <w:pPr>
        <w:pStyle w:val="Source"/>
        <w:spacing w:after="0"/>
      </w:pPr>
      <w:r>
        <w:rPr>
          <w:rStyle w:val="NoteLabel"/>
        </w:rPr>
        <w:t>a</w:t>
      </w:r>
      <w:r>
        <w:t xml:space="preserve"> BO: budgetary outlays, TE: tax expenditures. </w:t>
      </w:r>
    </w:p>
    <w:p w:rsidR="00250F17" w:rsidRDefault="00250F17" w:rsidP="00CA5B8F">
      <w:pPr>
        <w:pStyle w:val="Source"/>
      </w:pPr>
      <w:r>
        <w:rPr>
          <w:i/>
        </w:rPr>
        <w:t>Source</w:t>
      </w:r>
      <w:r>
        <w:t xml:space="preserve">: Commission estimates. </w:t>
      </w:r>
    </w:p>
    <w:p w:rsidR="00FD3331" w:rsidRDefault="00FD3331" w:rsidP="00FD3331">
      <w:pPr>
        <w:pStyle w:val="Heading3"/>
      </w:pPr>
      <w:r>
        <w:lastRenderedPageBreak/>
        <w:t xml:space="preserve">Carbon </w:t>
      </w:r>
      <w:r w:rsidR="00094BA3">
        <w:t>measures</w:t>
      </w:r>
    </w:p>
    <w:p w:rsidR="00FD3331" w:rsidRDefault="00545756" w:rsidP="006E28AD">
      <w:pPr>
        <w:pStyle w:val="BodyText"/>
      </w:pPr>
      <w:r>
        <w:t xml:space="preserve">As part of the assessment for new </w:t>
      </w:r>
      <w:r w:rsidR="00B7757F">
        <w:t xml:space="preserve">budgetary </w:t>
      </w:r>
      <w:r>
        <w:t xml:space="preserve">programs for </w:t>
      </w:r>
      <w:r w:rsidR="00B7757F" w:rsidRPr="0025361F">
        <w:rPr>
          <w:i/>
        </w:rPr>
        <w:t>Trade &amp; Assistance Review 2011</w:t>
      </w:r>
      <w:r w:rsidR="00B7757F" w:rsidRPr="0025361F">
        <w:rPr>
          <w:i/>
        </w:rPr>
        <w:noBreakHyphen/>
        <w:t>12</w:t>
      </w:r>
      <w:r>
        <w:t xml:space="preserve">, </w:t>
      </w:r>
      <w:r w:rsidR="00606E10">
        <w:t xml:space="preserve">the Commission also </w:t>
      </w:r>
      <w:r w:rsidR="0017592D">
        <w:t xml:space="preserve">separately quantified </w:t>
      </w:r>
      <w:r w:rsidR="006E28AD">
        <w:t xml:space="preserve">the </w:t>
      </w:r>
      <w:r w:rsidR="004F677B">
        <w:t xml:space="preserve">level of </w:t>
      </w:r>
      <w:r w:rsidR="006E28AD">
        <w:t>assistance</w:t>
      </w:r>
      <w:r w:rsidR="004F677B">
        <w:t xml:space="preserve"> afforded by</w:t>
      </w:r>
      <w:r w:rsidR="006E28AD">
        <w:t xml:space="preserve"> programs announced as part of the Australian Government’s Clean Energy Future Plan. The Plan is a cross-portfolio package </w:t>
      </w:r>
      <w:r w:rsidR="002A4B2B">
        <w:t>with a large number of programs and multiple commencement dates. The Plan was first reported in chapter 3 of the 2010</w:t>
      </w:r>
      <w:r w:rsidR="002A4B2B">
        <w:noBreakHyphen/>
        <w:t xml:space="preserve">11 </w:t>
      </w:r>
      <w:r w:rsidR="002A4B2B" w:rsidRPr="002A4B2B">
        <w:rPr>
          <w:i/>
        </w:rPr>
        <w:t>Review</w:t>
      </w:r>
      <w:r w:rsidR="002A4B2B">
        <w:t xml:space="preserve"> with funding for most of the programs to commence in 2011</w:t>
      </w:r>
      <w:r w:rsidR="002A4B2B">
        <w:noBreakHyphen/>
        <w:t xml:space="preserve">12 </w:t>
      </w:r>
      <w:r w:rsidR="00B5504B">
        <w:t xml:space="preserve">or </w:t>
      </w:r>
      <w:r w:rsidR="002A4B2B">
        <w:t>2012</w:t>
      </w:r>
      <w:r w:rsidR="002A4B2B">
        <w:noBreakHyphen/>
        <w:t>13</w:t>
      </w:r>
      <w:r w:rsidR="006507DD">
        <w:t xml:space="preserve"> (Programs </w:t>
      </w:r>
      <w:r w:rsidR="00B5504B">
        <w:t>that commenced in 2011</w:t>
      </w:r>
      <w:r w:rsidR="00B5504B">
        <w:noBreakHyphen/>
        <w:t>12 are listed in table </w:t>
      </w:r>
      <w:r w:rsidR="002318E5">
        <w:t>4.5</w:t>
      </w:r>
      <w:r w:rsidR="004F677B">
        <w:t xml:space="preserve"> above</w:t>
      </w:r>
      <w:r w:rsidR="00B5504B">
        <w:t>)</w:t>
      </w:r>
      <w:r w:rsidR="002A4B2B">
        <w:t xml:space="preserve">. </w:t>
      </w:r>
    </w:p>
    <w:p w:rsidR="00230986" w:rsidRDefault="0059217C" w:rsidP="00230986">
      <w:pPr>
        <w:pStyle w:val="BodyText"/>
      </w:pPr>
      <w:r>
        <w:t>P</w:t>
      </w:r>
      <w:r w:rsidR="005311A2">
        <w:t xml:space="preserve">rograms assessed as providing direct </w:t>
      </w:r>
      <w:r w:rsidR="00D03434">
        <w:t>pecuniary benefits to industry have been classified as industry assistance measures (table </w:t>
      </w:r>
      <w:r w:rsidR="002318E5">
        <w:t>4.6</w:t>
      </w:r>
      <w:r w:rsidR="00D03434">
        <w:t xml:space="preserve">). </w:t>
      </w:r>
      <w:r w:rsidR="00545756">
        <w:t xml:space="preserve">The </w:t>
      </w:r>
      <w:r w:rsidR="009B6EE7">
        <w:t xml:space="preserve">carbon measures considered </w:t>
      </w:r>
      <w:r w:rsidR="00230986">
        <w:t xml:space="preserve">not </w:t>
      </w:r>
      <w:r w:rsidR="009B6EE7">
        <w:t>to confer industry assistance</w:t>
      </w:r>
      <w:r w:rsidR="00243E5E">
        <w:t xml:space="preserve">, such as those providing government administration services and support to households and communities, </w:t>
      </w:r>
      <w:r w:rsidR="003A2380">
        <w:t xml:space="preserve">are also </w:t>
      </w:r>
      <w:r w:rsidR="00BE567B">
        <w:t xml:space="preserve">shown </w:t>
      </w:r>
      <w:r w:rsidR="003A2380">
        <w:t>in the table</w:t>
      </w:r>
      <w:r>
        <w:t xml:space="preserve"> below</w:t>
      </w:r>
      <w:r w:rsidR="003A2380">
        <w:t xml:space="preserve">. </w:t>
      </w:r>
      <w:r w:rsidR="00243E5E">
        <w:t xml:space="preserve">Fourteen programs of this type have been identified. </w:t>
      </w:r>
    </w:p>
    <w:p w:rsidR="00545756" w:rsidRDefault="00545756" w:rsidP="00230986">
      <w:pPr>
        <w:pStyle w:val="BodyText"/>
      </w:pPr>
    </w:p>
    <w:p w:rsidR="003C0B17" w:rsidRDefault="003C0B17">
      <w:pPr>
        <w:pStyle w:val="TableTitle"/>
      </w:pPr>
      <w:r>
        <w:rPr>
          <w:b w:val="0"/>
        </w:rPr>
        <w:lastRenderedPageBreak/>
        <w:t xml:space="preserve">Table </w:t>
      </w:r>
      <w:bookmarkStart w:id="11" w:name="OLE_LINK8"/>
      <w:r w:rsidR="002318E5">
        <w:rPr>
          <w:b w:val="0"/>
        </w:rPr>
        <w:t>4.</w:t>
      </w:r>
      <w:r w:rsidR="002318E5">
        <w:rPr>
          <w:b w:val="0"/>
          <w:noProof/>
        </w:rPr>
        <w:t>6</w:t>
      </w:r>
      <w:bookmarkEnd w:id="11"/>
      <w:r>
        <w:tab/>
      </w:r>
      <w:r w:rsidR="007B19E7">
        <w:t>Clean Energy Future Plan</w:t>
      </w:r>
    </w:p>
    <w:tbl>
      <w:tblPr>
        <w:tblW w:w="4999" w:type="pct"/>
        <w:tblCellMar>
          <w:left w:w="0" w:type="dxa"/>
          <w:right w:w="0" w:type="dxa"/>
        </w:tblCellMar>
        <w:tblLook w:val="0000" w:firstRow="0" w:lastRow="0" w:firstColumn="0" w:lastColumn="0" w:noHBand="0" w:noVBand="0"/>
      </w:tblPr>
      <w:tblGrid>
        <w:gridCol w:w="5102"/>
        <w:gridCol w:w="3685"/>
      </w:tblGrid>
      <w:tr w:rsidR="004D3216" w:rsidTr="004D3216">
        <w:tc>
          <w:tcPr>
            <w:tcW w:w="2903" w:type="pct"/>
            <w:tcBorders>
              <w:top w:val="single" w:sz="6" w:space="0" w:color="auto"/>
              <w:bottom w:val="single" w:sz="6" w:space="0" w:color="auto"/>
            </w:tcBorders>
            <w:shd w:val="clear" w:color="auto" w:fill="auto"/>
          </w:tcPr>
          <w:p w:rsidR="004D3216" w:rsidRDefault="004D3216" w:rsidP="005425C1">
            <w:pPr>
              <w:pStyle w:val="TableColumnHeading"/>
              <w:jc w:val="left"/>
            </w:pPr>
            <w:r>
              <w:t>Program</w:t>
            </w:r>
          </w:p>
        </w:tc>
        <w:tc>
          <w:tcPr>
            <w:tcW w:w="2097" w:type="pct"/>
            <w:tcBorders>
              <w:top w:val="single" w:sz="6" w:space="0" w:color="auto"/>
              <w:bottom w:val="single" w:sz="6" w:space="0" w:color="auto"/>
            </w:tcBorders>
          </w:tcPr>
          <w:p w:rsidR="004D3216" w:rsidRDefault="004D3216" w:rsidP="005425C1">
            <w:pPr>
              <w:pStyle w:val="TableColumnHeading"/>
              <w:jc w:val="left"/>
            </w:pPr>
            <w:r>
              <w:t>Industry grouping allocation</w:t>
            </w:r>
          </w:p>
        </w:tc>
      </w:tr>
      <w:tr w:rsidR="00847C6A" w:rsidRPr="00762135" w:rsidTr="004D3216">
        <w:tc>
          <w:tcPr>
            <w:tcW w:w="5000" w:type="pct"/>
            <w:gridSpan w:val="2"/>
            <w:tcBorders>
              <w:top w:val="single" w:sz="6" w:space="0" w:color="auto"/>
            </w:tcBorders>
          </w:tcPr>
          <w:p w:rsidR="00847C6A" w:rsidRPr="00B74F50" w:rsidRDefault="00847C6A" w:rsidP="00984DFF">
            <w:pPr>
              <w:pStyle w:val="TableUnitsRow"/>
              <w:jc w:val="left"/>
              <w:rPr>
                <w:b/>
              </w:rPr>
            </w:pPr>
            <w:r>
              <w:rPr>
                <w:b/>
              </w:rPr>
              <w:t>Programs assessed to provide industry assistance</w:t>
            </w:r>
          </w:p>
        </w:tc>
      </w:tr>
      <w:tr w:rsidR="004D3216" w:rsidTr="009613CE">
        <w:tc>
          <w:tcPr>
            <w:tcW w:w="2903" w:type="pct"/>
          </w:tcPr>
          <w:p w:rsidR="004D3216" w:rsidRPr="00DA20FA" w:rsidRDefault="004D3216" w:rsidP="00D411FA">
            <w:pPr>
              <w:pStyle w:val="TableBodyText"/>
              <w:jc w:val="left"/>
            </w:pPr>
            <w:r>
              <w:t>Carbon Farming Futures</w:t>
            </w:r>
          </w:p>
        </w:tc>
        <w:tc>
          <w:tcPr>
            <w:tcW w:w="2097" w:type="pct"/>
          </w:tcPr>
          <w:p w:rsidR="004D3216" w:rsidRPr="004D3216" w:rsidRDefault="004D3216" w:rsidP="009613CE">
            <w:pPr>
              <w:pStyle w:val="TableBodyText"/>
              <w:ind w:right="28"/>
              <w:jc w:val="left"/>
              <w:rPr>
                <w:i/>
              </w:rPr>
            </w:pPr>
            <w:r w:rsidRPr="004D3216">
              <w:t>Unallocated primary production</w:t>
            </w:r>
          </w:p>
        </w:tc>
      </w:tr>
      <w:tr w:rsidR="004D3216" w:rsidTr="009613CE">
        <w:tc>
          <w:tcPr>
            <w:tcW w:w="2903" w:type="pct"/>
          </w:tcPr>
          <w:p w:rsidR="004D3216" w:rsidRDefault="004D3216" w:rsidP="00D411FA">
            <w:pPr>
              <w:pStyle w:val="TableBodyText"/>
              <w:jc w:val="left"/>
            </w:pPr>
            <w:r w:rsidRPr="00DA20FA">
              <w:t>Carbon Farming Initiative</w:t>
            </w:r>
          </w:p>
        </w:tc>
        <w:tc>
          <w:tcPr>
            <w:tcW w:w="2097" w:type="pct"/>
          </w:tcPr>
          <w:p w:rsidR="004D3216" w:rsidRPr="004D3216" w:rsidRDefault="004D3216" w:rsidP="009613CE">
            <w:pPr>
              <w:pStyle w:val="TableBodyText"/>
              <w:ind w:right="28"/>
              <w:jc w:val="left"/>
              <w:rPr>
                <w:i/>
              </w:rPr>
            </w:pPr>
            <w:r w:rsidRPr="004D3216">
              <w:t>Unallocated primary production</w:t>
            </w:r>
          </w:p>
        </w:tc>
      </w:tr>
      <w:tr w:rsidR="004D3216" w:rsidTr="009613CE">
        <w:tc>
          <w:tcPr>
            <w:tcW w:w="2903" w:type="pct"/>
          </w:tcPr>
          <w:p w:rsidR="004D3216" w:rsidRDefault="004D3216" w:rsidP="00D411FA">
            <w:pPr>
              <w:pStyle w:val="TableBodyText"/>
              <w:jc w:val="left"/>
            </w:pPr>
            <w:r w:rsidRPr="00DA20FA">
              <w:t>Carbon Farming Skills</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0F54CD">
              <w:t>Australian Renewable Energy Agency</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0F54CD">
              <w:t>Clean Energy Finance Corporation</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0F54CD">
              <w:t>Clean Energy and Other Skills Package</w:t>
            </w:r>
          </w:p>
        </w:tc>
        <w:tc>
          <w:tcPr>
            <w:tcW w:w="2097" w:type="pct"/>
          </w:tcPr>
          <w:p w:rsidR="004D3216" w:rsidRPr="004D3216" w:rsidRDefault="004D3216" w:rsidP="009613CE">
            <w:pPr>
              <w:pStyle w:val="TableBodyText"/>
              <w:ind w:right="28"/>
              <w:jc w:val="left"/>
              <w:rPr>
                <w:i/>
              </w:rPr>
            </w:pPr>
            <w:r>
              <w:t>Unallocated other</w:t>
            </w:r>
          </w:p>
        </w:tc>
      </w:tr>
      <w:tr w:rsidR="004D3216" w:rsidTr="009613CE">
        <w:tc>
          <w:tcPr>
            <w:tcW w:w="2903" w:type="pct"/>
          </w:tcPr>
          <w:p w:rsidR="004D3216" w:rsidRDefault="004D3216" w:rsidP="00D411FA">
            <w:pPr>
              <w:pStyle w:val="TableBodyText"/>
              <w:jc w:val="left"/>
            </w:pPr>
            <w:r w:rsidRPr="000F54CD">
              <w:t>Clean Technology Focus for Supply Chains</w:t>
            </w:r>
          </w:p>
        </w:tc>
        <w:tc>
          <w:tcPr>
            <w:tcW w:w="2097" w:type="pct"/>
          </w:tcPr>
          <w:p w:rsidR="004D3216" w:rsidRPr="004D3216" w:rsidRDefault="004D3216" w:rsidP="009613CE">
            <w:pPr>
              <w:pStyle w:val="TableBodyText"/>
              <w:ind w:right="28"/>
              <w:jc w:val="left"/>
              <w:rPr>
                <w:i/>
              </w:rPr>
            </w:pPr>
            <w:r>
              <w:t>Unallocated other</w:t>
            </w:r>
          </w:p>
        </w:tc>
      </w:tr>
      <w:tr w:rsidR="004D3216" w:rsidTr="009613CE">
        <w:tc>
          <w:tcPr>
            <w:tcW w:w="2903" w:type="pct"/>
          </w:tcPr>
          <w:p w:rsidR="004D3216" w:rsidRDefault="004D3216" w:rsidP="00D411FA">
            <w:pPr>
              <w:pStyle w:val="TableBodyText"/>
              <w:jc w:val="left"/>
            </w:pPr>
            <w:r w:rsidRPr="000F54CD">
              <w:t>Clean Technology Innovation Program</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0F54CD">
              <w:t>Clean Technology Investment Program</w:t>
            </w:r>
          </w:p>
        </w:tc>
        <w:tc>
          <w:tcPr>
            <w:tcW w:w="2097" w:type="pct"/>
          </w:tcPr>
          <w:p w:rsidR="004D3216" w:rsidRPr="004D3216" w:rsidRDefault="004D3216" w:rsidP="009613CE">
            <w:pPr>
              <w:pStyle w:val="TableBodyText"/>
              <w:ind w:right="28"/>
              <w:jc w:val="left"/>
              <w:rPr>
                <w:i/>
              </w:rPr>
            </w:pPr>
            <w:r>
              <w:t>Unallocated manufacturing</w:t>
            </w:r>
          </w:p>
        </w:tc>
      </w:tr>
      <w:tr w:rsidR="004D3216" w:rsidTr="009613CE">
        <w:tc>
          <w:tcPr>
            <w:tcW w:w="2903" w:type="pct"/>
          </w:tcPr>
          <w:p w:rsidR="004D3216" w:rsidRDefault="004D3216" w:rsidP="00D411FA">
            <w:pPr>
              <w:pStyle w:val="TableBodyText"/>
              <w:jc w:val="left"/>
            </w:pPr>
            <w:r w:rsidRPr="000F54CD">
              <w:t>Clean Technology Food and Foundries Investment Program</w:t>
            </w:r>
          </w:p>
        </w:tc>
        <w:tc>
          <w:tcPr>
            <w:tcW w:w="2097" w:type="pct"/>
          </w:tcPr>
          <w:p w:rsidR="004D3216" w:rsidRPr="004D3216" w:rsidRDefault="004D3216" w:rsidP="009613CE">
            <w:pPr>
              <w:pStyle w:val="TableBodyText"/>
              <w:ind w:right="28"/>
              <w:jc w:val="left"/>
              <w:rPr>
                <w:i/>
              </w:rPr>
            </w:pPr>
            <w:r>
              <w:t>Food, beverages and tobacco</w:t>
            </w:r>
          </w:p>
        </w:tc>
      </w:tr>
      <w:tr w:rsidR="004D3216" w:rsidTr="009613CE">
        <w:tc>
          <w:tcPr>
            <w:tcW w:w="2903" w:type="pct"/>
          </w:tcPr>
          <w:p w:rsidR="004D3216" w:rsidRDefault="004D3216" w:rsidP="00D411FA">
            <w:pPr>
              <w:pStyle w:val="TableBodyText"/>
              <w:jc w:val="left"/>
            </w:pPr>
            <w:r w:rsidRPr="000F54CD">
              <w:t>Coal Mining Abatement Technology and Support Program</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0F54CD">
              <w:t>Coal Sector Jobs Package</w:t>
            </w:r>
          </w:p>
        </w:tc>
        <w:tc>
          <w:tcPr>
            <w:tcW w:w="2097" w:type="pct"/>
          </w:tcPr>
          <w:p w:rsidR="004D3216" w:rsidRPr="004D3216" w:rsidRDefault="004D3216" w:rsidP="009613CE">
            <w:pPr>
              <w:pStyle w:val="TableBodyText"/>
              <w:ind w:right="28"/>
              <w:jc w:val="left"/>
              <w:rPr>
                <w:i/>
              </w:rPr>
            </w:pPr>
            <w:r>
              <w:t>Mining</w:t>
            </w:r>
          </w:p>
        </w:tc>
      </w:tr>
      <w:tr w:rsidR="004D3216" w:rsidTr="009613CE">
        <w:tc>
          <w:tcPr>
            <w:tcW w:w="2903" w:type="pct"/>
          </w:tcPr>
          <w:p w:rsidR="004D3216" w:rsidRDefault="004D3216" w:rsidP="00D411FA">
            <w:pPr>
              <w:pStyle w:val="TableBodyText"/>
              <w:jc w:val="left"/>
            </w:pPr>
            <w:r w:rsidRPr="000F54CD">
              <w:t>Energy Efficiency Information Grants Program</w:t>
            </w:r>
          </w:p>
        </w:tc>
        <w:tc>
          <w:tcPr>
            <w:tcW w:w="2097" w:type="pct"/>
          </w:tcPr>
          <w:p w:rsidR="004D3216" w:rsidRPr="004D3216" w:rsidRDefault="004D3216" w:rsidP="009613CE">
            <w:pPr>
              <w:pStyle w:val="TableBodyText"/>
              <w:ind w:right="28"/>
              <w:jc w:val="left"/>
              <w:rPr>
                <w:i/>
              </w:rPr>
            </w:pPr>
            <w:r>
              <w:t>Unallocated other</w:t>
            </w:r>
          </w:p>
        </w:tc>
      </w:tr>
      <w:tr w:rsidR="004D3216" w:rsidTr="009613CE">
        <w:tc>
          <w:tcPr>
            <w:tcW w:w="2903" w:type="pct"/>
          </w:tcPr>
          <w:p w:rsidR="004D3216" w:rsidRDefault="004D3216" w:rsidP="00D411FA">
            <w:pPr>
              <w:pStyle w:val="TableBodyText"/>
              <w:jc w:val="left"/>
            </w:pPr>
            <w:r w:rsidRPr="000F54CD">
              <w:t>Energy Efficiency Opportunities Program</w:t>
            </w:r>
          </w:p>
        </w:tc>
        <w:tc>
          <w:tcPr>
            <w:tcW w:w="2097" w:type="pct"/>
          </w:tcPr>
          <w:p w:rsidR="004D3216" w:rsidRPr="004D3216" w:rsidRDefault="004D3216" w:rsidP="009613CE">
            <w:pPr>
              <w:pStyle w:val="TableBodyText"/>
              <w:ind w:right="28"/>
              <w:jc w:val="left"/>
              <w:rPr>
                <w:i/>
              </w:rPr>
            </w:pPr>
            <w:r>
              <w:t>Unallocated other</w:t>
            </w:r>
          </w:p>
        </w:tc>
      </w:tr>
      <w:tr w:rsidR="004D3216" w:rsidTr="009613CE">
        <w:tc>
          <w:tcPr>
            <w:tcW w:w="2903" w:type="pct"/>
          </w:tcPr>
          <w:p w:rsidR="004D3216" w:rsidRDefault="004D3216" w:rsidP="00D411FA">
            <w:pPr>
              <w:pStyle w:val="TableBodyText"/>
              <w:jc w:val="left"/>
            </w:pPr>
            <w:r w:rsidRPr="005425C1">
              <w:t>Energy Savings Initiative</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5425C1">
              <w:t xml:space="preserve">Energy Security Fund </w:t>
            </w:r>
            <w:r>
              <w:t xml:space="preserve">- </w:t>
            </w:r>
            <w:r w:rsidRPr="005425C1">
              <w:t>transitional assistance</w:t>
            </w:r>
          </w:p>
        </w:tc>
        <w:tc>
          <w:tcPr>
            <w:tcW w:w="2097" w:type="pct"/>
          </w:tcPr>
          <w:p w:rsidR="004D3216" w:rsidRPr="004D3216" w:rsidRDefault="004D3216" w:rsidP="009613CE">
            <w:pPr>
              <w:pStyle w:val="TableBodyText"/>
              <w:ind w:right="28"/>
              <w:jc w:val="left"/>
              <w:rPr>
                <w:i/>
              </w:rPr>
            </w:pPr>
            <w:r>
              <w:t>Electricity, gas, water and waste services</w:t>
            </w:r>
          </w:p>
        </w:tc>
      </w:tr>
      <w:tr w:rsidR="004D3216" w:rsidTr="009613CE">
        <w:tc>
          <w:tcPr>
            <w:tcW w:w="2903" w:type="pct"/>
          </w:tcPr>
          <w:p w:rsidR="004D3216" w:rsidRDefault="004D3216" w:rsidP="00D411FA">
            <w:pPr>
              <w:pStyle w:val="TableBodyText"/>
              <w:jc w:val="left"/>
            </w:pPr>
            <w:r w:rsidRPr="00762135">
              <w:t xml:space="preserve">Energy Security Fund </w:t>
            </w:r>
            <w:r>
              <w:t xml:space="preserve">- </w:t>
            </w:r>
            <w:r w:rsidRPr="00762135">
              <w:t>contract for closure program</w:t>
            </w:r>
          </w:p>
        </w:tc>
        <w:tc>
          <w:tcPr>
            <w:tcW w:w="2097" w:type="pct"/>
          </w:tcPr>
          <w:p w:rsidR="004D3216" w:rsidRPr="004D3216" w:rsidRDefault="004D3216" w:rsidP="009613CE">
            <w:pPr>
              <w:pStyle w:val="TableBodyText"/>
              <w:ind w:right="28"/>
              <w:jc w:val="left"/>
              <w:rPr>
                <w:i/>
              </w:rPr>
            </w:pPr>
            <w:r>
              <w:t>Electricity, gas, water and waste services</w:t>
            </w:r>
          </w:p>
        </w:tc>
      </w:tr>
      <w:tr w:rsidR="004D3216" w:rsidTr="009613CE">
        <w:tc>
          <w:tcPr>
            <w:tcW w:w="2903" w:type="pct"/>
          </w:tcPr>
          <w:p w:rsidR="004D3216" w:rsidRDefault="004D3216" w:rsidP="00D411FA">
            <w:pPr>
              <w:pStyle w:val="TableBodyText"/>
              <w:jc w:val="left"/>
            </w:pPr>
            <w:r w:rsidRPr="00762135">
              <w:t>Indigenous Carbon Farming Fund</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762135">
              <w:t>Jobs and Competitiveness Program</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762135">
              <w:t>Regional Structural Adjustment</w:t>
            </w:r>
          </w:p>
        </w:tc>
        <w:tc>
          <w:tcPr>
            <w:tcW w:w="2097" w:type="pct"/>
          </w:tcPr>
          <w:p w:rsidR="004D3216" w:rsidRPr="004D3216" w:rsidRDefault="004D3216" w:rsidP="009613CE">
            <w:pPr>
              <w:pStyle w:val="TableBodyText"/>
              <w:ind w:right="28"/>
              <w:jc w:val="left"/>
              <w:rPr>
                <w:i/>
              </w:rPr>
            </w:pPr>
            <w:r>
              <w:t>Funding to commence in 2012</w:t>
            </w:r>
            <w:r>
              <w:noBreakHyphen/>
              <w:t>13</w:t>
            </w:r>
          </w:p>
        </w:tc>
      </w:tr>
      <w:tr w:rsidR="004D3216" w:rsidTr="009613CE">
        <w:tc>
          <w:tcPr>
            <w:tcW w:w="2903" w:type="pct"/>
          </w:tcPr>
          <w:p w:rsidR="004D3216" w:rsidRDefault="004D3216" w:rsidP="00D411FA">
            <w:pPr>
              <w:pStyle w:val="TableBodyText"/>
              <w:jc w:val="left"/>
            </w:pPr>
            <w:r w:rsidRPr="00762135">
              <w:t>Small Business Instant Asset Write-off Increase</w:t>
            </w:r>
          </w:p>
        </w:tc>
        <w:tc>
          <w:tcPr>
            <w:tcW w:w="2097" w:type="pct"/>
          </w:tcPr>
          <w:p w:rsidR="004D3216" w:rsidRPr="004D3216" w:rsidRDefault="004D3216" w:rsidP="009613CE">
            <w:pPr>
              <w:pStyle w:val="TableBodyText"/>
              <w:ind w:right="28"/>
              <w:jc w:val="left"/>
              <w:rPr>
                <w:i/>
              </w:rPr>
            </w:pPr>
            <w:r>
              <w:t>Unallocated other</w:t>
            </w:r>
          </w:p>
        </w:tc>
      </w:tr>
      <w:tr w:rsidR="004D3216" w:rsidTr="009613CE">
        <w:tc>
          <w:tcPr>
            <w:tcW w:w="2903" w:type="pct"/>
          </w:tcPr>
          <w:p w:rsidR="004D3216" w:rsidRDefault="004D3216" w:rsidP="00D411FA">
            <w:pPr>
              <w:pStyle w:val="TableBodyText"/>
              <w:jc w:val="left"/>
            </w:pPr>
            <w:r w:rsidRPr="00762135">
              <w:t>Steel Transformation Plan</w:t>
            </w:r>
          </w:p>
        </w:tc>
        <w:tc>
          <w:tcPr>
            <w:tcW w:w="2097" w:type="pct"/>
          </w:tcPr>
          <w:p w:rsidR="004D3216" w:rsidRPr="004D3216" w:rsidRDefault="004D3216" w:rsidP="009613CE">
            <w:pPr>
              <w:pStyle w:val="TableBodyText"/>
              <w:ind w:right="28"/>
              <w:jc w:val="left"/>
              <w:rPr>
                <w:i/>
              </w:rPr>
            </w:pPr>
            <w:r>
              <w:t>Metal and fabricated metal products</w:t>
            </w:r>
          </w:p>
        </w:tc>
      </w:tr>
      <w:tr w:rsidR="004D3216" w:rsidTr="004D3216">
        <w:tc>
          <w:tcPr>
            <w:tcW w:w="2903" w:type="pct"/>
          </w:tcPr>
          <w:p w:rsidR="004D3216" w:rsidRPr="00762135" w:rsidRDefault="004D3216" w:rsidP="005425C1">
            <w:pPr>
              <w:pStyle w:val="TableBodyText"/>
              <w:jc w:val="left"/>
            </w:pPr>
          </w:p>
        </w:tc>
        <w:tc>
          <w:tcPr>
            <w:tcW w:w="2097" w:type="pct"/>
          </w:tcPr>
          <w:p w:rsidR="004D3216" w:rsidRPr="004D3216" w:rsidRDefault="004D3216" w:rsidP="000F54CD">
            <w:pPr>
              <w:pStyle w:val="TableBodyText"/>
              <w:ind w:right="28"/>
              <w:jc w:val="left"/>
            </w:pPr>
          </w:p>
        </w:tc>
      </w:tr>
      <w:tr w:rsidR="004D3216" w:rsidRPr="001D05B3" w:rsidTr="004D3216">
        <w:tc>
          <w:tcPr>
            <w:tcW w:w="5000" w:type="pct"/>
            <w:gridSpan w:val="2"/>
          </w:tcPr>
          <w:p w:rsidR="004D3216" w:rsidRPr="001D05B3" w:rsidRDefault="004D3216" w:rsidP="00847C6A">
            <w:pPr>
              <w:pStyle w:val="TableBodyText"/>
              <w:spacing w:before="80" w:after="80"/>
              <w:jc w:val="left"/>
              <w:rPr>
                <w:b/>
              </w:rPr>
            </w:pPr>
            <w:r w:rsidRPr="001D05B3">
              <w:rPr>
                <w:b/>
              </w:rPr>
              <w:t>Programs not considered to provide industry assistance</w:t>
            </w:r>
          </w:p>
        </w:tc>
      </w:tr>
      <w:tr w:rsidR="004D3216" w:rsidTr="009613CE">
        <w:tc>
          <w:tcPr>
            <w:tcW w:w="2903" w:type="pct"/>
          </w:tcPr>
          <w:p w:rsidR="004D3216" w:rsidRDefault="004D3216" w:rsidP="00D411FA">
            <w:pPr>
              <w:pStyle w:val="TableBodyText"/>
              <w:jc w:val="left"/>
            </w:pPr>
            <w:r w:rsidRPr="001D05B3">
              <w:t>Biodiversity Fund</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 xml:space="preserve">Clean Energy Regulator </w:t>
            </w:r>
            <w:r>
              <w:t xml:space="preserve">- </w:t>
            </w:r>
            <w:r w:rsidRPr="001D05B3">
              <w:t>Carbon Price Implementation Program</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Charities Maritime and Aviation Support Program</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Climate Change Authority</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Community Energy Efficiency Program</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Essential Medical Equipment Payment</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Home Energy Saver Scheme</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Household Assistance Package</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Land Sector Carbon and Biodiversity Board</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Light Vehicle CO2 Emissions Standards</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Low Income Energy Efficiency Program</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Opt-in Arrangements</w:t>
            </w:r>
          </w:p>
        </w:tc>
        <w:tc>
          <w:tcPr>
            <w:tcW w:w="2097" w:type="pct"/>
          </w:tcPr>
          <w:p w:rsidR="004D3216" w:rsidRDefault="004D3216" w:rsidP="009613CE">
            <w:pPr>
              <w:pStyle w:val="TableBodyText"/>
              <w:ind w:right="28"/>
              <w:jc w:val="left"/>
              <w:rPr>
                <w:i/>
              </w:rPr>
            </w:pPr>
            <w:r>
              <w:t>n/a</w:t>
            </w:r>
          </w:p>
        </w:tc>
      </w:tr>
      <w:tr w:rsidR="004D3216" w:rsidTr="009613CE">
        <w:tc>
          <w:tcPr>
            <w:tcW w:w="2903" w:type="pct"/>
          </w:tcPr>
          <w:p w:rsidR="004D3216" w:rsidRDefault="004D3216" w:rsidP="00D411FA">
            <w:pPr>
              <w:pStyle w:val="TableBodyText"/>
              <w:jc w:val="left"/>
            </w:pPr>
            <w:r w:rsidRPr="001D05B3">
              <w:t>Regional Natural Resource Management Planning</w:t>
            </w:r>
          </w:p>
        </w:tc>
        <w:tc>
          <w:tcPr>
            <w:tcW w:w="2097" w:type="pct"/>
          </w:tcPr>
          <w:p w:rsidR="004D3216" w:rsidRDefault="004D3216" w:rsidP="009613CE">
            <w:pPr>
              <w:pStyle w:val="TableBodyText"/>
              <w:ind w:right="28"/>
              <w:jc w:val="left"/>
              <w:rPr>
                <w:i/>
              </w:rPr>
            </w:pPr>
            <w:r>
              <w:t>n/a</w:t>
            </w:r>
          </w:p>
        </w:tc>
      </w:tr>
      <w:tr w:rsidR="004D3216" w:rsidTr="009613CE">
        <w:tc>
          <w:tcPr>
            <w:tcW w:w="2903" w:type="pct"/>
            <w:tcBorders>
              <w:bottom w:val="single" w:sz="6" w:space="0" w:color="auto"/>
            </w:tcBorders>
            <w:shd w:val="clear" w:color="auto" w:fill="auto"/>
          </w:tcPr>
          <w:p w:rsidR="004D3216" w:rsidRDefault="004D3216" w:rsidP="00D411FA">
            <w:pPr>
              <w:pStyle w:val="TableBodyText"/>
              <w:jc w:val="left"/>
            </w:pPr>
            <w:r w:rsidRPr="001D05B3">
              <w:t>Remote Indigenous Energy Program</w:t>
            </w:r>
          </w:p>
        </w:tc>
        <w:tc>
          <w:tcPr>
            <w:tcW w:w="2097" w:type="pct"/>
            <w:tcBorders>
              <w:bottom w:val="single" w:sz="6" w:space="0" w:color="auto"/>
            </w:tcBorders>
            <w:shd w:val="clear" w:color="auto" w:fill="auto"/>
          </w:tcPr>
          <w:p w:rsidR="004D3216" w:rsidRDefault="004D3216" w:rsidP="009613CE">
            <w:pPr>
              <w:pStyle w:val="TableBodyText"/>
              <w:ind w:right="28"/>
              <w:jc w:val="left"/>
              <w:rPr>
                <w:i/>
              </w:rPr>
            </w:pPr>
            <w:r>
              <w:t>n/a</w:t>
            </w:r>
          </w:p>
        </w:tc>
      </w:tr>
    </w:tbl>
    <w:p w:rsidR="003C0B17" w:rsidRPr="008E77FE" w:rsidRDefault="003C0B17" w:rsidP="005425C1">
      <w:pPr>
        <w:pStyle w:val="Source"/>
      </w:pPr>
      <w:r>
        <w:rPr>
          <w:i/>
        </w:rPr>
        <w:t>Source</w:t>
      </w:r>
      <w:r>
        <w:t xml:space="preserve">: </w:t>
      </w:r>
      <w:r w:rsidR="00435AD7">
        <w:t>Commission estimates</w:t>
      </w:r>
      <w:r>
        <w:t>.</w:t>
      </w:r>
      <w:r w:rsidR="00767F76">
        <w:t xml:space="preserve"> </w:t>
      </w:r>
    </w:p>
    <w:p w:rsidR="00FD3331" w:rsidRDefault="00D42142" w:rsidP="00FD3331">
      <w:pPr>
        <w:pStyle w:val="Heading3"/>
      </w:pPr>
      <w:r>
        <w:lastRenderedPageBreak/>
        <w:t xml:space="preserve">New </w:t>
      </w:r>
      <w:r w:rsidR="007B19E7">
        <w:t>tax expenditures</w:t>
      </w:r>
    </w:p>
    <w:p w:rsidR="00435AD7" w:rsidRDefault="0025361F" w:rsidP="00FD3331">
      <w:pPr>
        <w:pStyle w:val="BodyText"/>
      </w:pPr>
      <w:r>
        <w:t>N</w:t>
      </w:r>
      <w:r w:rsidR="007B19E7">
        <w:t xml:space="preserve">ew tax expenditures </w:t>
      </w:r>
      <w:r w:rsidR="00527933">
        <w:t xml:space="preserve">announced </w:t>
      </w:r>
      <w:r w:rsidR="007B19E7">
        <w:t xml:space="preserve">in </w:t>
      </w:r>
      <w:r w:rsidR="00527933">
        <w:t xml:space="preserve">the </w:t>
      </w:r>
      <w:r w:rsidR="007B19E7">
        <w:t xml:space="preserve">Treasury’s 2012 Tax Expenditure Statement </w:t>
      </w:r>
      <w:r w:rsidR="007A30CF">
        <w:t xml:space="preserve">(Australian Government 2013) </w:t>
      </w:r>
      <w:r w:rsidR="00435AD7">
        <w:t>were also assessed for their industry assistance implications</w:t>
      </w:r>
      <w:r w:rsidR="00282457">
        <w:t>.</w:t>
      </w:r>
    </w:p>
    <w:p w:rsidR="00435AD7" w:rsidRDefault="00435AD7" w:rsidP="00FD3331">
      <w:pPr>
        <w:pStyle w:val="BodyText"/>
      </w:pPr>
      <w:r>
        <w:t>While many of the new tax expenditures were judged to provide industry assistance, most are estimated by Treasury to be ‘nil’ value in 2011</w:t>
      </w:r>
      <w:r>
        <w:noBreakHyphen/>
        <w:t>12 or have not been quantified</w:t>
      </w:r>
      <w:r w:rsidR="006507DD">
        <w:t xml:space="preserve"> (t</w:t>
      </w:r>
      <w:r>
        <w:t>able </w:t>
      </w:r>
      <w:r w:rsidR="002318E5">
        <w:t>4.7</w:t>
      </w:r>
      <w:r w:rsidR="006507DD">
        <w:t>)</w:t>
      </w:r>
      <w:r>
        <w:t xml:space="preserve">. </w:t>
      </w:r>
    </w:p>
    <w:p w:rsidR="003C0B17" w:rsidRDefault="003C0B17">
      <w:pPr>
        <w:pStyle w:val="TableTitle"/>
      </w:pPr>
      <w:r>
        <w:rPr>
          <w:b w:val="0"/>
        </w:rPr>
        <w:t xml:space="preserve">Table </w:t>
      </w:r>
      <w:bookmarkStart w:id="12" w:name="OLE_LINK1"/>
      <w:r w:rsidR="002318E5">
        <w:rPr>
          <w:b w:val="0"/>
        </w:rPr>
        <w:t>4.</w:t>
      </w:r>
      <w:r w:rsidR="002318E5">
        <w:rPr>
          <w:b w:val="0"/>
          <w:noProof/>
        </w:rPr>
        <w:t>7</w:t>
      </w:r>
      <w:bookmarkEnd w:id="12"/>
      <w:r>
        <w:tab/>
      </w:r>
      <w:r w:rsidR="004359E1">
        <w:t>New tax expenditures</w:t>
      </w:r>
      <w:r w:rsidR="00D42142">
        <w:t xml:space="preserve"> (quantified and unquantified)</w:t>
      </w:r>
      <w:r w:rsidR="00D42142">
        <w:br/>
      </w:r>
      <w:r w:rsidR="004359E1">
        <w:t>in Treasury’s 2012 Tax Expenditure Statement</w:t>
      </w:r>
    </w:p>
    <w:tbl>
      <w:tblPr>
        <w:tblW w:w="5000" w:type="pct"/>
        <w:tblCellMar>
          <w:left w:w="0" w:type="dxa"/>
          <w:right w:w="0" w:type="dxa"/>
        </w:tblCellMar>
        <w:tblLook w:val="0000" w:firstRow="0" w:lastRow="0" w:firstColumn="0" w:lastColumn="0" w:noHBand="0" w:noVBand="0"/>
      </w:tblPr>
      <w:tblGrid>
        <w:gridCol w:w="4140"/>
        <w:gridCol w:w="2494"/>
        <w:gridCol w:w="2155"/>
      </w:tblGrid>
      <w:tr w:rsidR="0030428A" w:rsidTr="006B0555">
        <w:tc>
          <w:tcPr>
            <w:tcW w:w="2355" w:type="pct"/>
            <w:tcBorders>
              <w:top w:val="single" w:sz="6" w:space="0" w:color="auto"/>
              <w:bottom w:val="single" w:sz="6" w:space="0" w:color="auto"/>
            </w:tcBorders>
            <w:shd w:val="clear" w:color="auto" w:fill="auto"/>
            <w:vAlign w:val="bottom"/>
          </w:tcPr>
          <w:p w:rsidR="005708B5" w:rsidRDefault="005708B5" w:rsidP="0030428A">
            <w:pPr>
              <w:pStyle w:val="TableColumnHeading"/>
              <w:jc w:val="left"/>
            </w:pPr>
            <w:r>
              <w:t>Program</w:t>
            </w:r>
          </w:p>
        </w:tc>
        <w:tc>
          <w:tcPr>
            <w:tcW w:w="1419" w:type="pct"/>
            <w:tcBorders>
              <w:top w:val="single" w:sz="6" w:space="0" w:color="auto"/>
              <w:bottom w:val="single" w:sz="6" w:space="0" w:color="auto"/>
            </w:tcBorders>
            <w:shd w:val="clear" w:color="auto" w:fill="auto"/>
            <w:vAlign w:val="bottom"/>
          </w:tcPr>
          <w:p w:rsidR="005708B5" w:rsidRDefault="001B6A3D" w:rsidP="00D1680A">
            <w:pPr>
              <w:pStyle w:val="TableColumnHeading"/>
              <w:jc w:val="left"/>
            </w:pPr>
            <w:r>
              <w:t>Industry grouping allocation</w:t>
            </w:r>
          </w:p>
        </w:tc>
        <w:tc>
          <w:tcPr>
            <w:tcW w:w="1226" w:type="pct"/>
            <w:tcBorders>
              <w:top w:val="single" w:sz="6" w:space="0" w:color="auto"/>
              <w:bottom w:val="single" w:sz="6" w:space="0" w:color="auto"/>
            </w:tcBorders>
            <w:shd w:val="clear" w:color="auto" w:fill="auto"/>
            <w:vAlign w:val="bottom"/>
          </w:tcPr>
          <w:p w:rsidR="005708B5" w:rsidRDefault="001B6A3D" w:rsidP="00D1680A">
            <w:pPr>
              <w:pStyle w:val="TableColumnHeading"/>
              <w:ind w:right="28"/>
              <w:jc w:val="left"/>
            </w:pPr>
            <w:r>
              <w:t>Concession estimate</w:t>
            </w:r>
            <w:r>
              <w:br/>
              <w:t>in 2011</w:t>
            </w:r>
            <w:r>
              <w:noBreakHyphen/>
              <w:t>12</w:t>
            </w:r>
          </w:p>
        </w:tc>
      </w:tr>
      <w:tr w:rsidR="00E31649" w:rsidRPr="00094BA3" w:rsidTr="006B0555">
        <w:tc>
          <w:tcPr>
            <w:tcW w:w="5000" w:type="pct"/>
            <w:gridSpan w:val="3"/>
            <w:tcBorders>
              <w:top w:val="single" w:sz="6" w:space="0" w:color="auto"/>
            </w:tcBorders>
          </w:tcPr>
          <w:p w:rsidR="00E31649" w:rsidRPr="00094BA3" w:rsidRDefault="00E31649" w:rsidP="005425C1">
            <w:pPr>
              <w:pStyle w:val="TableUnitsRow"/>
              <w:jc w:val="left"/>
              <w:rPr>
                <w:b/>
              </w:rPr>
            </w:pPr>
            <w:r w:rsidRPr="00094BA3">
              <w:rPr>
                <w:b/>
              </w:rPr>
              <w:t>New measures deemed to provide industry assistance</w:t>
            </w:r>
          </w:p>
        </w:tc>
      </w:tr>
      <w:tr w:rsidR="001B6A3D" w:rsidTr="009613CE">
        <w:tc>
          <w:tcPr>
            <w:tcW w:w="2355" w:type="pct"/>
          </w:tcPr>
          <w:p w:rsidR="001B6A3D" w:rsidRDefault="001B6A3D" w:rsidP="00EC365D">
            <w:pPr>
              <w:pStyle w:val="TableBodyText"/>
              <w:jc w:val="left"/>
            </w:pPr>
            <w:r w:rsidRPr="00425EA7">
              <w:t>Concessional rate of withholding tax (B19)</w:t>
            </w:r>
          </w:p>
        </w:tc>
        <w:tc>
          <w:tcPr>
            <w:tcW w:w="1419" w:type="pct"/>
          </w:tcPr>
          <w:p w:rsidR="001B6A3D" w:rsidRDefault="001B6A3D" w:rsidP="009613CE">
            <w:pPr>
              <w:pStyle w:val="TableBodyText"/>
              <w:ind w:right="28"/>
              <w:jc w:val="left"/>
              <w:rPr>
                <w:i/>
              </w:rPr>
            </w:pPr>
            <w:r>
              <w:t>Financial and insurance services</w:t>
            </w:r>
          </w:p>
        </w:tc>
        <w:tc>
          <w:tcPr>
            <w:tcW w:w="1226" w:type="pct"/>
          </w:tcPr>
          <w:p w:rsidR="001B6A3D" w:rsidRDefault="001B6A3D" w:rsidP="009613CE">
            <w:pPr>
              <w:pStyle w:val="TableBodyText"/>
              <w:jc w:val="left"/>
              <w:rPr>
                <w:i/>
              </w:rPr>
            </w:pPr>
            <w:r>
              <w:t>nil</w:t>
            </w:r>
          </w:p>
        </w:tc>
      </w:tr>
      <w:tr w:rsidR="001B6A3D" w:rsidTr="009613CE">
        <w:tc>
          <w:tcPr>
            <w:tcW w:w="2355" w:type="pct"/>
          </w:tcPr>
          <w:p w:rsidR="001B6A3D" w:rsidRDefault="001B6A3D" w:rsidP="00EC365D">
            <w:pPr>
              <w:pStyle w:val="TableBodyText"/>
              <w:jc w:val="left"/>
            </w:pPr>
            <w:r w:rsidRPr="00425EA7">
              <w:t>Concessional rate of withholding tax (B108)</w:t>
            </w:r>
          </w:p>
        </w:tc>
        <w:tc>
          <w:tcPr>
            <w:tcW w:w="1419" w:type="pct"/>
          </w:tcPr>
          <w:p w:rsidR="001B6A3D" w:rsidRDefault="001B6A3D" w:rsidP="009613CE">
            <w:pPr>
              <w:pStyle w:val="TableBodyText"/>
              <w:ind w:right="28"/>
              <w:jc w:val="left"/>
              <w:rPr>
                <w:i/>
              </w:rPr>
            </w:pPr>
            <w:r>
              <w:t>Financial and insurance services</w:t>
            </w:r>
          </w:p>
        </w:tc>
        <w:tc>
          <w:tcPr>
            <w:tcW w:w="1226" w:type="pct"/>
          </w:tcPr>
          <w:p w:rsidR="001B6A3D" w:rsidRDefault="001B6A3D" w:rsidP="009613CE">
            <w:pPr>
              <w:pStyle w:val="TableBodyText"/>
              <w:jc w:val="left"/>
              <w:rPr>
                <w:i/>
              </w:rPr>
            </w:pPr>
            <w:r>
              <w:t>$195 million</w:t>
            </w:r>
          </w:p>
        </w:tc>
      </w:tr>
      <w:tr w:rsidR="001B6A3D" w:rsidTr="009613CE">
        <w:tc>
          <w:tcPr>
            <w:tcW w:w="2355" w:type="pct"/>
          </w:tcPr>
          <w:p w:rsidR="001B6A3D" w:rsidRDefault="001B6A3D" w:rsidP="00EC365D">
            <w:pPr>
              <w:pStyle w:val="TableBodyText"/>
              <w:jc w:val="left"/>
            </w:pPr>
            <w:r w:rsidRPr="00425EA7">
              <w:t xml:space="preserve">Small business </w:t>
            </w:r>
            <w:r>
              <w:t>-</w:t>
            </w:r>
            <w:r w:rsidRPr="00425EA7">
              <w:t xml:space="preserve"> </w:t>
            </w:r>
            <w:r>
              <w:t>s</w:t>
            </w:r>
            <w:r w:rsidRPr="00425EA7">
              <w:t>implified depreciation rules</w:t>
            </w:r>
            <w:r>
              <w:t xml:space="preserve"> (B104)</w:t>
            </w:r>
          </w:p>
        </w:tc>
        <w:tc>
          <w:tcPr>
            <w:tcW w:w="1419" w:type="pct"/>
          </w:tcPr>
          <w:p w:rsidR="001B6A3D" w:rsidRDefault="001B6A3D" w:rsidP="009613CE">
            <w:pPr>
              <w:pStyle w:val="TableBodyText"/>
              <w:ind w:right="28"/>
              <w:jc w:val="left"/>
              <w:rPr>
                <w:i/>
              </w:rPr>
            </w:pPr>
            <w:r>
              <w:t>Unallocated other</w:t>
            </w:r>
          </w:p>
        </w:tc>
        <w:tc>
          <w:tcPr>
            <w:tcW w:w="1226" w:type="pct"/>
          </w:tcPr>
          <w:p w:rsidR="001B6A3D" w:rsidRDefault="001B6A3D" w:rsidP="009613CE">
            <w:pPr>
              <w:pStyle w:val="TableBodyText"/>
              <w:jc w:val="left"/>
              <w:rPr>
                <w:i/>
              </w:rPr>
            </w:pPr>
            <w:r>
              <w:t>$15 million</w:t>
            </w:r>
          </w:p>
        </w:tc>
      </w:tr>
      <w:tr w:rsidR="001B6A3D" w:rsidTr="009613CE">
        <w:tc>
          <w:tcPr>
            <w:tcW w:w="2355" w:type="pct"/>
          </w:tcPr>
          <w:p w:rsidR="001B6A3D" w:rsidRDefault="001B6A3D" w:rsidP="00EC365D">
            <w:pPr>
              <w:pStyle w:val="TableBodyText"/>
              <w:jc w:val="left"/>
            </w:pPr>
            <w:r w:rsidRPr="00425EA7">
              <w:t>Exemption for International Cricket Council (B33)</w:t>
            </w:r>
          </w:p>
        </w:tc>
        <w:tc>
          <w:tcPr>
            <w:tcW w:w="1419" w:type="pct"/>
          </w:tcPr>
          <w:p w:rsidR="001B6A3D" w:rsidRDefault="001B6A3D" w:rsidP="009613CE">
            <w:pPr>
              <w:pStyle w:val="TableBodyText"/>
              <w:ind w:right="28"/>
              <w:jc w:val="left"/>
              <w:rPr>
                <w:i/>
              </w:rPr>
            </w:pPr>
            <w:r>
              <w:t>Arts and recreation services</w:t>
            </w:r>
          </w:p>
        </w:tc>
        <w:tc>
          <w:tcPr>
            <w:tcW w:w="1226" w:type="pct"/>
          </w:tcPr>
          <w:p w:rsidR="001B6A3D" w:rsidRDefault="001B6A3D" w:rsidP="009613CE">
            <w:pPr>
              <w:pStyle w:val="TableBodyText"/>
              <w:jc w:val="left"/>
              <w:rPr>
                <w:i/>
              </w:rPr>
            </w:pPr>
            <w:r>
              <w:t>nil</w:t>
            </w:r>
          </w:p>
        </w:tc>
      </w:tr>
      <w:tr w:rsidR="001B6A3D" w:rsidTr="009613CE">
        <w:tc>
          <w:tcPr>
            <w:tcW w:w="2355" w:type="pct"/>
          </w:tcPr>
          <w:p w:rsidR="001B6A3D" w:rsidRDefault="001B6A3D" w:rsidP="00EC365D">
            <w:pPr>
              <w:pStyle w:val="TableBodyText"/>
              <w:jc w:val="left"/>
            </w:pPr>
            <w:r w:rsidRPr="00425EA7">
              <w:t>Conservation tillage refundable tax offset (B40)</w:t>
            </w:r>
          </w:p>
        </w:tc>
        <w:tc>
          <w:tcPr>
            <w:tcW w:w="1419" w:type="pct"/>
          </w:tcPr>
          <w:p w:rsidR="001B6A3D" w:rsidRDefault="001B6A3D" w:rsidP="009613CE">
            <w:pPr>
              <w:pStyle w:val="TableBodyText"/>
              <w:ind w:right="28"/>
              <w:jc w:val="left"/>
              <w:rPr>
                <w:i/>
              </w:rPr>
            </w:pPr>
            <w:r>
              <w:t>Unallocated primary production</w:t>
            </w:r>
          </w:p>
        </w:tc>
        <w:tc>
          <w:tcPr>
            <w:tcW w:w="1226" w:type="pct"/>
          </w:tcPr>
          <w:p w:rsidR="001B6A3D" w:rsidRDefault="001B6A3D" w:rsidP="009613CE">
            <w:pPr>
              <w:pStyle w:val="TableBodyText"/>
              <w:jc w:val="left"/>
              <w:rPr>
                <w:i/>
              </w:rPr>
            </w:pPr>
            <w:r>
              <w:t>nil</w:t>
            </w:r>
          </w:p>
        </w:tc>
      </w:tr>
      <w:tr w:rsidR="001B6A3D" w:rsidTr="009613CE">
        <w:tc>
          <w:tcPr>
            <w:tcW w:w="2355" w:type="pct"/>
          </w:tcPr>
          <w:p w:rsidR="001B6A3D" w:rsidRDefault="001B6A3D" w:rsidP="00EC365D">
            <w:pPr>
              <w:pStyle w:val="TableBodyText"/>
              <w:jc w:val="left"/>
            </w:pPr>
            <w:r w:rsidRPr="00425EA7">
              <w:t>Company loss carry-back (B109)</w:t>
            </w:r>
          </w:p>
        </w:tc>
        <w:tc>
          <w:tcPr>
            <w:tcW w:w="1419" w:type="pct"/>
          </w:tcPr>
          <w:p w:rsidR="001B6A3D" w:rsidRDefault="001B6A3D" w:rsidP="009613CE">
            <w:pPr>
              <w:pStyle w:val="TableBodyText"/>
              <w:ind w:right="28"/>
              <w:jc w:val="left"/>
              <w:rPr>
                <w:i/>
              </w:rPr>
            </w:pPr>
            <w:r>
              <w:t>Unallocated other</w:t>
            </w:r>
          </w:p>
        </w:tc>
        <w:tc>
          <w:tcPr>
            <w:tcW w:w="1226" w:type="pct"/>
          </w:tcPr>
          <w:p w:rsidR="001B6A3D" w:rsidRDefault="001B6A3D" w:rsidP="009613CE">
            <w:pPr>
              <w:pStyle w:val="TableBodyText"/>
              <w:jc w:val="left"/>
              <w:rPr>
                <w:i/>
              </w:rPr>
            </w:pPr>
            <w:r>
              <w:t>nil</w:t>
            </w:r>
          </w:p>
        </w:tc>
      </w:tr>
      <w:tr w:rsidR="001B6A3D" w:rsidTr="009613CE">
        <w:tc>
          <w:tcPr>
            <w:tcW w:w="2355" w:type="pct"/>
          </w:tcPr>
          <w:p w:rsidR="001B6A3D" w:rsidRDefault="001B6A3D" w:rsidP="00EC365D">
            <w:pPr>
              <w:pStyle w:val="TableBodyText"/>
              <w:jc w:val="left"/>
            </w:pPr>
            <w:r w:rsidRPr="00425EA7">
              <w:t>Exemption for meals for primary production (D15)</w:t>
            </w:r>
          </w:p>
        </w:tc>
        <w:tc>
          <w:tcPr>
            <w:tcW w:w="1419" w:type="pct"/>
          </w:tcPr>
          <w:p w:rsidR="001B6A3D" w:rsidRDefault="001B6A3D" w:rsidP="009613CE">
            <w:pPr>
              <w:pStyle w:val="TableBodyText"/>
              <w:ind w:right="28"/>
              <w:jc w:val="left"/>
              <w:rPr>
                <w:i/>
              </w:rPr>
            </w:pPr>
            <w:r>
              <w:t>Unallocated primary production</w:t>
            </w:r>
          </w:p>
        </w:tc>
        <w:tc>
          <w:tcPr>
            <w:tcW w:w="1226" w:type="pct"/>
          </w:tcPr>
          <w:p w:rsidR="001B6A3D" w:rsidRDefault="001B6A3D" w:rsidP="009613CE">
            <w:pPr>
              <w:pStyle w:val="TableBodyText"/>
              <w:jc w:val="left"/>
              <w:rPr>
                <w:i/>
              </w:rPr>
            </w:pPr>
            <w:r>
              <w:t>Not quantified (Treasury indicate between 0 and $10 m)</w:t>
            </w:r>
          </w:p>
        </w:tc>
      </w:tr>
      <w:tr w:rsidR="001B6A3D" w:rsidTr="009613CE">
        <w:tc>
          <w:tcPr>
            <w:tcW w:w="2355" w:type="pct"/>
          </w:tcPr>
          <w:p w:rsidR="001B6A3D" w:rsidRDefault="001B6A3D" w:rsidP="00EC365D">
            <w:pPr>
              <w:pStyle w:val="TableBodyText"/>
              <w:jc w:val="left"/>
            </w:pPr>
            <w:r w:rsidRPr="00425EA7">
              <w:t xml:space="preserve">Synthetic greenhouse gases </w:t>
            </w:r>
            <w:r>
              <w:t>e</w:t>
            </w:r>
            <w:r w:rsidRPr="00425EA7">
              <w:t>xemptions (I5)</w:t>
            </w:r>
          </w:p>
        </w:tc>
        <w:tc>
          <w:tcPr>
            <w:tcW w:w="1419" w:type="pct"/>
          </w:tcPr>
          <w:p w:rsidR="001B6A3D" w:rsidRDefault="001B6A3D" w:rsidP="009613CE">
            <w:pPr>
              <w:pStyle w:val="TableBodyText"/>
              <w:ind w:right="28"/>
              <w:jc w:val="left"/>
              <w:rPr>
                <w:i/>
              </w:rPr>
            </w:pPr>
            <w:r>
              <w:t>Unallocated other</w:t>
            </w:r>
          </w:p>
        </w:tc>
        <w:tc>
          <w:tcPr>
            <w:tcW w:w="1226" w:type="pct"/>
          </w:tcPr>
          <w:p w:rsidR="001B6A3D" w:rsidRDefault="001B6A3D" w:rsidP="009613CE">
            <w:pPr>
              <w:pStyle w:val="TableBodyText"/>
              <w:jc w:val="left"/>
              <w:rPr>
                <w:i/>
              </w:rPr>
            </w:pPr>
            <w:r>
              <w:t>nil</w:t>
            </w:r>
          </w:p>
        </w:tc>
      </w:tr>
      <w:tr w:rsidR="001B6A3D" w:rsidTr="009613CE">
        <w:tc>
          <w:tcPr>
            <w:tcW w:w="2355" w:type="pct"/>
          </w:tcPr>
          <w:p w:rsidR="001B6A3D" w:rsidRDefault="001B6A3D" w:rsidP="00EC365D">
            <w:pPr>
              <w:pStyle w:val="TableBodyText"/>
              <w:jc w:val="left"/>
            </w:pPr>
            <w:r w:rsidRPr="00425EA7">
              <w:t xml:space="preserve">Carbon Pricing Mechanism </w:t>
            </w:r>
            <w:r>
              <w:t>e</w:t>
            </w:r>
            <w:r w:rsidRPr="00425EA7">
              <w:t>xemptions (I8)</w:t>
            </w:r>
          </w:p>
        </w:tc>
        <w:tc>
          <w:tcPr>
            <w:tcW w:w="1419" w:type="pct"/>
          </w:tcPr>
          <w:p w:rsidR="001B6A3D" w:rsidRDefault="001B6A3D" w:rsidP="009613CE">
            <w:pPr>
              <w:pStyle w:val="TableBodyText"/>
              <w:ind w:right="28"/>
              <w:jc w:val="left"/>
              <w:rPr>
                <w:i/>
              </w:rPr>
            </w:pPr>
            <w:r>
              <w:t>Mining</w:t>
            </w:r>
          </w:p>
        </w:tc>
        <w:tc>
          <w:tcPr>
            <w:tcW w:w="1226" w:type="pct"/>
          </w:tcPr>
          <w:p w:rsidR="001B6A3D" w:rsidRDefault="001B6A3D" w:rsidP="009613CE">
            <w:pPr>
              <w:pStyle w:val="TableBodyText"/>
              <w:jc w:val="left"/>
              <w:rPr>
                <w:i/>
              </w:rPr>
            </w:pPr>
            <w:r>
              <w:t>Estimate not available</w:t>
            </w:r>
          </w:p>
        </w:tc>
      </w:tr>
      <w:tr w:rsidR="001B6A3D" w:rsidTr="009613CE">
        <w:tc>
          <w:tcPr>
            <w:tcW w:w="2355" w:type="pct"/>
          </w:tcPr>
          <w:p w:rsidR="001B6A3D" w:rsidRPr="00425EA7" w:rsidRDefault="001B6A3D" w:rsidP="00EC365D">
            <w:pPr>
              <w:pStyle w:val="TableBodyText"/>
              <w:jc w:val="left"/>
            </w:pPr>
          </w:p>
        </w:tc>
        <w:tc>
          <w:tcPr>
            <w:tcW w:w="1419" w:type="pct"/>
          </w:tcPr>
          <w:p w:rsidR="001B6A3D" w:rsidRDefault="001B6A3D">
            <w:pPr>
              <w:pStyle w:val="TableBodyText"/>
              <w:ind w:right="28"/>
              <w:jc w:val="left"/>
            </w:pPr>
          </w:p>
        </w:tc>
        <w:tc>
          <w:tcPr>
            <w:tcW w:w="1226" w:type="pct"/>
          </w:tcPr>
          <w:p w:rsidR="001B6A3D" w:rsidRDefault="001B6A3D">
            <w:pPr>
              <w:pStyle w:val="TableBodyText"/>
              <w:jc w:val="left"/>
            </w:pPr>
          </w:p>
        </w:tc>
      </w:tr>
      <w:tr w:rsidR="001B6A3D" w:rsidRPr="00094BA3" w:rsidTr="006B0555">
        <w:tc>
          <w:tcPr>
            <w:tcW w:w="5000" w:type="pct"/>
            <w:gridSpan w:val="3"/>
            <w:vAlign w:val="bottom"/>
          </w:tcPr>
          <w:p w:rsidR="001B6A3D" w:rsidRPr="00094BA3" w:rsidRDefault="001B6A3D" w:rsidP="006B0555">
            <w:pPr>
              <w:pStyle w:val="TableBodyText"/>
              <w:spacing w:before="80" w:after="80"/>
              <w:jc w:val="left"/>
              <w:rPr>
                <w:b/>
              </w:rPr>
            </w:pPr>
            <w:r w:rsidRPr="00094BA3">
              <w:rPr>
                <w:b/>
              </w:rPr>
              <w:t>New measures deemed not to provide industry assistance</w:t>
            </w:r>
          </w:p>
        </w:tc>
      </w:tr>
      <w:tr w:rsidR="006B0555" w:rsidTr="009613CE">
        <w:tc>
          <w:tcPr>
            <w:tcW w:w="2354" w:type="pct"/>
          </w:tcPr>
          <w:p w:rsidR="00094BA3" w:rsidRDefault="00094BA3" w:rsidP="00EC365D">
            <w:pPr>
              <w:pStyle w:val="TableBodyText"/>
              <w:jc w:val="left"/>
            </w:pPr>
            <w:r w:rsidRPr="00B55FC9">
              <w:t>Exemption of the Schoolkids Bonus (A29)</w:t>
            </w:r>
          </w:p>
        </w:tc>
        <w:tc>
          <w:tcPr>
            <w:tcW w:w="1418" w:type="pct"/>
          </w:tcPr>
          <w:p w:rsidR="00094BA3" w:rsidRDefault="001B6A3D" w:rsidP="009613CE">
            <w:pPr>
              <w:pStyle w:val="TableBodyText"/>
              <w:jc w:val="left"/>
              <w:rPr>
                <w:i/>
              </w:rPr>
            </w:pPr>
            <w:r>
              <w:t>na</w:t>
            </w:r>
          </w:p>
        </w:tc>
        <w:tc>
          <w:tcPr>
            <w:tcW w:w="1225" w:type="pct"/>
          </w:tcPr>
          <w:p w:rsidR="00094BA3" w:rsidRDefault="001B6A3D" w:rsidP="009613CE">
            <w:pPr>
              <w:pStyle w:val="TableBodyText"/>
              <w:ind w:right="28"/>
              <w:jc w:val="left"/>
              <w:rPr>
                <w:i/>
              </w:rPr>
            </w:pPr>
            <w:r>
              <w:t>Nil</w:t>
            </w:r>
          </w:p>
        </w:tc>
      </w:tr>
      <w:tr w:rsidR="006B0555" w:rsidTr="009613CE">
        <w:tc>
          <w:tcPr>
            <w:tcW w:w="2354" w:type="pct"/>
            <w:tcBorders>
              <w:bottom w:val="single" w:sz="6" w:space="0" w:color="auto"/>
            </w:tcBorders>
            <w:shd w:val="clear" w:color="auto" w:fill="auto"/>
          </w:tcPr>
          <w:p w:rsidR="005708B5" w:rsidRDefault="00094BA3" w:rsidP="00EC365D">
            <w:pPr>
              <w:pStyle w:val="TableBodyText"/>
              <w:jc w:val="left"/>
            </w:pPr>
            <w:r>
              <w:t xml:space="preserve">Indirect tax </w:t>
            </w:r>
            <w:r w:rsidR="0030428A">
              <w:t>-</w:t>
            </w:r>
            <w:r>
              <w:t xml:space="preserve"> Tourism inwards duty free (F7)</w:t>
            </w:r>
          </w:p>
        </w:tc>
        <w:tc>
          <w:tcPr>
            <w:tcW w:w="1418" w:type="pct"/>
            <w:tcBorders>
              <w:bottom w:val="single" w:sz="6" w:space="0" w:color="auto"/>
            </w:tcBorders>
            <w:shd w:val="clear" w:color="auto" w:fill="auto"/>
          </w:tcPr>
          <w:p w:rsidR="005708B5" w:rsidRDefault="001B6A3D" w:rsidP="009613CE">
            <w:pPr>
              <w:pStyle w:val="TableBodyText"/>
              <w:jc w:val="left"/>
              <w:rPr>
                <w:i/>
              </w:rPr>
            </w:pPr>
            <w:r>
              <w:t>na</w:t>
            </w:r>
          </w:p>
        </w:tc>
        <w:tc>
          <w:tcPr>
            <w:tcW w:w="1225" w:type="pct"/>
            <w:tcBorders>
              <w:bottom w:val="single" w:sz="6" w:space="0" w:color="auto"/>
            </w:tcBorders>
            <w:shd w:val="clear" w:color="auto" w:fill="auto"/>
          </w:tcPr>
          <w:p w:rsidR="005708B5" w:rsidRDefault="001B6A3D" w:rsidP="009613CE">
            <w:pPr>
              <w:pStyle w:val="TableBodyText"/>
              <w:ind w:right="28"/>
              <w:jc w:val="left"/>
              <w:rPr>
                <w:i/>
              </w:rPr>
            </w:pPr>
            <w:r>
              <w:t>Not quantified (Treasury indicate between $100 million and $1 billion)</w:t>
            </w:r>
          </w:p>
        </w:tc>
      </w:tr>
    </w:tbl>
    <w:p w:rsidR="003C0B17" w:rsidRDefault="003C0B17" w:rsidP="005425C1">
      <w:pPr>
        <w:pStyle w:val="Source"/>
      </w:pPr>
      <w:r>
        <w:rPr>
          <w:i/>
        </w:rPr>
        <w:t>Source</w:t>
      </w:r>
      <w:r>
        <w:t xml:space="preserve">: </w:t>
      </w:r>
      <w:r w:rsidR="00435AD7">
        <w:t>Commission estimates</w:t>
      </w:r>
      <w:r>
        <w:t>.</w:t>
      </w:r>
    </w:p>
    <w:p w:rsidR="00EC365D" w:rsidRPr="00EC365D" w:rsidRDefault="00EC365D" w:rsidP="00EC365D">
      <w:pPr>
        <w:pStyle w:val="BodyText"/>
      </w:pPr>
    </w:p>
    <w:p w:rsidR="00250F17" w:rsidRDefault="002318E5" w:rsidP="00250F17">
      <w:pPr>
        <w:pStyle w:val="Heading2"/>
      </w:pPr>
      <w:r>
        <w:lastRenderedPageBreak/>
        <w:t>4.</w:t>
      </w:r>
      <w:r>
        <w:rPr>
          <w:noProof/>
        </w:rPr>
        <w:t>7</w:t>
      </w:r>
      <w:r w:rsidR="00250F17">
        <w:tab/>
        <w:t>Combining tariff and budgetary assistance estimates — conversion to constant dollar basis</w:t>
      </w:r>
    </w:p>
    <w:p w:rsidR="00C868FD" w:rsidRDefault="00C868FD" w:rsidP="00C868FD">
      <w:pPr>
        <w:pStyle w:val="BodyText"/>
      </w:pPr>
      <w:r>
        <w:t>The tariff assistance estimates are initially derived for all years in the series in 200</w:t>
      </w:r>
      <w:r w:rsidR="00FD3331">
        <w:t>8</w:t>
      </w:r>
      <w:r w:rsidR="002C4E95">
        <w:noBreakHyphen/>
      </w:r>
      <w:r>
        <w:t>0</w:t>
      </w:r>
      <w:r w:rsidR="00FD3331">
        <w:t>9</w:t>
      </w:r>
      <w:r>
        <w:t xml:space="preserve"> Input-Output base-year dollars. That is, different tariff levels, or rates, over a number of years are combined with the same 200</w:t>
      </w:r>
      <w:r w:rsidR="00FD3331">
        <w:t>8</w:t>
      </w:r>
      <w:r w:rsidR="002C4E95">
        <w:noBreakHyphen/>
      </w:r>
      <w:r>
        <w:t>0</w:t>
      </w:r>
      <w:r w:rsidR="00FD3331">
        <w:t>9</w:t>
      </w:r>
      <w:r>
        <w:t xml:space="preserve"> ABS </w:t>
      </w:r>
      <w:r w:rsidR="00436B0C">
        <w:t>i</w:t>
      </w:r>
      <w:r>
        <w:t>nput-</w:t>
      </w:r>
      <w:r w:rsidR="00436B0C">
        <w:t>o</w:t>
      </w:r>
      <w:r>
        <w:t xml:space="preserve">utput data. This </w:t>
      </w:r>
      <w:r w:rsidR="00FE1FD1">
        <w:t xml:space="preserve">approach </w:t>
      </w:r>
      <w:r>
        <w:t>provides multiple year estimates of GSE and TEM tariff assistance in constant 200</w:t>
      </w:r>
      <w:r w:rsidR="00FD3331">
        <w:t>8</w:t>
      </w:r>
      <w:r w:rsidR="002C4E95">
        <w:noBreakHyphen/>
      </w:r>
      <w:r>
        <w:t>0</w:t>
      </w:r>
      <w:r w:rsidR="00FD3331">
        <w:t>9</w:t>
      </w:r>
      <w:r>
        <w:t xml:space="preserve"> dollars. </w:t>
      </w:r>
    </w:p>
    <w:p w:rsidR="00C868FD" w:rsidRDefault="00C868FD" w:rsidP="00C868FD">
      <w:pPr>
        <w:pStyle w:val="BodyText"/>
      </w:pPr>
      <w:r>
        <w:t>In contrast, expenditure under budgetary assistance programs are in current year dollars.</w:t>
      </w:r>
      <w:r w:rsidR="002C4E95">
        <w:t xml:space="preserve"> </w:t>
      </w:r>
    </w:p>
    <w:p w:rsidR="00C868FD" w:rsidRDefault="00C868FD" w:rsidP="00C868FD">
      <w:pPr>
        <w:pStyle w:val="BodyText"/>
      </w:pPr>
      <w:r>
        <w:t>As indicated above, to combine estimates of the value of tariff assistance at reference-year values with estimates of budgetary assistance at current</w:t>
      </w:r>
      <w:r w:rsidR="00FE1FD1">
        <w:t>-</w:t>
      </w:r>
      <w:r>
        <w:t>year values, the estimates of tariff assistance need to be adjusted or scaled from input-output base-year dollars to current-year dollars. The Commission uses ABS Gross Value Added (GVA) data by national accounts industry division to scale the tariff assistance from base-year (200</w:t>
      </w:r>
      <w:r w:rsidR="00FD3331">
        <w:t>8</w:t>
      </w:r>
      <w:r w:rsidR="002C4E95">
        <w:noBreakHyphen/>
      </w:r>
      <w:r>
        <w:t>0</w:t>
      </w:r>
      <w:r w:rsidR="00FD3331">
        <w:t>9</w:t>
      </w:r>
      <w:r>
        <w:t>) values to current</w:t>
      </w:r>
      <w:r w:rsidR="00FE1FD1">
        <w:t>-</w:t>
      </w:r>
      <w:r>
        <w:t>year values. The concordance between trade and assistance industry groupings and the national accounts division used in the scaling process is provided in table</w:t>
      </w:r>
      <w:r w:rsidR="002C4E95">
        <w:t> </w:t>
      </w:r>
      <w:r w:rsidR="002318E5">
        <w:t>4.8</w:t>
      </w:r>
      <w:r w:rsidR="0021249D">
        <w:t>.</w:t>
      </w:r>
      <w:r>
        <w:t xml:space="preserve"> </w:t>
      </w:r>
    </w:p>
    <w:p w:rsidR="00250F17" w:rsidRDefault="00C868FD" w:rsidP="00120072">
      <w:pPr>
        <w:pStyle w:val="BodyText"/>
      </w:pPr>
      <w:r>
        <w:t>The ABS updates the GVA data annually. Statistical revisions arising from these updates flow through to affect the current-year dollar value estimate of tariff assistance and</w:t>
      </w:r>
      <w:r w:rsidR="00FE1FD1">
        <w:t>,</w:t>
      </w:r>
      <w:r>
        <w:t xml:space="preserve"> in turn</w:t>
      </w:r>
      <w:r w:rsidR="00FE1FD1">
        <w:t>,</w:t>
      </w:r>
      <w:r>
        <w:t xml:space="preserve"> the effective rates of assistance estimates. Some minor year-to-year variation in the Commission’s assistance estimates therefore occurs with revisions in ABS GVA data. </w:t>
      </w:r>
    </w:p>
    <w:p w:rsidR="00250F17" w:rsidRDefault="00250F17">
      <w:pPr>
        <w:pStyle w:val="TableTitle"/>
      </w:pPr>
      <w:r>
        <w:rPr>
          <w:b w:val="0"/>
        </w:rPr>
        <w:lastRenderedPageBreak/>
        <w:t xml:space="preserve">Table </w:t>
      </w:r>
      <w:bookmarkStart w:id="13" w:name="OLE_LINK6"/>
      <w:r w:rsidR="002318E5">
        <w:rPr>
          <w:b w:val="0"/>
        </w:rPr>
        <w:t>4.</w:t>
      </w:r>
      <w:r w:rsidR="002318E5">
        <w:rPr>
          <w:b w:val="0"/>
          <w:noProof/>
        </w:rPr>
        <w:t>8</w:t>
      </w:r>
      <w:bookmarkEnd w:id="13"/>
      <w:r>
        <w:tab/>
        <w:t xml:space="preserve">Concordance between </w:t>
      </w:r>
      <w:r w:rsidR="00EC365D">
        <w:t>T</w:t>
      </w:r>
      <w:r>
        <w:t xml:space="preserve">rade &amp; </w:t>
      </w:r>
      <w:r w:rsidR="00EC365D">
        <w:t>A</w:t>
      </w:r>
      <w:r>
        <w:t>ssistance industry group</w:t>
      </w:r>
      <w:r>
        <w:br/>
        <w:t>and national accounts industry division</w:t>
      </w:r>
    </w:p>
    <w:tbl>
      <w:tblPr>
        <w:tblW w:w="4999" w:type="pct"/>
        <w:tblCellMar>
          <w:left w:w="0" w:type="dxa"/>
          <w:right w:w="0" w:type="dxa"/>
        </w:tblCellMar>
        <w:tblLook w:val="0000" w:firstRow="0" w:lastRow="0" w:firstColumn="0" w:lastColumn="0" w:noHBand="0" w:noVBand="0"/>
      </w:tblPr>
      <w:tblGrid>
        <w:gridCol w:w="4422"/>
        <w:gridCol w:w="4365"/>
      </w:tblGrid>
      <w:tr w:rsidR="006442F5" w:rsidTr="006442F5">
        <w:tc>
          <w:tcPr>
            <w:tcW w:w="2516" w:type="pct"/>
            <w:tcBorders>
              <w:top w:val="single" w:sz="6" w:space="0" w:color="auto"/>
              <w:bottom w:val="single" w:sz="6" w:space="0" w:color="auto"/>
            </w:tcBorders>
            <w:shd w:val="clear" w:color="auto" w:fill="auto"/>
          </w:tcPr>
          <w:p w:rsidR="006442F5" w:rsidRDefault="006442F5" w:rsidP="006442F5">
            <w:pPr>
              <w:pStyle w:val="TableColumnHeading"/>
              <w:jc w:val="left"/>
            </w:pPr>
            <w:r>
              <w:t>Trade &amp; Assistance industry group (ANZSIC 2006)</w:t>
            </w:r>
          </w:p>
        </w:tc>
        <w:tc>
          <w:tcPr>
            <w:tcW w:w="2484" w:type="pct"/>
            <w:tcBorders>
              <w:top w:val="single" w:sz="6" w:space="0" w:color="auto"/>
              <w:bottom w:val="single" w:sz="6" w:space="0" w:color="auto"/>
            </w:tcBorders>
            <w:shd w:val="clear" w:color="auto" w:fill="auto"/>
            <w:vAlign w:val="center"/>
          </w:tcPr>
          <w:p w:rsidR="006442F5" w:rsidRDefault="006442F5" w:rsidP="006442F5">
            <w:pPr>
              <w:pStyle w:val="TableColumnHeading"/>
              <w:ind w:left="113" w:right="57"/>
              <w:jc w:val="left"/>
            </w:pPr>
            <w:r>
              <w:t>National accounts industry division (ANZSIC 2006)</w:t>
            </w:r>
          </w:p>
        </w:tc>
      </w:tr>
      <w:tr w:rsidR="006442F5" w:rsidTr="006442F5">
        <w:tc>
          <w:tcPr>
            <w:tcW w:w="2516" w:type="pct"/>
            <w:tcBorders>
              <w:top w:val="single" w:sz="6" w:space="0" w:color="auto"/>
            </w:tcBorders>
          </w:tcPr>
          <w:p w:rsidR="006442F5" w:rsidRDefault="00B333E0" w:rsidP="00986E63">
            <w:pPr>
              <w:pStyle w:val="TableUnitsRow"/>
              <w:ind w:right="170"/>
              <w:jc w:val="left"/>
            </w:pPr>
            <w:r>
              <w:rPr>
                <w:noProof/>
              </w:rPr>
              <mc:AlternateContent>
                <mc:Choice Requires="wps">
                  <w:drawing>
                    <wp:anchor distT="0" distB="0" distL="114300" distR="114300" simplePos="0" relativeHeight="251658240" behindDoc="0" locked="0" layoutInCell="1" allowOverlap="1" wp14:anchorId="51F9C7BC" wp14:editId="7670698F">
                      <wp:simplePos x="0" y="0"/>
                      <wp:positionH relativeFrom="column">
                        <wp:posOffset>2706370</wp:posOffset>
                      </wp:positionH>
                      <wp:positionV relativeFrom="paragraph">
                        <wp:posOffset>26035</wp:posOffset>
                      </wp:positionV>
                      <wp:extent cx="90805" cy="622300"/>
                      <wp:effectExtent l="0" t="0" r="23495" b="2540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2300"/>
                              </a:xfrm>
                              <a:prstGeom prst="rightBrace">
                                <a:avLst>
                                  <a:gd name="adj1" fmla="val 668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213.1pt;margin-top:2.05pt;width:7.15pt;height: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" adj="2107"/>
                  </w:pict>
                </mc:Fallback>
              </mc:AlternateContent>
            </w:r>
            <w:r w:rsidR="006442F5" w:rsidRPr="00931D6F">
              <w:t xml:space="preserve">Horticulture and fruit growing; </w:t>
            </w:r>
            <w:r w:rsidR="00986E63">
              <w:t xml:space="preserve">Sheep, beef cattle and grain growing; Other crop growing; </w:t>
            </w:r>
            <w:r w:rsidR="006442F5" w:rsidRPr="00931D6F">
              <w:t>Dairy cattle farming; Other livestock farming;</w:t>
            </w:r>
            <w:r w:rsidR="00986E63">
              <w:t xml:space="preserve"> Primary production support services</w:t>
            </w:r>
          </w:p>
        </w:tc>
        <w:tc>
          <w:tcPr>
            <w:tcW w:w="2484" w:type="pct"/>
            <w:tcBorders>
              <w:top w:val="single" w:sz="6" w:space="0" w:color="auto"/>
            </w:tcBorders>
            <w:vAlign w:val="center"/>
          </w:tcPr>
          <w:p w:rsidR="006442F5" w:rsidRDefault="006442F5" w:rsidP="006442F5">
            <w:pPr>
              <w:pStyle w:val="TableUnitsRow"/>
              <w:ind w:left="113" w:right="57"/>
              <w:jc w:val="left"/>
            </w:pPr>
            <w:r w:rsidRPr="00931D6F">
              <w:t>Agriculture</w:t>
            </w:r>
          </w:p>
        </w:tc>
      </w:tr>
      <w:tr w:rsidR="006442F5" w:rsidTr="006442F5">
        <w:tc>
          <w:tcPr>
            <w:tcW w:w="2516" w:type="pct"/>
          </w:tcPr>
          <w:p w:rsidR="006442F5" w:rsidRDefault="00986E63" w:rsidP="006442F5">
            <w:pPr>
              <w:pStyle w:val="TableBodyText"/>
              <w:ind w:right="170"/>
              <w:jc w:val="left"/>
            </w:pPr>
            <w:r>
              <w:t>Aquaculture and fishing; Forestry and logging</w:t>
            </w:r>
          </w:p>
        </w:tc>
        <w:tc>
          <w:tcPr>
            <w:tcW w:w="2484" w:type="pct"/>
            <w:vAlign w:val="center"/>
          </w:tcPr>
          <w:p w:rsidR="006442F5" w:rsidRDefault="006442F5" w:rsidP="00B333E0">
            <w:pPr>
              <w:pStyle w:val="TableBodyText"/>
              <w:ind w:left="113" w:right="57"/>
              <w:jc w:val="left"/>
            </w:pPr>
            <w:r w:rsidRPr="00372902">
              <w:t>Forestry and fishing</w:t>
            </w:r>
          </w:p>
        </w:tc>
      </w:tr>
      <w:tr w:rsidR="006442F5" w:rsidTr="006442F5">
        <w:tc>
          <w:tcPr>
            <w:tcW w:w="2516" w:type="pct"/>
          </w:tcPr>
          <w:p w:rsidR="006442F5" w:rsidRDefault="006442F5" w:rsidP="00B333E0">
            <w:pPr>
              <w:pStyle w:val="TableBodyText"/>
              <w:ind w:right="170"/>
              <w:jc w:val="left"/>
            </w:pPr>
            <w:r w:rsidRPr="00A15928">
              <w:t>Mining</w:t>
            </w:r>
          </w:p>
        </w:tc>
        <w:tc>
          <w:tcPr>
            <w:tcW w:w="2484" w:type="pct"/>
            <w:vAlign w:val="center"/>
          </w:tcPr>
          <w:p w:rsidR="006442F5" w:rsidRDefault="006442F5" w:rsidP="006442F5">
            <w:pPr>
              <w:pStyle w:val="TableBodyText"/>
              <w:ind w:left="113" w:right="57"/>
              <w:jc w:val="left"/>
            </w:pPr>
            <w:r w:rsidRPr="00A15928">
              <w:t>Mining</w:t>
            </w:r>
          </w:p>
        </w:tc>
      </w:tr>
      <w:tr w:rsidR="006442F5" w:rsidTr="006442F5">
        <w:tc>
          <w:tcPr>
            <w:tcW w:w="2516" w:type="pct"/>
          </w:tcPr>
          <w:p w:rsidR="006442F5" w:rsidRDefault="006442F5" w:rsidP="00B333E0">
            <w:pPr>
              <w:pStyle w:val="TableBodyText"/>
              <w:ind w:right="170"/>
              <w:jc w:val="left"/>
            </w:pPr>
            <w:r w:rsidRPr="00A15928">
              <w:t>Food, beverages and tobacco</w:t>
            </w:r>
          </w:p>
        </w:tc>
        <w:tc>
          <w:tcPr>
            <w:tcW w:w="2484" w:type="pct"/>
            <w:vAlign w:val="center"/>
          </w:tcPr>
          <w:p w:rsidR="006442F5" w:rsidRDefault="006442F5" w:rsidP="006442F5">
            <w:pPr>
              <w:pStyle w:val="TableBodyText"/>
              <w:ind w:left="113" w:right="57"/>
              <w:jc w:val="left"/>
            </w:pPr>
            <w:r w:rsidRPr="00A15928">
              <w:t>Food, beverage and tobacco products</w:t>
            </w:r>
          </w:p>
        </w:tc>
      </w:tr>
      <w:tr w:rsidR="006442F5" w:rsidTr="006442F5">
        <w:tc>
          <w:tcPr>
            <w:tcW w:w="2516" w:type="pct"/>
          </w:tcPr>
          <w:p w:rsidR="006442F5" w:rsidRDefault="006442F5" w:rsidP="006442F5">
            <w:pPr>
              <w:pStyle w:val="TableBodyText"/>
              <w:ind w:right="170"/>
              <w:jc w:val="left"/>
            </w:pPr>
            <w:r w:rsidRPr="00A15928">
              <w:t>Textile, clothing, footwear and leather</w:t>
            </w:r>
          </w:p>
        </w:tc>
        <w:tc>
          <w:tcPr>
            <w:tcW w:w="2484" w:type="pct"/>
            <w:vAlign w:val="center"/>
          </w:tcPr>
          <w:p w:rsidR="006442F5" w:rsidRDefault="006442F5" w:rsidP="006442F5">
            <w:pPr>
              <w:pStyle w:val="TableBodyText"/>
              <w:ind w:left="113" w:right="57"/>
              <w:jc w:val="left"/>
            </w:pPr>
            <w:r w:rsidRPr="00A15928">
              <w:t>Textile, clothing and other manufacturing</w:t>
            </w:r>
          </w:p>
        </w:tc>
      </w:tr>
      <w:tr w:rsidR="006442F5" w:rsidTr="006442F5">
        <w:tc>
          <w:tcPr>
            <w:tcW w:w="2516" w:type="pct"/>
          </w:tcPr>
          <w:p w:rsidR="006442F5" w:rsidRDefault="006442F5" w:rsidP="00B333E0">
            <w:pPr>
              <w:pStyle w:val="TableBodyText"/>
              <w:ind w:right="170"/>
              <w:jc w:val="left"/>
            </w:pPr>
            <w:r w:rsidRPr="00A15928">
              <w:t>Wood and paper products</w:t>
            </w:r>
          </w:p>
        </w:tc>
        <w:tc>
          <w:tcPr>
            <w:tcW w:w="2484" w:type="pct"/>
            <w:vAlign w:val="center"/>
          </w:tcPr>
          <w:p w:rsidR="006442F5" w:rsidRDefault="006442F5" w:rsidP="00B333E0">
            <w:pPr>
              <w:pStyle w:val="TableBodyText"/>
              <w:ind w:left="113" w:right="57"/>
              <w:jc w:val="left"/>
            </w:pPr>
            <w:r w:rsidRPr="00A15928">
              <w:t>Wood and paper products</w:t>
            </w:r>
          </w:p>
        </w:tc>
      </w:tr>
      <w:tr w:rsidR="006442F5" w:rsidTr="006442F5">
        <w:tc>
          <w:tcPr>
            <w:tcW w:w="2516" w:type="pct"/>
          </w:tcPr>
          <w:p w:rsidR="006442F5" w:rsidRDefault="006442F5" w:rsidP="006442F5">
            <w:pPr>
              <w:pStyle w:val="TableBodyText"/>
              <w:ind w:right="170"/>
              <w:jc w:val="left"/>
            </w:pPr>
            <w:r w:rsidRPr="00A15928">
              <w:t>Printing, publishing and recorded media</w:t>
            </w:r>
          </w:p>
        </w:tc>
        <w:tc>
          <w:tcPr>
            <w:tcW w:w="2484" w:type="pct"/>
            <w:vAlign w:val="center"/>
          </w:tcPr>
          <w:p w:rsidR="006442F5" w:rsidRDefault="006442F5" w:rsidP="006442F5">
            <w:pPr>
              <w:pStyle w:val="TableBodyText"/>
              <w:ind w:left="113" w:right="57"/>
              <w:jc w:val="left"/>
            </w:pPr>
            <w:r w:rsidRPr="00A15928">
              <w:t>Printing and recorded media</w:t>
            </w:r>
          </w:p>
        </w:tc>
      </w:tr>
      <w:tr w:rsidR="006442F5" w:rsidTr="006442F5">
        <w:tc>
          <w:tcPr>
            <w:tcW w:w="2516" w:type="pct"/>
          </w:tcPr>
          <w:p w:rsidR="006442F5" w:rsidRDefault="006442F5" w:rsidP="006442F5">
            <w:pPr>
              <w:pStyle w:val="TableBodyText"/>
              <w:ind w:right="170"/>
              <w:jc w:val="left"/>
            </w:pPr>
            <w:r w:rsidRPr="00A15928">
              <w:t>Petroleum, coal, chemical and associated products</w:t>
            </w:r>
          </w:p>
        </w:tc>
        <w:tc>
          <w:tcPr>
            <w:tcW w:w="2484" w:type="pct"/>
            <w:vAlign w:val="center"/>
          </w:tcPr>
          <w:p w:rsidR="006442F5" w:rsidRDefault="006442F5" w:rsidP="006442F5">
            <w:pPr>
              <w:pStyle w:val="TableBodyText"/>
              <w:ind w:left="113" w:right="57"/>
              <w:jc w:val="left"/>
            </w:pPr>
            <w:r w:rsidRPr="00A15928">
              <w:t>Petroleum, coal, chemical and rubber products</w:t>
            </w:r>
          </w:p>
        </w:tc>
      </w:tr>
      <w:tr w:rsidR="006442F5" w:rsidTr="006442F5">
        <w:tc>
          <w:tcPr>
            <w:tcW w:w="2516" w:type="pct"/>
          </w:tcPr>
          <w:p w:rsidR="006442F5" w:rsidRDefault="006442F5" w:rsidP="00257DAF">
            <w:pPr>
              <w:pStyle w:val="TableBodyText"/>
              <w:ind w:right="170"/>
              <w:jc w:val="left"/>
            </w:pPr>
            <w:r w:rsidRPr="00A15928">
              <w:t>Non-metallic mineral products</w:t>
            </w:r>
          </w:p>
        </w:tc>
        <w:tc>
          <w:tcPr>
            <w:tcW w:w="2484" w:type="pct"/>
            <w:vAlign w:val="center"/>
          </w:tcPr>
          <w:p w:rsidR="006442F5" w:rsidRDefault="006442F5" w:rsidP="00257DAF">
            <w:pPr>
              <w:pStyle w:val="TableBodyText"/>
              <w:ind w:left="113" w:right="57"/>
              <w:jc w:val="left"/>
            </w:pPr>
            <w:r w:rsidRPr="00A15928">
              <w:t>Non-metallic mineral products</w:t>
            </w:r>
          </w:p>
        </w:tc>
      </w:tr>
      <w:tr w:rsidR="006442F5" w:rsidTr="006442F5">
        <w:tc>
          <w:tcPr>
            <w:tcW w:w="2516" w:type="pct"/>
          </w:tcPr>
          <w:p w:rsidR="006442F5" w:rsidRDefault="006442F5" w:rsidP="006442F5">
            <w:pPr>
              <w:pStyle w:val="TableBodyText"/>
              <w:ind w:right="170"/>
              <w:jc w:val="left"/>
            </w:pPr>
            <w:r w:rsidRPr="00A15928">
              <w:t>Metal products</w:t>
            </w:r>
          </w:p>
        </w:tc>
        <w:tc>
          <w:tcPr>
            <w:tcW w:w="2484" w:type="pct"/>
            <w:vAlign w:val="center"/>
          </w:tcPr>
          <w:p w:rsidR="006442F5" w:rsidRDefault="006442F5" w:rsidP="00257DAF">
            <w:pPr>
              <w:pStyle w:val="TableBodyText"/>
              <w:ind w:left="113" w:right="57"/>
              <w:jc w:val="left"/>
            </w:pPr>
            <w:r w:rsidRPr="00A15928">
              <w:t>Metal products</w:t>
            </w:r>
          </w:p>
        </w:tc>
      </w:tr>
      <w:tr w:rsidR="006442F5" w:rsidTr="006442F5">
        <w:tc>
          <w:tcPr>
            <w:tcW w:w="2516" w:type="pct"/>
          </w:tcPr>
          <w:p w:rsidR="006442F5" w:rsidRDefault="002C1D59" w:rsidP="006442F5">
            <w:pPr>
              <w:pStyle w:val="TableBodyText"/>
              <w:ind w:right="170"/>
              <w:jc w:val="left"/>
            </w:pPr>
            <w:r>
              <w:rPr>
                <w:noProof/>
              </w:rPr>
              <mc:AlternateContent>
                <mc:Choice Requires="wps">
                  <w:drawing>
                    <wp:anchor distT="0" distB="0" distL="114300" distR="114300" simplePos="0" relativeHeight="251660288" behindDoc="0" locked="0" layoutInCell="1" allowOverlap="1" wp14:anchorId="04359A3C" wp14:editId="176AB509">
                      <wp:simplePos x="0" y="0"/>
                      <wp:positionH relativeFrom="column">
                        <wp:posOffset>2706615</wp:posOffset>
                      </wp:positionH>
                      <wp:positionV relativeFrom="paragraph">
                        <wp:posOffset>34098</wp:posOffset>
                      </wp:positionV>
                      <wp:extent cx="90805" cy="552765"/>
                      <wp:effectExtent l="0" t="0" r="23495" b="19050"/>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52765"/>
                              </a:xfrm>
                              <a:prstGeom prst="rightBrace">
                                <a:avLst>
                                  <a:gd name="adj1" fmla="val 668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3" o:spid="_x0000_s1026" type="#_x0000_t88" style="position:absolute;margin-left:213.1pt;margin-top:2.7pt;width:7.1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" adj="2372"/>
                  </w:pict>
                </mc:Fallback>
              </mc:AlternateContent>
            </w:r>
            <w:r w:rsidR="00257DAF">
              <w:t>Motor vehicles and parts; Other transport equipment; Machinery and equipment manufacturing; and Furniture and other manufacturing</w:t>
            </w:r>
          </w:p>
        </w:tc>
        <w:tc>
          <w:tcPr>
            <w:tcW w:w="2484" w:type="pct"/>
            <w:vAlign w:val="center"/>
          </w:tcPr>
          <w:p w:rsidR="006442F5" w:rsidRDefault="00257DAF" w:rsidP="00257DAF">
            <w:pPr>
              <w:pStyle w:val="TableBodyText"/>
              <w:ind w:left="113" w:right="57"/>
              <w:jc w:val="left"/>
            </w:pPr>
            <w:r>
              <w:t>Machinery and equipment</w:t>
            </w:r>
          </w:p>
        </w:tc>
      </w:tr>
      <w:tr w:rsidR="00257DAF" w:rsidTr="00257DAF">
        <w:tc>
          <w:tcPr>
            <w:tcW w:w="2516" w:type="pct"/>
          </w:tcPr>
          <w:p w:rsidR="00257DAF" w:rsidRDefault="00B333E0" w:rsidP="00257DAF">
            <w:pPr>
              <w:pStyle w:val="TableBodyText"/>
              <w:ind w:right="170"/>
              <w:jc w:val="left"/>
            </w:pPr>
            <w:r>
              <w:t>Electricity, gas, water and waste services</w:t>
            </w:r>
          </w:p>
        </w:tc>
        <w:tc>
          <w:tcPr>
            <w:tcW w:w="2484" w:type="pct"/>
          </w:tcPr>
          <w:p w:rsidR="00257DAF" w:rsidRDefault="00257DAF" w:rsidP="00257DAF">
            <w:pPr>
              <w:pStyle w:val="TableBodyText"/>
              <w:ind w:left="113" w:right="57"/>
              <w:jc w:val="left"/>
            </w:pPr>
            <w:r w:rsidRPr="00C06CBC">
              <w:t>Electricity, gas, water and waste services</w:t>
            </w:r>
          </w:p>
        </w:tc>
      </w:tr>
      <w:tr w:rsidR="00257DAF" w:rsidTr="00257DAF">
        <w:tc>
          <w:tcPr>
            <w:tcW w:w="2516" w:type="pct"/>
          </w:tcPr>
          <w:p w:rsidR="00257DAF" w:rsidRDefault="00B333E0" w:rsidP="00257DAF">
            <w:pPr>
              <w:pStyle w:val="TableBodyText"/>
              <w:ind w:right="170"/>
              <w:jc w:val="left"/>
            </w:pPr>
            <w:r>
              <w:t>Construction</w:t>
            </w:r>
          </w:p>
        </w:tc>
        <w:tc>
          <w:tcPr>
            <w:tcW w:w="2484" w:type="pct"/>
          </w:tcPr>
          <w:p w:rsidR="00257DAF" w:rsidRDefault="00257DAF" w:rsidP="00257DAF">
            <w:pPr>
              <w:pStyle w:val="TableBodyText"/>
              <w:ind w:left="113" w:right="57"/>
              <w:jc w:val="left"/>
            </w:pPr>
            <w:r w:rsidRPr="00C06CBC">
              <w:t>Construction</w:t>
            </w:r>
          </w:p>
        </w:tc>
      </w:tr>
      <w:tr w:rsidR="00257DAF" w:rsidTr="00257DAF">
        <w:tc>
          <w:tcPr>
            <w:tcW w:w="2516" w:type="pct"/>
          </w:tcPr>
          <w:p w:rsidR="00257DAF" w:rsidRDefault="00B333E0" w:rsidP="006442F5">
            <w:pPr>
              <w:pStyle w:val="TableBodyText"/>
              <w:ind w:right="170"/>
              <w:jc w:val="left"/>
            </w:pPr>
            <w:r>
              <w:t>Wholesale trade</w:t>
            </w:r>
          </w:p>
        </w:tc>
        <w:tc>
          <w:tcPr>
            <w:tcW w:w="2484" w:type="pct"/>
          </w:tcPr>
          <w:p w:rsidR="00257DAF" w:rsidRDefault="00257DAF" w:rsidP="006442F5">
            <w:pPr>
              <w:pStyle w:val="TableBodyText"/>
              <w:ind w:left="113" w:right="57"/>
              <w:jc w:val="left"/>
            </w:pPr>
            <w:r w:rsidRPr="00C06CBC">
              <w:t>Wholesale trade</w:t>
            </w:r>
          </w:p>
        </w:tc>
      </w:tr>
      <w:tr w:rsidR="00257DAF" w:rsidTr="00257DAF">
        <w:tc>
          <w:tcPr>
            <w:tcW w:w="2516" w:type="pct"/>
          </w:tcPr>
          <w:p w:rsidR="00257DAF" w:rsidRDefault="00B333E0" w:rsidP="006442F5">
            <w:pPr>
              <w:pStyle w:val="TableBodyText"/>
              <w:ind w:right="170"/>
              <w:jc w:val="left"/>
            </w:pPr>
            <w:r>
              <w:t>Retail trade</w:t>
            </w:r>
          </w:p>
        </w:tc>
        <w:tc>
          <w:tcPr>
            <w:tcW w:w="2484" w:type="pct"/>
          </w:tcPr>
          <w:p w:rsidR="00257DAF" w:rsidRDefault="00257DAF" w:rsidP="006442F5">
            <w:pPr>
              <w:pStyle w:val="TableBodyText"/>
              <w:ind w:left="113" w:right="57"/>
              <w:jc w:val="left"/>
            </w:pPr>
            <w:r w:rsidRPr="00C06CBC">
              <w:t>Retail trade</w:t>
            </w:r>
          </w:p>
        </w:tc>
      </w:tr>
      <w:tr w:rsidR="00257DAF" w:rsidTr="00257DAF">
        <w:tc>
          <w:tcPr>
            <w:tcW w:w="2516" w:type="pct"/>
          </w:tcPr>
          <w:p w:rsidR="00257DAF" w:rsidRDefault="003D1216" w:rsidP="006442F5">
            <w:pPr>
              <w:pStyle w:val="TableBodyText"/>
              <w:ind w:right="170"/>
              <w:jc w:val="left"/>
            </w:pPr>
            <w:r>
              <w:t>Accommodation</w:t>
            </w:r>
            <w:r w:rsidR="00B333E0">
              <w:t xml:space="preserve"> and food services</w:t>
            </w:r>
          </w:p>
        </w:tc>
        <w:tc>
          <w:tcPr>
            <w:tcW w:w="2484" w:type="pct"/>
          </w:tcPr>
          <w:p w:rsidR="00257DAF" w:rsidRDefault="00257DAF" w:rsidP="006442F5">
            <w:pPr>
              <w:pStyle w:val="TableBodyText"/>
              <w:ind w:left="113" w:right="57"/>
              <w:jc w:val="left"/>
            </w:pPr>
            <w:r w:rsidRPr="00C06CBC">
              <w:t>Accommodation and food services</w:t>
            </w:r>
          </w:p>
        </w:tc>
      </w:tr>
      <w:tr w:rsidR="00257DAF" w:rsidTr="00257DAF">
        <w:tc>
          <w:tcPr>
            <w:tcW w:w="2516" w:type="pct"/>
          </w:tcPr>
          <w:p w:rsidR="00257DAF" w:rsidRDefault="00B333E0" w:rsidP="006442F5">
            <w:pPr>
              <w:pStyle w:val="TableBodyText"/>
              <w:ind w:right="170"/>
              <w:jc w:val="left"/>
            </w:pPr>
            <w:r>
              <w:t>Transport, postal and warehousing</w:t>
            </w:r>
          </w:p>
        </w:tc>
        <w:tc>
          <w:tcPr>
            <w:tcW w:w="2484" w:type="pct"/>
          </w:tcPr>
          <w:p w:rsidR="00257DAF" w:rsidRDefault="00257DAF" w:rsidP="006442F5">
            <w:pPr>
              <w:pStyle w:val="TableBodyText"/>
              <w:ind w:left="113" w:right="57"/>
              <w:jc w:val="left"/>
            </w:pPr>
            <w:r w:rsidRPr="00C06CBC">
              <w:t>Transport, postal and warehousing</w:t>
            </w:r>
          </w:p>
        </w:tc>
      </w:tr>
      <w:tr w:rsidR="00257DAF" w:rsidTr="00257DAF">
        <w:tc>
          <w:tcPr>
            <w:tcW w:w="2516" w:type="pct"/>
          </w:tcPr>
          <w:p w:rsidR="00257DAF" w:rsidRDefault="00B333E0" w:rsidP="00B333E0">
            <w:pPr>
              <w:pStyle w:val="TableBodyText"/>
              <w:ind w:right="170"/>
              <w:jc w:val="left"/>
            </w:pPr>
            <w:r>
              <w:t>Information, media and telecommunications</w:t>
            </w:r>
          </w:p>
        </w:tc>
        <w:tc>
          <w:tcPr>
            <w:tcW w:w="2484" w:type="pct"/>
          </w:tcPr>
          <w:p w:rsidR="00257DAF" w:rsidRDefault="00257DAF" w:rsidP="006442F5">
            <w:pPr>
              <w:pStyle w:val="TableBodyText"/>
              <w:ind w:left="113" w:right="57"/>
              <w:jc w:val="left"/>
            </w:pPr>
            <w:r w:rsidRPr="00C06CBC">
              <w:t>Information media and telecommunications</w:t>
            </w:r>
          </w:p>
        </w:tc>
      </w:tr>
      <w:tr w:rsidR="00257DAF" w:rsidTr="00257DAF">
        <w:tc>
          <w:tcPr>
            <w:tcW w:w="2516" w:type="pct"/>
          </w:tcPr>
          <w:p w:rsidR="00257DAF" w:rsidRDefault="00B333E0" w:rsidP="006442F5">
            <w:pPr>
              <w:pStyle w:val="TableBodyText"/>
              <w:ind w:right="170"/>
              <w:jc w:val="left"/>
            </w:pPr>
            <w:r>
              <w:t>Financial and insurance services</w:t>
            </w:r>
          </w:p>
        </w:tc>
        <w:tc>
          <w:tcPr>
            <w:tcW w:w="2484" w:type="pct"/>
          </w:tcPr>
          <w:p w:rsidR="00257DAF" w:rsidRDefault="00257DAF" w:rsidP="006442F5">
            <w:pPr>
              <w:pStyle w:val="TableBodyText"/>
              <w:ind w:left="113" w:right="57"/>
              <w:jc w:val="left"/>
            </w:pPr>
            <w:r w:rsidRPr="00C06CBC">
              <w:t>Financial and insurance services</w:t>
            </w:r>
          </w:p>
        </w:tc>
      </w:tr>
      <w:tr w:rsidR="00257DAF" w:rsidTr="00527933">
        <w:tc>
          <w:tcPr>
            <w:tcW w:w="2516" w:type="pct"/>
            <w:vAlign w:val="center"/>
          </w:tcPr>
          <w:p w:rsidR="00257DAF" w:rsidRDefault="002C1D59" w:rsidP="009B7EFB">
            <w:pPr>
              <w:pStyle w:val="TableBodyText"/>
              <w:ind w:right="170"/>
              <w:jc w:val="left"/>
            </w:pPr>
            <w:r>
              <w:br/>
            </w:r>
            <w:r>
              <w:rPr>
                <w:noProof/>
              </w:rPr>
              <mc:AlternateContent>
                <mc:Choice Requires="wps">
                  <w:drawing>
                    <wp:anchor distT="0" distB="0" distL="114300" distR="114300" simplePos="0" relativeHeight="251661312" behindDoc="0" locked="0" layoutInCell="1" allowOverlap="1" wp14:anchorId="0A9E1E38" wp14:editId="6EFA1053">
                      <wp:simplePos x="0" y="0"/>
                      <wp:positionH relativeFrom="column">
                        <wp:posOffset>2652827</wp:posOffset>
                      </wp:positionH>
                      <wp:positionV relativeFrom="paragraph">
                        <wp:posOffset>43698</wp:posOffset>
                      </wp:positionV>
                      <wp:extent cx="99892" cy="529840"/>
                      <wp:effectExtent l="0" t="0" r="14605" b="22860"/>
                      <wp:wrapNone/>
                      <wp:docPr id="4" name="Lef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892" cy="529840"/>
                              </a:xfrm>
                              <a:prstGeom prst="leftBrace">
                                <a:avLst>
                                  <a:gd name="adj1" fmla="val 222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 o:spid="_x0000_s1026" type="#_x0000_t87" style="position:absolute;margin-left:208.9pt;margin-top:3.45pt;width:7.85pt;height:4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" adj="908"/>
                  </w:pict>
                </mc:Fallback>
              </mc:AlternateContent>
            </w:r>
            <w:r w:rsidR="00257DAF" w:rsidRPr="00257DAF">
              <w:t>Property</w:t>
            </w:r>
            <w:r w:rsidR="00B333E0">
              <w:t xml:space="preserve">, professional and administrative </w:t>
            </w:r>
            <w:r w:rsidR="00257DAF" w:rsidRPr="00257DAF">
              <w:t>services</w:t>
            </w:r>
          </w:p>
        </w:tc>
        <w:tc>
          <w:tcPr>
            <w:tcW w:w="2484" w:type="pct"/>
          </w:tcPr>
          <w:p w:rsidR="00257DAF" w:rsidRDefault="00257DAF" w:rsidP="00257DAF">
            <w:pPr>
              <w:pStyle w:val="TableBodyText"/>
              <w:ind w:left="113" w:right="57"/>
              <w:jc w:val="left"/>
            </w:pPr>
            <w:r w:rsidRPr="00C06CBC">
              <w:t>Rental, hiring and real estate services; Professional, scientific and technical services; Administrative and support services</w:t>
            </w:r>
            <w:r>
              <w:t>; and Ownership of dwellings</w:t>
            </w:r>
          </w:p>
        </w:tc>
      </w:tr>
      <w:tr w:rsidR="00257DAF" w:rsidTr="00257DAF">
        <w:tc>
          <w:tcPr>
            <w:tcW w:w="2516" w:type="pct"/>
          </w:tcPr>
          <w:p w:rsidR="00257DAF" w:rsidRDefault="00B333E0" w:rsidP="004D509A">
            <w:pPr>
              <w:pStyle w:val="TableBodyText"/>
              <w:ind w:right="170"/>
              <w:jc w:val="left"/>
            </w:pPr>
            <w:r>
              <w:t xml:space="preserve">Public administration and </w:t>
            </w:r>
            <w:r w:rsidR="004D509A">
              <w:t>safety</w:t>
            </w:r>
          </w:p>
        </w:tc>
        <w:tc>
          <w:tcPr>
            <w:tcW w:w="2484" w:type="pct"/>
          </w:tcPr>
          <w:p w:rsidR="00257DAF" w:rsidRDefault="00257DAF" w:rsidP="006442F5">
            <w:pPr>
              <w:pStyle w:val="TableBodyText"/>
              <w:ind w:left="113" w:right="57"/>
              <w:jc w:val="left"/>
            </w:pPr>
            <w:r w:rsidRPr="00C06CBC">
              <w:t>Public administration and safety</w:t>
            </w:r>
          </w:p>
        </w:tc>
      </w:tr>
      <w:tr w:rsidR="00257DAF" w:rsidTr="00257DAF">
        <w:tc>
          <w:tcPr>
            <w:tcW w:w="2516" w:type="pct"/>
          </w:tcPr>
          <w:p w:rsidR="00257DAF" w:rsidRDefault="00B333E0" w:rsidP="006442F5">
            <w:pPr>
              <w:pStyle w:val="TableBodyText"/>
              <w:ind w:right="170"/>
              <w:jc w:val="left"/>
            </w:pPr>
            <w:r>
              <w:t>Education and training</w:t>
            </w:r>
          </w:p>
        </w:tc>
        <w:tc>
          <w:tcPr>
            <w:tcW w:w="2484" w:type="pct"/>
          </w:tcPr>
          <w:p w:rsidR="00257DAF" w:rsidRDefault="00257DAF" w:rsidP="006442F5">
            <w:pPr>
              <w:pStyle w:val="TableBodyText"/>
              <w:ind w:left="113" w:right="57"/>
              <w:jc w:val="left"/>
            </w:pPr>
            <w:r w:rsidRPr="00C06CBC">
              <w:t>Education and training</w:t>
            </w:r>
          </w:p>
        </w:tc>
      </w:tr>
      <w:tr w:rsidR="00257DAF" w:rsidTr="00257DAF">
        <w:tc>
          <w:tcPr>
            <w:tcW w:w="2516" w:type="pct"/>
          </w:tcPr>
          <w:p w:rsidR="00257DAF" w:rsidRDefault="00B333E0" w:rsidP="006442F5">
            <w:pPr>
              <w:pStyle w:val="TableBodyText"/>
              <w:ind w:right="170"/>
              <w:jc w:val="left"/>
            </w:pPr>
            <w:r>
              <w:t>Health care and social assistance</w:t>
            </w:r>
          </w:p>
        </w:tc>
        <w:tc>
          <w:tcPr>
            <w:tcW w:w="2484" w:type="pct"/>
          </w:tcPr>
          <w:p w:rsidR="00257DAF" w:rsidRDefault="00257DAF" w:rsidP="006442F5">
            <w:pPr>
              <w:pStyle w:val="TableBodyText"/>
              <w:ind w:left="113" w:right="57"/>
              <w:jc w:val="left"/>
            </w:pPr>
            <w:r w:rsidRPr="00C06CBC">
              <w:t>Health care and social assistance</w:t>
            </w:r>
          </w:p>
        </w:tc>
      </w:tr>
      <w:tr w:rsidR="00257DAF" w:rsidTr="00257DAF">
        <w:tc>
          <w:tcPr>
            <w:tcW w:w="2516" w:type="pct"/>
          </w:tcPr>
          <w:p w:rsidR="00257DAF" w:rsidRDefault="00B333E0" w:rsidP="006442F5">
            <w:pPr>
              <w:pStyle w:val="TableBodyText"/>
              <w:ind w:right="170"/>
              <w:jc w:val="left"/>
            </w:pPr>
            <w:r>
              <w:t>Arts and recreation services</w:t>
            </w:r>
          </w:p>
        </w:tc>
        <w:tc>
          <w:tcPr>
            <w:tcW w:w="2484" w:type="pct"/>
          </w:tcPr>
          <w:p w:rsidR="00257DAF" w:rsidRDefault="00257DAF" w:rsidP="006442F5">
            <w:pPr>
              <w:pStyle w:val="TableBodyText"/>
              <w:ind w:left="113" w:right="57"/>
              <w:jc w:val="left"/>
            </w:pPr>
            <w:r w:rsidRPr="00C06CBC">
              <w:t>Arts and recreation services</w:t>
            </w:r>
          </w:p>
        </w:tc>
      </w:tr>
      <w:tr w:rsidR="006442F5" w:rsidTr="006442F5">
        <w:tc>
          <w:tcPr>
            <w:tcW w:w="2516" w:type="pct"/>
            <w:tcBorders>
              <w:bottom w:val="single" w:sz="6" w:space="0" w:color="auto"/>
            </w:tcBorders>
            <w:shd w:val="clear" w:color="auto" w:fill="auto"/>
          </w:tcPr>
          <w:p w:rsidR="006442F5" w:rsidRDefault="00B333E0" w:rsidP="00B333E0">
            <w:pPr>
              <w:pStyle w:val="TableBodyText"/>
              <w:ind w:right="170"/>
              <w:jc w:val="left"/>
            </w:pPr>
            <w:r>
              <w:t>Other services</w:t>
            </w:r>
          </w:p>
        </w:tc>
        <w:tc>
          <w:tcPr>
            <w:tcW w:w="2484" w:type="pct"/>
            <w:tcBorders>
              <w:bottom w:val="single" w:sz="6" w:space="0" w:color="auto"/>
            </w:tcBorders>
            <w:shd w:val="clear" w:color="auto" w:fill="auto"/>
            <w:vAlign w:val="center"/>
          </w:tcPr>
          <w:p w:rsidR="006442F5" w:rsidRDefault="00B333E0" w:rsidP="00B333E0">
            <w:pPr>
              <w:pStyle w:val="TableBodyText"/>
              <w:ind w:left="113" w:right="57"/>
              <w:jc w:val="left"/>
            </w:pPr>
            <w:r>
              <w:t>Other services</w:t>
            </w:r>
          </w:p>
        </w:tc>
      </w:tr>
    </w:tbl>
    <w:p w:rsidR="00250F17" w:rsidRPr="008E77FE" w:rsidRDefault="00250F17" w:rsidP="00CA5B8F">
      <w:pPr>
        <w:pStyle w:val="Source"/>
      </w:pPr>
      <w:r>
        <w:rPr>
          <w:i/>
        </w:rPr>
        <w:t>Sources</w:t>
      </w:r>
      <w:r>
        <w:t>: Commission estimates; ABS (20</w:t>
      </w:r>
      <w:r w:rsidR="002C1D59">
        <w:t>12</w:t>
      </w:r>
      <w:r w:rsidR="00085B23">
        <w:t>a</w:t>
      </w:r>
      <w:r>
        <w:t xml:space="preserve">). </w:t>
      </w:r>
    </w:p>
    <w:p w:rsidR="00250F17" w:rsidRDefault="00250F17" w:rsidP="00120072">
      <w:pPr>
        <w:pStyle w:val="BodyText"/>
      </w:pPr>
    </w:p>
    <w:sectPr w:rsidR="00250F17" w:rsidSect="00436B0C">
      <w:headerReference w:type="even" r:id="rId9"/>
      <w:headerReference w:type="default" r:id="rId10"/>
      <w:footerReference w:type="even" r:id="rId11"/>
      <w:footerReference w:type="default" r:id="rId12"/>
      <w:pgSz w:w="11907" w:h="16840" w:code="9"/>
      <w:pgMar w:top="1985" w:right="1304" w:bottom="1418" w:left="1814" w:header="1701" w:footer="567" w:gutter="0"/>
      <w:pgNumType w:start="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7BA" w:rsidRDefault="00C757BA">
      <w:r>
        <w:separator/>
      </w:r>
    </w:p>
  </w:endnote>
  <w:endnote w:type="continuationSeparator" w:id="0">
    <w:p w:rsidR="00C757BA" w:rsidRDefault="00C75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2184"/>
      <w:gridCol w:w="6094"/>
    </w:tblGrid>
    <w:tr w:rsidR="00C757BA" w:rsidTr="002318E5">
      <w:trPr>
        <w:trHeight w:hRule="exact" w:val="740"/>
      </w:trPr>
      <w:tc>
        <w:tcPr>
          <w:tcW w:w="510" w:type="dxa"/>
          <w:tcBorders>
            <w:top w:val="single" w:sz="6" w:space="0" w:color="auto"/>
          </w:tcBorders>
        </w:tcPr>
        <w:p w:rsidR="00C757BA" w:rsidRDefault="00C757B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B691B">
            <w:rPr>
              <w:rStyle w:val="PageNumber"/>
              <w:noProof/>
            </w:rPr>
            <w:t>50</w:t>
          </w:r>
          <w:r>
            <w:rPr>
              <w:rStyle w:val="PageNumber"/>
            </w:rPr>
            <w:fldChar w:fldCharType="end"/>
          </w:r>
        </w:p>
      </w:tc>
      <w:tc>
        <w:tcPr>
          <w:tcW w:w="2184" w:type="dxa"/>
          <w:tcBorders>
            <w:top w:val="single" w:sz="6" w:space="0" w:color="auto"/>
          </w:tcBorders>
        </w:tcPr>
        <w:p w:rsidR="00C757BA" w:rsidRDefault="00EB61F1" w:rsidP="0019293B">
          <w:pPr>
            <w:pStyle w:val="Footer"/>
          </w:pPr>
          <w:fldSimple w:instr=" SUBJECT  \* MERGEFORMAT ">
            <w:r w:rsidR="002318E5">
              <w:t>Trade &amp; Assistance Review 2011-12 Methodological Annex</w:t>
            </w:r>
          </w:fldSimple>
        </w:p>
      </w:tc>
      <w:tc>
        <w:tcPr>
          <w:tcW w:w="6094" w:type="dxa"/>
        </w:tcPr>
        <w:p w:rsidR="00C757BA" w:rsidRDefault="00C757BA" w:rsidP="0019293B">
          <w:pPr>
            <w:pStyle w:val="Footer"/>
          </w:pPr>
        </w:p>
      </w:tc>
    </w:tr>
  </w:tbl>
  <w:p w:rsidR="00C757BA" w:rsidRDefault="00C757B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37"/>
      <w:gridCol w:w="2041"/>
      <w:gridCol w:w="510"/>
    </w:tblGrid>
    <w:tr w:rsidR="00C757BA" w:rsidTr="002318E5">
      <w:trPr>
        <w:trHeight w:hRule="exact" w:val="740"/>
      </w:trPr>
      <w:tc>
        <w:tcPr>
          <w:tcW w:w="6237" w:type="dxa"/>
        </w:tcPr>
        <w:p w:rsidR="00C757BA" w:rsidRDefault="00C757BA">
          <w:pPr>
            <w:pStyle w:val="Footer"/>
            <w:ind w:right="360" w:firstLine="360"/>
          </w:pPr>
        </w:p>
      </w:tc>
      <w:tc>
        <w:tcPr>
          <w:tcW w:w="2041" w:type="dxa"/>
          <w:tcBorders>
            <w:top w:val="single" w:sz="6" w:space="0" w:color="auto"/>
          </w:tcBorders>
        </w:tcPr>
        <w:p w:rsidR="00C757BA" w:rsidRDefault="00EB61F1" w:rsidP="002318E5">
          <w:pPr>
            <w:pStyle w:val="Footer"/>
          </w:pPr>
          <w:fldSimple w:instr=" TITLE  \* MERGEFORMAT ">
            <w:r w:rsidR="002318E5">
              <w:t>Re-benchmarking the estimates</w:t>
            </w:r>
          </w:fldSimple>
        </w:p>
      </w:tc>
      <w:tc>
        <w:tcPr>
          <w:tcW w:w="510" w:type="dxa"/>
          <w:tcBorders>
            <w:top w:val="single" w:sz="6" w:space="0" w:color="auto"/>
          </w:tcBorders>
        </w:tcPr>
        <w:p w:rsidR="00C757BA" w:rsidRDefault="00C757BA">
          <w:pPr>
            <w:pStyle w:val="Footer"/>
            <w:jc w:val="right"/>
          </w:pPr>
          <w:r>
            <w:rPr>
              <w:rStyle w:val="PageNumber"/>
            </w:rPr>
            <w:fldChar w:fldCharType="begin"/>
          </w:r>
          <w:r>
            <w:rPr>
              <w:rStyle w:val="PageNumber"/>
            </w:rPr>
            <w:instrText xml:space="preserve">PAGE  </w:instrText>
          </w:r>
          <w:r>
            <w:rPr>
              <w:rStyle w:val="PageNumber"/>
            </w:rPr>
            <w:fldChar w:fldCharType="separate"/>
          </w:r>
          <w:r w:rsidR="000B691B">
            <w:rPr>
              <w:rStyle w:val="PageNumber"/>
              <w:noProof/>
            </w:rPr>
            <w:t>35</w:t>
          </w:r>
          <w:r>
            <w:rPr>
              <w:rStyle w:val="PageNumber"/>
            </w:rPr>
            <w:fldChar w:fldCharType="end"/>
          </w:r>
        </w:p>
      </w:tc>
    </w:tr>
  </w:tbl>
  <w:p w:rsidR="00C757BA" w:rsidRDefault="00C757B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7BA" w:rsidRDefault="00C757BA">
      <w:r>
        <w:separator/>
      </w:r>
    </w:p>
  </w:footnote>
  <w:footnote w:type="continuationSeparator" w:id="0">
    <w:p w:rsidR="00C757BA" w:rsidRDefault="00C757BA">
      <w:r>
        <w:continuationSeparator/>
      </w:r>
    </w:p>
  </w:footnote>
  <w:footnote w:id="1">
    <w:p w:rsidR="00C757BA" w:rsidRDefault="00C757BA">
      <w:pPr>
        <w:pStyle w:val="FootnoteText"/>
      </w:pPr>
      <w:r>
        <w:rPr>
          <w:rStyle w:val="FootnoteReference"/>
        </w:rPr>
        <w:footnoteRef/>
      </w:r>
      <w:r>
        <w:tab/>
        <w:t>Input-output tables up to the reference year 1993</w:t>
      </w:r>
      <w:r>
        <w:noBreakHyphen/>
        <w:t>94 were based on data collected at the establishment level</w:t>
      </w:r>
      <w:r w:rsidRPr="00332149">
        <w:t>.</w:t>
      </w:r>
      <w:r>
        <w:t xml:space="preserve"> Subsequent input-output tables have been based on data collected at the business unit or enterprise level (ABS 2012b). </w:t>
      </w:r>
    </w:p>
  </w:footnote>
  <w:footnote w:id="2">
    <w:p w:rsidR="00F011C4" w:rsidRDefault="00F011C4">
      <w:pPr>
        <w:pStyle w:val="FootnoteText"/>
      </w:pPr>
      <w:r>
        <w:rPr>
          <w:rStyle w:val="FootnoteReference"/>
        </w:rPr>
        <w:footnoteRef/>
      </w:r>
      <w:r>
        <w:tab/>
      </w:r>
      <w:r w:rsidRPr="00F011C4">
        <w:t>In the input-output tables</w:t>
      </w:r>
      <w:r w:rsidR="009613CE">
        <w:t>,</w:t>
      </w:r>
      <w:r w:rsidRPr="00F011C4">
        <w:t xml:space="preserve"> each industry produces a ‘predominant’ commodity but often also some ‘additional’ commodities. For example, paper stationery and other converted paper products are produced mainly by the Paper stationery and other converted paper products industry but some are also produced in the Sawmill product industry. Similarly, the Petroleum and coal industry is recorded as producing some iron and steel products besides its predominant petroleum and coal commodities.</w:t>
      </w:r>
    </w:p>
  </w:footnote>
  <w:footnote w:id="3">
    <w:p w:rsidR="00C757BA" w:rsidRDefault="00C757BA">
      <w:pPr>
        <w:pStyle w:val="FootnoteText"/>
      </w:pPr>
      <w:r>
        <w:rPr>
          <w:rStyle w:val="FootnoteReference"/>
        </w:rPr>
        <w:footnoteRef/>
      </w:r>
      <w:r>
        <w:tab/>
        <w:t xml:space="preserve">There are </w:t>
      </w:r>
      <w:r w:rsidRPr="00945111">
        <w:t>other examples of commission work that, in principle, could also be similarly adjusted, but were not adjusted for the 200</w:t>
      </w:r>
      <w:r>
        <w:t>8</w:t>
      </w:r>
      <w:r>
        <w:noBreakHyphen/>
      </w:r>
      <w:r w:rsidRPr="00945111">
        <w:t>0</w:t>
      </w:r>
      <w:r>
        <w:t>9</w:t>
      </w:r>
      <w:r w:rsidRPr="00945111">
        <w:t xml:space="preserve"> update, including, meat processing undertaken on commission for predominantly retail enterprises.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757BA">
      <w:tc>
        <w:tcPr>
          <w:tcW w:w="2155" w:type="dxa"/>
          <w:tcBorders>
            <w:top w:val="single" w:sz="24" w:space="0" w:color="auto"/>
          </w:tcBorders>
        </w:tcPr>
        <w:p w:rsidR="00C757BA" w:rsidRDefault="00C757BA" w:rsidP="0019293B">
          <w:pPr>
            <w:pStyle w:val="HeaderEven"/>
          </w:pPr>
        </w:p>
      </w:tc>
      <w:tc>
        <w:tcPr>
          <w:tcW w:w="6634" w:type="dxa"/>
          <w:tcBorders>
            <w:top w:val="single" w:sz="6" w:space="0" w:color="auto"/>
          </w:tcBorders>
        </w:tcPr>
        <w:p w:rsidR="00C757BA" w:rsidRDefault="00C757BA" w:rsidP="0019293B">
          <w:pPr>
            <w:pStyle w:val="HeaderEven"/>
          </w:pPr>
        </w:p>
      </w:tc>
    </w:tr>
  </w:tbl>
  <w:p w:rsidR="00C757BA" w:rsidRDefault="00C757B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757BA">
      <w:tc>
        <w:tcPr>
          <w:tcW w:w="6634" w:type="dxa"/>
          <w:tcBorders>
            <w:top w:val="single" w:sz="6" w:space="0" w:color="auto"/>
          </w:tcBorders>
        </w:tcPr>
        <w:p w:rsidR="00C757BA" w:rsidRDefault="00C757BA" w:rsidP="00E669E2">
          <w:pPr>
            <w:pStyle w:val="HeaderOdd"/>
          </w:pPr>
        </w:p>
      </w:tc>
      <w:tc>
        <w:tcPr>
          <w:tcW w:w="2155" w:type="dxa"/>
          <w:tcBorders>
            <w:top w:val="single" w:sz="24" w:space="0" w:color="auto"/>
          </w:tcBorders>
        </w:tcPr>
        <w:p w:rsidR="00C757BA" w:rsidRDefault="00C757BA" w:rsidP="00E669E2">
          <w:pPr>
            <w:pStyle w:val="HeaderOdd"/>
          </w:pPr>
        </w:p>
      </w:tc>
    </w:tr>
  </w:tbl>
  <w:p w:rsidR="00C757BA" w:rsidRDefault="00C757B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236278"/>
    <w:multiLevelType w:val="hybridMultilevel"/>
    <w:tmpl w:val="E9FAD91A"/>
    <w:lvl w:ilvl="0" w:tplc="33F8FFB2">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1"/>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benchmarking the estimates"/>
    <w:docVar w:name="ShortReportTitle" w:val="Trade &amp; Assistance Review 2011-12 Methodological Annex"/>
  </w:docVars>
  <w:rsids>
    <w:rsidRoot w:val="000A1CC7"/>
    <w:rsid w:val="000127B6"/>
    <w:rsid w:val="000227D5"/>
    <w:rsid w:val="000245AA"/>
    <w:rsid w:val="00035363"/>
    <w:rsid w:val="0003664B"/>
    <w:rsid w:val="0004111F"/>
    <w:rsid w:val="000565B3"/>
    <w:rsid w:val="0007150B"/>
    <w:rsid w:val="000764BD"/>
    <w:rsid w:val="00085B23"/>
    <w:rsid w:val="00085D4E"/>
    <w:rsid w:val="00091BC0"/>
    <w:rsid w:val="000938F5"/>
    <w:rsid w:val="00094BA3"/>
    <w:rsid w:val="00096E55"/>
    <w:rsid w:val="000A1CC7"/>
    <w:rsid w:val="000A2AF0"/>
    <w:rsid w:val="000B601B"/>
    <w:rsid w:val="000B691B"/>
    <w:rsid w:val="000B780D"/>
    <w:rsid w:val="000C1E98"/>
    <w:rsid w:val="000C207E"/>
    <w:rsid w:val="000D5FB9"/>
    <w:rsid w:val="000E57C1"/>
    <w:rsid w:val="000F0035"/>
    <w:rsid w:val="000F142B"/>
    <w:rsid w:val="000F420B"/>
    <w:rsid w:val="000F54CD"/>
    <w:rsid w:val="0010428B"/>
    <w:rsid w:val="00110116"/>
    <w:rsid w:val="0011740F"/>
    <w:rsid w:val="00120072"/>
    <w:rsid w:val="00126EB8"/>
    <w:rsid w:val="001274D4"/>
    <w:rsid w:val="00130ADB"/>
    <w:rsid w:val="001363AA"/>
    <w:rsid w:val="00143DBC"/>
    <w:rsid w:val="00152800"/>
    <w:rsid w:val="0015528D"/>
    <w:rsid w:val="00156666"/>
    <w:rsid w:val="001675CA"/>
    <w:rsid w:val="00170A31"/>
    <w:rsid w:val="0017592D"/>
    <w:rsid w:val="00183E82"/>
    <w:rsid w:val="001878BB"/>
    <w:rsid w:val="00187B0B"/>
    <w:rsid w:val="00190259"/>
    <w:rsid w:val="00191AE0"/>
    <w:rsid w:val="0019293B"/>
    <w:rsid w:val="0019426B"/>
    <w:rsid w:val="001949F7"/>
    <w:rsid w:val="001B6A3D"/>
    <w:rsid w:val="001C0865"/>
    <w:rsid w:val="001C3ABA"/>
    <w:rsid w:val="001C4C6D"/>
    <w:rsid w:val="001C6A17"/>
    <w:rsid w:val="001C745E"/>
    <w:rsid w:val="001D05B3"/>
    <w:rsid w:val="001E0BAC"/>
    <w:rsid w:val="001E7BE8"/>
    <w:rsid w:val="001F0248"/>
    <w:rsid w:val="001F3EB3"/>
    <w:rsid w:val="001F4F86"/>
    <w:rsid w:val="00202C2C"/>
    <w:rsid w:val="0021249D"/>
    <w:rsid w:val="002135AB"/>
    <w:rsid w:val="002144BE"/>
    <w:rsid w:val="00230986"/>
    <w:rsid w:val="002318E5"/>
    <w:rsid w:val="00242279"/>
    <w:rsid w:val="00243E5E"/>
    <w:rsid w:val="00245C82"/>
    <w:rsid w:val="00250F17"/>
    <w:rsid w:val="0025361F"/>
    <w:rsid w:val="00257DAF"/>
    <w:rsid w:val="002730D4"/>
    <w:rsid w:val="00282457"/>
    <w:rsid w:val="002869FD"/>
    <w:rsid w:val="00291B40"/>
    <w:rsid w:val="002A4B2B"/>
    <w:rsid w:val="002B4008"/>
    <w:rsid w:val="002B5BD3"/>
    <w:rsid w:val="002C1D59"/>
    <w:rsid w:val="002C4E95"/>
    <w:rsid w:val="002D0320"/>
    <w:rsid w:val="002D0E8E"/>
    <w:rsid w:val="002E6F87"/>
    <w:rsid w:val="002E72D2"/>
    <w:rsid w:val="0030106F"/>
    <w:rsid w:val="00301189"/>
    <w:rsid w:val="00301B18"/>
    <w:rsid w:val="0030428A"/>
    <w:rsid w:val="00323E09"/>
    <w:rsid w:val="00332149"/>
    <w:rsid w:val="00333932"/>
    <w:rsid w:val="00335885"/>
    <w:rsid w:val="003518AA"/>
    <w:rsid w:val="00352165"/>
    <w:rsid w:val="00352B2B"/>
    <w:rsid w:val="00352C05"/>
    <w:rsid w:val="00353182"/>
    <w:rsid w:val="003531E4"/>
    <w:rsid w:val="003565D9"/>
    <w:rsid w:val="003602E1"/>
    <w:rsid w:val="0037026F"/>
    <w:rsid w:val="00371240"/>
    <w:rsid w:val="00374731"/>
    <w:rsid w:val="00376E59"/>
    <w:rsid w:val="0038532D"/>
    <w:rsid w:val="003919F9"/>
    <w:rsid w:val="003A2380"/>
    <w:rsid w:val="003B7C55"/>
    <w:rsid w:val="003C0B17"/>
    <w:rsid w:val="003C38B5"/>
    <w:rsid w:val="003C5D99"/>
    <w:rsid w:val="003D1216"/>
    <w:rsid w:val="003D1B29"/>
    <w:rsid w:val="003D2417"/>
    <w:rsid w:val="003E2F59"/>
    <w:rsid w:val="003F0789"/>
    <w:rsid w:val="00401882"/>
    <w:rsid w:val="004100C8"/>
    <w:rsid w:val="00411DBD"/>
    <w:rsid w:val="00412ACE"/>
    <w:rsid w:val="00416469"/>
    <w:rsid w:val="00424548"/>
    <w:rsid w:val="00431249"/>
    <w:rsid w:val="004317FA"/>
    <w:rsid w:val="00432C02"/>
    <w:rsid w:val="004342BF"/>
    <w:rsid w:val="00434C19"/>
    <w:rsid w:val="004359E1"/>
    <w:rsid w:val="00435AD7"/>
    <w:rsid w:val="00436B0C"/>
    <w:rsid w:val="00450810"/>
    <w:rsid w:val="00466491"/>
    <w:rsid w:val="00472DDC"/>
    <w:rsid w:val="00477144"/>
    <w:rsid w:val="0048540D"/>
    <w:rsid w:val="00491380"/>
    <w:rsid w:val="0049459F"/>
    <w:rsid w:val="004A0D8B"/>
    <w:rsid w:val="004A38DD"/>
    <w:rsid w:val="004B43AE"/>
    <w:rsid w:val="004C30ED"/>
    <w:rsid w:val="004C6EB0"/>
    <w:rsid w:val="004D0E16"/>
    <w:rsid w:val="004D3216"/>
    <w:rsid w:val="004D509A"/>
    <w:rsid w:val="004D5675"/>
    <w:rsid w:val="004E0923"/>
    <w:rsid w:val="004F677B"/>
    <w:rsid w:val="00523639"/>
    <w:rsid w:val="005247A0"/>
    <w:rsid w:val="00527933"/>
    <w:rsid w:val="005311A2"/>
    <w:rsid w:val="00531FE5"/>
    <w:rsid w:val="00533605"/>
    <w:rsid w:val="005402FA"/>
    <w:rsid w:val="005425C1"/>
    <w:rsid w:val="00545756"/>
    <w:rsid w:val="00547BFB"/>
    <w:rsid w:val="005708B5"/>
    <w:rsid w:val="00577CCE"/>
    <w:rsid w:val="00583C39"/>
    <w:rsid w:val="00587F28"/>
    <w:rsid w:val="005909CF"/>
    <w:rsid w:val="00591E71"/>
    <w:rsid w:val="0059217C"/>
    <w:rsid w:val="00596CCD"/>
    <w:rsid w:val="005A0D41"/>
    <w:rsid w:val="005C1646"/>
    <w:rsid w:val="005C5296"/>
    <w:rsid w:val="005D4B70"/>
    <w:rsid w:val="005E44E0"/>
    <w:rsid w:val="00606E10"/>
    <w:rsid w:val="00607BF1"/>
    <w:rsid w:val="00630D4D"/>
    <w:rsid w:val="00632A74"/>
    <w:rsid w:val="00633C2B"/>
    <w:rsid w:val="00636A58"/>
    <w:rsid w:val="00636C7A"/>
    <w:rsid w:val="0064103A"/>
    <w:rsid w:val="006442F5"/>
    <w:rsid w:val="006507DD"/>
    <w:rsid w:val="006576B7"/>
    <w:rsid w:val="0066486D"/>
    <w:rsid w:val="00665E9D"/>
    <w:rsid w:val="0066688C"/>
    <w:rsid w:val="00676B96"/>
    <w:rsid w:val="0068597F"/>
    <w:rsid w:val="006A4655"/>
    <w:rsid w:val="006B0555"/>
    <w:rsid w:val="006B2B3C"/>
    <w:rsid w:val="006C1D81"/>
    <w:rsid w:val="006C7038"/>
    <w:rsid w:val="006E28AD"/>
    <w:rsid w:val="006E73EF"/>
    <w:rsid w:val="006F3357"/>
    <w:rsid w:val="00714D4D"/>
    <w:rsid w:val="00717CB2"/>
    <w:rsid w:val="00746869"/>
    <w:rsid w:val="00750B43"/>
    <w:rsid w:val="0075625D"/>
    <w:rsid w:val="00756854"/>
    <w:rsid w:val="007604BB"/>
    <w:rsid w:val="00762135"/>
    <w:rsid w:val="00767F76"/>
    <w:rsid w:val="0077657F"/>
    <w:rsid w:val="00777274"/>
    <w:rsid w:val="00785232"/>
    <w:rsid w:val="007A21EB"/>
    <w:rsid w:val="007A30CF"/>
    <w:rsid w:val="007B19E7"/>
    <w:rsid w:val="007B1A93"/>
    <w:rsid w:val="007C36C9"/>
    <w:rsid w:val="007D4EFE"/>
    <w:rsid w:val="007D6401"/>
    <w:rsid w:val="007D6AFF"/>
    <w:rsid w:val="007E01E4"/>
    <w:rsid w:val="007F3631"/>
    <w:rsid w:val="007F3A51"/>
    <w:rsid w:val="007F7107"/>
    <w:rsid w:val="00800D4C"/>
    <w:rsid w:val="0081030F"/>
    <w:rsid w:val="0082087D"/>
    <w:rsid w:val="00835771"/>
    <w:rsid w:val="00842933"/>
    <w:rsid w:val="00847C6A"/>
    <w:rsid w:val="00854ED1"/>
    <w:rsid w:val="0086082C"/>
    <w:rsid w:val="00863F5E"/>
    <w:rsid w:val="00864ADC"/>
    <w:rsid w:val="00865F95"/>
    <w:rsid w:val="00874D59"/>
    <w:rsid w:val="008768BF"/>
    <w:rsid w:val="00880153"/>
    <w:rsid w:val="00880F97"/>
    <w:rsid w:val="0088133A"/>
    <w:rsid w:val="00884821"/>
    <w:rsid w:val="0089285E"/>
    <w:rsid w:val="0089436C"/>
    <w:rsid w:val="008B5873"/>
    <w:rsid w:val="008D365C"/>
    <w:rsid w:val="008E3046"/>
    <w:rsid w:val="008F0280"/>
    <w:rsid w:val="008F20D6"/>
    <w:rsid w:val="009030BF"/>
    <w:rsid w:val="00905C4E"/>
    <w:rsid w:val="0091032F"/>
    <w:rsid w:val="00914368"/>
    <w:rsid w:val="009250C1"/>
    <w:rsid w:val="00926EB1"/>
    <w:rsid w:val="00931076"/>
    <w:rsid w:val="00931E8A"/>
    <w:rsid w:val="0093244A"/>
    <w:rsid w:val="009345D9"/>
    <w:rsid w:val="0093493E"/>
    <w:rsid w:val="00934B15"/>
    <w:rsid w:val="00940C87"/>
    <w:rsid w:val="00942B62"/>
    <w:rsid w:val="00945111"/>
    <w:rsid w:val="0095323B"/>
    <w:rsid w:val="00956A0C"/>
    <w:rsid w:val="00956BD9"/>
    <w:rsid w:val="0095736E"/>
    <w:rsid w:val="009613CE"/>
    <w:rsid w:val="00962489"/>
    <w:rsid w:val="00981ADE"/>
    <w:rsid w:val="00984457"/>
    <w:rsid w:val="00984DFF"/>
    <w:rsid w:val="00986E63"/>
    <w:rsid w:val="00990C2C"/>
    <w:rsid w:val="009A63EB"/>
    <w:rsid w:val="009A7FAE"/>
    <w:rsid w:val="009B6EE7"/>
    <w:rsid w:val="009B7715"/>
    <w:rsid w:val="009B7EFB"/>
    <w:rsid w:val="009C0589"/>
    <w:rsid w:val="009E1844"/>
    <w:rsid w:val="009F0D1B"/>
    <w:rsid w:val="009F696D"/>
    <w:rsid w:val="009F6BC6"/>
    <w:rsid w:val="00A01E87"/>
    <w:rsid w:val="00A10442"/>
    <w:rsid w:val="00A11A2F"/>
    <w:rsid w:val="00A17328"/>
    <w:rsid w:val="00A231CB"/>
    <w:rsid w:val="00A23A20"/>
    <w:rsid w:val="00A268B9"/>
    <w:rsid w:val="00A2703A"/>
    <w:rsid w:val="00A33DFF"/>
    <w:rsid w:val="00A34DF5"/>
    <w:rsid w:val="00A35115"/>
    <w:rsid w:val="00A36D9A"/>
    <w:rsid w:val="00A37A58"/>
    <w:rsid w:val="00A54C92"/>
    <w:rsid w:val="00A554AB"/>
    <w:rsid w:val="00A57062"/>
    <w:rsid w:val="00A77BF0"/>
    <w:rsid w:val="00A87CBA"/>
    <w:rsid w:val="00A903A0"/>
    <w:rsid w:val="00A92B53"/>
    <w:rsid w:val="00A9306F"/>
    <w:rsid w:val="00A94FA6"/>
    <w:rsid w:val="00AA49A0"/>
    <w:rsid w:val="00AA6710"/>
    <w:rsid w:val="00AB0403"/>
    <w:rsid w:val="00AB0681"/>
    <w:rsid w:val="00AC7F23"/>
    <w:rsid w:val="00AD520B"/>
    <w:rsid w:val="00AE0472"/>
    <w:rsid w:val="00AE4585"/>
    <w:rsid w:val="00AF36D7"/>
    <w:rsid w:val="00AF5938"/>
    <w:rsid w:val="00B12CE4"/>
    <w:rsid w:val="00B333E0"/>
    <w:rsid w:val="00B425C3"/>
    <w:rsid w:val="00B4293F"/>
    <w:rsid w:val="00B42B3D"/>
    <w:rsid w:val="00B440AD"/>
    <w:rsid w:val="00B479BB"/>
    <w:rsid w:val="00B53E7E"/>
    <w:rsid w:val="00B5504B"/>
    <w:rsid w:val="00B60CB3"/>
    <w:rsid w:val="00B62115"/>
    <w:rsid w:val="00B6342E"/>
    <w:rsid w:val="00B7113F"/>
    <w:rsid w:val="00B74F50"/>
    <w:rsid w:val="00B7757F"/>
    <w:rsid w:val="00B844D4"/>
    <w:rsid w:val="00BA0560"/>
    <w:rsid w:val="00BA6E99"/>
    <w:rsid w:val="00BA73B6"/>
    <w:rsid w:val="00BA7E27"/>
    <w:rsid w:val="00BB2603"/>
    <w:rsid w:val="00BB4FCD"/>
    <w:rsid w:val="00BB79EA"/>
    <w:rsid w:val="00BC04E9"/>
    <w:rsid w:val="00BD13EA"/>
    <w:rsid w:val="00BD3C7B"/>
    <w:rsid w:val="00BD6DAA"/>
    <w:rsid w:val="00BE2535"/>
    <w:rsid w:val="00BE3808"/>
    <w:rsid w:val="00BE567B"/>
    <w:rsid w:val="00BE792A"/>
    <w:rsid w:val="00BF7FAF"/>
    <w:rsid w:val="00C062E9"/>
    <w:rsid w:val="00C07B64"/>
    <w:rsid w:val="00C13721"/>
    <w:rsid w:val="00C14FE4"/>
    <w:rsid w:val="00C2175E"/>
    <w:rsid w:val="00C3066D"/>
    <w:rsid w:val="00C3254B"/>
    <w:rsid w:val="00C336BC"/>
    <w:rsid w:val="00C52416"/>
    <w:rsid w:val="00C543F4"/>
    <w:rsid w:val="00C6291C"/>
    <w:rsid w:val="00C633CB"/>
    <w:rsid w:val="00C736B7"/>
    <w:rsid w:val="00C757BA"/>
    <w:rsid w:val="00C81D4A"/>
    <w:rsid w:val="00C868FD"/>
    <w:rsid w:val="00C8762C"/>
    <w:rsid w:val="00C90494"/>
    <w:rsid w:val="00CA00F9"/>
    <w:rsid w:val="00CA2961"/>
    <w:rsid w:val="00CA29E4"/>
    <w:rsid w:val="00CA5B8F"/>
    <w:rsid w:val="00CB50D7"/>
    <w:rsid w:val="00CB7177"/>
    <w:rsid w:val="00CC1998"/>
    <w:rsid w:val="00CC4018"/>
    <w:rsid w:val="00CC4946"/>
    <w:rsid w:val="00CE64D0"/>
    <w:rsid w:val="00D031AE"/>
    <w:rsid w:val="00D03434"/>
    <w:rsid w:val="00D05EE8"/>
    <w:rsid w:val="00D15BE8"/>
    <w:rsid w:val="00D1680A"/>
    <w:rsid w:val="00D270A4"/>
    <w:rsid w:val="00D31FE9"/>
    <w:rsid w:val="00D34932"/>
    <w:rsid w:val="00D34E1B"/>
    <w:rsid w:val="00D376BA"/>
    <w:rsid w:val="00D411FA"/>
    <w:rsid w:val="00D42142"/>
    <w:rsid w:val="00D455F6"/>
    <w:rsid w:val="00D45634"/>
    <w:rsid w:val="00D46F28"/>
    <w:rsid w:val="00D47B55"/>
    <w:rsid w:val="00D5568A"/>
    <w:rsid w:val="00D55C51"/>
    <w:rsid w:val="00D56AB0"/>
    <w:rsid w:val="00D63D73"/>
    <w:rsid w:val="00D64452"/>
    <w:rsid w:val="00D66E1E"/>
    <w:rsid w:val="00D75722"/>
    <w:rsid w:val="00D8065A"/>
    <w:rsid w:val="00D80CF5"/>
    <w:rsid w:val="00DA20FA"/>
    <w:rsid w:val="00DA5BBA"/>
    <w:rsid w:val="00DB26D2"/>
    <w:rsid w:val="00DB47E6"/>
    <w:rsid w:val="00DB67C9"/>
    <w:rsid w:val="00DC0C95"/>
    <w:rsid w:val="00DD6580"/>
    <w:rsid w:val="00DE5398"/>
    <w:rsid w:val="00E027F7"/>
    <w:rsid w:val="00E1455F"/>
    <w:rsid w:val="00E15D07"/>
    <w:rsid w:val="00E17C72"/>
    <w:rsid w:val="00E21FC6"/>
    <w:rsid w:val="00E30F97"/>
    <w:rsid w:val="00E31649"/>
    <w:rsid w:val="00E32D32"/>
    <w:rsid w:val="00E3560F"/>
    <w:rsid w:val="00E41F8A"/>
    <w:rsid w:val="00E431A9"/>
    <w:rsid w:val="00E47B4E"/>
    <w:rsid w:val="00E669E2"/>
    <w:rsid w:val="00E76135"/>
    <w:rsid w:val="00E82780"/>
    <w:rsid w:val="00E82F4F"/>
    <w:rsid w:val="00E82F8E"/>
    <w:rsid w:val="00E85E00"/>
    <w:rsid w:val="00E9629F"/>
    <w:rsid w:val="00EA6639"/>
    <w:rsid w:val="00EB61F1"/>
    <w:rsid w:val="00EC2844"/>
    <w:rsid w:val="00EC365D"/>
    <w:rsid w:val="00EC5500"/>
    <w:rsid w:val="00ED18F8"/>
    <w:rsid w:val="00ED3ECD"/>
    <w:rsid w:val="00EE04D7"/>
    <w:rsid w:val="00EE6564"/>
    <w:rsid w:val="00EF2C3F"/>
    <w:rsid w:val="00EF656A"/>
    <w:rsid w:val="00EF6C6C"/>
    <w:rsid w:val="00F011C4"/>
    <w:rsid w:val="00F056FC"/>
    <w:rsid w:val="00F10476"/>
    <w:rsid w:val="00F10B83"/>
    <w:rsid w:val="00F135D8"/>
    <w:rsid w:val="00F2560D"/>
    <w:rsid w:val="00F31299"/>
    <w:rsid w:val="00F32B56"/>
    <w:rsid w:val="00F3534A"/>
    <w:rsid w:val="00F35B4A"/>
    <w:rsid w:val="00F51609"/>
    <w:rsid w:val="00F57B90"/>
    <w:rsid w:val="00F74BEA"/>
    <w:rsid w:val="00F81006"/>
    <w:rsid w:val="00F8380B"/>
    <w:rsid w:val="00F85325"/>
    <w:rsid w:val="00F93AB4"/>
    <w:rsid w:val="00F96A8A"/>
    <w:rsid w:val="00FA3EBF"/>
    <w:rsid w:val="00FB282A"/>
    <w:rsid w:val="00FD104C"/>
    <w:rsid w:val="00FD22B1"/>
    <w:rsid w:val="00FD3331"/>
    <w:rsid w:val="00FE1FD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E85E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85E00"/>
    <w:rPr>
      <w:szCs w:val="24"/>
    </w:rPr>
  </w:style>
  <w:style w:type="character" w:customStyle="1" w:styleId="CommentSubjectChar">
    <w:name w:val="Comment Subject Char"/>
    <w:basedOn w:val="CommentTextChar"/>
    <w:link w:val="CommentSubject"/>
    <w:rsid w:val="00E85E00"/>
    <w:rPr>
      <w:b/>
      <w:bCs/>
      <w:szCs w:val="24"/>
    </w:rPr>
  </w:style>
  <w:style w:type="paragraph" w:styleId="Revision">
    <w:name w:val="Revision"/>
    <w:hidden/>
    <w:uiPriority w:val="99"/>
    <w:semiHidden/>
    <w:rsid w:val="00F74BE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E85E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85E00"/>
    <w:rPr>
      <w:szCs w:val="24"/>
    </w:rPr>
  </w:style>
  <w:style w:type="character" w:customStyle="1" w:styleId="CommentSubjectChar">
    <w:name w:val="Comment Subject Char"/>
    <w:basedOn w:val="CommentTextChar"/>
    <w:link w:val="CommentSubject"/>
    <w:rsid w:val="00E85E00"/>
    <w:rPr>
      <w:b/>
      <w:bCs/>
      <w:szCs w:val="24"/>
    </w:rPr>
  </w:style>
  <w:style w:type="paragraph" w:styleId="Revision">
    <w:name w:val="Revision"/>
    <w:hidden/>
    <w:uiPriority w:val="99"/>
    <w:semiHidden/>
    <w:rsid w:val="00F74BE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915A9-1661-4000-84C5-AC8A933B6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983</TotalTime>
  <Pages>16</Pages>
  <Words>4682</Words>
  <Characters>26691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Re-benchmarking the estimates</vt:lpstr>
    </vt:vector>
  </TitlesOfParts>
  <Company>Productivity Commission</Company>
  <LinksUpToDate>false</LinksUpToDate>
  <CharactersWithSpaces>31311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Re-benchmarking the estimates</dc:title>
  <dc:subject>Trade &amp; Assistance Review 2011-12 Methodological Annex</dc:subject>
  <dc:creator/>
  <cp:keywords/>
  <dc:description>4.</dc:description>
  <cp:lastModifiedBy>Productivity Commission</cp:lastModifiedBy>
  <cp:revision>174</cp:revision>
  <cp:lastPrinted>2013-09-06T01:05:00Z</cp:lastPrinted>
  <dcterms:created xsi:type="dcterms:W3CDTF">2013-06-20T01:47:00Z</dcterms:created>
  <dcterms:modified xsi:type="dcterms:W3CDTF">2014-02-10T00:18:00Z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-667158122</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