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FA09C3" w:rsidP="00FA09C3">
      <w:pPr>
        <w:pStyle w:val="Chapter"/>
        <w:ind w:left="907" w:hanging="907"/>
      </w:pPr>
      <w:bookmarkStart w:id="0" w:name="_AppendixNotByChapter"/>
      <w:bookmarkStart w:id="1" w:name="ChapterNumber"/>
      <w:bookmarkStart w:id="2" w:name="_GoBack"/>
      <w:bookmarkEnd w:id="0"/>
      <w:bookmarkEnd w:id="2"/>
      <w:r>
        <w:t>A</w:t>
      </w:r>
      <w:bookmarkEnd w:id="1"/>
      <w:r>
        <w:tab/>
      </w:r>
      <w:bookmarkStart w:id="3" w:name="ChapterTitle"/>
      <w:r>
        <w:t>Budgetary assistance programs</w:t>
      </w:r>
      <w:bookmarkEnd w:id="3"/>
    </w:p>
    <w:p w:rsidR="00C31920" w:rsidRPr="00BF6BF7" w:rsidRDefault="00C31920" w:rsidP="00455F62">
      <w:pPr>
        <w:pStyle w:val="BodyText"/>
      </w:pPr>
      <w:r w:rsidRPr="00455F62">
        <w:t xml:space="preserve">This appendix </w:t>
      </w:r>
      <w:r w:rsidR="003E218E" w:rsidRPr="00455F62">
        <w:t xml:space="preserve">identifies the </w:t>
      </w:r>
      <w:r w:rsidR="00455F62" w:rsidRPr="00455F62">
        <w:t xml:space="preserve">234 </w:t>
      </w:r>
      <w:r w:rsidR="003E218E" w:rsidRPr="00BF6BF7">
        <w:t xml:space="preserve">budgetary assistance </w:t>
      </w:r>
      <w:r w:rsidRPr="00BF6BF7">
        <w:t>program</w:t>
      </w:r>
      <w:r w:rsidR="003E218E" w:rsidRPr="00BF6BF7">
        <w:t>s</w:t>
      </w:r>
      <w:r w:rsidRPr="00BF6BF7">
        <w:t xml:space="preserve"> </w:t>
      </w:r>
      <w:r w:rsidR="003E218E" w:rsidRPr="00BF6BF7">
        <w:t xml:space="preserve">that have been included in assistance estimates </w:t>
      </w:r>
      <w:r w:rsidR="00F90D64" w:rsidRPr="00BF6BF7">
        <w:t xml:space="preserve">in </w:t>
      </w:r>
      <w:r w:rsidR="003E218E" w:rsidRPr="00BF6BF7">
        <w:t xml:space="preserve">any of the years from </w:t>
      </w:r>
      <w:r w:rsidR="00F90D64" w:rsidRPr="00BF6BF7">
        <w:t>2006</w:t>
      </w:r>
      <w:r w:rsidR="00F90D64" w:rsidRPr="00BF6BF7">
        <w:noBreakHyphen/>
        <w:t>07 to 2011</w:t>
      </w:r>
      <w:r w:rsidR="00F90D64" w:rsidRPr="00BF6BF7">
        <w:noBreakHyphen/>
        <w:t xml:space="preserve">12. Programs are </w:t>
      </w:r>
      <w:r w:rsidR="00F317DB" w:rsidRPr="00BF6BF7">
        <w:t>listed in</w:t>
      </w:r>
      <w:r w:rsidR="00F90D64" w:rsidRPr="00BF6BF7">
        <w:t xml:space="preserve"> </w:t>
      </w:r>
      <w:r w:rsidR="003E218E" w:rsidRPr="00BF6BF7">
        <w:t xml:space="preserve">descending size </w:t>
      </w:r>
      <w:r w:rsidR="00F90D64" w:rsidRPr="00BF6BF7">
        <w:t>of budgetary assistance in 2011</w:t>
      </w:r>
      <w:r w:rsidR="00F90D64" w:rsidRPr="00BF6BF7">
        <w:noBreakHyphen/>
        <w:t>12</w:t>
      </w:r>
      <w:r w:rsidR="00F317DB" w:rsidRPr="00BF6BF7">
        <w:t xml:space="preserve"> </w:t>
      </w:r>
      <w:r w:rsidR="00FF42C0" w:rsidRPr="00BF6BF7">
        <w:t xml:space="preserve">(items A.1 through A.128) </w:t>
      </w:r>
      <w:r w:rsidR="00F317DB" w:rsidRPr="00BF6BF7">
        <w:t>and then for earlier years.</w:t>
      </w:r>
      <w:r w:rsidR="00F90D64" w:rsidRPr="00BF6BF7">
        <w:t xml:space="preserve"> (Appendix B provides a list of programs in alphabetical order).</w:t>
      </w:r>
    </w:p>
    <w:p w:rsidR="00603597" w:rsidRDefault="00FA09C3" w:rsidP="00603597">
      <w:pPr>
        <w:pStyle w:val="Heading2"/>
      </w:pPr>
      <w:r>
        <w:t>A.</w:t>
      </w:r>
      <w:r>
        <w:rPr>
          <w:noProof/>
        </w:rPr>
        <w:t>1</w:t>
      </w:r>
      <w:r w:rsidR="00603597">
        <w:tab/>
        <w:t>Energy Security Fund – transitional assistance</w:t>
      </w:r>
    </w:p>
    <w:p w:rsidR="00603597" w:rsidRDefault="00603597" w:rsidP="00603597">
      <w:pPr>
        <w:pStyle w:val="BodyText"/>
      </w:pPr>
      <w:r>
        <w:t xml:space="preserve">Part of the Australian Government’s Energy Security Package, the Energy Security Fund provides $5.5 billion to assist </w:t>
      </w:r>
      <w:r w:rsidRPr="008B0267">
        <w:t>highly emissions</w:t>
      </w:r>
      <w:r>
        <w:noBreakHyphen/>
      </w:r>
      <w:r w:rsidRPr="008B0267">
        <w:t>intensive coal</w:t>
      </w:r>
      <w:r>
        <w:noBreakHyphen/>
      </w:r>
      <w:r w:rsidRPr="008B0267">
        <w:t xml:space="preserve">fired power generators </w:t>
      </w:r>
      <w:r>
        <w:t>with the significant implications of transition to clean energy under carbon pricing (</w:t>
      </w:r>
      <w:r w:rsidRPr="006D248C">
        <w:t>DCCEE 2012</w:t>
      </w:r>
      <w:r>
        <w:t>). In doing so, the Energy Security Fund aims to help smooth the transition by providing $1 billion in cash payments in 2011</w:t>
      </w:r>
      <w:r>
        <w:noBreakHyphen/>
        <w:t>12 and free carbon units each year from 2013</w:t>
      </w:r>
      <w:r>
        <w:noBreakHyphen/>
        <w:t>14 to 2016</w:t>
      </w:r>
      <w:r>
        <w:noBreakHyphen/>
        <w:t>17. The allocation of free carbon units is administered by the Clean Energy Regulator, and the negotiation of contracts for the closure of some of the highest emitting generators is administered by the Department of Resources, Energy and Tourism.</w:t>
      </w:r>
    </w:p>
    <w:p w:rsidR="00603597" w:rsidRDefault="00603597" w:rsidP="00603597">
      <w:pPr>
        <w:pStyle w:val="BodyText"/>
      </w:pPr>
      <w:r>
        <w:t>T</w:t>
      </w:r>
      <w:r w:rsidRPr="001177D0">
        <w:t xml:space="preserve">he program has been allocated to the </w:t>
      </w:r>
      <w:r w:rsidRPr="001177D0">
        <w:rPr>
          <w:i/>
        </w:rPr>
        <w:t>Electricity, gas, water and waste services</w:t>
      </w:r>
      <w:r w:rsidRPr="001177D0">
        <w:t xml:space="preserve"> industry grouping in the Commission’s ANZSIC-based classification (table</w:t>
      </w:r>
      <w:r w:rsidR="00160387">
        <w:t> </w:t>
      </w:r>
      <w:r w:rsidRPr="001177D0">
        <w:t>A.</w:t>
      </w:r>
      <w:r>
        <w:t>1</w:t>
      </w:r>
      <w:r w:rsidRPr="001177D0">
        <w:t>).</w:t>
      </w:r>
    </w:p>
    <w:p w:rsidR="00603597" w:rsidRDefault="00603597" w:rsidP="00603597">
      <w:pPr>
        <w:pStyle w:val="TableTitle"/>
      </w:pPr>
      <w:r>
        <w:rPr>
          <w:b w:val="0"/>
        </w:rPr>
        <w:t xml:space="preserve">Table </w:t>
      </w:r>
      <w:r w:rsidR="00FA09C3">
        <w:rPr>
          <w:b w:val="0"/>
        </w:rPr>
        <w:t>A.</w:t>
      </w:r>
      <w:r w:rsidR="00FA09C3">
        <w:rPr>
          <w:b w:val="0"/>
          <w:noProof/>
        </w:rPr>
        <w:t>1</w:t>
      </w:r>
      <w:r>
        <w:tab/>
        <w:t>Allocation of Energy Security Fund – transitional assistance</w:t>
      </w:r>
      <w:r w:rsidR="000B37E1">
        <w:t xml:space="preserve"> to industry</w:t>
      </w:r>
      <w:r>
        <w:t>, 2006</w:t>
      </w:r>
      <w:r>
        <w:noBreakHyphen/>
        <w:t>07 to 2011</w:t>
      </w:r>
      <w:r>
        <w:noBreakHyphen/>
        <w:t>12</w:t>
      </w:r>
    </w:p>
    <w:p w:rsidR="00603597" w:rsidRDefault="00603597" w:rsidP="00603597">
      <w:pPr>
        <w:pStyle w:val="Subtitle"/>
      </w:pPr>
      <w:r>
        <w:t>$</w:t>
      </w:r>
      <w:r w:rsidR="00446AD2">
        <w:t xml:space="preserve"> </w:t>
      </w:r>
      <w:r>
        <w:t xml:space="preserve">million (nominal) </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603597" w:rsidRPr="00AF699A" w:rsidTr="008B63A3">
        <w:tc>
          <w:tcPr>
            <w:tcW w:w="1958" w:type="pct"/>
            <w:tcBorders>
              <w:top w:val="single" w:sz="6" w:space="0" w:color="auto"/>
              <w:bottom w:val="single" w:sz="6" w:space="0" w:color="auto"/>
            </w:tcBorders>
          </w:tcPr>
          <w:p w:rsidR="00603597" w:rsidRPr="00AF699A" w:rsidRDefault="00603597" w:rsidP="008B63A3">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603597" w:rsidRPr="00AF699A" w:rsidRDefault="00603597" w:rsidP="008B63A3">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603597" w:rsidRPr="00AF699A" w:rsidRDefault="00603597" w:rsidP="008B63A3">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603597" w:rsidRPr="00AF699A" w:rsidRDefault="00603597" w:rsidP="008B63A3">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603597" w:rsidRPr="00AF699A" w:rsidRDefault="00603597" w:rsidP="008B63A3">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603597" w:rsidRPr="00AF699A" w:rsidRDefault="00603597" w:rsidP="008B63A3">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603597" w:rsidRPr="00AF699A" w:rsidRDefault="00603597" w:rsidP="008B63A3">
            <w:pPr>
              <w:pStyle w:val="TableColumnHeading"/>
              <w:ind w:right="28"/>
              <w:rPr>
                <w:rFonts w:cs="Arial"/>
                <w:sz w:val="18"/>
                <w:szCs w:val="18"/>
              </w:rPr>
            </w:pPr>
            <w:r w:rsidRPr="00AF699A">
              <w:rPr>
                <w:rFonts w:cs="Arial"/>
                <w:sz w:val="18"/>
                <w:szCs w:val="18"/>
              </w:rPr>
              <w:t>2011-12</w:t>
            </w:r>
          </w:p>
        </w:tc>
      </w:tr>
      <w:tr w:rsidR="00603597" w:rsidRPr="006C5A80" w:rsidTr="008B63A3">
        <w:tc>
          <w:tcPr>
            <w:tcW w:w="1958" w:type="pct"/>
            <w:tcBorders>
              <w:bottom w:val="single" w:sz="4" w:space="0" w:color="auto"/>
            </w:tcBorders>
            <w:vAlign w:val="bottom"/>
          </w:tcPr>
          <w:p w:rsidR="00603597" w:rsidRPr="000F27FA" w:rsidRDefault="00603597" w:rsidP="008B63A3">
            <w:pPr>
              <w:pStyle w:val="TableBodyText"/>
              <w:jc w:val="left"/>
            </w:pPr>
            <w:r w:rsidRPr="000F27FA">
              <w:t>Electricity, gas, water and waste services</w:t>
            </w:r>
          </w:p>
        </w:tc>
        <w:tc>
          <w:tcPr>
            <w:tcW w:w="507" w:type="pct"/>
            <w:tcBorders>
              <w:bottom w:val="single" w:sz="4" w:space="0" w:color="auto"/>
            </w:tcBorders>
            <w:vAlign w:val="bottom"/>
          </w:tcPr>
          <w:p w:rsidR="00603597" w:rsidRPr="000F27FA" w:rsidRDefault="00603597" w:rsidP="008B63A3">
            <w:pPr>
              <w:pStyle w:val="TableBodyText"/>
            </w:pPr>
            <w:r>
              <w:noBreakHyphen/>
            </w:r>
          </w:p>
        </w:tc>
        <w:tc>
          <w:tcPr>
            <w:tcW w:w="507" w:type="pct"/>
            <w:tcBorders>
              <w:bottom w:val="single" w:sz="4" w:space="0" w:color="auto"/>
            </w:tcBorders>
            <w:vAlign w:val="bottom"/>
          </w:tcPr>
          <w:p w:rsidR="00603597" w:rsidRPr="000F27FA" w:rsidRDefault="00603597" w:rsidP="008B63A3">
            <w:pPr>
              <w:pStyle w:val="TableBodyText"/>
            </w:pPr>
            <w:r>
              <w:noBreakHyphen/>
            </w:r>
          </w:p>
        </w:tc>
        <w:tc>
          <w:tcPr>
            <w:tcW w:w="507" w:type="pct"/>
            <w:tcBorders>
              <w:bottom w:val="single" w:sz="4" w:space="0" w:color="auto"/>
            </w:tcBorders>
            <w:vAlign w:val="bottom"/>
          </w:tcPr>
          <w:p w:rsidR="00603597" w:rsidRPr="000F27FA" w:rsidRDefault="00603597" w:rsidP="008B63A3">
            <w:pPr>
              <w:pStyle w:val="TableBodyText"/>
            </w:pPr>
            <w:r>
              <w:noBreakHyphen/>
            </w:r>
          </w:p>
        </w:tc>
        <w:tc>
          <w:tcPr>
            <w:tcW w:w="507" w:type="pct"/>
            <w:tcBorders>
              <w:bottom w:val="single" w:sz="4" w:space="0" w:color="auto"/>
            </w:tcBorders>
            <w:vAlign w:val="bottom"/>
          </w:tcPr>
          <w:p w:rsidR="00603597" w:rsidRPr="000F27FA" w:rsidRDefault="00603597" w:rsidP="008B63A3">
            <w:pPr>
              <w:pStyle w:val="TableBodyText"/>
            </w:pPr>
            <w:r>
              <w:noBreakHyphen/>
            </w:r>
          </w:p>
        </w:tc>
        <w:tc>
          <w:tcPr>
            <w:tcW w:w="507" w:type="pct"/>
            <w:tcBorders>
              <w:bottom w:val="single" w:sz="4" w:space="0" w:color="auto"/>
            </w:tcBorders>
            <w:shd w:val="clear" w:color="auto" w:fill="auto"/>
            <w:vAlign w:val="bottom"/>
          </w:tcPr>
          <w:p w:rsidR="00603597" w:rsidRPr="000F27FA" w:rsidRDefault="00603597" w:rsidP="008B63A3">
            <w:pPr>
              <w:pStyle w:val="TableBodyText"/>
            </w:pPr>
            <w:r>
              <w:noBreakHyphen/>
            </w:r>
          </w:p>
        </w:tc>
        <w:tc>
          <w:tcPr>
            <w:tcW w:w="507" w:type="pct"/>
            <w:tcBorders>
              <w:bottom w:val="single" w:sz="4" w:space="0" w:color="auto"/>
            </w:tcBorders>
            <w:shd w:val="clear" w:color="auto" w:fill="auto"/>
            <w:vAlign w:val="bottom"/>
          </w:tcPr>
          <w:p w:rsidR="00603597" w:rsidRPr="000F27FA" w:rsidRDefault="00603597" w:rsidP="008B63A3">
            <w:pPr>
              <w:pStyle w:val="TableBodyText"/>
            </w:pPr>
            <w:r w:rsidRPr="000F27FA">
              <w:t>1000</w:t>
            </w:r>
            <w:r>
              <w:t>.0</w:t>
            </w:r>
          </w:p>
        </w:tc>
      </w:tr>
    </w:tbl>
    <w:p w:rsidR="00603597" w:rsidRDefault="00603597" w:rsidP="00603597">
      <w:pPr>
        <w:pStyle w:val="Note"/>
      </w:pPr>
      <w:r w:rsidRPr="00A2379F">
        <w:noBreakHyphen/>
        <w:t xml:space="preserve"> Nil</w:t>
      </w:r>
      <w:r>
        <w:t>.</w:t>
      </w:r>
    </w:p>
    <w:p w:rsidR="00603597" w:rsidRPr="008E77FE" w:rsidRDefault="00603597" w:rsidP="00603597">
      <w:pPr>
        <w:pStyle w:val="Source"/>
      </w:pPr>
      <w:r>
        <w:rPr>
          <w:i/>
        </w:rPr>
        <w:t>Source</w:t>
      </w:r>
      <w:r>
        <w:t>: Commission estimates based on Department of Climate Change and Energy Efficiency Annual Report 2011-12.</w:t>
      </w:r>
    </w:p>
    <w:p w:rsidR="000F2660" w:rsidRPr="002E6A46" w:rsidRDefault="00FA09C3" w:rsidP="000F2660">
      <w:pPr>
        <w:pStyle w:val="Heading2"/>
      </w:pPr>
      <w:r>
        <w:lastRenderedPageBreak/>
        <w:t>A.</w:t>
      </w:r>
      <w:r>
        <w:rPr>
          <w:noProof/>
        </w:rPr>
        <w:t>2</w:t>
      </w:r>
      <w:r w:rsidR="000F2660">
        <w:tab/>
      </w:r>
      <w:r w:rsidR="000F2660" w:rsidRPr="002E6A46">
        <w:t>R&amp;D Tax Concession</w:t>
      </w:r>
    </w:p>
    <w:p w:rsidR="000F2660" w:rsidRPr="00DD3B0A" w:rsidRDefault="000F2660" w:rsidP="000F2660">
      <w:pPr>
        <w:pStyle w:val="BodyText"/>
      </w:pPr>
      <w:r>
        <w:t xml:space="preserve">The R&amp;D tax concession allows all companies incorporated in Australia and undertaking eligible R&amp;D to claim a deduction from their taxable income of up to 125 per cent of R&amp;D expenditure. The estimated level of assistance (support) is measured as the tax revenue forgone as a result of the </w:t>
      </w:r>
      <w:r w:rsidRPr="00DD3B0A">
        <w:t>concession (</w:t>
      </w:r>
      <w:r w:rsidRPr="006D248C">
        <w:t>Tax Expenditure Statement, Australian Government</w:t>
      </w:r>
      <w:r>
        <w:t> </w:t>
      </w:r>
      <w:r w:rsidRPr="006D248C">
        <w:t>2013, item B 103</w:t>
      </w:r>
      <w:r w:rsidRPr="00DD3B0A">
        <w:t>).</w:t>
      </w:r>
    </w:p>
    <w:p w:rsidR="000F2660" w:rsidRDefault="000F2660" w:rsidP="000F2660">
      <w:pPr>
        <w:pStyle w:val="BodyText"/>
      </w:pPr>
      <w:r>
        <w:t xml:space="preserve">For the R&amp;D tax concession, the detailed Australian Taxation Office (ATO) claims data by Australian and New Zealand Standard Industrial Classification (ANZSIC) industry reveal a very high share of claims by the finance and insurance industry grouping compared with ABS data on R&amp;D undertaken by firms. The concentration of claims in the finance industries reflects legal structures for the financing of R&amp;D, such as syndication, rather than the actual industry in which the R&amp;D is conducted. </w:t>
      </w:r>
      <w:r w:rsidR="009778E6" w:rsidRPr="00952AE8">
        <w:t>Accordingly, for the finance industry</w:t>
      </w:r>
      <w:r w:rsidR="009778E6">
        <w:t>,</w:t>
      </w:r>
      <w:r w:rsidR="009778E6" w:rsidRPr="00952AE8">
        <w:t xml:space="preserve"> the share of business expenditure on R&amp;D </w:t>
      </w:r>
      <w:r w:rsidR="009778E6">
        <w:t xml:space="preserve">from the ABS data </w:t>
      </w:r>
      <w:r w:rsidR="009778E6" w:rsidRPr="00952AE8">
        <w:t xml:space="preserve">has been used. </w:t>
      </w:r>
      <w:r>
        <w:t xml:space="preserve"> The difference between the ATO and ABS shares for the finance industry has then been re-allocated across all other remaining industries (based on the ATO shares). These adjusted industry shares </w:t>
      </w:r>
      <w:r w:rsidR="00446AD2">
        <w:t xml:space="preserve">have then been </w:t>
      </w:r>
      <w:r>
        <w:t>used to allocate the TES estimates of total revenue forgone for the concession (table A.2).</w:t>
      </w:r>
    </w:p>
    <w:p w:rsidR="000F2660" w:rsidRDefault="000F2660" w:rsidP="000F2660">
      <w:pPr>
        <w:pStyle w:val="TableTitle"/>
      </w:pPr>
      <w:r>
        <w:rPr>
          <w:b w:val="0"/>
        </w:rPr>
        <w:lastRenderedPageBreak/>
        <w:t xml:space="preserve">Table </w:t>
      </w:r>
      <w:r w:rsidR="00FA09C3">
        <w:rPr>
          <w:b w:val="0"/>
        </w:rPr>
        <w:t>A.</w:t>
      </w:r>
      <w:r w:rsidR="00FA09C3">
        <w:rPr>
          <w:b w:val="0"/>
          <w:noProof/>
        </w:rPr>
        <w:t>2</w:t>
      </w:r>
      <w:r>
        <w:tab/>
        <w:t xml:space="preserve">Allocation of R&amp;D </w:t>
      </w:r>
      <w:r w:rsidR="000B37E1">
        <w:t>T</w:t>
      </w:r>
      <w:r>
        <w:t xml:space="preserve">ax </w:t>
      </w:r>
      <w:r w:rsidR="000B37E1">
        <w:t>C</w:t>
      </w:r>
      <w:r>
        <w:t xml:space="preserve">oncession </w:t>
      </w:r>
      <w:r w:rsidR="000B37E1">
        <w:t xml:space="preserve">to </w:t>
      </w:r>
      <w:r>
        <w:t>industry, 2006</w:t>
      </w:r>
      <w:r>
        <w:noBreakHyphen/>
        <w:t>07 to 2011</w:t>
      </w:r>
      <w:r>
        <w:noBreakHyphen/>
        <w:t>12</w:t>
      </w:r>
    </w:p>
    <w:p w:rsidR="000F2660" w:rsidRDefault="000F2660" w:rsidP="000F2660">
      <w:pPr>
        <w:pStyle w:val="Subtitle"/>
      </w:pPr>
      <w:r>
        <w:t>$ million (nominal)</w:t>
      </w:r>
    </w:p>
    <w:tbl>
      <w:tblPr>
        <w:tblW w:w="5000" w:type="pct"/>
        <w:tblCellMar>
          <w:left w:w="0" w:type="dxa"/>
          <w:right w:w="0" w:type="dxa"/>
        </w:tblCellMar>
        <w:tblLook w:val="0000" w:firstRow="0" w:lastRow="0" w:firstColumn="0" w:lastColumn="0" w:noHBand="0" w:noVBand="0"/>
      </w:tblPr>
      <w:tblGrid>
        <w:gridCol w:w="3443"/>
        <w:gridCol w:w="893"/>
        <w:gridCol w:w="893"/>
        <w:gridCol w:w="893"/>
        <w:gridCol w:w="893"/>
        <w:gridCol w:w="893"/>
        <w:gridCol w:w="881"/>
      </w:tblGrid>
      <w:tr w:rsidR="000F2660" w:rsidRPr="00411B63" w:rsidTr="008B63A3">
        <w:trPr>
          <w:trHeight w:val="227"/>
        </w:trPr>
        <w:tc>
          <w:tcPr>
            <w:tcW w:w="1959" w:type="pct"/>
            <w:tcBorders>
              <w:top w:val="single" w:sz="6" w:space="0" w:color="auto"/>
              <w:bottom w:val="single" w:sz="6" w:space="0" w:color="auto"/>
            </w:tcBorders>
          </w:tcPr>
          <w:p w:rsidR="000F2660" w:rsidRPr="00411B63" w:rsidRDefault="000F2660" w:rsidP="008B63A3">
            <w:pPr>
              <w:pStyle w:val="TableColumnHeading"/>
              <w:jc w:val="left"/>
              <w:rPr>
                <w:sz w:val="18"/>
                <w:szCs w:val="18"/>
              </w:rPr>
            </w:pPr>
            <w:r w:rsidRPr="00411B63">
              <w:rPr>
                <w:sz w:val="18"/>
                <w:szCs w:val="18"/>
              </w:rPr>
              <w:t>Industry grouping</w:t>
            </w:r>
          </w:p>
        </w:tc>
        <w:tc>
          <w:tcPr>
            <w:tcW w:w="508" w:type="pct"/>
            <w:tcBorders>
              <w:top w:val="single" w:sz="6" w:space="0" w:color="auto"/>
              <w:bottom w:val="single" w:sz="6" w:space="0" w:color="auto"/>
            </w:tcBorders>
          </w:tcPr>
          <w:p w:rsidR="000F2660" w:rsidRPr="00411B63" w:rsidRDefault="000F2660" w:rsidP="008B63A3">
            <w:pPr>
              <w:pStyle w:val="TableColumnHeading"/>
              <w:ind w:right="28"/>
              <w:rPr>
                <w:sz w:val="18"/>
                <w:szCs w:val="18"/>
              </w:rPr>
            </w:pPr>
            <w:r w:rsidRPr="00411B63">
              <w:rPr>
                <w:sz w:val="18"/>
                <w:szCs w:val="18"/>
              </w:rPr>
              <w:t>2006-07</w:t>
            </w:r>
          </w:p>
        </w:tc>
        <w:tc>
          <w:tcPr>
            <w:tcW w:w="508" w:type="pct"/>
            <w:tcBorders>
              <w:top w:val="single" w:sz="6" w:space="0" w:color="auto"/>
              <w:bottom w:val="single" w:sz="6" w:space="0" w:color="auto"/>
            </w:tcBorders>
          </w:tcPr>
          <w:p w:rsidR="000F2660" w:rsidRPr="00411B63" w:rsidRDefault="000F2660" w:rsidP="008B63A3">
            <w:pPr>
              <w:pStyle w:val="TableColumnHeading"/>
              <w:ind w:right="28"/>
              <w:rPr>
                <w:sz w:val="18"/>
                <w:szCs w:val="18"/>
              </w:rPr>
            </w:pPr>
            <w:r w:rsidRPr="00411B63">
              <w:rPr>
                <w:sz w:val="18"/>
                <w:szCs w:val="18"/>
              </w:rPr>
              <w:t>2007-08</w:t>
            </w:r>
          </w:p>
        </w:tc>
        <w:tc>
          <w:tcPr>
            <w:tcW w:w="508" w:type="pct"/>
            <w:tcBorders>
              <w:top w:val="single" w:sz="6" w:space="0" w:color="auto"/>
              <w:bottom w:val="single" w:sz="6" w:space="0" w:color="auto"/>
            </w:tcBorders>
          </w:tcPr>
          <w:p w:rsidR="000F2660" w:rsidRPr="00411B63" w:rsidRDefault="000F2660" w:rsidP="008B63A3">
            <w:pPr>
              <w:pStyle w:val="TableColumnHeading"/>
              <w:ind w:right="28"/>
              <w:rPr>
                <w:sz w:val="18"/>
                <w:szCs w:val="18"/>
              </w:rPr>
            </w:pPr>
            <w:r w:rsidRPr="00411B63">
              <w:rPr>
                <w:sz w:val="18"/>
                <w:szCs w:val="18"/>
              </w:rPr>
              <w:t>2008-09</w:t>
            </w:r>
          </w:p>
        </w:tc>
        <w:tc>
          <w:tcPr>
            <w:tcW w:w="508" w:type="pct"/>
            <w:tcBorders>
              <w:top w:val="single" w:sz="6" w:space="0" w:color="auto"/>
              <w:bottom w:val="single" w:sz="6" w:space="0" w:color="auto"/>
            </w:tcBorders>
            <w:shd w:val="clear" w:color="auto" w:fill="auto"/>
          </w:tcPr>
          <w:p w:rsidR="000F2660" w:rsidRPr="00411B63" w:rsidRDefault="000F2660" w:rsidP="008B63A3">
            <w:pPr>
              <w:pStyle w:val="TableColumnHeading"/>
              <w:ind w:right="28"/>
              <w:rPr>
                <w:sz w:val="18"/>
                <w:szCs w:val="18"/>
              </w:rPr>
            </w:pPr>
            <w:r w:rsidRPr="00411B63">
              <w:rPr>
                <w:sz w:val="18"/>
                <w:szCs w:val="18"/>
              </w:rPr>
              <w:t>2009-10</w:t>
            </w:r>
          </w:p>
        </w:tc>
        <w:tc>
          <w:tcPr>
            <w:tcW w:w="508" w:type="pct"/>
            <w:tcBorders>
              <w:top w:val="single" w:sz="6" w:space="0" w:color="auto"/>
              <w:bottom w:val="single" w:sz="6" w:space="0" w:color="auto"/>
            </w:tcBorders>
            <w:shd w:val="clear" w:color="auto" w:fill="auto"/>
          </w:tcPr>
          <w:p w:rsidR="000F2660" w:rsidRPr="00411B63" w:rsidRDefault="000F2660" w:rsidP="008B63A3">
            <w:pPr>
              <w:pStyle w:val="TableColumnHeading"/>
              <w:ind w:right="28"/>
              <w:rPr>
                <w:sz w:val="18"/>
                <w:szCs w:val="18"/>
              </w:rPr>
            </w:pPr>
            <w:r w:rsidRPr="00411B63">
              <w:rPr>
                <w:sz w:val="18"/>
                <w:szCs w:val="18"/>
              </w:rPr>
              <w:t>2010-11</w:t>
            </w:r>
          </w:p>
        </w:tc>
        <w:tc>
          <w:tcPr>
            <w:tcW w:w="503" w:type="pct"/>
            <w:tcBorders>
              <w:top w:val="single" w:sz="6" w:space="0" w:color="auto"/>
              <w:bottom w:val="single" w:sz="6" w:space="0" w:color="auto"/>
            </w:tcBorders>
            <w:shd w:val="clear" w:color="auto" w:fill="auto"/>
          </w:tcPr>
          <w:p w:rsidR="000F2660" w:rsidRPr="00411B63" w:rsidRDefault="000F2660" w:rsidP="008B63A3">
            <w:pPr>
              <w:pStyle w:val="TableColumnHeading"/>
              <w:ind w:right="28"/>
              <w:rPr>
                <w:sz w:val="18"/>
                <w:szCs w:val="18"/>
              </w:rPr>
            </w:pPr>
            <w:r w:rsidRPr="00411B63">
              <w:rPr>
                <w:sz w:val="18"/>
                <w:szCs w:val="18"/>
              </w:rPr>
              <w:t>2011-12</w:t>
            </w:r>
          </w:p>
        </w:tc>
      </w:tr>
      <w:tr w:rsidR="000F2660" w:rsidTr="008B63A3">
        <w:trPr>
          <w:trHeight w:val="227"/>
        </w:trPr>
        <w:tc>
          <w:tcPr>
            <w:tcW w:w="1959" w:type="pct"/>
            <w:tcBorders>
              <w:top w:val="single" w:sz="6" w:space="0" w:color="auto"/>
            </w:tcBorders>
            <w:vAlign w:val="bottom"/>
          </w:tcPr>
          <w:p w:rsidR="000F2660" w:rsidRPr="00BD2B3E" w:rsidRDefault="000F2660" w:rsidP="008B63A3">
            <w:pPr>
              <w:pStyle w:val="TableBodyText"/>
              <w:jc w:val="left"/>
              <w:rPr>
                <w:b/>
                <w:sz w:val="18"/>
                <w:szCs w:val="18"/>
              </w:rPr>
            </w:pPr>
            <w:r w:rsidRPr="00BD2B3E">
              <w:rPr>
                <w:b/>
                <w:sz w:val="18"/>
                <w:szCs w:val="18"/>
              </w:rPr>
              <w:t>Primary production</w:t>
            </w:r>
          </w:p>
        </w:tc>
        <w:tc>
          <w:tcPr>
            <w:tcW w:w="508" w:type="pct"/>
            <w:tcBorders>
              <w:top w:val="single" w:sz="6" w:space="0" w:color="auto"/>
            </w:tcBorders>
            <w:vAlign w:val="bottom"/>
          </w:tcPr>
          <w:p w:rsidR="000F2660" w:rsidRPr="00BD2B3E" w:rsidRDefault="000F2660" w:rsidP="008B63A3">
            <w:pPr>
              <w:pStyle w:val="TableBodyText"/>
              <w:rPr>
                <w:b/>
                <w:sz w:val="18"/>
                <w:szCs w:val="18"/>
              </w:rPr>
            </w:pPr>
            <w:r w:rsidRPr="00BD2B3E">
              <w:rPr>
                <w:b/>
                <w:sz w:val="18"/>
                <w:szCs w:val="18"/>
              </w:rPr>
              <w:t>4.5</w:t>
            </w:r>
          </w:p>
        </w:tc>
        <w:tc>
          <w:tcPr>
            <w:tcW w:w="508" w:type="pct"/>
            <w:tcBorders>
              <w:top w:val="single" w:sz="6" w:space="0" w:color="auto"/>
            </w:tcBorders>
            <w:vAlign w:val="bottom"/>
          </w:tcPr>
          <w:p w:rsidR="000F2660" w:rsidRPr="00BD2B3E" w:rsidRDefault="000F2660" w:rsidP="008B63A3">
            <w:pPr>
              <w:pStyle w:val="TableBodyText"/>
              <w:rPr>
                <w:b/>
                <w:sz w:val="18"/>
                <w:szCs w:val="18"/>
              </w:rPr>
            </w:pPr>
            <w:r w:rsidRPr="00BD2B3E">
              <w:rPr>
                <w:b/>
                <w:sz w:val="18"/>
                <w:szCs w:val="18"/>
              </w:rPr>
              <w:t>3.6</w:t>
            </w:r>
          </w:p>
        </w:tc>
        <w:tc>
          <w:tcPr>
            <w:tcW w:w="508" w:type="pct"/>
            <w:tcBorders>
              <w:top w:val="single" w:sz="6" w:space="0" w:color="auto"/>
            </w:tcBorders>
            <w:vAlign w:val="bottom"/>
          </w:tcPr>
          <w:p w:rsidR="000F2660" w:rsidRPr="00BD2B3E" w:rsidRDefault="000F2660" w:rsidP="008B63A3">
            <w:pPr>
              <w:pStyle w:val="TableBodyText"/>
              <w:rPr>
                <w:b/>
                <w:sz w:val="18"/>
                <w:szCs w:val="18"/>
              </w:rPr>
            </w:pPr>
            <w:r w:rsidRPr="00BD2B3E">
              <w:rPr>
                <w:b/>
                <w:sz w:val="18"/>
                <w:szCs w:val="18"/>
              </w:rPr>
              <w:t>5.6</w:t>
            </w:r>
          </w:p>
        </w:tc>
        <w:tc>
          <w:tcPr>
            <w:tcW w:w="508" w:type="pct"/>
            <w:tcBorders>
              <w:top w:val="single" w:sz="6" w:space="0" w:color="auto"/>
            </w:tcBorders>
            <w:vAlign w:val="bottom"/>
          </w:tcPr>
          <w:p w:rsidR="000F2660" w:rsidRPr="00BD2B3E" w:rsidRDefault="000F2660" w:rsidP="008B63A3">
            <w:pPr>
              <w:pStyle w:val="TableBodyText"/>
              <w:rPr>
                <w:b/>
                <w:sz w:val="18"/>
                <w:szCs w:val="18"/>
              </w:rPr>
            </w:pPr>
            <w:r w:rsidRPr="00BD2B3E">
              <w:rPr>
                <w:b/>
                <w:sz w:val="18"/>
                <w:szCs w:val="18"/>
              </w:rPr>
              <w:t>9.5</w:t>
            </w:r>
          </w:p>
        </w:tc>
        <w:tc>
          <w:tcPr>
            <w:tcW w:w="508" w:type="pct"/>
            <w:tcBorders>
              <w:top w:val="single" w:sz="6" w:space="0" w:color="auto"/>
            </w:tcBorders>
            <w:vAlign w:val="bottom"/>
          </w:tcPr>
          <w:p w:rsidR="000F2660" w:rsidRPr="00BD2B3E" w:rsidRDefault="000F2660" w:rsidP="008B63A3">
            <w:pPr>
              <w:pStyle w:val="TableBodyText"/>
              <w:rPr>
                <w:b/>
                <w:sz w:val="18"/>
                <w:szCs w:val="18"/>
              </w:rPr>
            </w:pPr>
            <w:r w:rsidRPr="00BD2B3E">
              <w:rPr>
                <w:b/>
                <w:sz w:val="18"/>
                <w:szCs w:val="18"/>
              </w:rPr>
              <w:t>9.5</w:t>
            </w:r>
          </w:p>
        </w:tc>
        <w:tc>
          <w:tcPr>
            <w:tcW w:w="503" w:type="pct"/>
            <w:tcBorders>
              <w:top w:val="single" w:sz="6" w:space="0" w:color="auto"/>
            </w:tcBorders>
            <w:vAlign w:val="bottom"/>
          </w:tcPr>
          <w:p w:rsidR="000F2660" w:rsidRPr="00BD2B3E" w:rsidRDefault="000F2660" w:rsidP="008B63A3">
            <w:pPr>
              <w:pStyle w:val="TableBodyText"/>
              <w:rPr>
                <w:b/>
                <w:sz w:val="18"/>
                <w:szCs w:val="18"/>
              </w:rPr>
            </w:pPr>
            <w:r w:rsidRPr="00BD2B3E">
              <w:rPr>
                <w:b/>
                <w:sz w:val="18"/>
                <w:szCs w:val="18"/>
              </w:rPr>
              <w:t>9.3</w:t>
            </w:r>
          </w:p>
        </w:tc>
      </w:tr>
      <w:tr w:rsidR="000F2660" w:rsidTr="008B63A3">
        <w:trPr>
          <w:trHeight w:val="227"/>
        </w:trPr>
        <w:tc>
          <w:tcPr>
            <w:tcW w:w="1959" w:type="pct"/>
            <w:vAlign w:val="bottom"/>
          </w:tcPr>
          <w:p w:rsidR="000F2660" w:rsidRPr="00BD2B3E" w:rsidRDefault="000F2660" w:rsidP="00BD2B3E">
            <w:pPr>
              <w:pStyle w:val="TableBodyText"/>
              <w:ind w:left="0"/>
              <w:jc w:val="left"/>
              <w:rPr>
                <w:sz w:val="18"/>
                <w:szCs w:val="18"/>
              </w:rPr>
            </w:pPr>
            <w:r w:rsidRPr="00BD2B3E">
              <w:rPr>
                <w:sz w:val="18"/>
                <w:szCs w:val="18"/>
              </w:rPr>
              <w:t>Horticulture and fruit growing</w:t>
            </w:r>
          </w:p>
        </w:tc>
        <w:tc>
          <w:tcPr>
            <w:tcW w:w="508" w:type="pct"/>
          </w:tcPr>
          <w:p w:rsidR="000F2660" w:rsidRPr="00BD2B3E" w:rsidRDefault="000F2660" w:rsidP="008B63A3">
            <w:pPr>
              <w:pStyle w:val="TableBodyText"/>
              <w:rPr>
                <w:sz w:val="18"/>
                <w:szCs w:val="18"/>
              </w:rPr>
            </w:pPr>
            <w:r w:rsidRPr="00BD2B3E">
              <w:rPr>
                <w:sz w:val="18"/>
                <w:szCs w:val="18"/>
              </w:rPr>
              <w:t>0.9</w:t>
            </w:r>
          </w:p>
        </w:tc>
        <w:tc>
          <w:tcPr>
            <w:tcW w:w="508" w:type="pct"/>
          </w:tcPr>
          <w:p w:rsidR="000F2660" w:rsidRPr="00BD2B3E" w:rsidRDefault="000F2660" w:rsidP="008B63A3">
            <w:pPr>
              <w:pStyle w:val="TableBodyText"/>
              <w:rPr>
                <w:sz w:val="18"/>
                <w:szCs w:val="18"/>
              </w:rPr>
            </w:pPr>
            <w:r w:rsidRPr="00BD2B3E">
              <w:rPr>
                <w:sz w:val="18"/>
                <w:szCs w:val="18"/>
              </w:rPr>
              <w:t>0.9</w:t>
            </w:r>
          </w:p>
        </w:tc>
        <w:tc>
          <w:tcPr>
            <w:tcW w:w="508" w:type="pct"/>
          </w:tcPr>
          <w:p w:rsidR="000F2660" w:rsidRPr="00BD2B3E" w:rsidRDefault="000F2660" w:rsidP="008B63A3">
            <w:pPr>
              <w:pStyle w:val="TableBodyText"/>
              <w:rPr>
                <w:sz w:val="18"/>
                <w:szCs w:val="18"/>
              </w:rPr>
            </w:pPr>
            <w:r w:rsidRPr="00BD2B3E">
              <w:rPr>
                <w:sz w:val="18"/>
                <w:szCs w:val="18"/>
              </w:rPr>
              <w:t>0.9</w:t>
            </w:r>
          </w:p>
        </w:tc>
        <w:tc>
          <w:tcPr>
            <w:tcW w:w="508" w:type="pct"/>
          </w:tcPr>
          <w:p w:rsidR="000F2660" w:rsidRPr="00BD2B3E" w:rsidRDefault="000F2660" w:rsidP="008B63A3">
            <w:pPr>
              <w:pStyle w:val="TableBodyText"/>
              <w:rPr>
                <w:sz w:val="18"/>
                <w:szCs w:val="18"/>
              </w:rPr>
            </w:pPr>
            <w:r w:rsidRPr="00BD2B3E">
              <w:rPr>
                <w:sz w:val="18"/>
                <w:szCs w:val="18"/>
              </w:rPr>
              <w:t>1.4</w:t>
            </w:r>
          </w:p>
        </w:tc>
        <w:tc>
          <w:tcPr>
            <w:tcW w:w="508" w:type="pct"/>
          </w:tcPr>
          <w:p w:rsidR="000F2660" w:rsidRPr="00BD2B3E" w:rsidRDefault="000F2660" w:rsidP="008B63A3">
            <w:pPr>
              <w:pStyle w:val="TableBodyText"/>
              <w:rPr>
                <w:sz w:val="18"/>
                <w:szCs w:val="18"/>
              </w:rPr>
            </w:pPr>
            <w:r w:rsidRPr="00BD2B3E">
              <w:rPr>
                <w:sz w:val="18"/>
                <w:szCs w:val="18"/>
              </w:rPr>
              <w:t>1.4</w:t>
            </w:r>
          </w:p>
        </w:tc>
        <w:tc>
          <w:tcPr>
            <w:tcW w:w="503" w:type="pct"/>
          </w:tcPr>
          <w:p w:rsidR="000F2660" w:rsidRPr="00BD2B3E" w:rsidRDefault="000F2660" w:rsidP="008B63A3">
            <w:pPr>
              <w:pStyle w:val="TableBodyText"/>
              <w:rPr>
                <w:sz w:val="18"/>
                <w:szCs w:val="18"/>
              </w:rPr>
            </w:pPr>
            <w:r w:rsidRPr="00BD2B3E">
              <w:rPr>
                <w:sz w:val="18"/>
                <w:szCs w:val="18"/>
              </w:rPr>
              <w:t>1.3</w:t>
            </w:r>
          </w:p>
        </w:tc>
      </w:tr>
      <w:tr w:rsidR="000F2660" w:rsidTr="008B63A3">
        <w:trPr>
          <w:trHeight w:val="227"/>
        </w:trPr>
        <w:tc>
          <w:tcPr>
            <w:tcW w:w="1959" w:type="pct"/>
            <w:vAlign w:val="bottom"/>
          </w:tcPr>
          <w:p w:rsidR="000F2660" w:rsidRPr="00BD2B3E" w:rsidRDefault="000F2660" w:rsidP="00BD2B3E">
            <w:pPr>
              <w:pStyle w:val="TableBodyText"/>
              <w:ind w:left="0"/>
              <w:jc w:val="left"/>
              <w:rPr>
                <w:sz w:val="18"/>
                <w:szCs w:val="18"/>
              </w:rPr>
            </w:pPr>
            <w:r w:rsidRPr="00BD2B3E">
              <w:rPr>
                <w:sz w:val="18"/>
                <w:szCs w:val="18"/>
              </w:rPr>
              <w:t>Sheep, beef cattle and grain farming</w:t>
            </w:r>
          </w:p>
        </w:tc>
        <w:tc>
          <w:tcPr>
            <w:tcW w:w="508" w:type="pct"/>
          </w:tcPr>
          <w:p w:rsidR="000F2660" w:rsidRPr="00BD2B3E" w:rsidRDefault="000F2660" w:rsidP="008B63A3">
            <w:pPr>
              <w:pStyle w:val="TableBodyText"/>
              <w:rPr>
                <w:sz w:val="18"/>
                <w:szCs w:val="18"/>
              </w:rPr>
            </w:pPr>
            <w:r w:rsidRPr="00BD2B3E">
              <w:rPr>
                <w:sz w:val="18"/>
                <w:szCs w:val="18"/>
              </w:rPr>
              <w:t>1.1</w:t>
            </w:r>
          </w:p>
        </w:tc>
        <w:tc>
          <w:tcPr>
            <w:tcW w:w="508" w:type="pct"/>
          </w:tcPr>
          <w:p w:rsidR="000F2660" w:rsidRPr="00BD2B3E" w:rsidRDefault="000F2660" w:rsidP="008B63A3">
            <w:pPr>
              <w:pStyle w:val="TableBodyText"/>
              <w:rPr>
                <w:sz w:val="18"/>
                <w:szCs w:val="18"/>
              </w:rPr>
            </w:pPr>
            <w:r w:rsidRPr="00BD2B3E">
              <w:rPr>
                <w:sz w:val="18"/>
                <w:szCs w:val="18"/>
              </w:rPr>
              <w:t>0.8</w:t>
            </w:r>
          </w:p>
        </w:tc>
        <w:tc>
          <w:tcPr>
            <w:tcW w:w="508" w:type="pct"/>
          </w:tcPr>
          <w:p w:rsidR="000F2660" w:rsidRPr="00BD2B3E" w:rsidRDefault="000F2660" w:rsidP="008B63A3">
            <w:pPr>
              <w:pStyle w:val="TableBodyText"/>
              <w:rPr>
                <w:sz w:val="18"/>
                <w:szCs w:val="18"/>
              </w:rPr>
            </w:pPr>
            <w:r w:rsidRPr="00BD2B3E">
              <w:rPr>
                <w:sz w:val="18"/>
                <w:szCs w:val="18"/>
              </w:rPr>
              <w:t>1.7</w:t>
            </w:r>
          </w:p>
        </w:tc>
        <w:tc>
          <w:tcPr>
            <w:tcW w:w="508" w:type="pct"/>
          </w:tcPr>
          <w:p w:rsidR="000F2660" w:rsidRPr="00BD2B3E" w:rsidRDefault="000F2660" w:rsidP="008B63A3">
            <w:pPr>
              <w:pStyle w:val="TableBodyText"/>
              <w:rPr>
                <w:sz w:val="18"/>
                <w:szCs w:val="18"/>
              </w:rPr>
            </w:pPr>
            <w:r w:rsidRPr="00BD2B3E">
              <w:rPr>
                <w:sz w:val="18"/>
                <w:szCs w:val="18"/>
              </w:rPr>
              <w:t>2.6</w:t>
            </w:r>
          </w:p>
        </w:tc>
        <w:tc>
          <w:tcPr>
            <w:tcW w:w="508" w:type="pct"/>
          </w:tcPr>
          <w:p w:rsidR="000F2660" w:rsidRPr="00BD2B3E" w:rsidRDefault="000F2660" w:rsidP="008B63A3">
            <w:pPr>
              <w:pStyle w:val="TableBodyText"/>
              <w:rPr>
                <w:sz w:val="18"/>
                <w:szCs w:val="18"/>
              </w:rPr>
            </w:pPr>
            <w:r w:rsidRPr="00BD2B3E">
              <w:rPr>
                <w:sz w:val="18"/>
                <w:szCs w:val="18"/>
              </w:rPr>
              <w:t>2.6</w:t>
            </w:r>
          </w:p>
        </w:tc>
        <w:tc>
          <w:tcPr>
            <w:tcW w:w="503" w:type="pct"/>
          </w:tcPr>
          <w:p w:rsidR="000F2660" w:rsidRPr="00BD2B3E" w:rsidRDefault="000F2660" w:rsidP="008B63A3">
            <w:pPr>
              <w:pStyle w:val="TableBodyText"/>
              <w:rPr>
                <w:sz w:val="18"/>
                <w:szCs w:val="18"/>
              </w:rPr>
            </w:pPr>
            <w:r w:rsidRPr="00BD2B3E">
              <w:rPr>
                <w:sz w:val="18"/>
                <w:szCs w:val="18"/>
              </w:rPr>
              <w:t>2.5</w:t>
            </w:r>
          </w:p>
        </w:tc>
      </w:tr>
      <w:tr w:rsidR="000F2660" w:rsidTr="008B63A3">
        <w:trPr>
          <w:trHeight w:val="227"/>
        </w:trPr>
        <w:tc>
          <w:tcPr>
            <w:tcW w:w="1959" w:type="pct"/>
            <w:vAlign w:val="bottom"/>
          </w:tcPr>
          <w:p w:rsidR="000F2660" w:rsidRPr="00BD2B3E" w:rsidRDefault="000F2660" w:rsidP="00BD2B3E">
            <w:pPr>
              <w:pStyle w:val="TableBodyText"/>
              <w:ind w:left="0"/>
              <w:jc w:val="left"/>
              <w:rPr>
                <w:sz w:val="18"/>
                <w:szCs w:val="18"/>
              </w:rPr>
            </w:pPr>
            <w:r w:rsidRPr="00BD2B3E">
              <w:rPr>
                <w:sz w:val="18"/>
                <w:szCs w:val="18"/>
              </w:rPr>
              <w:t>Other crop growing</w:t>
            </w:r>
          </w:p>
        </w:tc>
        <w:tc>
          <w:tcPr>
            <w:tcW w:w="508" w:type="pct"/>
          </w:tcPr>
          <w:p w:rsidR="000F2660" w:rsidRPr="00BD2B3E" w:rsidRDefault="000F2660" w:rsidP="008B63A3">
            <w:pPr>
              <w:pStyle w:val="TableBodyText"/>
              <w:rPr>
                <w:sz w:val="18"/>
                <w:szCs w:val="18"/>
              </w:rPr>
            </w:pPr>
            <w:r w:rsidRPr="00BD2B3E">
              <w:rPr>
                <w:sz w:val="18"/>
                <w:szCs w:val="18"/>
              </w:rPr>
              <w:noBreakHyphen/>
            </w:r>
          </w:p>
        </w:tc>
        <w:tc>
          <w:tcPr>
            <w:tcW w:w="508" w:type="pct"/>
          </w:tcPr>
          <w:p w:rsidR="000F2660" w:rsidRPr="00BD2B3E" w:rsidRDefault="000F2660" w:rsidP="008B63A3">
            <w:pPr>
              <w:pStyle w:val="TableBodyText"/>
              <w:rPr>
                <w:sz w:val="18"/>
                <w:szCs w:val="18"/>
              </w:rPr>
            </w:pPr>
            <w:r w:rsidRPr="00BD2B3E">
              <w:rPr>
                <w:sz w:val="18"/>
                <w:szCs w:val="18"/>
              </w:rPr>
              <w:noBreakHyphen/>
            </w:r>
          </w:p>
        </w:tc>
        <w:tc>
          <w:tcPr>
            <w:tcW w:w="508" w:type="pct"/>
          </w:tcPr>
          <w:p w:rsidR="000F2660" w:rsidRPr="00BD2B3E" w:rsidRDefault="000F2660" w:rsidP="008B63A3">
            <w:pPr>
              <w:pStyle w:val="TableBodyText"/>
              <w:rPr>
                <w:sz w:val="18"/>
                <w:szCs w:val="18"/>
              </w:rPr>
            </w:pPr>
            <w:r w:rsidRPr="00BD2B3E">
              <w:rPr>
                <w:sz w:val="18"/>
                <w:szCs w:val="18"/>
              </w:rPr>
              <w:t>0.6</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1.0</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1.0</w:t>
            </w:r>
          </w:p>
        </w:tc>
        <w:tc>
          <w:tcPr>
            <w:tcW w:w="503" w:type="pct"/>
            <w:shd w:val="clear" w:color="auto" w:fill="auto"/>
          </w:tcPr>
          <w:p w:rsidR="000F2660" w:rsidRPr="00BD2B3E" w:rsidRDefault="000F2660" w:rsidP="008B63A3">
            <w:pPr>
              <w:pStyle w:val="TableBodyText"/>
              <w:rPr>
                <w:sz w:val="18"/>
                <w:szCs w:val="18"/>
              </w:rPr>
            </w:pPr>
            <w:r w:rsidRPr="00BD2B3E">
              <w:rPr>
                <w:sz w:val="18"/>
                <w:szCs w:val="18"/>
              </w:rPr>
              <w:t>1.0</w:t>
            </w:r>
          </w:p>
        </w:tc>
      </w:tr>
      <w:tr w:rsidR="000F2660" w:rsidTr="008B63A3">
        <w:trPr>
          <w:trHeight w:val="227"/>
        </w:trPr>
        <w:tc>
          <w:tcPr>
            <w:tcW w:w="1959" w:type="pct"/>
            <w:vAlign w:val="bottom"/>
          </w:tcPr>
          <w:p w:rsidR="000F2660" w:rsidRPr="00BD2B3E" w:rsidRDefault="000F2660" w:rsidP="00BD2B3E">
            <w:pPr>
              <w:pStyle w:val="TableBodyText"/>
              <w:ind w:left="0"/>
              <w:jc w:val="left"/>
              <w:rPr>
                <w:sz w:val="18"/>
                <w:szCs w:val="18"/>
              </w:rPr>
            </w:pPr>
            <w:r w:rsidRPr="00BD2B3E">
              <w:rPr>
                <w:sz w:val="18"/>
                <w:szCs w:val="18"/>
              </w:rPr>
              <w:t>Other livestock farming</w:t>
            </w:r>
          </w:p>
        </w:tc>
        <w:tc>
          <w:tcPr>
            <w:tcW w:w="508" w:type="pct"/>
          </w:tcPr>
          <w:p w:rsidR="000F2660" w:rsidRPr="00BD2B3E" w:rsidRDefault="000F2660" w:rsidP="008B63A3">
            <w:pPr>
              <w:pStyle w:val="TableBodyText"/>
              <w:rPr>
                <w:sz w:val="18"/>
                <w:szCs w:val="18"/>
              </w:rPr>
            </w:pPr>
            <w:r w:rsidRPr="00BD2B3E">
              <w:rPr>
                <w:sz w:val="18"/>
                <w:szCs w:val="18"/>
              </w:rPr>
              <w:noBreakHyphen/>
            </w:r>
          </w:p>
        </w:tc>
        <w:tc>
          <w:tcPr>
            <w:tcW w:w="508" w:type="pct"/>
          </w:tcPr>
          <w:p w:rsidR="000F2660" w:rsidRPr="00BD2B3E" w:rsidRDefault="000F2660" w:rsidP="008B63A3">
            <w:pPr>
              <w:pStyle w:val="TableBodyText"/>
              <w:rPr>
                <w:sz w:val="18"/>
                <w:szCs w:val="18"/>
              </w:rPr>
            </w:pPr>
            <w:r w:rsidRPr="00BD2B3E">
              <w:rPr>
                <w:sz w:val="18"/>
                <w:szCs w:val="18"/>
              </w:rPr>
              <w:noBreakHyphen/>
            </w:r>
          </w:p>
        </w:tc>
        <w:tc>
          <w:tcPr>
            <w:tcW w:w="508" w:type="pct"/>
          </w:tcPr>
          <w:p w:rsidR="000F2660" w:rsidRPr="00BD2B3E" w:rsidRDefault="000F2660" w:rsidP="008B63A3">
            <w:pPr>
              <w:pStyle w:val="TableBodyText"/>
              <w:rPr>
                <w:sz w:val="18"/>
                <w:szCs w:val="18"/>
              </w:rPr>
            </w:pPr>
            <w:r w:rsidRPr="00BD2B3E">
              <w:rPr>
                <w:sz w:val="18"/>
                <w:szCs w:val="18"/>
              </w:rPr>
              <w:t>0.3</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0.5</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0.5</w:t>
            </w:r>
          </w:p>
        </w:tc>
        <w:tc>
          <w:tcPr>
            <w:tcW w:w="503" w:type="pct"/>
            <w:shd w:val="clear" w:color="auto" w:fill="auto"/>
          </w:tcPr>
          <w:p w:rsidR="000F2660" w:rsidRPr="00BD2B3E" w:rsidRDefault="000F2660" w:rsidP="008B63A3">
            <w:pPr>
              <w:pStyle w:val="TableBodyText"/>
              <w:rPr>
                <w:sz w:val="18"/>
                <w:szCs w:val="18"/>
              </w:rPr>
            </w:pPr>
            <w:r w:rsidRPr="00BD2B3E">
              <w:rPr>
                <w:sz w:val="18"/>
                <w:szCs w:val="18"/>
              </w:rPr>
              <w:t>0.5</w:t>
            </w:r>
          </w:p>
        </w:tc>
      </w:tr>
      <w:tr w:rsidR="000F2660" w:rsidTr="008B63A3">
        <w:trPr>
          <w:trHeight w:val="227"/>
        </w:trPr>
        <w:tc>
          <w:tcPr>
            <w:tcW w:w="1959" w:type="pct"/>
            <w:vAlign w:val="bottom"/>
          </w:tcPr>
          <w:p w:rsidR="000F2660" w:rsidRPr="00BD2B3E" w:rsidRDefault="000F2660" w:rsidP="00BD2B3E">
            <w:pPr>
              <w:pStyle w:val="TableBodyText"/>
              <w:ind w:left="0"/>
              <w:jc w:val="left"/>
              <w:rPr>
                <w:sz w:val="18"/>
                <w:szCs w:val="18"/>
              </w:rPr>
            </w:pPr>
            <w:r w:rsidRPr="00BD2B3E">
              <w:rPr>
                <w:sz w:val="18"/>
                <w:szCs w:val="18"/>
              </w:rPr>
              <w:t>Aquaculture and fishing</w:t>
            </w:r>
          </w:p>
        </w:tc>
        <w:tc>
          <w:tcPr>
            <w:tcW w:w="508" w:type="pct"/>
          </w:tcPr>
          <w:p w:rsidR="000F2660" w:rsidRPr="00BD2B3E" w:rsidRDefault="000F2660" w:rsidP="008B63A3">
            <w:pPr>
              <w:pStyle w:val="TableBodyText"/>
              <w:rPr>
                <w:sz w:val="18"/>
                <w:szCs w:val="18"/>
              </w:rPr>
            </w:pPr>
            <w:r w:rsidRPr="00BD2B3E">
              <w:rPr>
                <w:sz w:val="18"/>
                <w:szCs w:val="18"/>
              </w:rPr>
              <w:t>1.8</w:t>
            </w:r>
          </w:p>
        </w:tc>
        <w:tc>
          <w:tcPr>
            <w:tcW w:w="508" w:type="pct"/>
          </w:tcPr>
          <w:p w:rsidR="000F2660" w:rsidRPr="00BD2B3E" w:rsidRDefault="000F2660" w:rsidP="008B63A3">
            <w:pPr>
              <w:pStyle w:val="TableBodyText"/>
              <w:rPr>
                <w:sz w:val="18"/>
                <w:szCs w:val="18"/>
              </w:rPr>
            </w:pPr>
            <w:r w:rsidRPr="00BD2B3E">
              <w:rPr>
                <w:sz w:val="18"/>
                <w:szCs w:val="18"/>
              </w:rPr>
              <w:t>0.9</w:t>
            </w:r>
          </w:p>
        </w:tc>
        <w:tc>
          <w:tcPr>
            <w:tcW w:w="508" w:type="pct"/>
          </w:tcPr>
          <w:p w:rsidR="000F2660" w:rsidRPr="00BD2B3E" w:rsidRDefault="000F2660" w:rsidP="008B63A3">
            <w:pPr>
              <w:pStyle w:val="TableBodyText"/>
              <w:rPr>
                <w:sz w:val="18"/>
                <w:szCs w:val="18"/>
              </w:rPr>
            </w:pPr>
            <w:r w:rsidRPr="00BD2B3E">
              <w:rPr>
                <w:sz w:val="18"/>
                <w:szCs w:val="18"/>
              </w:rPr>
              <w:t>1.1</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2.2</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2.2</w:t>
            </w:r>
          </w:p>
        </w:tc>
        <w:tc>
          <w:tcPr>
            <w:tcW w:w="503" w:type="pct"/>
            <w:shd w:val="clear" w:color="auto" w:fill="auto"/>
          </w:tcPr>
          <w:p w:rsidR="000F2660" w:rsidRPr="00BD2B3E" w:rsidRDefault="000F2660" w:rsidP="008B63A3">
            <w:pPr>
              <w:pStyle w:val="TableBodyText"/>
              <w:rPr>
                <w:sz w:val="18"/>
                <w:szCs w:val="18"/>
              </w:rPr>
            </w:pPr>
            <w:r w:rsidRPr="00BD2B3E">
              <w:rPr>
                <w:sz w:val="18"/>
                <w:szCs w:val="18"/>
              </w:rPr>
              <w:t>2.2</w:t>
            </w:r>
          </w:p>
        </w:tc>
      </w:tr>
      <w:tr w:rsidR="000F2660" w:rsidTr="008B63A3">
        <w:trPr>
          <w:trHeight w:val="227"/>
        </w:trPr>
        <w:tc>
          <w:tcPr>
            <w:tcW w:w="1959" w:type="pct"/>
            <w:vAlign w:val="bottom"/>
          </w:tcPr>
          <w:p w:rsidR="000F2660" w:rsidRPr="00BD2B3E" w:rsidRDefault="000F2660" w:rsidP="00BD2B3E">
            <w:pPr>
              <w:pStyle w:val="TableBodyText"/>
              <w:ind w:left="0"/>
              <w:jc w:val="left"/>
              <w:rPr>
                <w:sz w:val="18"/>
                <w:szCs w:val="18"/>
              </w:rPr>
            </w:pPr>
            <w:r w:rsidRPr="00BD2B3E">
              <w:rPr>
                <w:sz w:val="18"/>
                <w:szCs w:val="18"/>
              </w:rPr>
              <w:t>Forestry and logging</w:t>
            </w:r>
          </w:p>
        </w:tc>
        <w:tc>
          <w:tcPr>
            <w:tcW w:w="508" w:type="pct"/>
          </w:tcPr>
          <w:p w:rsidR="000F2660" w:rsidRPr="00BD2B3E" w:rsidRDefault="000F2660" w:rsidP="008B63A3">
            <w:pPr>
              <w:pStyle w:val="TableBodyText"/>
              <w:rPr>
                <w:sz w:val="18"/>
                <w:szCs w:val="18"/>
              </w:rPr>
            </w:pPr>
            <w:r w:rsidRPr="00BD2B3E">
              <w:rPr>
                <w:sz w:val="18"/>
                <w:szCs w:val="18"/>
              </w:rPr>
              <w:t>0.2</w:t>
            </w:r>
          </w:p>
        </w:tc>
        <w:tc>
          <w:tcPr>
            <w:tcW w:w="508" w:type="pct"/>
          </w:tcPr>
          <w:p w:rsidR="000F2660" w:rsidRPr="00BD2B3E" w:rsidRDefault="000F2660" w:rsidP="008B63A3">
            <w:pPr>
              <w:pStyle w:val="TableBodyText"/>
              <w:rPr>
                <w:sz w:val="18"/>
                <w:szCs w:val="18"/>
              </w:rPr>
            </w:pPr>
            <w:r w:rsidRPr="00BD2B3E">
              <w:rPr>
                <w:sz w:val="18"/>
                <w:szCs w:val="18"/>
              </w:rPr>
              <w:t>0.1</w:t>
            </w:r>
          </w:p>
        </w:tc>
        <w:tc>
          <w:tcPr>
            <w:tcW w:w="508" w:type="pct"/>
          </w:tcPr>
          <w:p w:rsidR="000F2660" w:rsidRPr="00BD2B3E" w:rsidRDefault="000F2660" w:rsidP="008B63A3">
            <w:pPr>
              <w:pStyle w:val="TableBodyText"/>
              <w:rPr>
                <w:sz w:val="18"/>
                <w:szCs w:val="18"/>
              </w:rPr>
            </w:pPr>
            <w:r w:rsidRPr="00BD2B3E">
              <w:rPr>
                <w:sz w:val="18"/>
                <w:szCs w:val="18"/>
              </w:rPr>
              <w:t>0.1</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0.2</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0.2</w:t>
            </w:r>
          </w:p>
        </w:tc>
        <w:tc>
          <w:tcPr>
            <w:tcW w:w="503" w:type="pct"/>
            <w:shd w:val="clear" w:color="auto" w:fill="auto"/>
          </w:tcPr>
          <w:p w:rsidR="000F2660" w:rsidRPr="00BD2B3E" w:rsidRDefault="000F2660" w:rsidP="008B63A3">
            <w:pPr>
              <w:pStyle w:val="TableBodyText"/>
              <w:rPr>
                <w:sz w:val="18"/>
                <w:szCs w:val="18"/>
              </w:rPr>
            </w:pPr>
            <w:r w:rsidRPr="00BD2B3E">
              <w:rPr>
                <w:sz w:val="18"/>
                <w:szCs w:val="18"/>
              </w:rPr>
              <w:t>0.2</w:t>
            </w:r>
          </w:p>
        </w:tc>
      </w:tr>
      <w:tr w:rsidR="000F2660" w:rsidTr="008B63A3">
        <w:trPr>
          <w:trHeight w:val="227"/>
        </w:trPr>
        <w:tc>
          <w:tcPr>
            <w:tcW w:w="1959" w:type="pct"/>
            <w:vAlign w:val="bottom"/>
          </w:tcPr>
          <w:p w:rsidR="000F2660" w:rsidRPr="00BD2B3E" w:rsidRDefault="000F2660" w:rsidP="00BD2B3E">
            <w:pPr>
              <w:pStyle w:val="TableBodyText"/>
              <w:ind w:left="0"/>
              <w:jc w:val="left"/>
              <w:rPr>
                <w:sz w:val="18"/>
                <w:szCs w:val="18"/>
              </w:rPr>
            </w:pPr>
            <w:r w:rsidRPr="00BD2B3E">
              <w:rPr>
                <w:sz w:val="18"/>
                <w:szCs w:val="18"/>
              </w:rPr>
              <w:t>Primary production support services</w:t>
            </w:r>
          </w:p>
        </w:tc>
        <w:tc>
          <w:tcPr>
            <w:tcW w:w="508" w:type="pct"/>
          </w:tcPr>
          <w:p w:rsidR="000F2660" w:rsidRPr="00BD2B3E" w:rsidRDefault="000F2660" w:rsidP="008B63A3">
            <w:pPr>
              <w:pStyle w:val="TableBodyText"/>
              <w:rPr>
                <w:sz w:val="18"/>
                <w:szCs w:val="18"/>
              </w:rPr>
            </w:pPr>
            <w:r w:rsidRPr="00BD2B3E">
              <w:rPr>
                <w:sz w:val="18"/>
                <w:szCs w:val="18"/>
              </w:rPr>
              <w:t>0.5</w:t>
            </w:r>
          </w:p>
        </w:tc>
        <w:tc>
          <w:tcPr>
            <w:tcW w:w="508" w:type="pct"/>
          </w:tcPr>
          <w:p w:rsidR="000F2660" w:rsidRPr="00BD2B3E" w:rsidRDefault="000F2660" w:rsidP="008B63A3">
            <w:pPr>
              <w:pStyle w:val="TableBodyText"/>
              <w:rPr>
                <w:sz w:val="18"/>
                <w:szCs w:val="18"/>
              </w:rPr>
            </w:pPr>
            <w:r w:rsidRPr="00BD2B3E">
              <w:rPr>
                <w:sz w:val="18"/>
                <w:szCs w:val="18"/>
              </w:rPr>
              <w:t>0.9</w:t>
            </w:r>
          </w:p>
        </w:tc>
        <w:tc>
          <w:tcPr>
            <w:tcW w:w="508" w:type="pct"/>
          </w:tcPr>
          <w:p w:rsidR="000F2660" w:rsidRPr="00BD2B3E" w:rsidRDefault="000F2660" w:rsidP="008B63A3">
            <w:pPr>
              <w:pStyle w:val="TableBodyText"/>
              <w:rPr>
                <w:sz w:val="18"/>
                <w:szCs w:val="18"/>
              </w:rPr>
            </w:pPr>
            <w:r w:rsidRPr="00BD2B3E">
              <w:rPr>
                <w:sz w:val="18"/>
                <w:szCs w:val="18"/>
              </w:rPr>
              <w:t>0.9</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1.6</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1.6</w:t>
            </w:r>
          </w:p>
        </w:tc>
        <w:tc>
          <w:tcPr>
            <w:tcW w:w="503" w:type="pct"/>
            <w:shd w:val="clear" w:color="auto" w:fill="auto"/>
          </w:tcPr>
          <w:p w:rsidR="000F2660" w:rsidRPr="00BD2B3E" w:rsidRDefault="000F2660" w:rsidP="008B63A3">
            <w:pPr>
              <w:pStyle w:val="TableBodyText"/>
              <w:rPr>
                <w:sz w:val="18"/>
                <w:szCs w:val="18"/>
              </w:rPr>
            </w:pPr>
            <w:r w:rsidRPr="00BD2B3E">
              <w:rPr>
                <w:sz w:val="18"/>
                <w:szCs w:val="18"/>
              </w:rPr>
              <w:t>1.5</w:t>
            </w:r>
          </w:p>
        </w:tc>
      </w:tr>
      <w:tr w:rsidR="000F2660" w:rsidTr="008B63A3">
        <w:trPr>
          <w:trHeight w:val="227"/>
        </w:trPr>
        <w:tc>
          <w:tcPr>
            <w:tcW w:w="1959" w:type="pct"/>
            <w:vAlign w:val="bottom"/>
          </w:tcPr>
          <w:p w:rsidR="000F2660" w:rsidRPr="00BD2B3E" w:rsidRDefault="000F2660" w:rsidP="008B63A3">
            <w:pPr>
              <w:pStyle w:val="TableBodyText"/>
              <w:jc w:val="left"/>
              <w:rPr>
                <w:b/>
                <w:sz w:val="18"/>
                <w:szCs w:val="18"/>
              </w:rPr>
            </w:pPr>
            <w:r w:rsidRPr="00BD2B3E">
              <w:rPr>
                <w:b/>
                <w:sz w:val="18"/>
                <w:szCs w:val="18"/>
              </w:rPr>
              <w:t>Mining</w:t>
            </w:r>
          </w:p>
        </w:tc>
        <w:tc>
          <w:tcPr>
            <w:tcW w:w="508" w:type="pct"/>
          </w:tcPr>
          <w:p w:rsidR="000F2660" w:rsidRPr="00BD2B3E" w:rsidRDefault="000F2660" w:rsidP="008B63A3">
            <w:pPr>
              <w:pStyle w:val="TableBodyText"/>
              <w:rPr>
                <w:b/>
                <w:sz w:val="18"/>
                <w:szCs w:val="18"/>
              </w:rPr>
            </w:pPr>
            <w:r w:rsidRPr="00BD2B3E">
              <w:rPr>
                <w:b/>
                <w:sz w:val="18"/>
                <w:szCs w:val="18"/>
              </w:rPr>
              <w:t>112.6</w:t>
            </w:r>
          </w:p>
        </w:tc>
        <w:tc>
          <w:tcPr>
            <w:tcW w:w="508" w:type="pct"/>
          </w:tcPr>
          <w:p w:rsidR="000F2660" w:rsidRPr="00BD2B3E" w:rsidRDefault="000F2660" w:rsidP="008B63A3">
            <w:pPr>
              <w:pStyle w:val="TableBodyText"/>
              <w:rPr>
                <w:b/>
                <w:sz w:val="18"/>
                <w:szCs w:val="18"/>
              </w:rPr>
            </w:pPr>
            <w:r w:rsidRPr="00BD2B3E">
              <w:rPr>
                <w:b/>
                <w:sz w:val="18"/>
                <w:szCs w:val="18"/>
              </w:rPr>
              <w:t>156.8</w:t>
            </w:r>
          </w:p>
        </w:tc>
        <w:tc>
          <w:tcPr>
            <w:tcW w:w="508" w:type="pct"/>
          </w:tcPr>
          <w:p w:rsidR="000F2660" w:rsidRPr="00BD2B3E" w:rsidRDefault="000F2660" w:rsidP="008B63A3">
            <w:pPr>
              <w:pStyle w:val="TableBodyText"/>
              <w:rPr>
                <w:b/>
                <w:sz w:val="18"/>
                <w:szCs w:val="18"/>
              </w:rPr>
            </w:pPr>
            <w:r w:rsidRPr="00BD2B3E">
              <w:rPr>
                <w:b/>
                <w:sz w:val="18"/>
                <w:szCs w:val="18"/>
              </w:rPr>
              <w:t>195.4</w:t>
            </w:r>
          </w:p>
        </w:tc>
        <w:tc>
          <w:tcPr>
            <w:tcW w:w="508" w:type="pct"/>
            <w:shd w:val="clear" w:color="auto" w:fill="auto"/>
          </w:tcPr>
          <w:p w:rsidR="000F2660" w:rsidRPr="00BD2B3E" w:rsidRDefault="000F2660" w:rsidP="008B63A3">
            <w:pPr>
              <w:pStyle w:val="TableBodyText"/>
              <w:rPr>
                <w:b/>
                <w:sz w:val="18"/>
                <w:szCs w:val="18"/>
              </w:rPr>
            </w:pPr>
            <w:r w:rsidRPr="00BD2B3E">
              <w:rPr>
                <w:b/>
                <w:sz w:val="18"/>
                <w:szCs w:val="18"/>
              </w:rPr>
              <w:t>202.2</w:t>
            </w:r>
          </w:p>
        </w:tc>
        <w:tc>
          <w:tcPr>
            <w:tcW w:w="508" w:type="pct"/>
            <w:shd w:val="clear" w:color="auto" w:fill="auto"/>
          </w:tcPr>
          <w:p w:rsidR="000F2660" w:rsidRPr="00BD2B3E" w:rsidRDefault="000F2660" w:rsidP="008B63A3">
            <w:pPr>
              <w:pStyle w:val="TableBodyText"/>
              <w:rPr>
                <w:b/>
                <w:sz w:val="18"/>
                <w:szCs w:val="18"/>
              </w:rPr>
            </w:pPr>
            <w:r w:rsidRPr="00BD2B3E">
              <w:rPr>
                <w:b/>
                <w:sz w:val="18"/>
                <w:szCs w:val="18"/>
              </w:rPr>
              <w:t>202.2</w:t>
            </w:r>
          </w:p>
        </w:tc>
        <w:tc>
          <w:tcPr>
            <w:tcW w:w="503" w:type="pct"/>
            <w:shd w:val="clear" w:color="auto" w:fill="auto"/>
          </w:tcPr>
          <w:p w:rsidR="000F2660" w:rsidRPr="00BD2B3E" w:rsidRDefault="000F2660" w:rsidP="008B63A3">
            <w:pPr>
              <w:pStyle w:val="TableBodyText"/>
              <w:rPr>
                <w:b/>
                <w:sz w:val="18"/>
                <w:szCs w:val="18"/>
              </w:rPr>
            </w:pPr>
            <w:r w:rsidRPr="00BD2B3E">
              <w:rPr>
                <w:b/>
                <w:sz w:val="18"/>
                <w:szCs w:val="18"/>
              </w:rPr>
              <w:t>197.3</w:t>
            </w:r>
          </w:p>
        </w:tc>
      </w:tr>
      <w:tr w:rsidR="000F2660" w:rsidTr="008B63A3">
        <w:trPr>
          <w:trHeight w:val="227"/>
        </w:trPr>
        <w:tc>
          <w:tcPr>
            <w:tcW w:w="1959" w:type="pct"/>
            <w:vAlign w:val="bottom"/>
          </w:tcPr>
          <w:p w:rsidR="000F2660" w:rsidRPr="00BD2B3E" w:rsidRDefault="000F2660" w:rsidP="008B63A3">
            <w:pPr>
              <w:pStyle w:val="TableBodyText"/>
              <w:jc w:val="left"/>
              <w:rPr>
                <w:b/>
                <w:sz w:val="18"/>
                <w:szCs w:val="18"/>
              </w:rPr>
            </w:pPr>
            <w:r w:rsidRPr="00BD2B3E">
              <w:rPr>
                <w:b/>
                <w:sz w:val="18"/>
                <w:szCs w:val="18"/>
              </w:rPr>
              <w:t>Manufacturing</w:t>
            </w:r>
          </w:p>
        </w:tc>
        <w:tc>
          <w:tcPr>
            <w:tcW w:w="508" w:type="pct"/>
            <w:vAlign w:val="bottom"/>
          </w:tcPr>
          <w:p w:rsidR="000F2660" w:rsidRPr="00BD2B3E" w:rsidRDefault="000F2660" w:rsidP="008B63A3">
            <w:pPr>
              <w:pStyle w:val="TableBodyText"/>
              <w:rPr>
                <w:b/>
                <w:sz w:val="18"/>
                <w:szCs w:val="18"/>
              </w:rPr>
            </w:pPr>
            <w:r w:rsidRPr="00BD2B3E">
              <w:rPr>
                <w:b/>
                <w:sz w:val="18"/>
                <w:szCs w:val="18"/>
              </w:rPr>
              <w:t>119.9</w:t>
            </w:r>
          </w:p>
        </w:tc>
        <w:tc>
          <w:tcPr>
            <w:tcW w:w="508" w:type="pct"/>
            <w:vAlign w:val="bottom"/>
          </w:tcPr>
          <w:p w:rsidR="000F2660" w:rsidRPr="00BD2B3E" w:rsidRDefault="000F2660" w:rsidP="008B63A3">
            <w:pPr>
              <w:pStyle w:val="TableBodyText"/>
              <w:rPr>
                <w:b/>
                <w:sz w:val="18"/>
                <w:szCs w:val="18"/>
              </w:rPr>
            </w:pPr>
            <w:r w:rsidRPr="00BD2B3E">
              <w:rPr>
                <w:b/>
                <w:sz w:val="18"/>
                <w:szCs w:val="18"/>
              </w:rPr>
              <w:t>100.9</w:t>
            </w:r>
          </w:p>
        </w:tc>
        <w:tc>
          <w:tcPr>
            <w:tcW w:w="508" w:type="pct"/>
            <w:vAlign w:val="bottom"/>
          </w:tcPr>
          <w:p w:rsidR="000F2660" w:rsidRPr="00BD2B3E" w:rsidRDefault="000F2660" w:rsidP="008B63A3">
            <w:pPr>
              <w:pStyle w:val="TableBodyText"/>
              <w:rPr>
                <w:b/>
                <w:sz w:val="18"/>
                <w:szCs w:val="18"/>
              </w:rPr>
            </w:pPr>
            <w:r w:rsidRPr="00BD2B3E">
              <w:rPr>
                <w:b/>
                <w:sz w:val="18"/>
                <w:szCs w:val="18"/>
              </w:rPr>
              <w:t>161.7</w:t>
            </w:r>
          </w:p>
        </w:tc>
        <w:tc>
          <w:tcPr>
            <w:tcW w:w="508" w:type="pct"/>
            <w:shd w:val="clear" w:color="auto" w:fill="auto"/>
            <w:vAlign w:val="bottom"/>
          </w:tcPr>
          <w:p w:rsidR="000F2660" w:rsidRPr="00BD2B3E" w:rsidRDefault="000F2660" w:rsidP="008B63A3">
            <w:pPr>
              <w:pStyle w:val="TableBodyText"/>
              <w:rPr>
                <w:b/>
                <w:sz w:val="18"/>
                <w:szCs w:val="18"/>
              </w:rPr>
            </w:pPr>
            <w:r w:rsidRPr="00BD2B3E">
              <w:rPr>
                <w:b/>
                <w:sz w:val="18"/>
                <w:szCs w:val="18"/>
              </w:rPr>
              <w:t>190.0</w:t>
            </w:r>
          </w:p>
        </w:tc>
        <w:tc>
          <w:tcPr>
            <w:tcW w:w="508" w:type="pct"/>
            <w:shd w:val="clear" w:color="auto" w:fill="auto"/>
            <w:vAlign w:val="bottom"/>
          </w:tcPr>
          <w:p w:rsidR="000F2660" w:rsidRPr="00BD2B3E" w:rsidRDefault="000F2660" w:rsidP="008B63A3">
            <w:pPr>
              <w:pStyle w:val="TableBodyText"/>
              <w:rPr>
                <w:b/>
                <w:sz w:val="18"/>
                <w:szCs w:val="18"/>
              </w:rPr>
            </w:pPr>
            <w:r w:rsidRPr="00BD2B3E">
              <w:rPr>
                <w:b/>
                <w:sz w:val="18"/>
                <w:szCs w:val="18"/>
              </w:rPr>
              <w:t>190.0</w:t>
            </w:r>
          </w:p>
        </w:tc>
        <w:tc>
          <w:tcPr>
            <w:tcW w:w="503" w:type="pct"/>
            <w:shd w:val="clear" w:color="auto" w:fill="auto"/>
            <w:vAlign w:val="bottom"/>
          </w:tcPr>
          <w:p w:rsidR="000F2660" w:rsidRPr="00BD2B3E" w:rsidRDefault="000F2660" w:rsidP="008B63A3">
            <w:pPr>
              <w:pStyle w:val="TableBodyText"/>
              <w:rPr>
                <w:b/>
                <w:sz w:val="18"/>
                <w:szCs w:val="18"/>
              </w:rPr>
            </w:pPr>
            <w:r w:rsidRPr="00BD2B3E">
              <w:rPr>
                <w:b/>
                <w:sz w:val="18"/>
                <w:szCs w:val="18"/>
              </w:rPr>
              <w:t>185.4</w:t>
            </w:r>
          </w:p>
        </w:tc>
      </w:tr>
      <w:tr w:rsidR="000F2660" w:rsidTr="008B63A3">
        <w:trPr>
          <w:trHeight w:val="227"/>
        </w:trPr>
        <w:tc>
          <w:tcPr>
            <w:tcW w:w="1959" w:type="pct"/>
            <w:vAlign w:val="bottom"/>
          </w:tcPr>
          <w:p w:rsidR="000F2660" w:rsidRPr="00BD2B3E" w:rsidRDefault="000F2660" w:rsidP="00BD2B3E">
            <w:pPr>
              <w:pStyle w:val="TableBodyText"/>
              <w:ind w:left="0"/>
              <w:jc w:val="left"/>
              <w:rPr>
                <w:sz w:val="18"/>
                <w:szCs w:val="18"/>
              </w:rPr>
            </w:pPr>
            <w:r w:rsidRPr="00BD2B3E">
              <w:rPr>
                <w:sz w:val="18"/>
                <w:szCs w:val="18"/>
              </w:rPr>
              <w:t>Food, beverages and tobacco</w:t>
            </w:r>
          </w:p>
        </w:tc>
        <w:tc>
          <w:tcPr>
            <w:tcW w:w="508" w:type="pct"/>
          </w:tcPr>
          <w:p w:rsidR="000F2660" w:rsidRPr="00BD2B3E" w:rsidRDefault="000F2660" w:rsidP="008B63A3">
            <w:pPr>
              <w:pStyle w:val="TableBodyText"/>
              <w:rPr>
                <w:sz w:val="18"/>
                <w:szCs w:val="18"/>
              </w:rPr>
            </w:pPr>
            <w:r w:rsidRPr="00BD2B3E">
              <w:rPr>
                <w:sz w:val="18"/>
                <w:szCs w:val="18"/>
              </w:rPr>
              <w:t>11.9</w:t>
            </w:r>
          </w:p>
        </w:tc>
        <w:tc>
          <w:tcPr>
            <w:tcW w:w="508" w:type="pct"/>
          </w:tcPr>
          <w:p w:rsidR="000F2660" w:rsidRPr="00BD2B3E" w:rsidRDefault="000F2660" w:rsidP="008B63A3">
            <w:pPr>
              <w:pStyle w:val="TableBodyText"/>
              <w:rPr>
                <w:sz w:val="18"/>
                <w:szCs w:val="18"/>
              </w:rPr>
            </w:pPr>
            <w:r w:rsidRPr="00BD2B3E">
              <w:rPr>
                <w:sz w:val="18"/>
                <w:szCs w:val="18"/>
              </w:rPr>
              <w:t>9.3</w:t>
            </w:r>
          </w:p>
        </w:tc>
        <w:tc>
          <w:tcPr>
            <w:tcW w:w="508" w:type="pct"/>
          </w:tcPr>
          <w:p w:rsidR="000F2660" w:rsidRPr="00BD2B3E" w:rsidRDefault="000F2660" w:rsidP="008B63A3">
            <w:pPr>
              <w:pStyle w:val="TableBodyText"/>
              <w:rPr>
                <w:sz w:val="18"/>
                <w:szCs w:val="18"/>
              </w:rPr>
            </w:pPr>
            <w:r w:rsidRPr="00BD2B3E">
              <w:rPr>
                <w:sz w:val="18"/>
                <w:szCs w:val="18"/>
              </w:rPr>
              <w:t>25.8</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37.2</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37.2</w:t>
            </w:r>
          </w:p>
        </w:tc>
        <w:tc>
          <w:tcPr>
            <w:tcW w:w="503" w:type="pct"/>
            <w:shd w:val="clear" w:color="auto" w:fill="auto"/>
          </w:tcPr>
          <w:p w:rsidR="000F2660" w:rsidRPr="00BD2B3E" w:rsidRDefault="000F2660" w:rsidP="008B63A3">
            <w:pPr>
              <w:pStyle w:val="TableBodyText"/>
              <w:rPr>
                <w:sz w:val="18"/>
                <w:szCs w:val="18"/>
              </w:rPr>
            </w:pPr>
            <w:r w:rsidRPr="00BD2B3E">
              <w:rPr>
                <w:sz w:val="18"/>
                <w:szCs w:val="18"/>
              </w:rPr>
              <w:t>36.3</w:t>
            </w:r>
          </w:p>
        </w:tc>
      </w:tr>
      <w:tr w:rsidR="000F2660" w:rsidTr="008B63A3">
        <w:trPr>
          <w:trHeight w:val="227"/>
        </w:trPr>
        <w:tc>
          <w:tcPr>
            <w:tcW w:w="1959" w:type="pct"/>
            <w:vAlign w:val="bottom"/>
          </w:tcPr>
          <w:p w:rsidR="000F2660" w:rsidRPr="00BD2B3E" w:rsidRDefault="000F2660" w:rsidP="00BD2B3E">
            <w:pPr>
              <w:pStyle w:val="TableBodyText"/>
              <w:ind w:left="0"/>
              <w:jc w:val="left"/>
              <w:rPr>
                <w:sz w:val="18"/>
                <w:szCs w:val="18"/>
              </w:rPr>
            </w:pPr>
            <w:r w:rsidRPr="00BD2B3E">
              <w:rPr>
                <w:sz w:val="18"/>
                <w:szCs w:val="18"/>
              </w:rPr>
              <w:t>Textile, leather, clothing and footwear</w:t>
            </w:r>
          </w:p>
        </w:tc>
        <w:tc>
          <w:tcPr>
            <w:tcW w:w="508" w:type="pct"/>
          </w:tcPr>
          <w:p w:rsidR="000F2660" w:rsidRPr="00BD2B3E" w:rsidRDefault="000F2660" w:rsidP="008B63A3">
            <w:pPr>
              <w:pStyle w:val="TableBodyText"/>
              <w:rPr>
                <w:sz w:val="18"/>
                <w:szCs w:val="18"/>
              </w:rPr>
            </w:pPr>
            <w:r w:rsidRPr="00BD2B3E">
              <w:rPr>
                <w:sz w:val="18"/>
                <w:szCs w:val="18"/>
              </w:rPr>
              <w:t>0.4</w:t>
            </w:r>
          </w:p>
        </w:tc>
        <w:tc>
          <w:tcPr>
            <w:tcW w:w="508" w:type="pct"/>
          </w:tcPr>
          <w:p w:rsidR="000F2660" w:rsidRPr="00BD2B3E" w:rsidRDefault="000F2660" w:rsidP="008B63A3">
            <w:pPr>
              <w:pStyle w:val="TableBodyText"/>
              <w:rPr>
                <w:sz w:val="18"/>
                <w:szCs w:val="18"/>
              </w:rPr>
            </w:pPr>
            <w:r w:rsidRPr="00BD2B3E">
              <w:rPr>
                <w:sz w:val="18"/>
                <w:szCs w:val="18"/>
              </w:rPr>
              <w:t>0.4</w:t>
            </w:r>
          </w:p>
        </w:tc>
        <w:tc>
          <w:tcPr>
            <w:tcW w:w="508" w:type="pct"/>
          </w:tcPr>
          <w:p w:rsidR="000F2660" w:rsidRPr="00BD2B3E" w:rsidRDefault="000F2660" w:rsidP="008B63A3">
            <w:pPr>
              <w:pStyle w:val="TableBodyText"/>
              <w:rPr>
                <w:sz w:val="18"/>
                <w:szCs w:val="18"/>
              </w:rPr>
            </w:pPr>
            <w:r w:rsidRPr="00BD2B3E">
              <w:rPr>
                <w:sz w:val="18"/>
                <w:szCs w:val="18"/>
              </w:rPr>
              <w:t>0.9</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0.9</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0.9</w:t>
            </w:r>
          </w:p>
        </w:tc>
        <w:tc>
          <w:tcPr>
            <w:tcW w:w="503" w:type="pct"/>
            <w:shd w:val="clear" w:color="auto" w:fill="auto"/>
          </w:tcPr>
          <w:p w:rsidR="000F2660" w:rsidRPr="00BD2B3E" w:rsidRDefault="000F2660" w:rsidP="008B63A3">
            <w:pPr>
              <w:pStyle w:val="TableBodyText"/>
              <w:rPr>
                <w:sz w:val="18"/>
                <w:szCs w:val="18"/>
              </w:rPr>
            </w:pPr>
            <w:r w:rsidRPr="00BD2B3E">
              <w:rPr>
                <w:sz w:val="18"/>
                <w:szCs w:val="18"/>
              </w:rPr>
              <w:t>0.9</w:t>
            </w:r>
          </w:p>
        </w:tc>
      </w:tr>
      <w:tr w:rsidR="000F2660" w:rsidTr="008B63A3">
        <w:trPr>
          <w:trHeight w:val="227"/>
        </w:trPr>
        <w:tc>
          <w:tcPr>
            <w:tcW w:w="1959" w:type="pct"/>
            <w:vAlign w:val="bottom"/>
          </w:tcPr>
          <w:p w:rsidR="000F2660" w:rsidRPr="00BD2B3E" w:rsidRDefault="000F2660" w:rsidP="00BD2B3E">
            <w:pPr>
              <w:pStyle w:val="TableBodyText"/>
              <w:ind w:left="0"/>
              <w:jc w:val="left"/>
              <w:rPr>
                <w:sz w:val="18"/>
                <w:szCs w:val="18"/>
              </w:rPr>
            </w:pPr>
            <w:r w:rsidRPr="00BD2B3E">
              <w:rPr>
                <w:sz w:val="18"/>
                <w:szCs w:val="18"/>
              </w:rPr>
              <w:t>Wood and paper products</w:t>
            </w:r>
          </w:p>
        </w:tc>
        <w:tc>
          <w:tcPr>
            <w:tcW w:w="508" w:type="pct"/>
          </w:tcPr>
          <w:p w:rsidR="000F2660" w:rsidRPr="00BD2B3E" w:rsidRDefault="000F2660" w:rsidP="008B63A3">
            <w:pPr>
              <w:pStyle w:val="TableBodyText"/>
              <w:rPr>
                <w:sz w:val="18"/>
                <w:szCs w:val="18"/>
              </w:rPr>
            </w:pPr>
            <w:r w:rsidRPr="00BD2B3E">
              <w:rPr>
                <w:sz w:val="18"/>
                <w:szCs w:val="18"/>
              </w:rPr>
              <w:t>4.8</w:t>
            </w:r>
          </w:p>
        </w:tc>
        <w:tc>
          <w:tcPr>
            <w:tcW w:w="508" w:type="pct"/>
          </w:tcPr>
          <w:p w:rsidR="000F2660" w:rsidRPr="00BD2B3E" w:rsidRDefault="000F2660" w:rsidP="008B63A3">
            <w:pPr>
              <w:pStyle w:val="TableBodyText"/>
              <w:rPr>
                <w:sz w:val="18"/>
                <w:szCs w:val="18"/>
              </w:rPr>
            </w:pPr>
            <w:r w:rsidRPr="00BD2B3E">
              <w:rPr>
                <w:sz w:val="18"/>
                <w:szCs w:val="18"/>
              </w:rPr>
              <w:t>3.9</w:t>
            </w:r>
          </w:p>
        </w:tc>
        <w:tc>
          <w:tcPr>
            <w:tcW w:w="508" w:type="pct"/>
          </w:tcPr>
          <w:p w:rsidR="000F2660" w:rsidRPr="00BD2B3E" w:rsidRDefault="000F2660" w:rsidP="008B63A3">
            <w:pPr>
              <w:pStyle w:val="TableBodyText"/>
              <w:rPr>
                <w:sz w:val="18"/>
                <w:szCs w:val="18"/>
              </w:rPr>
            </w:pPr>
            <w:r w:rsidRPr="00BD2B3E">
              <w:rPr>
                <w:sz w:val="18"/>
                <w:szCs w:val="18"/>
              </w:rPr>
              <w:t>6.0</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7.2</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7.2</w:t>
            </w:r>
          </w:p>
        </w:tc>
        <w:tc>
          <w:tcPr>
            <w:tcW w:w="503" w:type="pct"/>
            <w:shd w:val="clear" w:color="auto" w:fill="auto"/>
          </w:tcPr>
          <w:p w:rsidR="000F2660" w:rsidRPr="00BD2B3E" w:rsidRDefault="000F2660" w:rsidP="008B63A3">
            <w:pPr>
              <w:pStyle w:val="TableBodyText"/>
              <w:rPr>
                <w:sz w:val="18"/>
                <w:szCs w:val="18"/>
              </w:rPr>
            </w:pPr>
            <w:r w:rsidRPr="00BD2B3E">
              <w:rPr>
                <w:sz w:val="18"/>
                <w:szCs w:val="18"/>
              </w:rPr>
              <w:t>7.0</w:t>
            </w:r>
          </w:p>
        </w:tc>
      </w:tr>
      <w:tr w:rsidR="000F2660" w:rsidTr="008B63A3">
        <w:trPr>
          <w:trHeight w:val="227"/>
        </w:trPr>
        <w:tc>
          <w:tcPr>
            <w:tcW w:w="1959" w:type="pct"/>
            <w:vAlign w:val="bottom"/>
          </w:tcPr>
          <w:p w:rsidR="000F2660" w:rsidRPr="00BD2B3E" w:rsidRDefault="000F2660" w:rsidP="00BD2B3E">
            <w:pPr>
              <w:pStyle w:val="TableBodyText"/>
              <w:ind w:left="0"/>
              <w:jc w:val="left"/>
              <w:rPr>
                <w:sz w:val="18"/>
                <w:szCs w:val="18"/>
              </w:rPr>
            </w:pPr>
            <w:r w:rsidRPr="00BD2B3E">
              <w:rPr>
                <w:sz w:val="18"/>
                <w:szCs w:val="18"/>
              </w:rPr>
              <w:t>Printing and recorded media</w:t>
            </w:r>
          </w:p>
        </w:tc>
        <w:tc>
          <w:tcPr>
            <w:tcW w:w="508" w:type="pct"/>
          </w:tcPr>
          <w:p w:rsidR="000F2660" w:rsidRPr="00BD2B3E" w:rsidRDefault="000F2660" w:rsidP="008B63A3">
            <w:pPr>
              <w:pStyle w:val="TableBodyText"/>
              <w:rPr>
                <w:sz w:val="18"/>
                <w:szCs w:val="18"/>
              </w:rPr>
            </w:pPr>
            <w:r w:rsidRPr="00BD2B3E">
              <w:rPr>
                <w:sz w:val="18"/>
                <w:szCs w:val="18"/>
              </w:rPr>
              <w:t>0.9</w:t>
            </w:r>
          </w:p>
        </w:tc>
        <w:tc>
          <w:tcPr>
            <w:tcW w:w="508" w:type="pct"/>
          </w:tcPr>
          <w:p w:rsidR="000F2660" w:rsidRPr="00BD2B3E" w:rsidRDefault="000F2660" w:rsidP="008B63A3">
            <w:pPr>
              <w:pStyle w:val="TableBodyText"/>
              <w:rPr>
                <w:sz w:val="18"/>
                <w:szCs w:val="18"/>
              </w:rPr>
            </w:pPr>
            <w:r w:rsidRPr="00BD2B3E">
              <w:rPr>
                <w:sz w:val="18"/>
                <w:szCs w:val="18"/>
              </w:rPr>
              <w:t>0.9</w:t>
            </w:r>
          </w:p>
        </w:tc>
        <w:tc>
          <w:tcPr>
            <w:tcW w:w="508" w:type="pct"/>
          </w:tcPr>
          <w:p w:rsidR="000F2660" w:rsidRPr="00BD2B3E" w:rsidRDefault="000F2660" w:rsidP="008B63A3">
            <w:pPr>
              <w:pStyle w:val="TableBodyText"/>
              <w:rPr>
                <w:sz w:val="18"/>
                <w:szCs w:val="18"/>
              </w:rPr>
            </w:pPr>
            <w:r w:rsidRPr="00BD2B3E">
              <w:rPr>
                <w:sz w:val="18"/>
                <w:szCs w:val="18"/>
              </w:rPr>
              <w:t>0.6</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0.8</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0.8</w:t>
            </w:r>
          </w:p>
        </w:tc>
        <w:tc>
          <w:tcPr>
            <w:tcW w:w="503" w:type="pct"/>
            <w:shd w:val="clear" w:color="auto" w:fill="auto"/>
          </w:tcPr>
          <w:p w:rsidR="000F2660" w:rsidRPr="00BD2B3E" w:rsidRDefault="000F2660" w:rsidP="008B63A3">
            <w:pPr>
              <w:pStyle w:val="TableBodyText"/>
              <w:rPr>
                <w:sz w:val="18"/>
                <w:szCs w:val="18"/>
              </w:rPr>
            </w:pPr>
            <w:r w:rsidRPr="00BD2B3E">
              <w:rPr>
                <w:sz w:val="18"/>
                <w:szCs w:val="18"/>
              </w:rPr>
              <w:t>0.8</w:t>
            </w:r>
          </w:p>
        </w:tc>
      </w:tr>
      <w:tr w:rsidR="000F2660" w:rsidTr="008B63A3">
        <w:trPr>
          <w:trHeight w:val="227"/>
        </w:trPr>
        <w:tc>
          <w:tcPr>
            <w:tcW w:w="1959" w:type="pct"/>
            <w:vAlign w:val="bottom"/>
          </w:tcPr>
          <w:p w:rsidR="000F2660" w:rsidRPr="00BD2B3E" w:rsidRDefault="000F2660" w:rsidP="00BD2B3E">
            <w:pPr>
              <w:pStyle w:val="TableBodyText"/>
              <w:ind w:left="0"/>
              <w:jc w:val="left"/>
              <w:rPr>
                <w:sz w:val="18"/>
                <w:szCs w:val="18"/>
              </w:rPr>
            </w:pPr>
            <w:r w:rsidRPr="00BD2B3E">
              <w:rPr>
                <w:sz w:val="18"/>
                <w:szCs w:val="18"/>
              </w:rPr>
              <w:t>Petroleum, coal, chemical and rubber products</w:t>
            </w:r>
          </w:p>
        </w:tc>
        <w:tc>
          <w:tcPr>
            <w:tcW w:w="508" w:type="pct"/>
          </w:tcPr>
          <w:p w:rsidR="000F2660" w:rsidRPr="00BD2B3E" w:rsidRDefault="000F2660" w:rsidP="008B63A3">
            <w:pPr>
              <w:pStyle w:val="TableBodyText"/>
              <w:rPr>
                <w:sz w:val="18"/>
                <w:szCs w:val="18"/>
              </w:rPr>
            </w:pPr>
            <w:r w:rsidRPr="00BD2B3E">
              <w:rPr>
                <w:sz w:val="18"/>
                <w:szCs w:val="18"/>
              </w:rPr>
              <w:t>15.7</w:t>
            </w:r>
          </w:p>
        </w:tc>
        <w:tc>
          <w:tcPr>
            <w:tcW w:w="508" w:type="pct"/>
          </w:tcPr>
          <w:p w:rsidR="000F2660" w:rsidRPr="00BD2B3E" w:rsidRDefault="000F2660" w:rsidP="008B63A3">
            <w:pPr>
              <w:pStyle w:val="TableBodyText"/>
              <w:rPr>
                <w:sz w:val="18"/>
                <w:szCs w:val="18"/>
              </w:rPr>
            </w:pPr>
            <w:r w:rsidRPr="00BD2B3E">
              <w:rPr>
                <w:sz w:val="18"/>
                <w:szCs w:val="18"/>
              </w:rPr>
              <w:t>17.4</w:t>
            </w:r>
          </w:p>
        </w:tc>
        <w:tc>
          <w:tcPr>
            <w:tcW w:w="508" w:type="pct"/>
          </w:tcPr>
          <w:p w:rsidR="000F2660" w:rsidRPr="00BD2B3E" w:rsidRDefault="000F2660" w:rsidP="008B63A3">
            <w:pPr>
              <w:pStyle w:val="TableBodyText"/>
              <w:rPr>
                <w:sz w:val="18"/>
                <w:szCs w:val="18"/>
              </w:rPr>
            </w:pPr>
            <w:r w:rsidRPr="00BD2B3E">
              <w:rPr>
                <w:sz w:val="18"/>
                <w:szCs w:val="18"/>
              </w:rPr>
              <w:t>38.3</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35.1</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35.1</w:t>
            </w:r>
          </w:p>
        </w:tc>
        <w:tc>
          <w:tcPr>
            <w:tcW w:w="503" w:type="pct"/>
            <w:shd w:val="clear" w:color="auto" w:fill="auto"/>
          </w:tcPr>
          <w:p w:rsidR="000F2660" w:rsidRPr="00BD2B3E" w:rsidRDefault="000F2660" w:rsidP="008B63A3">
            <w:pPr>
              <w:pStyle w:val="TableBodyText"/>
              <w:rPr>
                <w:sz w:val="18"/>
                <w:szCs w:val="18"/>
              </w:rPr>
            </w:pPr>
            <w:r w:rsidRPr="00BD2B3E">
              <w:rPr>
                <w:sz w:val="18"/>
                <w:szCs w:val="18"/>
              </w:rPr>
              <w:t>34.2</w:t>
            </w:r>
          </w:p>
        </w:tc>
      </w:tr>
      <w:tr w:rsidR="000F2660" w:rsidTr="008B63A3">
        <w:trPr>
          <w:trHeight w:val="227"/>
        </w:trPr>
        <w:tc>
          <w:tcPr>
            <w:tcW w:w="1959" w:type="pct"/>
            <w:vAlign w:val="bottom"/>
          </w:tcPr>
          <w:p w:rsidR="000F2660" w:rsidRPr="00BD2B3E" w:rsidRDefault="000F2660" w:rsidP="00446AD2">
            <w:pPr>
              <w:pStyle w:val="TableBodyText"/>
              <w:ind w:left="0"/>
              <w:jc w:val="left"/>
              <w:rPr>
                <w:sz w:val="18"/>
                <w:szCs w:val="18"/>
              </w:rPr>
            </w:pPr>
            <w:r w:rsidRPr="00BD2B3E">
              <w:rPr>
                <w:sz w:val="18"/>
                <w:szCs w:val="18"/>
              </w:rPr>
              <w:t>Non-</w:t>
            </w:r>
            <w:r w:rsidR="00446AD2">
              <w:rPr>
                <w:sz w:val="18"/>
                <w:szCs w:val="18"/>
              </w:rPr>
              <w:t>m</w:t>
            </w:r>
            <w:r w:rsidR="00446AD2" w:rsidRPr="00BD2B3E">
              <w:rPr>
                <w:sz w:val="18"/>
                <w:szCs w:val="18"/>
              </w:rPr>
              <w:t xml:space="preserve">etallic </w:t>
            </w:r>
            <w:r w:rsidRPr="00BD2B3E">
              <w:rPr>
                <w:sz w:val="18"/>
                <w:szCs w:val="18"/>
              </w:rPr>
              <w:t>mineral products</w:t>
            </w:r>
          </w:p>
        </w:tc>
        <w:tc>
          <w:tcPr>
            <w:tcW w:w="508" w:type="pct"/>
          </w:tcPr>
          <w:p w:rsidR="000F2660" w:rsidRPr="00BD2B3E" w:rsidRDefault="000F2660" w:rsidP="008B63A3">
            <w:pPr>
              <w:pStyle w:val="TableBodyText"/>
              <w:rPr>
                <w:sz w:val="18"/>
                <w:szCs w:val="18"/>
              </w:rPr>
            </w:pPr>
            <w:r w:rsidRPr="00BD2B3E">
              <w:rPr>
                <w:sz w:val="18"/>
                <w:szCs w:val="18"/>
              </w:rPr>
              <w:t>4.4</w:t>
            </w:r>
          </w:p>
        </w:tc>
        <w:tc>
          <w:tcPr>
            <w:tcW w:w="508" w:type="pct"/>
          </w:tcPr>
          <w:p w:rsidR="000F2660" w:rsidRPr="00BD2B3E" w:rsidRDefault="000F2660" w:rsidP="008B63A3">
            <w:pPr>
              <w:pStyle w:val="TableBodyText"/>
              <w:rPr>
                <w:sz w:val="18"/>
                <w:szCs w:val="18"/>
              </w:rPr>
            </w:pPr>
            <w:r w:rsidRPr="00BD2B3E">
              <w:rPr>
                <w:sz w:val="18"/>
                <w:szCs w:val="18"/>
              </w:rPr>
              <w:t>6.2</w:t>
            </w:r>
          </w:p>
        </w:tc>
        <w:tc>
          <w:tcPr>
            <w:tcW w:w="508" w:type="pct"/>
          </w:tcPr>
          <w:p w:rsidR="000F2660" w:rsidRPr="00BD2B3E" w:rsidRDefault="000F2660" w:rsidP="008B63A3">
            <w:pPr>
              <w:pStyle w:val="TableBodyText"/>
              <w:rPr>
                <w:sz w:val="18"/>
                <w:szCs w:val="18"/>
              </w:rPr>
            </w:pPr>
            <w:r w:rsidRPr="00BD2B3E">
              <w:rPr>
                <w:sz w:val="18"/>
                <w:szCs w:val="18"/>
              </w:rPr>
              <w:t>5.2</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7.9</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7.9</w:t>
            </w:r>
          </w:p>
        </w:tc>
        <w:tc>
          <w:tcPr>
            <w:tcW w:w="503" w:type="pct"/>
            <w:shd w:val="clear" w:color="auto" w:fill="auto"/>
          </w:tcPr>
          <w:p w:rsidR="000F2660" w:rsidRPr="00BD2B3E" w:rsidRDefault="000F2660" w:rsidP="008B63A3">
            <w:pPr>
              <w:pStyle w:val="TableBodyText"/>
              <w:rPr>
                <w:sz w:val="18"/>
                <w:szCs w:val="18"/>
              </w:rPr>
            </w:pPr>
            <w:r w:rsidRPr="00BD2B3E">
              <w:rPr>
                <w:sz w:val="18"/>
                <w:szCs w:val="18"/>
              </w:rPr>
              <w:t>7.7</w:t>
            </w:r>
          </w:p>
        </w:tc>
      </w:tr>
      <w:tr w:rsidR="000F2660" w:rsidTr="008B63A3">
        <w:trPr>
          <w:trHeight w:val="227"/>
        </w:trPr>
        <w:tc>
          <w:tcPr>
            <w:tcW w:w="1959" w:type="pct"/>
            <w:vAlign w:val="bottom"/>
          </w:tcPr>
          <w:p w:rsidR="000F2660" w:rsidRPr="00BD2B3E" w:rsidRDefault="000F2660" w:rsidP="00BD2B3E">
            <w:pPr>
              <w:pStyle w:val="TableBodyText"/>
              <w:ind w:left="0"/>
              <w:jc w:val="left"/>
              <w:rPr>
                <w:sz w:val="18"/>
                <w:szCs w:val="18"/>
              </w:rPr>
            </w:pPr>
            <w:r w:rsidRPr="00BD2B3E">
              <w:rPr>
                <w:sz w:val="18"/>
                <w:szCs w:val="18"/>
              </w:rPr>
              <w:t>Metal and fabricated metal products</w:t>
            </w:r>
          </w:p>
        </w:tc>
        <w:tc>
          <w:tcPr>
            <w:tcW w:w="508" w:type="pct"/>
          </w:tcPr>
          <w:p w:rsidR="000F2660" w:rsidRPr="00BD2B3E" w:rsidRDefault="000F2660" w:rsidP="008B63A3">
            <w:pPr>
              <w:pStyle w:val="TableBodyText"/>
              <w:rPr>
                <w:sz w:val="18"/>
                <w:szCs w:val="18"/>
              </w:rPr>
            </w:pPr>
            <w:r w:rsidRPr="00BD2B3E">
              <w:rPr>
                <w:sz w:val="18"/>
                <w:szCs w:val="18"/>
              </w:rPr>
              <w:t>35.0</w:t>
            </w:r>
          </w:p>
        </w:tc>
        <w:tc>
          <w:tcPr>
            <w:tcW w:w="508" w:type="pct"/>
          </w:tcPr>
          <w:p w:rsidR="000F2660" w:rsidRPr="00BD2B3E" w:rsidRDefault="000F2660" w:rsidP="008B63A3">
            <w:pPr>
              <w:pStyle w:val="TableBodyText"/>
              <w:rPr>
                <w:sz w:val="18"/>
                <w:szCs w:val="18"/>
              </w:rPr>
            </w:pPr>
            <w:r w:rsidRPr="00BD2B3E">
              <w:rPr>
                <w:sz w:val="18"/>
                <w:szCs w:val="18"/>
              </w:rPr>
              <w:t>16.0</w:t>
            </w:r>
          </w:p>
        </w:tc>
        <w:tc>
          <w:tcPr>
            <w:tcW w:w="508" w:type="pct"/>
          </w:tcPr>
          <w:p w:rsidR="000F2660" w:rsidRPr="00BD2B3E" w:rsidRDefault="000F2660" w:rsidP="008B63A3">
            <w:pPr>
              <w:pStyle w:val="TableBodyText"/>
              <w:rPr>
                <w:sz w:val="18"/>
                <w:szCs w:val="18"/>
              </w:rPr>
            </w:pPr>
            <w:r w:rsidRPr="00BD2B3E">
              <w:rPr>
                <w:sz w:val="18"/>
                <w:szCs w:val="18"/>
              </w:rPr>
              <w:t>31.1</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37.1</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37.1</w:t>
            </w:r>
          </w:p>
        </w:tc>
        <w:tc>
          <w:tcPr>
            <w:tcW w:w="503" w:type="pct"/>
            <w:shd w:val="clear" w:color="auto" w:fill="auto"/>
          </w:tcPr>
          <w:p w:rsidR="000F2660" w:rsidRPr="00BD2B3E" w:rsidRDefault="000F2660" w:rsidP="008B63A3">
            <w:pPr>
              <w:pStyle w:val="TableBodyText"/>
              <w:rPr>
                <w:sz w:val="18"/>
                <w:szCs w:val="18"/>
              </w:rPr>
            </w:pPr>
            <w:r w:rsidRPr="00BD2B3E">
              <w:rPr>
                <w:sz w:val="18"/>
                <w:szCs w:val="18"/>
              </w:rPr>
              <w:t>36.2</w:t>
            </w:r>
          </w:p>
        </w:tc>
      </w:tr>
      <w:tr w:rsidR="000F2660" w:rsidTr="008B63A3">
        <w:trPr>
          <w:trHeight w:val="227"/>
        </w:trPr>
        <w:tc>
          <w:tcPr>
            <w:tcW w:w="1959" w:type="pct"/>
            <w:vAlign w:val="bottom"/>
          </w:tcPr>
          <w:p w:rsidR="000F2660" w:rsidRPr="00BD2B3E" w:rsidRDefault="000F2660" w:rsidP="00BD2B3E">
            <w:pPr>
              <w:pStyle w:val="TableBodyText"/>
              <w:ind w:left="0"/>
              <w:jc w:val="left"/>
              <w:rPr>
                <w:sz w:val="18"/>
                <w:szCs w:val="18"/>
              </w:rPr>
            </w:pPr>
            <w:r w:rsidRPr="00BD2B3E">
              <w:rPr>
                <w:sz w:val="18"/>
                <w:szCs w:val="18"/>
              </w:rPr>
              <w:t>Motor vehicle and parts</w:t>
            </w:r>
          </w:p>
        </w:tc>
        <w:tc>
          <w:tcPr>
            <w:tcW w:w="508" w:type="pct"/>
          </w:tcPr>
          <w:p w:rsidR="000F2660" w:rsidRPr="00BD2B3E" w:rsidRDefault="000F2660" w:rsidP="008B63A3">
            <w:pPr>
              <w:pStyle w:val="TableBodyText"/>
              <w:rPr>
                <w:sz w:val="18"/>
                <w:szCs w:val="18"/>
              </w:rPr>
            </w:pPr>
            <w:r w:rsidRPr="00BD2B3E">
              <w:rPr>
                <w:sz w:val="18"/>
                <w:szCs w:val="18"/>
              </w:rPr>
              <w:t>13.5</w:t>
            </w:r>
          </w:p>
        </w:tc>
        <w:tc>
          <w:tcPr>
            <w:tcW w:w="508" w:type="pct"/>
          </w:tcPr>
          <w:p w:rsidR="000F2660" w:rsidRPr="00BD2B3E" w:rsidRDefault="000F2660" w:rsidP="008B63A3">
            <w:pPr>
              <w:pStyle w:val="TableBodyText"/>
              <w:rPr>
                <w:sz w:val="18"/>
                <w:szCs w:val="18"/>
              </w:rPr>
            </w:pPr>
            <w:r w:rsidRPr="00BD2B3E">
              <w:rPr>
                <w:sz w:val="18"/>
                <w:szCs w:val="18"/>
              </w:rPr>
              <w:t>10.9</w:t>
            </w:r>
          </w:p>
        </w:tc>
        <w:tc>
          <w:tcPr>
            <w:tcW w:w="508" w:type="pct"/>
          </w:tcPr>
          <w:p w:rsidR="000F2660" w:rsidRPr="00BD2B3E" w:rsidRDefault="000F2660" w:rsidP="008B63A3">
            <w:pPr>
              <w:pStyle w:val="TableBodyText"/>
              <w:rPr>
                <w:sz w:val="18"/>
                <w:szCs w:val="18"/>
              </w:rPr>
            </w:pPr>
            <w:r w:rsidRPr="00BD2B3E">
              <w:rPr>
                <w:sz w:val="18"/>
                <w:szCs w:val="18"/>
              </w:rPr>
              <w:t>11.1</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12.4</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12.4</w:t>
            </w:r>
          </w:p>
        </w:tc>
        <w:tc>
          <w:tcPr>
            <w:tcW w:w="503" w:type="pct"/>
            <w:shd w:val="clear" w:color="auto" w:fill="auto"/>
          </w:tcPr>
          <w:p w:rsidR="000F2660" w:rsidRPr="00BD2B3E" w:rsidRDefault="000F2660" w:rsidP="008B63A3">
            <w:pPr>
              <w:pStyle w:val="TableBodyText"/>
              <w:rPr>
                <w:sz w:val="18"/>
                <w:szCs w:val="18"/>
              </w:rPr>
            </w:pPr>
            <w:r w:rsidRPr="00BD2B3E">
              <w:rPr>
                <w:sz w:val="18"/>
                <w:szCs w:val="18"/>
              </w:rPr>
              <w:t>12.1</w:t>
            </w:r>
          </w:p>
        </w:tc>
      </w:tr>
      <w:tr w:rsidR="000F2660" w:rsidTr="008B63A3">
        <w:trPr>
          <w:trHeight w:val="227"/>
        </w:trPr>
        <w:tc>
          <w:tcPr>
            <w:tcW w:w="1959" w:type="pct"/>
            <w:vAlign w:val="bottom"/>
          </w:tcPr>
          <w:p w:rsidR="000F2660" w:rsidRPr="00BD2B3E" w:rsidRDefault="000F2660" w:rsidP="00BD2B3E">
            <w:pPr>
              <w:pStyle w:val="TableBodyText"/>
              <w:ind w:left="0"/>
              <w:jc w:val="left"/>
              <w:rPr>
                <w:sz w:val="18"/>
                <w:szCs w:val="18"/>
              </w:rPr>
            </w:pPr>
            <w:r w:rsidRPr="00BD2B3E">
              <w:rPr>
                <w:sz w:val="18"/>
                <w:szCs w:val="18"/>
              </w:rPr>
              <w:t>Other transport equipment</w:t>
            </w:r>
          </w:p>
        </w:tc>
        <w:tc>
          <w:tcPr>
            <w:tcW w:w="508" w:type="pct"/>
          </w:tcPr>
          <w:p w:rsidR="000F2660" w:rsidRPr="00BD2B3E" w:rsidRDefault="000F2660" w:rsidP="008B63A3">
            <w:pPr>
              <w:pStyle w:val="TableBodyText"/>
              <w:rPr>
                <w:sz w:val="18"/>
                <w:szCs w:val="18"/>
              </w:rPr>
            </w:pPr>
            <w:r w:rsidRPr="00BD2B3E">
              <w:rPr>
                <w:sz w:val="18"/>
                <w:szCs w:val="18"/>
              </w:rPr>
              <w:t>6.1</w:t>
            </w:r>
          </w:p>
        </w:tc>
        <w:tc>
          <w:tcPr>
            <w:tcW w:w="508" w:type="pct"/>
          </w:tcPr>
          <w:p w:rsidR="000F2660" w:rsidRPr="00BD2B3E" w:rsidRDefault="000F2660" w:rsidP="008B63A3">
            <w:pPr>
              <w:pStyle w:val="TableBodyText"/>
              <w:rPr>
                <w:sz w:val="18"/>
                <w:szCs w:val="18"/>
              </w:rPr>
            </w:pPr>
            <w:r w:rsidRPr="00BD2B3E">
              <w:rPr>
                <w:sz w:val="18"/>
                <w:szCs w:val="18"/>
              </w:rPr>
              <w:t>5.9</w:t>
            </w:r>
          </w:p>
        </w:tc>
        <w:tc>
          <w:tcPr>
            <w:tcW w:w="508" w:type="pct"/>
          </w:tcPr>
          <w:p w:rsidR="000F2660" w:rsidRPr="00BD2B3E" w:rsidRDefault="000F2660" w:rsidP="008B63A3">
            <w:pPr>
              <w:pStyle w:val="TableBodyText"/>
              <w:rPr>
                <w:sz w:val="18"/>
                <w:szCs w:val="18"/>
              </w:rPr>
            </w:pPr>
            <w:r w:rsidRPr="00BD2B3E">
              <w:rPr>
                <w:sz w:val="18"/>
                <w:szCs w:val="18"/>
              </w:rPr>
              <w:t>5.9</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6.5</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6.5</w:t>
            </w:r>
          </w:p>
        </w:tc>
        <w:tc>
          <w:tcPr>
            <w:tcW w:w="503" w:type="pct"/>
            <w:shd w:val="clear" w:color="auto" w:fill="auto"/>
          </w:tcPr>
          <w:p w:rsidR="000F2660" w:rsidRPr="00BD2B3E" w:rsidRDefault="000F2660" w:rsidP="008B63A3">
            <w:pPr>
              <w:pStyle w:val="TableBodyText"/>
              <w:rPr>
                <w:sz w:val="18"/>
                <w:szCs w:val="18"/>
              </w:rPr>
            </w:pPr>
            <w:r w:rsidRPr="00BD2B3E">
              <w:rPr>
                <w:sz w:val="18"/>
                <w:szCs w:val="18"/>
              </w:rPr>
              <w:t>6.3</w:t>
            </w:r>
          </w:p>
        </w:tc>
      </w:tr>
      <w:tr w:rsidR="000F2660" w:rsidTr="008B63A3">
        <w:trPr>
          <w:trHeight w:val="227"/>
        </w:trPr>
        <w:tc>
          <w:tcPr>
            <w:tcW w:w="1959" w:type="pct"/>
            <w:vAlign w:val="bottom"/>
          </w:tcPr>
          <w:p w:rsidR="000F2660" w:rsidRPr="00BD2B3E" w:rsidRDefault="000F2660" w:rsidP="00BD2B3E">
            <w:pPr>
              <w:pStyle w:val="TableBodyText"/>
              <w:ind w:left="0"/>
              <w:jc w:val="left"/>
              <w:rPr>
                <w:sz w:val="18"/>
                <w:szCs w:val="18"/>
              </w:rPr>
            </w:pPr>
            <w:r w:rsidRPr="00BD2B3E">
              <w:rPr>
                <w:sz w:val="18"/>
                <w:szCs w:val="18"/>
              </w:rPr>
              <w:t>Machinery and equipment manufacturing</w:t>
            </w:r>
          </w:p>
        </w:tc>
        <w:tc>
          <w:tcPr>
            <w:tcW w:w="508" w:type="pct"/>
          </w:tcPr>
          <w:p w:rsidR="000F2660" w:rsidRPr="00BD2B3E" w:rsidRDefault="000F2660" w:rsidP="008B63A3">
            <w:pPr>
              <w:pStyle w:val="TableBodyText"/>
              <w:rPr>
                <w:sz w:val="18"/>
                <w:szCs w:val="18"/>
              </w:rPr>
            </w:pPr>
            <w:r w:rsidRPr="00BD2B3E">
              <w:rPr>
                <w:sz w:val="18"/>
                <w:szCs w:val="18"/>
              </w:rPr>
              <w:t>26.2</w:t>
            </w:r>
          </w:p>
        </w:tc>
        <w:tc>
          <w:tcPr>
            <w:tcW w:w="508" w:type="pct"/>
          </w:tcPr>
          <w:p w:rsidR="000F2660" w:rsidRPr="00BD2B3E" w:rsidRDefault="000F2660" w:rsidP="008B63A3">
            <w:pPr>
              <w:pStyle w:val="TableBodyText"/>
              <w:rPr>
                <w:sz w:val="18"/>
                <w:szCs w:val="18"/>
              </w:rPr>
            </w:pPr>
            <w:r w:rsidRPr="00BD2B3E">
              <w:rPr>
                <w:sz w:val="18"/>
                <w:szCs w:val="18"/>
              </w:rPr>
              <w:t>29.1</w:t>
            </w:r>
          </w:p>
        </w:tc>
        <w:tc>
          <w:tcPr>
            <w:tcW w:w="508" w:type="pct"/>
          </w:tcPr>
          <w:p w:rsidR="000F2660" w:rsidRPr="00BD2B3E" w:rsidRDefault="000F2660" w:rsidP="008B63A3">
            <w:pPr>
              <w:pStyle w:val="TableBodyText"/>
              <w:rPr>
                <w:sz w:val="18"/>
                <w:szCs w:val="18"/>
              </w:rPr>
            </w:pPr>
            <w:r w:rsidRPr="00BD2B3E">
              <w:rPr>
                <w:sz w:val="18"/>
                <w:szCs w:val="18"/>
              </w:rPr>
              <w:t>35.2</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42.8</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42.8</w:t>
            </w:r>
          </w:p>
        </w:tc>
        <w:tc>
          <w:tcPr>
            <w:tcW w:w="503" w:type="pct"/>
            <w:shd w:val="clear" w:color="auto" w:fill="auto"/>
          </w:tcPr>
          <w:p w:rsidR="000F2660" w:rsidRPr="00BD2B3E" w:rsidRDefault="000F2660" w:rsidP="008B63A3">
            <w:pPr>
              <w:pStyle w:val="TableBodyText"/>
              <w:rPr>
                <w:sz w:val="18"/>
                <w:szCs w:val="18"/>
              </w:rPr>
            </w:pPr>
            <w:r w:rsidRPr="00BD2B3E">
              <w:rPr>
                <w:sz w:val="18"/>
                <w:szCs w:val="18"/>
              </w:rPr>
              <w:t>41.8</w:t>
            </w:r>
          </w:p>
        </w:tc>
      </w:tr>
      <w:tr w:rsidR="000F2660" w:rsidTr="008B63A3">
        <w:trPr>
          <w:trHeight w:val="227"/>
        </w:trPr>
        <w:tc>
          <w:tcPr>
            <w:tcW w:w="1959" w:type="pct"/>
            <w:vAlign w:val="bottom"/>
          </w:tcPr>
          <w:p w:rsidR="000F2660" w:rsidRPr="00BD2B3E" w:rsidRDefault="000F2660" w:rsidP="00BD2B3E">
            <w:pPr>
              <w:pStyle w:val="TableBodyText"/>
              <w:ind w:left="0"/>
              <w:jc w:val="left"/>
              <w:rPr>
                <w:sz w:val="18"/>
                <w:szCs w:val="18"/>
              </w:rPr>
            </w:pPr>
            <w:r w:rsidRPr="00BD2B3E">
              <w:rPr>
                <w:sz w:val="18"/>
                <w:szCs w:val="18"/>
              </w:rPr>
              <w:t>Furniture and other manufacturing</w:t>
            </w:r>
          </w:p>
        </w:tc>
        <w:tc>
          <w:tcPr>
            <w:tcW w:w="508" w:type="pct"/>
          </w:tcPr>
          <w:p w:rsidR="000F2660" w:rsidRPr="00BD2B3E" w:rsidRDefault="000F2660" w:rsidP="008B63A3">
            <w:pPr>
              <w:pStyle w:val="TableBodyText"/>
              <w:rPr>
                <w:sz w:val="18"/>
                <w:szCs w:val="18"/>
              </w:rPr>
            </w:pPr>
            <w:r w:rsidRPr="00BD2B3E">
              <w:rPr>
                <w:sz w:val="18"/>
                <w:szCs w:val="18"/>
              </w:rPr>
              <w:t>0.9</w:t>
            </w:r>
          </w:p>
        </w:tc>
        <w:tc>
          <w:tcPr>
            <w:tcW w:w="508" w:type="pct"/>
          </w:tcPr>
          <w:p w:rsidR="000F2660" w:rsidRPr="00BD2B3E" w:rsidRDefault="000F2660" w:rsidP="008B63A3">
            <w:pPr>
              <w:pStyle w:val="TableBodyText"/>
              <w:rPr>
                <w:sz w:val="18"/>
                <w:szCs w:val="18"/>
              </w:rPr>
            </w:pPr>
            <w:r w:rsidRPr="00BD2B3E">
              <w:rPr>
                <w:sz w:val="18"/>
                <w:szCs w:val="18"/>
              </w:rPr>
              <w:t>1.0</w:t>
            </w:r>
          </w:p>
        </w:tc>
        <w:tc>
          <w:tcPr>
            <w:tcW w:w="508" w:type="pct"/>
          </w:tcPr>
          <w:p w:rsidR="000F2660" w:rsidRPr="00BD2B3E" w:rsidRDefault="000F2660" w:rsidP="008B63A3">
            <w:pPr>
              <w:pStyle w:val="TableBodyText"/>
              <w:rPr>
                <w:sz w:val="18"/>
                <w:szCs w:val="18"/>
              </w:rPr>
            </w:pPr>
            <w:r w:rsidRPr="00BD2B3E">
              <w:rPr>
                <w:sz w:val="18"/>
                <w:szCs w:val="18"/>
              </w:rPr>
              <w:t>1.7</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2.1</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2.1</w:t>
            </w:r>
          </w:p>
        </w:tc>
        <w:tc>
          <w:tcPr>
            <w:tcW w:w="503" w:type="pct"/>
            <w:shd w:val="clear" w:color="auto" w:fill="auto"/>
          </w:tcPr>
          <w:p w:rsidR="000F2660" w:rsidRPr="00BD2B3E" w:rsidRDefault="000F2660" w:rsidP="008B63A3">
            <w:pPr>
              <w:pStyle w:val="TableBodyText"/>
              <w:rPr>
                <w:sz w:val="18"/>
                <w:szCs w:val="18"/>
              </w:rPr>
            </w:pPr>
            <w:r w:rsidRPr="00BD2B3E">
              <w:rPr>
                <w:sz w:val="18"/>
                <w:szCs w:val="18"/>
              </w:rPr>
              <w:t>2.0</w:t>
            </w:r>
          </w:p>
        </w:tc>
      </w:tr>
      <w:tr w:rsidR="000F2660" w:rsidTr="008B63A3">
        <w:trPr>
          <w:trHeight w:val="227"/>
        </w:trPr>
        <w:tc>
          <w:tcPr>
            <w:tcW w:w="1959" w:type="pct"/>
            <w:vAlign w:val="bottom"/>
          </w:tcPr>
          <w:p w:rsidR="000F2660" w:rsidRPr="00BD2B3E" w:rsidRDefault="000F2660" w:rsidP="008B63A3">
            <w:pPr>
              <w:pStyle w:val="TableBodyText"/>
              <w:jc w:val="left"/>
              <w:rPr>
                <w:b/>
                <w:sz w:val="18"/>
                <w:szCs w:val="18"/>
              </w:rPr>
            </w:pPr>
            <w:r w:rsidRPr="00BD2B3E">
              <w:rPr>
                <w:b/>
                <w:sz w:val="18"/>
                <w:szCs w:val="18"/>
              </w:rPr>
              <w:t>Services</w:t>
            </w:r>
          </w:p>
        </w:tc>
        <w:tc>
          <w:tcPr>
            <w:tcW w:w="508" w:type="pct"/>
            <w:vAlign w:val="bottom"/>
          </w:tcPr>
          <w:p w:rsidR="000F2660" w:rsidRPr="00BD2B3E" w:rsidRDefault="000F2660" w:rsidP="008B63A3">
            <w:pPr>
              <w:pStyle w:val="TableBodyText"/>
              <w:rPr>
                <w:b/>
                <w:sz w:val="18"/>
                <w:szCs w:val="18"/>
              </w:rPr>
            </w:pPr>
            <w:r w:rsidRPr="00BD2B3E">
              <w:rPr>
                <w:b/>
                <w:sz w:val="18"/>
                <w:szCs w:val="18"/>
              </w:rPr>
              <w:t>190.2</w:t>
            </w:r>
          </w:p>
        </w:tc>
        <w:tc>
          <w:tcPr>
            <w:tcW w:w="508" w:type="pct"/>
            <w:vAlign w:val="bottom"/>
          </w:tcPr>
          <w:p w:rsidR="000F2660" w:rsidRPr="00BD2B3E" w:rsidRDefault="000F2660" w:rsidP="008B63A3">
            <w:pPr>
              <w:pStyle w:val="TableBodyText"/>
              <w:rPr>
                <w:b/>
                <w:sz w:val="18"/>
                <w:szCs w:val="18"/>
              </w:rPr>
            </w:pPr>
            <w:r w:rsidRPr="00BD2B3E">
              <w:rPr>
                <w:b/>
                <w:sz w:val="18"/>
                <w:szCs w:val="18"/>
              </w:rPr>
              <w:t>213.8</w:t>
            </w:r>
          </w:p>
        </w:tc>
        <w:tc>
          <w:tcPr>
            <w:tcW w:w="508" w:type="pct"/>
            <w:vAlign w:val="bottom"/>
          </w:tcPr>
          <w:p w:rsidR="000F2660" w:rsidRPr="00BD2B3E" w:rsidRDefault="000F2660" w:rsidP="008B63A3">
            <w:pPr>
              <w:pStyle w:val="TableBodyText"/>
              <w:rPr>
                <w:b/>
                <w:sz w:val="18"/>
                <w:szCs w:val="18"/>
              </w:rPr>
            </w:pPr>
            <w:r w:rsidRPr="00BD2B3E">
              <w:rPr>
                <w:b/>
                <w:sz w:val="18"/>
                <w:szCs w:val="18"/>
              </w:rPr>
              <w:t>330.2</w:t>
            </w:r>
          </w:p>
        </w:tc>
        <w:tc>
          <w:tcPr>
            <w:tcW w:w="508" w:type="pct"/>
            <w:shd w:val="clear" w:color="auto" w:fill="auto"/>
            <w:vAlign w:val="bottom"/>
          </w:tcPr>
          <w:p w:rsidR="000F2660" w:rsidRPr="00BD2B3E" w:rsidRDefault="000F2660" w:rsidP="008B63A3">
            <w:pPr>
              <w:pStyle w:val="TableBodyText"/>
              <w:rPr>
                <w:b/>
                <w:sz w:val="18"/>
                <w:szCs w:val="18"/>
              </w:rPr>
            </w:pPr>
            <w:r w:rsidRPr="00BD2B3E">
              <w:rPr>
                <w:b/>
                <w:sz w:val="18"/>
                <w:szCs w:val="18"/>
              </w:rPr>
              <w:t>476.0</w:t>
            </w:r>
          </w:p>
        </w:tc>
        <w:tc>
          <w:tcPr>
            <w:tcW w:w="508" w:type="pct"/>
            <w:shd w:val="clear" w:color="auto" w:fill="auto"/>
            <w:vAlign w:val="bottom"/>
          </w:tcPr>
          <w:p w:rsidR="000F2660" w:rsidRPr="00BD2B3E" w:rsidRDefault="000F2660" w:rsidP="008B63A3">
            <w:pPr>
              <w:pStyle w:val="TableBodyText"/>
              <w:rPr>
                <w:b/>
                <w:sz w:val="18"/>
                <w:szCs w:val="18"/>
              </w:rPr>
            </w:pPr>
            <w:r w:rsidRPr="00BD2B3E">
              <w:rPr>
                <w:b/>
                <w:sz w:val="18"/>
                <w:szCs w:val="18"/>
              </w:rPr>
              <w:t>476.0</w:t>
            </w:r>
          </w:p>
        </w:tc>
        <w:tc>
          <w:tcPr>
            <w:tcW w:w="503" w:type="pct"/>
            <w:shd w:val="clear" w:color="auto" w:fill="auto"/>
            <w:vAlign w:val="bottom"/>
          </w:tcPr>
          <w:p w:rsidR="000F2660" w:rsidRPr="00BD2B3E" w:rsidRDefault="000F2660" w:rsidP="008B63A3">
            <w:pPr>
              <w:pStyle w:val="TableBodyText"/>
              <w:rPr>
                <w:b/>
                <w:sz w:val="18"/>
                <w:szCs w:val="18"/>
              </w:rPr>
            </w:pPr>
            <w:r w:rsidRPr="00BD2B3E">
              <w:rPr>
                <w:b/>
                <w:sz w:val="18"/>
                <w:szCs w:val="18"/>
              </w:rPr>
              <w:t>456.0</w:t>
            </w:r>
          </w:p>
        </w:tc>
      </w:tr>
      <w:tr w:rsidR="000F2660" w:rsidTr="008B63A3">
        <w:trPr>
          <w:trHeight w:val="227"/>
        </w:trPr>
        <w:tc>
          <w:tcPr>
            <w:tcW w:w="1959" w:type="pct"/>
            <w:vAlign w:val="bottom"/>
          </w:tcPr>
          <w:p w:rsidR="000F2660" w:rsidRPr="00BD2B3E" w:rsidRDefault="000F2660" w:rsidP="00BD2B3E">
            <w:pPr>
              <w:pStyle w:val="TableBodyText"/>
              <w:ind w:left="0"/>
              <w:jc w:val="left"/>
              <w:rPr>
                <w:sz w:val="18"/>
                <w:szCs w:val="18"/>
              </w:rPr>
            </w:pPr>
            <w:r w:rsidRPr="00BD2B3E">
              <w:rPr>
                <w:sz w:val="18"/>
                <w:szCs w:val="18"/>
              </w:rPr>
              <w:t>Electricity, gas, water and waste services</w:t>
            </w:r>
          </w:p>
        </w:tc>
        <w:tc>
          <w:tcPr>
            <w:tcW w:w="508" w:type="pct"/>
          </w:tcPr>
          <w:p w:rsidR="000F2660" w:rsidRPr="00BD2B3E" w:rsidRDefault="000F2660" w:rsidP="008B63A3">
            <w:pPr>
              <w:pStyle w:val="TableBodyText"/>
              <w:rPr>
                <w:sz w:val="18"/>
                <w:szCs w:val="18"/>
              </w:rPr>
            </w:pPr>
            <w:r w:rsidRPr="00BD2B3E">
              <w:rPr>
                <w:sz w:val="18"/>
                <w:szCs w:val="18"/>
              </w:rPr>
              <w:t>2.8</w:t>
            </w:r>
          </w:p>
        </w:tc>
        <w:tc>
          <w:tcPr>
            <w:tcW w:w="508" w:type="pct"/>
          </w:tcPr>
          <w:p w:rsidR="000F2660" w:rsidRPr="00BD2B3E" w:rsidRDefault="000F2660" w:rsidP="008B63A3">
            <w:pPr>
              <w:pStyle w:val="TableBodyText"/>
              <w:rPr>
                <w:sz w:val="18"/>
                <w:szCs w:val="18"/>
              </w:rPr>
            </w:pPr>
            <w:r w:rsidRPr="00BD2B3E">
              <w:rPr>
                <w:sz w:val="18"/>
                <w:szCs w:val="18"/>
              </w:rPr>
              <w:t>4.3</w:t>
            </w:r>
          </w:p>
        </w:tc>
        <w:tc>
          <w:tcPr>
            <w:tcW w:w="508" w:type="pct"/>
          </w:tcPr>
          <w:p w:rsidR="000F2660" w:rsidRPr="00BD2B3E" w:rsidRDefault="000F2660" w:rsidP="008B63A3">
            <w:pPr>
              <w:pStyle w:val="TableBodyText"/>
              <w:rPr>
                <w:sz w:val="18"/>
                <w:szCs w:val="18"/>
              </w:rPr>
            </w:pPr>
            <w:r w:rsidRPr="00BD2B3E">
              <w:rPr>
                <w:sz w:val="18"/>
                <w:szCs w:val="18"/>
              </w:rPr>
              <w:t>8.5</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16.1</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16.1</w:t>
            </w:r>
          </w:p>
        </w:tc>
        <w:tc>
          <w:tcPr>
            <w:tcW w:w="503" w:type="pct"/>
            <w:shd w:val="clear" w:color="auto" w:fill="auto"/>
          </w:tcPr>
          <w:p w:rsidR="000F2660" w:rsidRPr="00BD2B3E" w:rsidRDefault="000F2660" w:rsidP="008B63A3">
            <w:pPr>
              <w:pStyle w:val="TableBodyText"/>
              <w:rPr>
                <w:sz w:val="18"/>
                <w:szCs w:val="18"/>
              </w:rPr>
            </w:pPr>
            <w:r w:rsidRPr="00BD2B3E">
              <w:rPr>
                <w:sz w:val="18"/>
                <w:szCs w:val="18"/>
              </w:rPr>
              <w:t>15.7</w:t>
            </w:r>
          </w:p>
        </w:tc>
      </w:tr>
      <w:tr w:rsidR="000F2660" w:rsidTr="008B63A3">
        <w:trPr>
          <w:trHeight w:val="227"/>
        </w:trPr>
        <w:tc>
          <w:tcPr>
            <w:tcW w:w="1959" w:type="pct"/>
            <w:vAlign w:val="bottom"/>
          </w:tcPr>
          <w:p w:rsidR="000F2660" w:rsidRPr="00BD2B3E" w:rsidRDefault="000F2660" w:rsidP="00BD2B3E">
            <w:pPr>
              <w:pStyle w:val="TableBodyText"/>
              <w:ind w:left="0"/>
              <w:jc w:val="left"/>
              <w:rPr>
                <w:sz w:val="18"/>
                <w:szCs w:val="18"/>
              </w:rPr>
            </w:pPr>
            <w:r w:rsidRPr="00BD2B3E">
              <w:rPr>
                <w:sz w:val="18"/>
                <w:szCs w:val="18"/>
              </w:rPr>
              <w:t>Construction</w:t>
            </w:r>
          </w:p>
        </w:tc>
        <w:tc>
          <w:tcPr>
            <w:tcW w:w="508" w:type="pct"/>
          </w:tcPr>
          <w:p w:rsidR="000F2660" w:rsidRPr="00BD2B3E" w:rsidRDefault="000F2660" w:rsidP="008B63A3">
            <w:pPr>
              <w:pStyle w:val="TableBodyText"/>
              <w:rPr>
                <w:sz w:val="18"/>
                <w:szCs w:val="18"/>
              </w:rPr>
            </w:pPr>
            <w:r w:rsidRPr="00BD2B3E">
              <w:rPr>
                <w:sz w:val="18"/>
                <w:szCs w:val="18"/>
              </w:rPr>
              <w:t>10.5</w:t>
            </w:r>
          </w:p>
        </w:tc>
        <w:tc>
          <w:tcPr>
            <w:tcW w:w="508" w:type="pct"/>
          </w:tcPr>
          <w:p w:rsidR="000F2660" w:rsidRPr="00BD2B3E" w:rsidRDefault="000F2660" w:rsidP="008B63A3">
            <w:pPr>
              <w:pStyle w:val="TableBodyText"/>
              <w:rPr>
                <w:sz w:val="18"/>
                <w:szCs w:val="18"/>
              </w:rPr>
            </w:pPr>
            <w:r w:rsidRPr="00BD2B3E">
              <w:rPr>
                <w:sz w:val="18"/>
                <w:szCs w:val="18"/>
              </w:rPr>
              <w:t>13.7</w:t>
            </w:r>
          </w:p>
        </w:tc>
        <w:tc>
          <w:tcPr>
            <w:tcW w:w="508" w:type="pct"/>
          </w:tcPr>
          <w:p w:rsidR="000F2660" w:rsidRPr="00BD2B3E" w:rsidRDefault="000F2660" w:rsidP="008B63A3">
            <w:pPr>
              <w:pStyle w:val="TableBodyText"/>
              <w:rPr>
                <w:sz w:val="18"/>
                <w:szCs w:val="18"/>
              </w:rPr>
            </w:pPr>
            <w:r w:rsidRPr="00BD2B3E">
              <w:rPr>
                <w:sz w:val="18"/>
                <w:szCs w:val="18"/>
              </w:rPr>
              <w:t>13.1</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18.1</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18.1</w:t>
            </w:r>
          </w:p>
        </w:tc>
        <w:tc>
          <w:tcPr>
            <w:tcW w:w="503" w:type="pct"/>
            <w:shd w:val="clear" w:color="auto" w:fill="auto"/>
          </w:tcPr>
          <w:p w:rsidR="000F2660" w:rsidRPr="00BD2B3E" w:rsidRDefault="000F2660" w:rsidP="008B63A3">
            <w:pPr>
              <w:pStyle w:val="TableBodyText"/>
              <w:rPr>
                <w:sz w:val="18"/>
                <w:szCs w:val="18"/>
              </w:rPr>
            </w:pPr>
            <w:r w:rsidRPr="00BD2B3E">
              <w:rPr>
                <w:sz w:val="18"/>
                <w:szCs w:val="18"/>
              </w:rPr>
              <w:t>17.7</w:t>
            </w:r>
          </w:p>
        </w:tc>
      </w:tr>
      <w:tr w:rsidR="000F2660" w:rsidTr="008B63A3">
        <w:trPr>
          <w:trHeight w:val="227"/>
        </w:trPr>
        <w:tc>
          <w:tcPr>
            <w:tcW w:w="1959" w:type="pct"/>
            <w:vAlign w:val="bottom"/>
          </w:tcPr>
          <w:p w:rsidR="000F2660" w:rsidRPr="00BD2B3E" w:rsidRDefault="000F2660" w:rsidP="00BD2B3E">
            <w:pPr>
              <w:pStyle w:val="TableBodyText"/>
              <w:ind w:left="0"/>
              <w:jc w:val="left"/>
              <w:rPr>
                <w:sz w:val="18"/>
                <w:szCs w:val="18"/>
              </w:rPr>
            </w:pPr>
            <w:r w:rsidRPr="00BD2B3E">
              <w:rPr>
                <w:sz w:val="18"/>
                <w:szCs w:val="18"/>
              </w:rPr>
              <w:t>Wholesale trade</w:t>
            </w:r>
          </w:p>
        </w:tc>
        <w:tc>
          <w:tcPr>
            <w:tcW w:w="508" w:type="pct"/>
          </w:tcPr>
          <w:p w:rsidR="000F2660" w:rsidRPr="00BD2B3E" w:rsidRDefault="000F2660" w:rsidP="008B63A3">
            <w:pPr>
              <w:pStyle w:val="TableBodyText"/>
              <w:rPr>
                <w:sz w:val="18"/>
                <w:szCs w:val="18"/>
              </w:rPr>
            </w:pPr>
            <w:r w:rsidRPr="00BD2B3E">
              <w:rPr>
                <w:sz w:val="18"/>
                <w:szCs w:val="18"/>
              </w:rPr>
              <w:t>21.4</w:t>
            </w:r>
          </w:p>
        </w:tc>
        <w:tc>
          <w:tcPr>
            <w:tcW w:w="508" w:type="pct"/>
          </w:tcPr>
          <w:p w:rsidR="000F2660" w:rsidRPr="00BD2B3E" w:rsidRDefault="000F2660" w:rsidP="008B63A3">
            <w:pPr>
              <w:pStyle w:val="TableBodyText"/>
              <w:rPr>
                <w:sz w:val="18"/>
                <w:szCs w:val="18"/>
              </w:rPr>
            </w:pPr>
            <w:r w:rsidRPr="00BD2B3E">
              <w:rPr>
                <w:sz w:val="18"/>
                <w:szCs w:val="18"/>
              </w:rPr>
              <w:t>25.6</w:t>
            </w:r>
          </w:p>
        </w:tc>
        <w:tc>
          <w:tcPr>
            <w:tcW w:w="508" w:type="pct"/>
          </w:tcPr>
          <w:p w:rsidR="000F2660" w:rsidRPr="00BD2B3E" w:rsidRDefault="000F2660" w:rsidP="008B63A3">
            <w:pPr>
              <w:pStyle w:val="TableBodyText"/>
              <w:rPr>
                <w:sz w:val="18"/>
                <w:szCs w:val="18"/>
              </w:rPr>
            </w:pPr>
            <w:r w:rsidRPr="00BD2B3E">
              <w:rPr>
                <w:sz w:val="18"/>
                <w:szCs w:val="18"/>
              </w:rPr>
              <w:t>62.2</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90.2</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90.2</w:t>
            </w:r>
          </w:p>
        </w:tc>
        <w:tc>
          <w:tcPr>
            <w:tcW w:w="503" w:type="pct"/>
            <w:shd w:val="clear" w:color="auto" w:fill="auto"/>
          </w:tcPr>
          <w:p w:rsidR="000F2660" w:rsidRPr="00BD2B3E" w:rsidRDefault="000F2660" w:rsidP="008B63A3">
            <w:pPr>
              <w:pStyle w:val="TableBodyText"/>
              <w:rPr>
                <w:sz w:val="18"/>
                <w:szCs w:val="18"/>
              </w:rPr>
            </w:pPr>
            <w:r w:rsidRPr="00BD2B3E">
              <w:rPr>
                <w:sz w:val="18"/>
                <w:szCs w:val="18"/>
              </w:rPr>
              <w:t>88.0</w:t>
            </w:r>
          </w:p>
        </w:tc>
      </w:tr>
      <w:tr w:rsidR="000F2660" w:rsidTr="008B63A3">
        <w:trPr>
          <w:trHeight w:val="227"/>
        </w:trPr>
        <w:tc>
          <w:tcPr>
            <w:tcW w:w="1959" w:type="pct"/>
            <w:vAlign w:val="bottom"/>
          </w:tcPr>
          <w:p w:rsidR="000F2660" w:rsidRPr="00BD2B3E" w:rsidRDefault="000F2660" w:rsidP="00BD2B3E">
            <w:pPr>
              <w:pStyle w:val="TableBodyText"/>
              <w:ind w:left="0"/>
              <w:jc w:val="left"/>
              <w:rPr>
                <w:sz w:val="18"/>
                <w:szCs w:val="18"/>
              </w:rPr>
            </w:pPr>
            <w:r w:rsidRPr="00BD2B3E">
              <w:rPr>
                <w:sz w:val="18"/>
                <w:szCs w:val="18"/>
              </w:rPr>
              <w:t>Retail trade</w:t>
            </w:r>
          </w:p>
        </w:tc>
        <w:tc>
          <w:tcPr>
            <w:tcW w:w="508" w:type="pct"/>
          </w:tcPr>
          <w:p w:rsidR="000F2660" w:rsidRPr="00BD2B3E" w:rsidRDefault="000F2660" w:rsidP="008B63A3">
            <w:pPr>
              <w:pStyle w:val="TableBodyText"/>
              <w:rPr>
                <w:sz w:val="18"/>
                <w:szCs w:val="18"/>
              </w:rPr>
            </w:pPr>
            <w:r w:rsidRPr="00BD2B3E">
              <w:rPr>
                <w:sz w:val="18"/>
                <w:szCs w:val="18"/>
              </w:rPr>
              <w:t>4.7</w:t>
            </w:r>
          </w:p>
        </w:tc>
        <w:tc>
          <w:tcPr>
            <w:tcW w:w="508" w:type="pct"/>
          </w:tcPr>
          <w:p w:rsidR="000F2660" w:rsidRPr="00BD2B3E" w:rsidRDefault="000F2660" w:rsidP="008B63A3">
            <w:pPr>
              <w:pStyle w:val="TableBodyText"/>
              <w:rPr>
                <w:sz w:val="18"/>
                <w:szCs w:val="18"/>
              </w:rPr>
            </w:pPr>
            <w:r w:rsidRPr="00BD2B3E">
              <w:rPr>
                <w:sz w:val="18"/>
                <w:szCs w:val="18"/>
              </w:rPr>
              <w:t>6.0</w:t>
            </w:r>
          </w:p>
        </w:tc>
        <w:tc>
          <w:tcPr>
            <w:tcW w:w="508" w:type="pct"/>
          </w:tcPr>
          <w:p w:rsidR="000F2660" w:rsidRPr="00BD2B3E" w:rsidRDefault="000F2660" w:rsidP="008B63A3">
            <w:pPr>
              <w:pStyle w:val="TableBodyText"/>
              <w:rPr>
                <w:sz w:val="18"/>
                <w:szCs w:val="18"/>
              </w:rPr>
            </w:pPr>
            <w:r w:rsidRPr="00BD2B3E">
              <w:rPr>
                <w:sz w:val="18"/>
                <w:szCs w:val="18"/>
              </w:rPr>
              <w:t>8.8</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10.1</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10.1</w:t>
            </w:r>
          </w:p>
        </w:tc>
        <w:tc>
          <w:tcPr>
            <w:tcW w:w="503" w:type="pct"/>
            <w:shd w:val="clear" w:color="auto" w:fill="auto"/>
          </w:tcPr>
          <w:p w:rsidR="000F2660" w:rsidRPr="00BD2B3E" w:rsidRDefault="000F2660" w:rsidP="008B63A3">
            <w:pPr>
              <w:pStyle w:val="TableBodyText"/>
              <w:rPr>
                <w:sz w:val="18"/>
                <w:szCs w:val="18"/>
              </w:rPr>
            </w:pPr>
            <w:r w:rsidRPr="00BD2B3E">
              <w:rPr>
                <w:sz w:val="18"/>
                <w:szCs w:val="18"/>
              </w:rPr>
              <w:t>9.8</w:t>
            </w:r>
          </w:p>
        </w:tc>
      </w:tr>
      <w:tr w:rsidR="000F2660" w:rsidTr="008B63A3">
        <w:trPr>
          <w:trHeight w:val="227"/>
        </w:trPr>
        <w:tc>
          <w:tcPr>
            <w:tcW w:w="1959" w:type="pct"/>
            <w:vAlign w:val="bottom"/>
          </w:tcPr>
          <w:p w:rsidR="000F2660" w:rsidRPr="00BD2B3E" w:rsidRDefault="000F2660" w:rsidP="00BD2B3E">
            <w:pPr>
              <w:pStyle w:val="TableBodyText"/>
              <w:ind w:left="0"/>
              <w:jc w:val="left"/>
              <w:rPr>
                <w:sz w:val="18"/>
                <w:szCs w:val="18"/>
              </w:rPr>
            </w:pPr>
            <w:r w:rsidRPr="00BD2B3E">
              <w:rPr>
                <w:sz w:val="18"/>
                <w:szCs w:val="18"/>
              </w:rPr>
              <w:t>Accommodation and food services</w:t>
            </w:r>
          </w:p>
        </w:tc>
        <w:tc>
          <w:tcPr>
            <w:tcW w:w="508" w:type="pct"/>
          </w:tcPr>
          <w:p w:rsidR="000F2660" w:rsidRPr="00BD2B3E" w:rsidRDefault="000F2660" w:rsidP="008B63A3">
            <w:pPr>
              <w:pStyle w:val="TableBodyText"/>
              <w:rPr>
                <w:sz w:val="18"/>
                <w:szCs w:val="18"/>
              </w:rPr>
            </w:pPr>
            <w:r w:rsidRPr="00BD2B3E">
              <w:rPr>
                <w:sz w:val="18"/>
                <w:szCs w:val="18"/>
              </w:rPr>
              <w:t>1.0</w:t>
            </w:r>
          </w:p>
        </w:tc>
        <w:tc>
          <w:tcPr>
            <w:tcW w:w="508" w:type="pct"/>
          </w:tcPr>
          <w:p w:rsidR="000F2660" w:rsidRPr="00BD2B3E" w:rsidRDefault="000F2660" w:rsidP="008B63A3">
            <w:pPr>
              <w:pStyle w:val="TableBodyText"/>
              <w:rPr>
                <w:sz w:val="18"/>
                <w:szCs w:val="18"/>
              </w:rPr>
            </w:pPr>
            <w:r w:rsidRPr="00BD2B3E">
              <w:rPr>
                <w:sz w:val="18"/>
                <w:szCs w:val="18"/>
              </w:rPr>
              <w:t>1.1</w:t>
            </w:r>
          </w:p>
        </w:tc>
        <w:tc>
          <w:tcPr>
            <w:tcW w:w="508" w:type="pct"/>
          </w:tcPr>
          <w:p w:rsidR="000F2660" w:rsidRPr="00BD2B3E" w:rsidRDefault="000F2660" w:rsidP="008B63A3">
            <w:pPr>
              <w:pStyle w:val="TableBodyText"/>
              <w:rPr>
                <w:sz w:val="18"/>
                <w:szCs w:val="18"/>
              </w:rPr>
            </w:pPr>
            <w:r w:rsidRPr="00BD2B3E">
              <w:rPr>
                <w:sz w:val="18"/>
                <w:szCs w:val="18"/>
              </w:rPr>
              <w:t>0.4</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0.4</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0.4</w:t>
            </w:r>
          </w:p>
        </w:tc>
        <w:tc>
          <w:tcPr>
            <w:tcW w:w="503" w:type="pct"/>
            <w:shd w:val="clear" w:color="auto" w:fill="auto"/>
          </w:tcPr>
          <w:p w:rsidR="000F2660" w:rsidRPr="00BD2B3E" w:rsidRDefault="000F2660" w:rsidP="008B63A3">
            <w:pPr>
              <w:pStyle w:val="TableBodyText"/>
              <w:rPr>
                <w:sz w:val="18"/>
                <w:szCs w:val="18"/>
              </w:rPr>
            </w:pPr>
            <w:r w:rsidRPr="00BD2B3E">
              <w:rPr>
                <w:sz w:val="18"/>
                <w:szCs w:val="18"/>
              </w:rPr>
              <w:t>0.4</w:t>
            </w:r>
          </w:p>
        </w:tc>
      </w:tr>
      <w:tr w:rsidR="000F2660" w:rsidTr="008B63A3">
        <w:trPr>
          <w:trHeight w:val="227"/>
        </w:trPr>
        <w:tc>
          <w:tcPr>
            <w:tcW w:w="1959" w:type="pct"/>
            <w:vAlign w:val="bottom"/>
          </w:tcPr>
          <w:p w:rsidR="000F2660" w:rsidRPr="00BD2B3E" w:rsidRDefault="000F2660" w:rsidP="00BD2B3E">
            <w:pPr>
              <w:pStyle w:val="TableBodyText"/>
              <w:ind w:left="0"/>
              <w:jc w:val="left"/>
              <w:rPr>
                <w:sz w:val="18"/>
                <w:szCs w:val="18"/>
              </w:rPr>
            </w:pPr>
            <w:r w:rsidRPr="00BD2B3E">
              <w:rPr>
                <w:sz w:val="18"/>
                <w:szCs w:val="18"/>
              </w:rPr>
              <w:t>Transport, postal and warehousing</w:t>
            </w:r>
          </w:p>
        </w:tc>
        <w:tc>
          <w:tcPr>
            <w:tcW w:w="508" w:type="pct"/>
          </w:tcPr>
          <w:p w:rsidR="000F2660" w:rsidRPr="00BD2B3E" w:rsidRDefault="000F2660" w:rsidP="008B63A3">
            <w:pPr>
              <w:pStyle w:val="TableBodyText"/>
              <w:rPr>
                <w:sz w:val="18"/>
                <w:szCs w:val="18"/>
              </w:rPr>
            </w:pPr>
            <w:r w:rsidRPr="00BD2B3E">
              <w:rPr>
                <w:sz w:val="18"/>
                <w:szCs w:val="18"/>
              </w:rPr>
              <w:t>7.5</w:t>
            </w:r>
          </w:p>
        </w:tc>
        <w:tc>
          <w:tcPr>
            <w:tcW w:w="508" w:type="pct"/>
          </w:tcPr>
          <w:p w:rsidR="000F2660" w:rsidRPr="00BD2B3E" w:rsidRDefault="000F2660" w:rsidP="008B63A3">
            <w:pPr>
              <w:pStyle w:val="TableBodyText"/>
              <w:rPr>
                <w:sz w:val="18"/>
                <w:szCs w:val="18"/>
              </w:rPr>
            </w:pPr>
            <w:r w:rsidRPr="00BD2B3E">
              <w:rPr>
                <w:sz w:val="18"/>
                <w:szCs w:val="18"/>
              </w:rPr>
              <w:t>8.2</w:t>
            </w:r>
          </w:p>
        </w:tc>
        <w:tc>
          <w:tcPr>
            <w:tcW w:w="508" w:type="pct"/>
          </w:tcPr>
          <w:p w:rsidR="000F2660" w:rsidRPr="00BD2B3E" w:rsidRDefault="000F2660" w:rsidP="008B63A3">
            <w:pPr>
              <w:pStyle w:val="TableBodyText"/>
              <w:rPr>
                <w:sz w:val="18"/>
                <w:szCs w:val="18"/>
              </w:rPr>
            </w:pPr>
            <w:r w:rsidRPr="00BD2B3E">
              <w:rPr>
                <w:sz w:val="18"/>
                <w:szCs w:val="18"/>
              </w:rPr>
              <w:t>9.1</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13.8</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13.8</w:t>
            </w:r>
          </w:p>
        </w:tc>
        <w:tc>
          <w:tcPr>
            <w:tcW w:w="503" w:type="pct"/>
            <w:shd w:val="clear" w:color="auto" w:fill="auto"/>
          </w:tcPr>
          <w:p w:rsidR="000F2660" w:rsidRPr="00BD2B3E" w:rsidRDefault="000F2660" w:rsidP="008B63A3">
            <w:pPr>
              <w:pStyle w:val="TableBodyText"/>
              <w:rPr>
                <w:sz w:val="18"/>
                <w:szCs w:val="18"/>
              </w:rPr>
            </w:pPr>
            <w:r w:rsidRPr="00BD2B3E">
              <w:rPr>
                <w:sz w:val="18"/>
                <w:szCs w:val="18"/>
              </w:rPr>
              <w:t>13.4</w:t>
            </w:r>
          </w:p>
        </w:tc>
      </w:tr>
      <w:tr w:rsidR="000F2660" w:rsidTr="008B63A3">
        <w:trPr>
          <w:trHeight w:val="227"/>
        </w:trPr>
        <w:tc>
          <w:tcPr>
            <w:tcW w:w="1959" w:type="pct"/>
            <w:vAlign w:val="bottom"/>
          </w:tcPr>
          <w:p w:rsidR="000F2660" w:rsidRPr="00BD2B3E" w:rsidRDefault="000F2660" w:rsidP="00BD2B3E">
            <w:pPr>
              <w:pStyle w:val="TableBodyText"/>
              <w:ind w:left="0"/>
              <w:jc w:val="left"/>
              <w:rPr>
                <w:sz w:val="18"/>
                <w:szCs w:val="18"/>
              </w:rPr>
            </w:pPr>
            <w:r w:rsidRPr="00BD2B3E">
              <w:rPr>
                <w:sz w:val="18"/>
                <w:szCs w:val="18"/>
              </w:rPr>
              <w:t>Information, media and telecommunications</w:t>
            </w:r>
          </w:p>
        </w:tc>
        <w:tc>
          <w:tcPr>
            <w:tcW w:w="508" w:type="pct"/>
          </w:tcPr>
          <w:p w:rsidR="000F2660" w:rsidRPr="00BD2B3E" w:rsidRDefault="000F2660" w:rsidP="008B63A3">
            <w:pPr>
              <w:pStyle w:val="TableBodyText"/>
              <w:rPr>
                <w:sz w:val="18"/>
                <w:szCs w:val="18"/>
              </w:rPr>
            </w:pPr>
            <w:r w:rsidRPr="00BD2B3E">
              <w:rPr>
                <w:sz w:val="18"/>
                <w:szCs w:val="18"/>
              </w:rPr>
              <w:t>20.1</w:t>
            </w:r>
          </w:p>
        </w:tc>
        <w:tc>
          <w:tcPr>
            <w:tcW w:w="508" w:type="pct"/>
          </w:tcPr>
          <w:p w:rsidR="000F2660" w:rsidRPr="00BD2B3E" w:rsidRDefault="000F2660" w:rsidP="008B63A3">
            <w:pPr>
              <w:pStyle w:val="TableBodyText"/>
              <w:rPr>
                <w:sz w:val="18"/>
                <w:szCs w:val="18"/>
              </w:rPr>
            </w:pPr>
            <w:r w:rsidRPr="00BD2B3E">
              <w:rPr>
                <w:sz w:val="18"/>
                <w:szCs w:val="18"/>
              </w:rPr>
              <w:t>29.3</w:t>
            </w:r>
          </w:p>
        </w:tc>
        <w:tc>
          <w:tcPr>
            <w:tcW w:w="508" w:type="pct"/>
          </w:tcPr>
          <w:p w:rsidR="000F2660" w:rsidRPr="00BD2B3E" w:rsidRDefault="000F2660" w:rsidP="008B63A3">
            <w:pPr>
              <w:pStyle w:val="TableBodyText"/>
              <w:rPr>
                <w:sz w:val="18"/>
                <w:szCs w:val="18"/>
              </w:rPr>
            </w:pPr>
            <w:r w:rsidRPr="00BD2B3E">
              <w:rPr>
                <w:sz w:val="18"/>
                <w:szCs w:val="18"/>
              </w:rPr>
              <w:t>21.2</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30.8</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30.8</w:t>
            </w:r>
          </w:p>
        </w:tc>
        <w:tc>
          <w:tcPr>
            <w:tcW w:w="503" w:type="pct"/>
            <w:shd w:val="clear" w:color="auto" w:fill="auto"/>
          </w:tcPr>
          <w:p w:rsidR="000F2660" w:rsidRPr="00BD2B3E" w:rsidRDefault="000F2660" w:rsidP="008B63A3">
            <w:pPr>
              <w:pStyle w:val="TableBodyText"/>
              <w:rPr>
                <w:sz w:val="18"/>
                <w:szCs w:val="18"/>
              </w:rPr>
            </w:pPr>
            <w:r w:rsidRPr="00BD2B3E">
              <w:rPr>
                <w:sz w:val="18"/>
                <w:szCs w:val="18"/>
              </w:rPr>
              <w:t>30.0</w:t>
            </w:r>
          </w:p>
        </w:tc>
      </w:tr>
      <w:tr w:rsidR="000F2660" w:rsidTr="008B63A3">
        <w:trPr>
          <w:trHeight w:val="227"/>
        </w:trPr>
        <w:tc>
          <w:tcPr>
            <w:tcW w:w="1959" w:type="pct"/>
            <w:vAlign w:val="bottom"/>
          </w:tcPr>
          <w:p w:rsidR="000F2660" w:rsidRPr="00BD2B3E" w:rsidRDefault="000F2660" w:rsidP="00BD2B3E">
            <w:pPr>
              <w:pStyle w:val="TableBodyText"/>
              <w:ind w:left="0"/>
              <w:jc w:val="left"/>
              <w:rPr>
                <w:sz w:val="18"/>
                <w:szCs w:val="18"/>
              </w:rPr>
            </w:pPr>
            <w:r w:rsidRPr="00BD2B3E">
              <w:rPr>
                <w:sz w:val="18"/>
                <w:szCs w:val="18"/>
              </w:rPr>
              <w:t>Financial and insurance services</w:t>
            </w:r>
          </w:p>
        </w:tc>
        <w:tc>
          <w:tcPr>
            <w:tcW w:w="508" w:type="pct"/>
          </w:tcPr>
          <w:p w:rsidR="000F2660" w:rsidRPr="00BD2B3E" w:rsidRDefault="000F2660" w:rsidP="008B63A3">
            <w:pPr>
              <w:pStyle w:val="TableBodyText"/>
              <w:rPr>
                <w:sz w:val="18"/>
                <w:szCs w:val="18"/>
              </w:rPr>
            </w:pPr>
            <w:r w:rsidRPr="00BD2B3E">
              <w:rPr>
                <w:sz w:val="18"/>
                <w:szCs w:val="18"/>
              </w:rPr>
              <w:t>37.7</w:t>
            </w:r>
          </w:p>
        </w:tc>
        <w:tc>
          <w:tcPr>
            <w:tcW w:w="508" w:type="pct"/>
          </w:tcPr>
          <w:p w:rsidR="000F2660" w:rsidRPr="00BD2B3E" w:rsidRDefault="000F2660" w:rsidP="008B63A3">
            <w:pPr>
              <w:pStyle w:val="TableBodyText"/>
              <w:rPr>
                <w:sz w:val="18"/>
                <w:szCs w:val="18"/>
              </w:rPr>
            </w:pPr>
            <w:r w:rsidRPr="00BD2B3E">
              <w:rPr>
                <w:sz w:val="18"/>
                <w:szCs w:val="18"/>
              </w:rPr>
              <w:t>46.5</w:t>
            </w:r>
          </w:p>
        </w:tc>
        <w:tc>
          <w:tcPr>
            <w:tcW w:w="508" w:type="pct"/>
          </w:tcPr>
          <w:p w:rsidR="000F2660" w:rsidRPr="00BD2B3E" w:rsidRDefault="000F2660" w:rsidP="008B63A3">
            <w:pPr>
              <w:pStyle w:val="TableBodyText"/>
              <w:rPr>
                <w:sz w:val="18"/>
                <w:szCs w:val="18"/>
              </w:rPr>
            </w:pPr>
            <w:r w:rsidRPr="00BD2B3E">
              <w:rPr>
                <w:sz w:val="18"/>
                <w:szCs w:val="18"/>
              </w:rPr>
              <w:t>95.6</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144.2</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144.2</w:t>
            </w:r>
          </w:p>
        </w:tc>
        <w:tc>
          <w:tcPr>
            <w:tcW w:w="503" w:type="pct"/>
            <w:shd w:val="clear" w:color="auto" w:fill="auto"/>
          </w:tcPr>
          <w:p w:rsidR="000F2660" w:rsidRPr="00BD2B3E" w:rsidRDefault="000F2660" w:rsidP="008B63A3">
            <w:pPr>
              <w:pStyle w:val="TableBodyText"/>
              <w:rPr>
                <w:sz w:val="18"/>
                <w:szCs w:val="18"/>
              </w:rPr>
            </w:pPr>
            <w:r w:rsidRPr="00BD2B3E">
              <w:rPr>
                <w:sz w:val="18"/>
                <w:szCs w:val="18"/>
              </w:rPr>
              <w:t>132.2</w:t>
            </w:r>
          </w:p>
        </w:tc>
      </w:tr>
      <w:tr w:rsidR="000F2660" w:rsidTr="008B63A3">
        <w:trPr>
          <w:trHeight w:val="227"/>
        </w:trPr>
        <w:tc>
          <w:tcPr>
            <w:tcW w:w="1959" w:type="pct"/>
            <w:vAlign w:val="bottom"/>
          </w:tcPr>
          <w:p w:rsidR="000F2660" w:rsidRPr="00BD2B3E" w:rsidRDefault="000F2660" w:rsidP="00BD2B3E">
            <w:pPr>
              <w:pStyle w:val="TableBodyText"/>
              <w:ind w:left="0"/>
              <w:jc w:val="left"/>
              <w:rPr>
                <w:sz w:val="18"/>
                <w:szCs w:val="18"/>
              </w:rPr>
            </w:pPr>
            <w:r w:rsidRPr="00BD2B3E">
              <w:rPr>
                <w:sz w:val="18"/>
                <w:szCs w:val="18"/>
              </w:rPr>
              <w:t>Property, professional and administrative services</w:t>
            </w:r>
          </w:p>
        </w:tc>
        <w:tc>
          <w:tcPr>
            <w:tcW w:w="508" w:type="pct"/>
          </w:tcPr>
          <w:p w:rsidR="000F2660" w:rsidRPr="00BD2B3E" w:rsidRDefault="000F2660" w:rsidP="008B63A3">
            <w:pPr>
              <w:pStyle w:val="TableBodyText"/>
              <w:rPr>
                <w:sz w:val="18"/>
                <w:szCs w:val="18"/>
              </w:rPr>
            </w:pPr>
            <w:r w:rsidRPr="00BD2B3E">
              <w:rPr>
                <w:sz w:val="18"/>
                <w:szCs w:val="18"/>
              </w:rPr>
              <w:t>78.6</w:t>
            </w:r>
          </w:p>
        </w:tc>
        <w:tc>
          <w:tcPr>
            <w:tcW w:w="508" w:type="pct"/>
          </w:tcPr>
          <w:p w:rsidR="000F2660" w:rsidRPr="00BD2B3E" w:rsidRDefault="000F2660" w:rsidP="008B63A3">
            <w:pPr>
              <w:pStyle w:val="TableBodyText"/>
              <w:rPr>
                <w:sz w:val="18"/>
                <w:szCs w:val="18"/>
              </w:rPr>
            </w:pPr>
            <w:r w:rsidRPr="00BD2B3E">
              <w:rPr>
                <w:sz w:val="18"/>
                <w:szCs w:val="18"/>
              </w:rPr>
              <w:t>73.3</w:t>
            </w:r>
          </w:p>
        </w:tc>
        <w:tc>
          <w:tcPr>
            <w:tcW w:w="508" w:type="pct"/>
          </w:tcPr>
          <w:p w:rsidR="000F2660" w:rsidRPr="00BD2B3E" w:rsidRDefault="000F2660" w:rsidP="008B63A3">
            <w:pPr>
              <w:pStyle w:val="TableBodyText"/>
              <w:rPr>
                <w:sz w:val="18"/>
                <w:szCs w:val="18"/>
              </w:rPr>
            </w:pPr>
            <w:r w:rsidRPr="00BD2B3E">
              <w:rPr>
                <w:sz w:val="18"/>
                <w:szCs w:val="18"/>
              </w:rPr>
              <w:t>103.5</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139.0</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139.0</w:t>
            </w:r>
          </w:p>
        </w:tc>
        <w:tc>
          <w:tcPr>
            <w:tcW w:w="503" w:type="pct"/>
            <w:shd w:val="clear" w:color="auto" w:fill="auto"/>
          </w:tcPr>
          <w:p w:rsidR="000F2660" w:rsidRPr="00BD2B3E" w:rsidRDefault="000F2660" w:rsidP="008B63A3">
            <w:pPr>
              <w:pStyle w:val="TableBodyText"/>
              <w:rPr>
                <w:sz w:val="18"/>
                <w:szCs w:val="18"/>
              </w:rPr>
            </w:pPr>
            <w:r w:rsidRPr="00BD2B3E">
              <w:rPr>
                <w:sz w:val="18"/>
                <w:szCs w:val="18"/>
              </w:rPr>
              <w:t>137.6</w:t>
            </w:r>
          </w:p>
        </w:tc>
      </w:tr>
      <w:tr w:rsidR="000F2660" w:rsidTr="008B63A3">
        <w:trPr>
          <w:trHeight w:val="227"/>
        </w:trPr>
        <w:tc>
          <w:tcPr>
            <w:tcW w:w="1959" w:type="pct"/>
            <w:vAlign w:val="bottom"/>
          </w:tcPr>
          <w:p w:rsidR="000F2660" w:rsidRPr="00BD2B3E" w:rsidRDefault="000F2660" w:rsidP="00BD2B3E">
            <w:pPr>
              <w:pStyle w:val="TableBodyText"/>
              <w:ind w:left="0"/>
              <w:jc w:val="left"/>
              <w:rPr>
                <w:sz w:val="18"/>
                <w:szCs w:val="18"/>
              </w:rPr>
            </w:pPr>
            <w:r w:rsidRPr="00BD2B3E">
              <w:rPr>
                <w:sz w:val="18"/>
                <w:szCs w:val="18"/>
              </w:rPr>
              <w:t>Public administration and safety</w:t>
            </w:r>
          </w:p>
        </w:tc>
        <w:tc>
          <w:tcPr>
            <w:tcW w:w="508" w:type="pct"/>
          </w:tcPr>
          <w:p w:rsidR="000F2660" w:rsidRPr="00BD2B3E" w:rsidRDefault="000F2660" w:rsidP="008B63A3">
            <w:pPr>
              <w:pStyle w:val="TableBodyText"/>
              <w:rPr>
                <w:sz w:val="18"/>
                <w:szCs w:val="18"/>
              </w:rPr>
            </w:pPr>
            <w:r w:rsidRPr="00BD2B3E">
              <w:rPr>
                <w:sz w:val="18"/>
                <w:szCs w:val="18"/>
              </w:rPr>
              <w:t>0.9</w:t>
            </w:r>
          </w:p>
        </w:tc>
        <w:tc>
          <w:tcPr>
            <w:tcW w:w="508" w:type="pct"/>
          </w:tcPr>
          <w:p w:rsidR="000F2660" w:rsidRPr="00BD2B3E" w:rsidRDefault="000F2660" w:rsidP="008B63A3">
            <w:pPr>
              <w:pStyle w:val="TableBodyText"/>
              <w:rPr>
                <w:sz w:val="18"/>
                <w:szCs w:val="18"/>
              </w:rPr>
            </w:pPr>
            <w:r w:rsidRPr="00BD2B3E">
              <w:rPr>
                <w:sz w:val="18"/>
                <w:szCs w:val="18"/>
              </w:rPr>
              <w:t>0.6</w:t>
            </w:r>
          </w:p>
        </w:tc>
        <w:tc>
          <w:tcPr>
            <w:tcW w:w="508" w:type="pct"/>
          </w:tcPr>
          <w:p w:rsidR="000F2660" w:rsidRPr="00BD2B3E" w:rsidRDefault="000F2660" w:rsidP="008B63A3">
            <w:pPr>
              <w:pStyle w:val="TableBodyText"/>
              <w:rPr>
                <w:sz w:val="18"/>
                <w:szCs w:val="18"/>
              </w:rPr>
            </w:pPr>
            <w:r w:rsidRPr="00BD2B3E">
              <w:rPr>
                <w:sz w:val="18"/>
                <w:szCs w:val="18"/>
              </w:rPr>
              <w:t>0.5</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2.7</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2.7</w:t>
            </w:r>
          </w:p>
        </w:tc>
        <w:tc>
          <w:tcPr>
            <w:tcW w:w="503" w:type="pct"/>
            <w:shd w:val="clear" w:color="auto" w:fill="auto"/>
          </w:tcPr>
          <w:p w:rsidR="000F2660" w:rsidRPr="00BD2B3E" w:rsidRDefault="000F2660" w:rsidP="008B63A3">
            <w:pPr>
              <w:pStyle w:val="TableBodyText"/>
              <w:rPr>
                <w:sz w:val="18"/>
                <w:szCs w:val="18"/>
              </w:rPr>
            </w:pPr>
            <w:r w:rsidRPr="00BD2B3E">
              <w:rPr>
                <w:sz w:val="18"/>
                <w:szCs w:val="18"/>
              </w:rPr>
              <w:t>0.7</w:t>
            </w:r>
          </w:p>
        </w:tc>
      </w:tr>
      <w:tr w:rsidR="000F2660" w:rsidTr="008B63A3">
        <w:trPr>
          <w:trHeight w:val="227"/>
        </w:trPr>
        <w:tc>
          <w:tcPr>
            <w:tcW w:w="1959" w:type="pct"/>
            <w:vAlign w:val="bottom"/>
          </w:tcPr>
          <w:p w:rsidR="000F2660" w:rsidRPr="00BD2B3E" w:rsidRDefault="000F2660" w:rsidP="00BD2B3E">
            <w:pPr>
              <w:pStyle w:val="TableBodyText"/>
              <w:ind w:left="0"/>
              <w:jc w:val="left"/>
              <w:rPr>
                <w:sz w:val="18"/>
                <w:szCs w:val="18"/>
              </w:rPr>
            </w:pPr>
            <w:r w:rsidRPr="00BD2B3E">
              <w:rPr>
                <w:sz w:val="18"/>
                <w:szCs w:val="18"/>
              </w:rPr>
              <w:t>Education and training</w:t>
            </w:r>
          </w:p>
        </w:tc>
        <w:tc>
          <w:tcPr>
            <w:tcW w:w="508" w:type="pct"/>
          </w:tcPr>
          <w:p w:rsidR="000F2660" w:rsidRPr="00BD2B3E" w:rsidRDefault="000F2660" w:rsidP="008B63A3">
            <w:pPr>
              <w:pStyle w:val="TableBodyText"/>
              <w:rPr>
                <w:sz w:val="18"/>
                <w:szCs w:val="18"/>
              </w:rPr>
            </w:pPr>
            <w:r w:rsidRPr="00BD2B3E">
              <w:rPr>
                <w:sz w:val="18"/>
                <w:szCs w:val="18"/>
              </w:rPr>
              <w:t>0.4</w:t>
            </w:r>
          </w:p>
        </w:tc>
        <w:tc>
          <w:tcPr>
            <w:tcW w:w="508" w:type="pct"/>
          </w:tcPr>
          <w:p w:rsidR="000F2660" w:rsidRPr="00BD2B3E" w:rsidRDefault="000F2660" w:rsidP="008B63A3">
            <w:pPr>
              <w:pStyle w:val="TableBodyText"/>
              <w:rPr>
                <w:sz w:val="18"/>
                <w:szCs w:val="18"/>
              </w:rPr>
            </w:pPr>
            <w:r w:rsidRPr="00BD2B3E">
              <w:rPr>
                <w:sz w:val="18"/>
                <w:szCs w:val="18"/>
              </w:rPr>
              <w:t>0.6</w:t>
            </w:r>
          </w:p>
        </w:tc>
        <w:tc>
          <w:tcPr>
            <w:tcW w:w="508" w:type="pct"/>
          </w:tcPr>
          <w:p w:rsidR="000F2660" w:rsidRPr="00BD2B3E" w:rsidRDefault="000F2660" w:rsidP="008B63A3">
            <w:pPr>
              <w:pStyle w:val="TableBodyText"/>
              <w:rPr>
                <w:sz w:val="18"/>
                <w:szCs w:val="18"/>
              </w:rPr>
            </w:pPr>
            <w:r w:rsidRPr="00BD2B3E">
              <w:rPr>
                <w:sz w:val="18"/>
                <w:szCs w:val="18"/>
              </w:rPr>
              <w:t>0.4</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0.6</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0.6</w:t>
            </w:r>
          </w:p>
        </w:tc>
        <w:tc>
          <w:tcPr>
            <w:tcW w:w="503" w:type="pct"/>
            <w:shd w:val="clear" w:color="auto" w:fill="auto"/>
          </w:tcPr>
          <w:p w:rsidR="000F2660" w:rsidRPr="00BD2B3E" w:rsidRDefault="000F2660" w:rsidP="008B63A3">
            <w:pPr>
              <w:pStyle w:val="TableBodyText"/>
              <w:rPr>
                <w:sz w:val="18"/>
                <w:szCs w:val="18"/>
              </w:rPr>
            </w:pPr>
            <w:r w:rsidRPr="00BD2B3E">
              <w:rPr>
                <w:sz w:val="18"/>
                <w:szCs w:val="18"/>
              </w:rPr>
              <w:t>0.6</w:t>
            </w:r>
          </w:p>
        </w:tc>
      </w:tr>
      <w:tr w:rsidR="000F2660" w:rsidTr="008B63A3">
        <w:trPr>
          <w:trHeight w:val="227"/>
        </w:trPr>
        <w:tc>
          <w:tcPr>
            <w:tcW w:w="1959" w:type="pct"/>
            <w:vAlign w:val="bottom"/>
          </w:tcPr>
          <w:p w:rsidR="000F2660" w:rsidRPr="00BD2B3E" w:rsidRDefault="000F2660" w:rsidP="00BD2B3E">
            <w:pPr>
              <w:pStyle w:val="TableBodyText"/>
              <w:ind w:left="0"/>
              <w:jc w:val="left"/>
              <w:rPr>
                <w:sz w:val="18"/>
                <w:szCs w:val="18"/>
              </w:rPr>
            </w:pPr>
            <w:r w:rsidRPr="00BD2B3E">
              <w:rPr>
                <w:sz w:val="18"/>
                <w:szCs w:val="18"/>
              </w:rPr>
              <w:t>Health care and social assistance</w:t>
            </w:r>
          </w:p>
        </w:tc>
        <w:tc>
          <w:tcPr>
            <w:tcW w:w="508" w:type="pct"/>
          </w:tcPr>
          <w:p w:rsidR="000F2660" w:rsidRPr="00BD2B3E" w:rsidRDefault="000F2660" w:rsidP="008B63A3">
            <w:pPr>
              <w:pStyle w:val="TableBodyText"/>
              <w:rPr>
                <w:sz w:val="18"/>
                <w:szCs w:val="18"/>
              </w:rPr>
            </w:pPr>
            <w:r w:rsidRPr="00BD2B3E">
              <w:rPr>
                <w:sz w:val="18"/>
                <w:szCs w:val="18"/>
              </w:rPr>
              <w:t>1.7</w:t>
            </w:r>
          </w:p>
        </w:tc>
        <w:tc>
          <w:tcPr>
            <w:tcW w:w="508" w:type="pct"/>
          </w:tcPr>
          <w:p w:rsidR="000F2660" w:rsidRPr="00BD2B3E" w:rsidRDefault="000F2660" w:rsidP="008B63A3">
            <w:pPr>
              <w:pStyle w:val="TableBodyText"/>
              <w:rPr>
                <w:sz w:val="18"/>
                <w:szCs w:val="18"/>
              </w:rPr>
            </w:pPr>
            <w:r w:rsidRPr="00BD2B3E">
              <w:rPr>
                <w:sz w:val="18"/>
                <w:szCs w:val="18"/>
              </w:rPr>
              <w:t>1.6</w:t>
            </w:r>
          </w:p>
        </w:tc>
        <w:tc>
          <w:tcPr>
            <w:tcW w:w="508" w:type="pct"/>
          </w:tcPr>
          <w:p w:rsidR="000F2660" w:rsidRPr="00BD2B3E" w:rsidRDefault="000F2660" w:rsidP="008B63A3">
            <w:pPr>
              <w:pStyle w:val="TableBodyText"/>
              <w:rPr>
                <w:sz w:val="18"/>
                <w:szCs w:val="18"/>
              </w:rPr>
            </w:pPr>
            <w:r w:rsidRPr="00BD2B3E">
              <w:rPr>
                <w:sz w:val="18"/>
                <w:szCs w:val="18"/>
              </w:rPr>
              <w:t>2.6</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3.6</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3.6</w:t>
            </w:r>
          </w:p>
        </w:tc>
        <w:tc>
          <w:tcPr>
            <w:tcW w:w="503" w:type="pct"/>
            <w:shd w:val="clear" w:color="auto" w:fill="auto"/>
          </w:tcPr>
          <w:p w:rsidR="000F2660" w:rsidRPr="00BD2B3E" w:rsidRDefault="000F2660" w:rsidP="008B63A3">
            <w:pPr>
              <w:pStyle w:val="TableBodyText"/>
              <w:rPr>
                <w:sz w:val="18"/>
                <w:szCs w:val="18"/>
              </w:rPr>
            </w:pPr>
            <w:r w:rsidRPr="00BD2B3E">
              <w:rPr>
                <w:sz w:val="18"/>
                <w:szCs w:val="18"/>
              </w:rPr>
              <w:t>3.5</w:t>
            </w:r>
          </w:p>
        </w:tc>
      </w:tr>
      <w:tr w:rsidR="000F2660" w:rsidTr="008B63A3">
        <w:trPr>
          <w:trHeight w:val="227"/>
        </w:trPr>
        <w:tc>
          <w:tcPr>
            <w:tcW w:w="1959" w:type="pct"/>
            <w:vAlign w:val="bottom"/>
          </w:tcPr>
          <w:p w:rsidR="000F2660" w:rsidRPr="00BD2B3E" w:rsidRDefault="000F2660" w:rsidP="00BD2B3E">
            <w:pPr>
              <w:pStyle w:val="TableBodyText"/>
              <w:ind w:left="0"/>
              <w:jc w:val="left"/>
              <w:rPr>
                <w:sz w:val="18"/>
                <w:szCs w:val="18"/>
              </w:rPr>
            </w:pPr>
            <w:r w:rsidRPr="00BD2B3E">
              <w:rPr>
                <w:sz w:val="18"/>
                <w:szCs w:val="18"/>
              </w:rPr>
              <w:t>Arts and recreation services</w:t>
            </w:r>
          </w:p>
        </w:tc>
        <w:tc>
          <w:tcPr>
            <w:tcW w:w="508" w:type="pct"/>
          </w:tcPr>
          <w:p w:rsidR="000F2660" w:rsidRPr="00BD2B3E" w:rsidRDefault="000F2660" w:rsidP="008B63A3">
            <w:pPr>
              <w:pStyle w:val="TableBodyText"/>
              <w:rPr>
                <w:sz w:val="18"/>
                <w:szCs w:val="18"/>
              </w:rPr>
            </w:pPr>
            <w:r w:rsidRPr="00BD2B3E">
              <w:rPr>
                <w:sz w:val="18"/>
                <w:szCs w:val="18"/>
              </w:rPr>
              <w:t>0.2</w:t>
            </w:r>
          </w:p>
        </w:tc>
        <w:tc>
          <w:tcPr>
            <w:tcW w:w="508" w:type="pct"/>
          </w:tcPr>
          <w:p w:rsidR="000F2660" w:rsidRPr="00BD2B3E" w:rsidRDefault="000F2660" w:rsidP="008B63A3">
            <w:pPr>
              <w:pStyle w:val="TableBodyText"/>
              <w:rPr>
                <w:sz w:val="18"/>
                <w:szCs w:val="18"/>
              </w:rPr>
            </w:pPr>
            <w:r w:rsidRPr="00BD2B3E">
              <w:rPr>
                <w:sz w:val="18"/>
                <w:szCs w:val="18"/>
              </w:rPr>
              <w:t>0.2</w:t>
            </w:r>
          </w:p>
        </w:tc>
        <w:tc>
          <w:tcPr>
            <w:tcW w:w="508" w:type="pct"/>
          </w:tcPr>
          <w:p w:rsidR="000F2660" w:rsidRPr="00BD2B3E" w:rsidRDefault="000F2660" w:rsidP="008B63A3">
            <w:pPr>
              <w:pStyle w:val="TableBodyText"/>
              <w:rPr>
                <w:sz w:val="18"/>
                <w:szCs w:val="18"/>
              </w:rPr>
            </w:pPr>
            <w:r w:rsidRPr="00BD2B3E">
              <w:rPr>
                <w:sz w:val="18"/>
                <w:szCs w:val="18"/>
              </w:rPr>
              <w:t>0.8</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1.4</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1.4</w:t>
            </w:r>
          </w:p>
        </w:tc>
        <w:tc>
          <w:tcPr>
            <w:tcW w:w="503" w:type="pct"/>
            <w:shd w:val="clear" w:color="auto" w:fill="auto"/>
          </w:tcPr>
          <w:p w:rsidR="000F2660" w:rsidRPr="00BD2B3E" w:rsidRDefault="000F2660" w:rsidP="008B63A3">
            <w:pPr>
              <w:pStyle w:val="TableBodyText"/>
              <w:rPr>
                <w:sz w:val="18"/>
                <w:szCs w:val="18"/>
              </w:rPr>
            </w:pPr>
            <w:r w:rsidRPr="00BD2B3E">
              <w:rPr>
                <w:sz w:val="18"/>
                <w:szCs w:val="18"/>
              </w:rPr>
              <w:t>1.4</w:t>
            </w:r>
          </w:p>
        </w:tc>
      </w:tr>
      <w:tr w:rsidR="000F2660" w:rsidTr="008B63A3">
        <w:trPr>
          <w:trHeight w:val="227"/>
        </w:trPr>
        <w:tc>
          <w:tcPr>
            <w:tcW w:w="1959" w:type="pct"/>
            <w:vAlign w:val="bottom"/>
          </w:tcPr>
          <w:p w:rsidR="000F2660" w:rsidRPr="00BD2B3E" w:rsidRDefault="000F2660" w:rsidP="00BD2B3E">
            <w:pPr>
              <w:pStyle w:val="TableBodyText"/>
              <w:ind w:left="0"/>
              <w:jc w:val="left"/>
              <w:rPr>
                <w:sz w:val="18"/>
                <w:szCs w:val="18"/>
              </w:rPr>
            </w:pPr>
            <w:r w:rsidRPr="00BD2B3E">
              <w:rPr>
                <w:sz w:val="18"/>
                <w:szCs w:val="18"/>
              </w:rPr>
              <w:t>Other services</w:t>
            </w:r>
          </w:p>
        </w:tc>
        <w:tc>
          <w:tcPr>
            <w:tcW w:w="508" w:type="pct"/>
          </w:tcPr>
          <w:p w:rsidR="000F2660" w:rsidRPr="00BD2B3E" w:rsidRDefault="000F2660" w:rsidP="008B63A3">
            <w:pPr>
              <w:pStyle w:val="TableBodyText"/>
              <w:rPr>
                <w:sz w:val="18"/>
                <w:szCs w:val="18"/>
              </w:rPr>
            </w:pPr>
            <w:r w:rsidRPr="00BD2B3E">
              <w:rPr>
                <w:sz w:val="18"/>
                <w:szCs w:val="18"/>
              </w:rPr>
              <w:t>2.8</w:t>
            </w:r>
          </w:p>
        </w:tc>
        <w:tc>
          <w:tcPr>
            <w:tcW w:w="508" w:type="pct"/>
          </w:tcPr>
          <w:p w:rsidR="000F2660" w:rsidRPr="00BD2B3E" w:rsidRDefault="000F2660" w:rsidP="008B63A3">
            <w:pPr>
              <w:pStyle w:val="TableBodyText"/>
              <w:rPr>
                <w:sz w:val="18"/>
                <w:szCs w:val="18"/>
              </w:rPr>
            </w:pPr>
            <w:r w:rsidRPr="00BD2B3E">
              <w:rPr>
                <w:sz w:val="18"/>
                <w:szCs w:val="18"/>
              </w:rPr>
              <w:t>2.9</w:t>
            </w:r>
          </w:p>
        </w:tc>
        <w:tc>
          <w:tcPr>
            <w:tcW w:w="508" w:type="pct"/>
          </w:tcPr>
          <w:p w:rsidR="000F2660" w:rsidRPr="00BD2B3E" w:rsidRDefault="000F2660" w:rsidP="008B63A3">
            <w:pPr>
              <w:pStyle w:val="TableBodyText"/>
              <w:rPr>
                <w:sz w:val="18"/>
                <w:szCs w:val="18"/>
              </w:rPr>
            </w:pPr>
            <w:r w:rsidRPr="00BD2B3E">
              <w:rPr>
                <w:sz w:val="18"/>
                <w:szCs w:val="18"/>
              </w:rPr>
              <w:t>3.7</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4.9</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4.9</w:t>
            </w:r>
          </w:p>
        </w:tc>
        <w:tc>
          <w:tcPr>
            <w:tcW w:w="503" w:type="pct"/>
            <w:shd w:val="clear" w:color="auto" w:fill="auto"/>
          </w:tcPr>
          <w:p w:rsidR="000F2660" w:rsidRPr="00BD2B3E" w:rsidRDefault="000F2660" w:rsidP="008B63A3">
            <w:pPr>
              <w:pStyle w:val="TableBodyText"/>
              <w:rPr>
                <w:sz w:val="18"/>
                <w:szCs w:val="18"/>
              </w:rPr>
            </w:pPr>
            <w:r w:rsidRPr="00BD2B3E">
              <w:rPr>
                <w:sz w:val="18"/>
                <w:szCs w:val="18"/>
              </w:rPr>
              <w:t>4.7</w:t>
            </w:r>
          </w:p>
        </w:tc>
      </w:tr>
      <w:tr w:rsidR="000F2660" w:rsidTr="008B63A3">
        <w:trPr>
          <w:trHeight w:val="227"/>
        </w:trPr>
        <w:tc>
          <w:tcPr>
            <w:tcW w:w="1959" w:type="pct"/>
            <w:vAlign w:val="bottom"/>
          </w:tcPr>
          <w:p w:rsidR="000F2660" w:rsidRPr="00BD2B3E" w:rsidRDefault="000F2660" w:rsidP="008B63A3">
            <w:pPr>
              <w:pStyle w:val="TableBodyText"/>
              <w:jc w:val="left"/>
              <w:rPr>
                <w:sz w:val="18"/>
                <w:szCs w:val="18"/>
              </w:rPr>
            </w:pPr>
            <w:r w:rsidRPr="00BD2B3E">
              <w:rPr>
                <w:sz w:val="18"/>
                <w:szCs w:val="18"/>
              </w:rPr>
              <w:t>Unallocated other</w:t>
            </w:r>
            <w:r w:rsidRPr="00BD2B3E">
              <w:rPr>
                <w:rStyle w:val="NoteLabel"/>
                <w:szCs w:val="18"/>
              </w:rPr>
              <w:t>a</w:t>
            </w:r>
          </w:p>
        </w:tc>
        <w:tc>
          <w:tcPr>
            <w:tcW w:w="508" w:type="pct"/>
          </w:tcPr>
          <w:p w:rsidR="000F2660" w:rsidRPr="00BD2B3E" w:rsidRDefault="000F2660" w:rsidP="008B63A3">
            <w:pPr>
              <w:pStyle w:val="TableBodyText"/>
              <w:rPr>
                <w:sz w:val="18"/>
                <w:szCs w:val="18"/>
              </w:rPr>
            </w:pPr>
            <w:r w:rsidRPr="00BD2B3E">
              <w:rPr>
                <w:sz w:val="18"/>
                <w:szCs w:val="18"/>
              </w:rPr>
              <w:t>2.8</w:t>
            </w:r>
          </w:p>
        </w:tc>
        <w:tc>
          <w:tcPr>
            <w:tcW w:w="508" w:type="pct"/>
          </w:tcPr>
          <w:p w:rsidR="000F2660" w:rsidRPr="00BD2B3E" w:rsidRDefault="000F2660" w:rsidP="008B63A3">
            <w:pPr>
              <w:pStyle w:val="TableBodyText"/>
              <w:rPr>
                <w:sz w:val="18"/>
                <w:szCs w:val="18"/>
              </w:rPr>
            </w:pPr>
            <w:r w:rsidRPr="00BD2B3E">
              <w:rPr>
                <w:sz w:val="18"/>
                <w:szCs w:val="18"/>
              </w:rPr>
              <w:t>4.7</w:t>
            </w:r>
          </w:p>
        </w:tc>
        <w:tc>
          <w:tcPr>
            <w:tcW w:w="508" w:type="pct"/>
          </w:tcPr>
          <w:p w:rsidR="000F2660" w:rsidRPr="00BD2B3E" w:rsidRDefault="000F2660" w:rsidP="008B63A3">
            <w:pPr>
              <w:pStyle w:val="TableBodyText"/>
              <w:rPr>
                <w:sz w:val="18"/>
                <w:szCs w:val="18"/>
              </w:rPr>
            </w:pPr>
            <w:r w:rsidRPr="00BD2B3E">
              <w:rPr>
                <w:sz w:val="18"/>
                <w:szCs w:val="18"/>
              </w:rPr>
              <w:t>7.0</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12.4</w:t>
            </w:r>
          </w:p>
        </w:tc>
        <w:tc>
          <w:tcPr>
            <w:tcW w:w="508" w:type="pct"/>
            <w:shd w:val="clear" w:color="auto" w:fill="auto"/>
          </w:tcPr>
          <w:p w:rsidR="000F2660" w:rsidRPr="00BD2B3E" w:rsidRDefault="000F2660" w:rsidP="008B63A3">
            <w:pPr>
              <w:pStyle w:val="TableBodyText"/>
              <w:rPr>
                <w:sz w:val="18"/>
                <w:szCs w:val="18"/>
              </w:rPr>
            </w:pPr>
            <w:r w:rsidRPr="00BD2B3E">
              <w:rPr>
                <w:sz w:val="18"/>
                <w:szCs w:val="18"/>
              </w:rPr>
              <w:t>12.4</w:t>
            </w:r>
          </w:p>
        </w:tc>
        <w:tc>
          <w:tcPr>
            <w:tcW w:w="503" w:type="pct"/>
            <w:shd w:val="clear" w:color="auto" w:fill="auto"/>
          </w:tcPr>
          <w:p w:rsidR="000F2660" w:rsidRPr="00BD2B3E" w:rsidRDefault="000F2660" w:rsidP="008B63A3">
            <w:pPr>
              <w:pStyle w:val="TableBodyText"/>
              <w:rPr>
                <w:sz w:val="18"/>
                <w:szCs w:val="18"/>
              </w:rPr>
            </w:pPr>
            <w:r w:rsidRPr="00BD2B3E">
              <w:rPr>
                <w:sz w:val="18"/>
                <w:szCs w:val="18"/>
              </w:rPr>
              <w:t>12.1</w:t>
            </w:r>
          </w:p>
        </w:tc>
      </w:tr>
      <w:tr w:rsidR="000F2660" w:rsidTr="008B63A3">
        <w:trPr>
          <w:trHeight w:val="227"/>
        </w:trPr>
        <w:tc>
          <w:tcPr>
            <w:tcW w:w="1959" w:type="pct"/>
            <w:tcBorders>
              <w:bottom w:val="single" w:sz="4" w:space="0" w:color="auto"/>
            </w:tcBorders>
            <w:vAlign w:val="bottom"/>
          </w:tcPr>
          <w:p w:rsidR="000F2660" w:rsidRPr="00BD2B3E" w:rsidRDefault="000F2660" w:rsidP="008B63A3">
            <w:pPr>
              <w:pStyle w:val="TableBodyText"/>
              <w:jc w:val="left"/>
              <w:rPr>
                <w:b/>
                <w:bCs/>
                <w:sz w:val="18"/>
                <w:szCs w:val="18"/>
              </w:rPr>
            </w:pPr>
            <w:r w:rsidRPr="00BD2B3E">
              <w:rPr>
                <w:b/>
                <w:bCs/>
                <w:sz w:val="18"/>
                <w:szCs w:val="18"/>
              </w:rPr>
              <w:t>Total</w:t>
            </w:r>
          </w:p>
        </w:tc>
        <w:tc>
          <w:tcPr>
            <w:tcW w:w="508" w:type="pct"/>
            <w:tcBorders>
              <w:bottom w:val="single" w:sz="4" w:space="0" w:color="auto"/>
            </w:tcBorders>
          </w:tcPr>
          <w:p w:rsidR="000F2660" w:rsidRPr="00BD2B3E" w:rsidRDefault="000F2660" w:rsidP="008B63A3">
            <w:pPr>
              <w:pStyle w:val="TableBodyText"/>
              <w:rPr>
                <w:b/>
                <w:sz w:val="18"/>
                <w:szCs w:val="18"/>
              </w:rPr>
            </w:pPr>
            <w:r w:rsidRPr="00BD2B3E">
              <w:rPr>
                <w:b/>
                <w:sz w:val="18"/>
                <w:szCs w:val="18"/>
              </w:rPr>
              <w:t>430.0</w:t>
            </w:r>
          </w:p>
        </w:tc>
        <w:tc>
          <w:tcPr>
            <w:tcW w:w="508" w:type="pct"/>
            <w:tcBorders>
              <w:bottom w:val="single" w:sz="4" w:space="0" w:color="auto"/>
            </w:tcBorders>
          </w:tcPr>
          <w:p w:rsidR="000F2660" w:rsidRPr="00BD2B3E" w:rsidRDefault="000F2660" w:rsidP="008B63A3">
            <w:pPr>
              <w:pStyle w:val="TableBodyText"/>
              <w:rPr>
                <w:b/>
                <w:sz w:val="18"/>
                <w:szCs w:val="18"/>
              </w:rPr>
            </w:pPr>
            <w:r w:rsidRPr="00BD2B3E">
              <w:rPr>
                <w:b/>
                <w:sz w:val="18"/>
                <w:szCs w:val="18"/>
              </w:rPr>
              <w:t>480.0</w:t>
            </w:r>
          </w:p>
        </w:tc>
        <w:tc>
          <w:tcPr>
            <w:tcW w:w="508" w:type="pct"/>
            <w:tcBorders>
              <w:bottom w:val="single" w:sz="4" w:space="0" w:color="auto"/>
            </w:tcBorders>
          </w:tcPr>
          <w:p w:rsidR="000F2660" w:rsidRPr="00BD2B3E" w:rsidRDefault="000F2660" w:rsidP="008B63A3">
            <w:pPr>
              <w:pStyle w:val="TableBodyText"/>
              <w:rPr>
                <w:b/>
                <w:sz w:val="18"/>
                <w:szCs w:val="18"/>
              </w:rPr>
            </w:pPr>
            <w:r w:rsidRPr="00BD2B3E">
              <w:rPr>
                <w:b/>
                <w:sz w:val="18"/>
                <w:szCs w:val="18"/>
              </w:rPr>
              <w:t>700.0</w:t>
            </w:r>
          </w:p>
        </w:tc>
        <w:tc>
          <w:tcPr>
            <w:tcW w:w="508" w:type="pct"/>
            <w:tcBorders>
              <w:bottom w:val="single" w:sz="4" w:space="0" w:color="auto"/>
            </w:tcBorders>
            <w:shd w:val="clear" w:color="auto" w:fill="auto"/>
          </w:tcPr>
          <w:p w:rsidR="000F2660" w:rsidRPr="00BD2B3E" w:rsidRDefault="000F2660" w:rsidP="008B63A3">
            <w:pPr>
              <w:pStyle w:val="TableBodyText"/>
              <w:rPr>
                <w:b/>
                <w:sz w:val="18"/>
                <w:szCs w:val="18"/>
              </w:rPr>
            </w:pPr>
            <w:r w:rsidRPr="00BD2B3E">
              <w:rPr>
                <w:b/>
                <w:sz w:val="18"/>
                <w:szCs w:val="18"/>
              </w:rPr>
              <w:t>890.0</w:t>
            </w:r>
          </w:p>
        </w:tc>
        <w:tc>
          <w:tcPr>
            <w:tcW w:w="508" w:type="pct"/>
            <w:tcBorders>
              <w:bottom w:val="single" w:sz="4" w:space="0" w:color="auto"/>
            </w:tcBorders>
            <w:shd w:val="clear" w:color="auto" w:fill="auto"/>
          </w:tcPr>
          <w:p w:rsidR="000F2660" w:rsidRPr="00BD2B3E" w:rsidRDefault="000F2660" w:rsidP="008B63A3">
            <w:pPr>
              <w:pStyle w:val="TableBodyText"/>
              <w:rPr>
                <w:b/>
                <w:sz w:val="18"/>
                <w:szCs w:val="18"/>
              </w:rPr>
            </w:pPr>
            <w:r w:rsidRPr="00BD2B3E">
              <w:rPr>
                <w:b/>
                <w:sz w:val="18"/>
                <w:szCs w:val="18"/>
              </w:rPr>
              <w:t>890.0</w:t>
            </w:r>
          </w:p>
        </w:tc>
        <w:tc>
          <w:tcPr>
            <w:tcW w:w="503" w:type="pct"/>
            <w:tcBorders>
              <w:bottom w:val="single" w:sz="4" w:space="0" w:color="auto"/>
            </w:tcBorders>
            <w:shd w:val="clear" w:color="auto" w:fill="auto"/>
          </w:tcPr>
          <w:p w:rsidR="000F2660" w:rsidRPr="00BD2B3E" w:rsidRDefault="000F2660" w:rsidP="008B63A3">
            <w:pPr>
              <w:pStyle w:val="TableBodyText"/>
              <w:rPr>
                <w:b/>
                <w:sz w:val="18"/>
                <w:szCs w:val="18"/>
              </w:rPr>
            </w:pPr>
            <w:r w:rsidRPr="00BD2B3E">
              <w:rPr>
                <w:b/>
                <w:sz w:val="18"/>
                <w:szCs w:val="18"/>
              </w:rPr>
              <w:t>860.0</w:t>
            </w:r>
          </w:p>
        </w:tc>
      </w:tr>
    </w:tbl>
    <w:p w:rsidR="000F2660" w:rsidRDefault="000F2660" w:rsidP="000F2660">
      <w:pPr>
        <w:pStyle w:val="Note"/>
      </w:pPr>
      <w:r w:rsidRPr="00EC408E">
        <w:t xml:space="preserve">– </w:t>
      </w:r>
      <w:r>
        <w:t>Nil</w:t>
      </w:r>
      <w:r w:rsidRPr="00EC408E">
        <w:t xml:space="preserve">. </w:t>
      </w:r>
      <w:r w:rsidRPr="008E77FE">
        <w:rPr>
          <w:rStyle w:val="NoteLabel"/>
        </w:rPr>
        <w:t>a</w:t>
      </w:r>
      <w:r w:rsidRPr="00EC408E">
        <w:t xml:space="preserve"> Unallocated includes general programs where details of beneficiaries are unknown</w:t>
      </w:r>
      <w:r>
        <w:t>.</w:t>
      </w:r>
    </w:p>
    <w:p w:rsidR="000F2660" w:rsidRPr="008E77FE" w:rsidRDefault="000F2660" w:rsidP="000F2660">
      <w:pPr>
        <w:pStyle w:val="Source"/>
      </w:pPr>
      <w:r>
        <w:rPr>
          <w:i/>
        </w:rPr>
        <w:t>Sources</w:t>
      </w:r>
      <w:r>
        <w:t>: Commission estimates based on Tax Expenditure Statement 2012, Australian Government 2013, p</w:t>
      </w:r>
      <w:r w:rsidR="00446AD2">
        <w:t>.</w:t>
      </w:r>
      <w:r>
        <w:t xml:space="preserve"> 115, item B103; Industry classification derived from detailed ATO data by ANZSIC industry; and ABS Cat. </w:t>
      </w:r>
      <w:r w:rsidR="00C7652A">
        <w:t>n</w:t>
      </w:r>
      <w:r>
        <w:t xml:space="preserve">o. 8104.0, Business expenditure on R&amp;D, by ANZSIC 2006 industry subdivision </w:t>
      </w:r>
      <w:r>
        <w:noBreakHyphen/>
        <w:t xml:space="preserve"> by source of funds.</w:t>
      </w:r>
    </w:p>
    <w:p w:rsidR="00DB26D2" w:rsidRPr="00E355E0" w:rsidRDefault="00FA09C3" w:rsidP="00E355E0">
      <w:pPr>
        <w:pStyle w:val="Heading2"/>
      </w:pPr>
      <w:bookmarkStart w:id="4" w:name="begin"/>
      <w:bookmarkEnd w:id="4"/>
      <w:r>
        <w:lastRenderedPageBreak/>
        <w:t>A.</w:t>
      </w:r>
      <w:r>
        <w:rPr>
          <w:noProof/>
        </w:rPr>
        <w:t>3</w:t>
      </w:r>
      <w:r w:rsidR="00D55623">
        <w:tab/>
      </w:r>
      <w:r w:rsidR="006F0ECE" w:rsidRPr="00E355E0">
        <w:t>The Small Business and General Business Tax Break</w:t>
      </w:r>
    </w:p>
    <w:p w:rsidR="00E355E0" w:rsidRDefault="00E355E0" w:rsidP="00E355E0">
      <w:pPr>
        <w:pStyle w:val="BodyText"/>
      </w:pPr>
      <w:r w:rsidRPr="00E355E0">
        <w:t>The Small Business and General Business Tax Break (SBGBTB) was first announced in December</w:t>
      </w:r>
      <w:r w:rsidR="00FB0A95">
        <w:t> </w:t>
      </w:r>
      <w:r w:rsidRPr="00E355E0">
        <w:t>2008 as part of the Nation Building Package, an Australian Government response to t</w:t>
      </w:r>
      <w:r w:rsidR="007D40BF">
        <w:t>he global financial crisis, and</w:t>
      </w:r>
      <w:r w:rsidRPr="00E355E0">
        <w:t xml:space="preserve"> </w:t>
      </w:r>
      <w:r w:rsidR="00446AD2">
        <w:t xml:space="preserve">was modified </w:t>
      </w:r>
      <w:r w:rsidRPr="00E355E0">
        <w:t>in February</w:t>
      </w:r>
      <w:r w:rsidR="00FB0A95">
        <w:t> </w:t>
      </w:r>
      <w:r w:rsidRPr="00E355E0">
        <w:t xml:space="preserve">2009 as part </w:t>
      </w:r>
      <w:r w:rsidRPr="005661D8">
        <w:t xml:space="preserve">of the Nation Building and Jobs Plan (PC 2009). The Tax Break is an investment allowance that provides a tax deduction for investing in new tangible depreciating </w:t>
      </w:r>
      <w:r w:rsidRPr="00DD3B0A">
        <w:t>assets</w:t>
      </w:r>
      <w:r w:rsidR="008A7717" w:rsidRPr="00DD3B0A">
        <w:t xml:space="preserve"> (</w:t>
      </w:r>
      <w:r w:rsidR="00734336" w:rsidRPr="006D248C">
        <w:t>Tax Expenditure Statement, Australian Government</w:t>
      </w:r>
      <w:r w:rsidR="00DD3B0A">
        <w:t> </w:t>
      </w:r>
      <w:r w:rsidR="00734336" w:rsidRPr="006D248C">
        <w:t>2013</w:t>
      </w:r>
      <w:r w:rsidR="008A7717" w:rsidRPr="006D248C">
        <w:t>, item B106</w:t>
      </w:r>
      <w:r w:rsidR="008A7717" w:rsidRPr="00DD3B0A">
        <w:t>)</w:t>
      </w:r>
      <w:r w:rsidRPr="00DD3B0A">
        <w:t xml:space="preserve">. The size </w:t>
      </w:r>
      <w:r w:rsidRPr="005661D8">
        <w:t xml:space="preserve">of the concession in percentage terms varies according to </w:t>
      </w:r>
      <w:r w:rsidR="00446AD2">
        <w:t>a</w:t>
      </w:r>
      <w:r w:rsidR="00446AD2" w:rsidRPr="005661D8">
        <w:t xml:space="preserve"> </w:t>
      </w:r>
      <w:r w:rsidRPr="005661D8">
        <w:t xml:space="preserve">business’ turnover as well as </w:t>
      </w:r>
      <w:r w:rsidR="00C93CDE" w:rsidRPr="005661D8">
        <w:t xml:space="preserve">with the timing of the eligible </w:t>
      </w:r>
      <w:r w:rsidRPr="005661D8">
        <w:t>invest</w:t>
      </w:r>
      <w:r w:rsidR="00C93CDE" w:rsidRPr="005661D8">
        <w:t>ment</w:t>
      </w:r>
      <w:r w:rsidR="00FB0A95" w:rsidRPr="005661D8">
        <w:t>.</w:t>
      </w:r>
    </w:p>
    <w:p w:rsidR="00DF61AA" w:rsidRPr="00831B4E" w:rsidRDefault="00DF61AA" w:rsidP="00831B4E">
      <w:pPr>
        <w:pStyle w:val="BodyText"/>
      </w:pPr>
      <w:r w:rsidRPr="00831B4E">
        <w:t xml:space="preserve">Information on the industry incidence of the program has not been readily available. Accordingly, the taxation concession has been classified to the </w:t>
      </w:r>
      <w:r w:rsidRPr="00831B4E">
        <w:rPr>
          <w:i/>
        </w:rPr>
        <w:t>Unallocated other</w:t>
      </w:r>
      <w:r w:rsidRPr="00831B4E">
        <w:t xml:space="preserve"> industry grouping in the Commission’s ANZSIC-based classification (table A.</w:t>
      </w:r>
      <w:r w:rsidR="00C7652A" w:rsidRPr="00831B4E">
        <w:t>3</w:t>
      </w:r>
      <w:r w:rsidRPr="00831B4E">
        <w:t>).</w:t>
      </w:r>
    </w:p>
    <w:p w:rsidR="00EF6AE7" w:rsidRDefault="00EF6AE7" w:rsidP="00EF6AE7">
      <w:pPr>
        <w:pStyle w:val="TableTitle"/>
      </w:pPr>
      <w:r>
        <w:rPr>
          <w:b w:val="0"/>
        </w:rPr>
        <w:t xml:space="preserve">Table </w:t>
      </w:r>
      <w:r w:rsidR="00FA09C3">
        <w:rPr>
          <w:b w:val="0"/>
        </w:rPr>
        <w:t>A.</w:t>
      </w:r>
      <w:r w:rsidR="00FA09C3">
        <w:rPr>
          <w:b w:val="0"/>
          <w:noProof/>
        </w:rPr>
        <w:t>3</w:t>
      </w:r>
      <w:r>
        <w:tab/>
      </w:r>
      <w:r w:rsidR="00513119">
        <w:t xml:space="preserve">Allocation of </w:t>
      </w:r>
      <w:r w:rsidR="0037353C">
        <w:t xml:space="preserve">The </w:t>
      </w:r>
      <w:r>
        <w:t>Small Business and General Business Tax Break</w:t>
      </w:r>
      <w:r w:rsidR="000B37E1">
        <w:t xml:space="preserve"> to industry</w:t>
      </w:r>
      <w:r w:rsidR="00513119">
        <w:t xml:space="preserve">, </w:t>
      </w:r>
      <w:r w:rsidR="0081643E">
        <w:t>2006</w:t>
      </w:r>
      <w:r w:rsidR="0081643E">
        <w:noBreakHyphen/>
        <w:t>07 to 2011</w:t>
      </w:r>
      <w:r w:rsidR="0081643E">
        <w:noBreakHyphen/>
        <w:t>12</w:t>
      </w:r>
    </w:p>
    <w:p w:rsidR="00EF6AE7" w:rsidRDefault="0059534A" w:rsidP="00EF6AE7">
      <w:pPr>
        <w:pStyle w:val="Subtitle"/>
      </w:pPr>
      <w:r>
        <w:t>$ million</w:t>
      </w:r>
      <w:r w:rsidR="00513119">
        <w:t xml:space="preserve"> (nominal)</w:t>
      </w:r>
    </w:p>
    <w:tbl>
      <w:tblPr>
        <w:tblW w:w="5000" w:type="pct"/>
        <w:tblCellMar>
          <w:left w:w="0" w:type="dxa"/>
          <w:right w:w="0" w:type="dxa"/>
        </w:tblCellMar>
        <w:tblLook w:val="0000" w:firstRow="0" w:lastRow="0" w:firstColumn="0" w:lastColumn="0" w:noHBand="0" w:noVBand="0"/>
      </w:tblPr>
      <w:tblGrid>
        <w:gridCol w:w="2803"/>
        <w:gridCol w:w="999"/>
        <w:gridCol w:w="998"/>
        <w:gridCol w:w="998"/>
        <w:gridCol w:w="998"/>
        <w:gridCol w:w="998"/>
        <w:gridCol w:w="995"/>
      </w:tblGrid>
      <w:tr w:rsidR="00CE5800" w:rsidRPr="00BD2B3E" w:rsidTr="00CE5800">
        <w:tc>
          <w:tcPr>
            <w:tcW w:w="1594" w:type="pct"/>
            <w:tcBorders>
              <w:top w:val="single" w:sz="6" w:space="0" w:color="auto"/>
              <w:bottom w:val="single" w:sz="6" w:space="0" w:color="auto"/>
            </w:tcBorders>
            <w:shd w:val="clear" w:color="auto" w:fill="auto"/>
          </w:tcPr>
          <w:p w:rsidR="00CE5800" w:rsidRPr="00BD2B3E" w:rsidRDefault="00CE5800" w:rsidP="00FB0A95">
            <w:pPr>
              <w:pStyle w:val="TableColumnHeading"/>
              <w:jc w:val="left"/>
              <w:rPr>
                <w:sz w:val="18"/>
                <w:szCs w:val="18"/>
              </w:rPr>
            </w:pPr>
            <w:r w:rsidRPr="00BD2B3E">
              <w:rPr>
                <w:sz w:val="18"/>
                <w:szCs w:val="18"/>
              </w:rPr>
              <w:t>Industry grouping</w:t>
            </w:r>
          </w:p>
        </w:tc>
        <w:tc>
          <w:tcPr>
            <w:tcW w:w="568" w:type="pct"/>
            <w:tcBorders>
              <w:top w:val="single" w:sz="6" w:space="0" w:color="auto"/>
              <w:bottom w:val="single" w:sz="6" w:space="0" w:color="auto"/>
            </w:tcBorders>
            <w:shd w:val="clear" w:color="auto" w:fill="auto"/>
          </w:tcPr>
          <w:p w:rsidR="00CE5800" w:rsidRPr="00BD2B3E" w:rsidRDefault="00CE5800" w:rsidP="00FB0A95">
            <w:pPr>
              <w:pStyle w:val="TableColumnHeading"/>
              <w:ind w:right="28"/>
              <w:rPr>
                <w:sz w:val="18"/>
                <w:szCs w:val="18"/>
              </w:rPr>
            </w:pPr>
            <w:r w:rsidRPr="00BD2B3E">
              <w:rPr>
                <w:sz w:val="18"/>
                <w:szCs w:val="18"/>
              </w:rPr>
              <w:t>2006-07</w:t>
            </w:r>
          </w:p>
        </w:tc>
        <w:tc>
          <w:tcPr>
            <w:tcW w:w="568" w:type="pct"/>
            <w:tcBorders>
              <w:top w:val="single" w:sz="6" w:space="0" w:color="auto"/>
              <w:bottom w:val="single" w:sz="6" w:space="0" w:color="auto"/>
            </w:tcBorders>
          </w:tcPr>
          <w:p w:rsidR="00CE5800" w:rsidRPr="00BD2B3E" w:rsidRDefault="00CE5800" w:rsidP="00FB0A95">
            <w:pPr>
              <w:pStyle w:val="TableColumnHeading"/>
              <w:ind w:right="28"/>
              <w:rPr>
                <w:sz w:val="18"/>
                <w:szCs w:val="18"/>
              </w:rPr>
            </w:pPr>
            <w:r w:rsidRPr="00BD2B3E">
              <w:rPr>
                <w:sz w:val="18"/>
                <w:szCs w:val="18"/>
              </w:rPr>
              <w:t>2007-08</w:t>
            </w:r>
          </w:p>
        </w:tc>
        <w:tc>
          <w:tcPr>
            <w:tcW w:w="568" w:type="pct"/>
            <w:tcBorders>
              <w:top w:val="single" w:sz="6" w:space="0" w:color="auto"/>
              <w:bottom w:val="single" w:sz="6" w:space="0" w:color="auto"/>
            </w:tcBorders>
          </w:tcPr>
          <w:p w:rsidR="00CE5800" w:rsidRPr="00BD2B3E" w:rsidRDefault="00CE5800" w:rsidP="00FB0A95">
            <w:pPr>
              <w:pStyle w:val="TableColumnHeading"/>
              <w:ind w:right="28"/>
              <w:rPr>
                <w:sz w:val="18"/>
                <w:szCs w:val="18"/>
              </w:rPr>
            </w:pPr>
            <w:r w:rsidRPr="00BD2B3E">
              <w:rPr>
                <w:sz w:val="18"/>
                <w:szCs w:val="18"/>
              </w:rPr>
              <w:t>2008-09</w:t>
            </w:r>
          </w:p>
        </w:tc>
        <w:tc>
          <w:tcPr>
            <w:tcW w:w="568" w:type="pct"/>
            <w:tcBorders>
              <w:top w:val="single" w:sz="6" w:space="0" w:color="auto"/>
              <w:bottom w:val="single" w:sz="6" w:space="0" w:color="auto"/>
            </w:tcBorders>
          </w:tcPr>
          <w:p w:rsidR="00CE5800" w:rsidRPr="00BD2B3E" w:rsidRDefault="00CE5800" w:rsidP="00FB0A95">
            <w:pPr>
              <w:pStyle w:val="TableColumnHeading"/>
              <w:ind w:right="28"/>
              <w:rPr>
                <w:sz w:val="18"/>
                <w:szCs w:val="18"/>
              </w:rPr>
            </w:pPr>
            <w:r w:rsidRPr="00BD2B3E">
              <w:rPr>
                <w:sz w:val="18"/>
                <w:szCs w:val="18"/>
              </w:rPr>
              <w:t>2009-10</w:t>
            </w:r>
          </w:p>
        </w:tc>
        <w:tc>
          <w:tcPr>
            <w:tcW w:w="568" w:type="pct"/>
            <w:tcBorders>
              <w:top w:val="single" w:sz="6" w:space="0" w:color="auto"/>
              <w:bottom w:val="single" w:sz="6" w:space="0" w:color="auto"/>
            </w:tcBorders>
          </w:tcPr>
          <w:p w:rsidR="00CE5800" w:rsidRPr="00BD2B3E" w:rsidRDefault="00CE5800" w:rsidP="00FB0A95">
            <w:pPr>
              <w:pStyle w:val="TableColumnHeading"/>
              <w:ind w:right="28"/>
              <w:rPr>
                <w:sz w:val="18"/>
                <w:szCs w:val="18"/>
              </w:rPr>
            </w:pPr>
            <w:r w:rsidRPr="00BD2B3E">
              <w:rPr>
                <w:sz w:val="18"/>
                <w:szCs w:val="18"/>
              </w:rPr>
              <w:t>2010-11</w:t>
            </w:r>
          </w:p>
        </w:tc>
        <w:tc>
          <w:tcPr>
            <w:tcW w:w="566" w:type="pct"/>
            <w:tcBorders>
              <w:top w:val="single" w:sz="6" w:space="0" w:color="auto"/>
              <w:bottom w:val="single" w:sz="6" w:space="0" w:color="auto"/>
            </w:tcBorders>
          </w:tcPr>
          <w:p w:rsidR="00CE5800" w:rsidRPr="00BD2B3E" w:rsidRDefault="00CE5800" w:rsidP="00FB0A95">
            <w:pPr>
              <w:pStyle w:val="TableColumnHeading"/>
              <w:ind w:right="28"/>
              <w:rPr>
                <w:sz w:val="18"/>
                <w:szCs w:val="18"/>
              </w:rPr>
            </w:pPr>
            <w:r w:rsidRPr="00BD2B3E">
              <w:rPr>
                <w:sz w:val="18"/>
                <w:szCs w:val="18"/>
              </w:rPr>
              <w:t>2011-12</w:t>
            </w:r>
          </w:p>
        </w:tc>
      </w:tr>
      <w:tr w:rsidR="00CE5800" w:rsidTr="00CE5800">
        <w:tc>
          <w:tcPr>
            <w:tcW w:w="1594" w:type="pct"/>
            <w:tcBorders>
              <w:top w:val="single" w:sz="6" w:space="0" w:color="auto"/>
              <w:bottom w:val="single" w:sz="4" w:space="0" w:color="auto"/>
            </w:tcBorders>
          </w:tcPr>
          <w:p w:rsidR="00CE5800" w:rsidRPr="00E460DF" w:rsidRDefault="00CE5800" w:rsidP="0023218A">
            <w:pPr>
              <w:pStyle w:val="TableBodyText"/>
              <w:jc w:val="left"/>
            </w:pPr>
            <w:r w:rsidRPr="00E460DF">
              <w:t>Unallocated other</w:t>
            </w:r>
            <w:r w:rsidRPr="0023218A">
              <w:rPr>
                <w:rStyle w:val="NoteLabel"/>
                <w:szCs w:val="18"/>
              </w:rPr>
              <w:t>a</w:t>
            </w:r>
          </w:p>
        </w:tc>
        <w:tc>
          <w:tcPr>
            <w:tcW w:w="568" w:type="pct"/>
            <w:tcBorders>
              <w:top w:val="single" w:sz="6" w:space="0" w:color="auto"/>
              <w:bottom w:val="single" w:sz="4" w:space="0" w:color="auto"/>
            </w:tcBorders>
          </w:tcPr>
          <w:p w:rsidR="00CE5800" w:rsidRPr="00E460DF" w:rsidRDefault="00CE5800" w:rsidP="006404A1">
            <w:pPr>
              <w:pStyle w:val="TableBodyText"/>
            </w:pPr>
            <w:r>
              <w:noBreakHyphen/>
            </w:r>
          </w:p>
        </w:tc>
        <w:tc>
          <w:tcPr>
            <w:tcW w:w="568" w:type="pct"/>
            <w:tcBorders>
              <w:top w:val="single" w:sz="6" w:space="0" w:color="auto"/>
              <w:bottom w:val="single" w:sz="4" w:space="0" w:color="auto"/>
            </w:tcBorders>
          </w:tcPr>
          <w:p w:rsidR="00CE5800" w:rsidRPr="00E460DF" w:rsidRDefault="00CE5800" w:rsidP="006404A1">
            <w:pPr>
              <w:pStyle w:val="TableBodyText"/>
            </w:pPr>
            <w:r>
              <w:noBreakHyphen/>
            </w:r>
          </w:p>
        </w:tc>
        <w:tc>
          <w:tcPr>
            <w:tcW w:w="568" w:type="pct"/>
            <w:tcBorders>
              <w:top w:val="single" w:sz="6" w:space="0" w:color="auto"/>
              <w:bottom w:val="single" w:sz="4" w:space="0" w:color="auto"/>
            </w:tcBorders>
          </w:tcPr>
          <w:p w:rsidR="00CE5800" w:rsidRPr="00E460DF" w:rsidRDefault="00CE5800" w:rsidP="006404A1">
            <w:pPr>
              <w:pStyle w:val="TableBodyText"/>
            </w:pPr>
            <w:r>
              <w:noBreakHyphen/>
            </w:r>
          </w:p>
        </w:tc>
        <w:tc>
          <w:tcPr>
            <w:tcW w:w="568" w:type="pct"/>
            <w:tcBorders>
              <w:top w:val="single" w:sz="6" w:space="0" w:color="auto"/>
              <w:bottom w:val="single" w:sz="4" w:space="0" w:color="auto"/>
            </w:tcBorders>
          </w:tcPr>
          <w:p w:rsidR="00CE5800" w:rsidRPr="00E460DF" w:rsidRDefault="00CE5800" w:rsidP="006404A1">
            <w:pPr>
              <w:pStyle w:val="TableBodyText"/>
            </w:pPr>
            <w:r w:rsidRPr="00E460DF">
              <w:t>1490</w:t>
            </w:r>
            <w:r w:rsidR="00441632">
              <w:t>.0</w:t>
            </w:r>
          </w:p>
        </w:tc>
        <w:tc>
          <w:tcPr>
            <w:tcW w:w="568" w:type="pct"/>
            <w:tcBorders>
              <w:top w:val="single" w:sz="6" w:space="0" w:color="auto"/>
              <w:bottom w:val="single" w:sz="4" w:space="0" w:color="auto"/>
            </w:tcBorders>
          </w:tcPr>
          <w:p w:rsidR="00CE5800" w:rsidRPr="00E460DF" w:rsidRDefault="00CE5800" w:rsidP="006404A1">
            <w:pPr>
              <w:pStyle w:val="TableBodyText"/>
            </w:pPr>
            <w:r w:rsidRPr="00E460DF">
              <w:t>2390</w:t>
            </w:r>
            <w:r w:rsidR="00441632">
              <w:t>.0</w:t>
            </w:r>
          </w:p>
        </w:tc>
        <w:tc>
          <w:tcPr>
            <w:tcW w:w="566" w:type="pct"/>
            <w:tcBorders>
              <w:top w:val="single" w:sz="6" w:space="0" w:color="auto"/>
              <w:bottom w:val="single" w:sz="4" w:space="0" w:color="auto"/>
            </w:tcBorders>
          </w:tcPr>
          <w:p w:rsidR="00CE5800" w:rsidRPr="00E460DF" w:rsidRDefault="00CE5800" w:rsidP="006404A1">
            <w:pPr>
              <w:pStyle w:val="TableBodyText"/>
            </w:pPr>
            <w:r w:rsidRPr="00E460DF">
              <w:t>680</w:t>
            </w:r>
            <w:r w:rsidR="00441632">
              <w:t>.0</w:t>
            </w:r>
          </w:p>
        </w:tc>
      </w:tr>
    </w:tbl>
    <w:p w:rsidR="00EF6AE7" w:rsidRDefault="00EB49FC" w:rsidP="00EF6AE7">
      <w:pPr>
        <w:pStyle w:val="Note"/>
      </w:pPr>
      <w:r>
        <w:t xml:space="preserve">– </w:t>
      </w:r>
      <w:r w:rsidR="00C46403">
        <w:t>Nil</w:t>
      </w:r>
      <w:r>
        <w:t xml:space="preserve">. </w:t>
      </w:r>
      <w:r w:rsidR="00EF6AE7" w:rsidRPr="008E77FE">
        <w:rPr>
          <w:rStyle w:val="NoteLabel"/>
        </w:rPr>
        <w:t>a</w:t>
      </w:r>
      <w:r w:rsidR="00EF6AE7">
        <w:t xml:space="preserve"> </w:t>
      </w:r>
      <w:r w:rsidR="0023218A">
        <w:t>Unallocated includes general programs where details of beneficiaries are unknown</w:t>
      </w:r>
      <w:r w:rsidR="00EF6AE7">
        <w:t>.</w:t>
      </w:r>
    </w:p>
    <w:p w:rsidR="00CB2252" w:rsidRPr="00CB2252" w:rsidRDefault="00AE14CF" w:rsidP="00CB2252">
      <w:pPr>
        <w:pStyle w:val="Source"/>
      </w:pPr>
      <w:r>
        <w:rPr>
          <w:i/>
        </w:rPr>
        <w:t>Source</w:t>
      </w:r>
      <w:r w:rsidR="00EF6AE7">
        <w:t xml:space="preserve">: </w:t>
      </w:r>
      <w:r w:rsidR="00140AFA">
        <w:t xml:space="preserve">Commission estimates based on </w:t>
      </w:r>
      <w:r w:rsidR="00734336">
        <w:t>Tax Expenditure Statement</w:t>
      </w:r>
      <w:r w:rsidR="00CD16AA">
        <w:t xml:space="preserve"> 2012</w:t>
      </w:r>
      <w:r w:rsidR="00734336">
        <w:t>, Australian Government 2013</w:t>
      </w:r>
      <w:r w:rsidR="000F0BAA">
        <w:t>, p.</w:t>
      </w:r>
      <w:r w:rsidR="003E218E">
        <w:t> </w:t>
      </w:r>
      <w:r w:rsidR="000F0BAA">
        <w:t>116</w:t>
      </w:r>
      <w:r w:rsidR="00C538F6">
        <w:t xml:space="preserve">, </w:t>
      </w:r>
      <w:r w:rsidR="003E6440">
        <w:t>i</w:t>
      </w:r>
      <w:r w:rsidR="00C538F6">
        <w:t>tem B106</w:t>
      </w:r>
      <w:r w:rsidR="00EF6AE7">
        <w:t>.</w:t>
      </w:r>
    </w:p>
    <w:p w:rsidR="00CB2252" w:rsidRDefault="00CB2252" w:rsidP="00CB2252">
      <w:pPr>
        <w:pStyle w:val="BodyText"/>
      </w:pPr>
      <w:r>
        <w:br w:type="page"/>
      </w:r>
    </w:p>
    <w:p w:rsidR="000F2660" w:rsidRDefault="00FA09C3" w:rsidP="000F2660">
      <w:pPr>
        <w:pStyle w:val="Heading2"/>
      </w:pPr>
      <w:r>
        <w:lastRenderedPageBreak/>
        <w:t>A.</w:t>
      </w:r>
      <w:r>
        <w:rPr>
          <w:noProof/>
        </w:rPr>
        <w:t>4</w:t>
      </w:r>
      <w:r w:rsidR="000F2660">
        <w:tab/>
        <w:t>R&amp;D tax offset for small companies</w:t>
      </w:r>
    </w:p>
    <w:p w:rsidR="000F2660" w:rsidRPr="00DD3B0A" w:rsidRDefault="000F2660" w:rsidP="000F2660">
      <w:pPr>
        <w:pStyle w:val="BodyText"/>
      </w:pPr>
      <w:r>
        <w:t xml:space="preserve">The R&amp;D tax offset for small companies is available to eligible Australian companies with an annual turnover of less than $5 million and R&amp;D expenditure of up to $1 million. If these companies are in tax loss they cannot utilise the general 125 per cent R&amp;D tax concession and would otherwise have to carry forward R&amp;D-related tax losses. Under the offset, they can instead realise these losses as a cash equivalent payment, when their tax return for the relevant year is processed. The payment is at the rate of 125 per cent of expenditure (or 175 per cent, under the Premium R&amp;D tax concession, if certain conditions are </w:t>
      </w:r>
      <w:r w:rsidRPr="00DD3B0A">
        <w:t>met) (</w:t>
      </w:r>
      <w:r w:rsidRPr="006D248C">
        <w:t>ATO 2009</w:t>
      </w:r>
      <w:r w:rsidRPr="00DD3B0A">
        <w:t>).</w:t>
      </w:r>
    </w:p>
    <w:p w:rsidR="000F2660" w:rsidRDefault="000F2660" w:rsidP="000F2660">
      <w:pPr>
        <w:pStyle w:val="BodyText"/>
      </w:pPr>
      <w:r w:rsidRPr="00952AE8">
        <w:t xml:space="preserve">For the R&amp;D tax </w:t>
      </w:r>
      <w:r>
        <w:t>offset</w:t>
      </w:r>
      <w:r w:rsidRPr="00952AE8">
        <w:t xml:space="preserve">, the detailed ATO claims data by ANZSIC industry reveal a very high share of claims by the finance and insurance industry grouping compared with ABS data on R&amp;D undertaken by firms. The </w:t>
      </w:r>
      <w:r>
        <w:t>concentration of</w:t>
      </w:r>
      <w:r w:rsidRPr="00952AE8">
        <w:t xml:space="preserve"> claims </w:t>
      </w:r>
      <w:r>
        <w:t>in the</w:t>
      </w:r>
      <w:r w:rsidRPr="00952AE8">
        <w:t xml:space="preserve"> finance industries reflects legal structures for the financing of R&amp;D, such as syndication, rather than the </w:t>
      </w:r>
      <w:r>
        <w:t>actual industry in which the R&amp;D is conducted</w:t>
      </w:r>
      <w:r w:rsidRPr="00952AE8">
        <w:t>. Accordingly, for the finance industry</w:t>
      </w:r>
      <w:r>
        <w:t>,</w:t>
      </w:r>
      <w:r w:rsidRPr="00952AE8">
        <w:t xml:space="preserve"> the share of business expenditure on R&amp;D </w:t>
      </w:r>
      <w:r>
        <w:t xml:space="preserve">from the ABS data </w:t>
      </w:r>
      <w:r w:rsidRPr="00952AE8">
        <w:t xml:space="preserve">has been used. The difference between the ATO and ABS shares for the finance industry has then been re-allocated across all other remaining industries (based on the ATO shares). These adjusted industry shares </w:t>
      </w:r>
      <w:r w:rsidR="009778E6">
        <w:t>have then been</w:t>
      </w:r>
      <w:r w:rsidR="009778E6" w:rsidRPr="00952AE8">
        <w:t xml:space="preserve"> </w:t>
      </w:r>
      <w:r w:rsidRPr="00952AE8">
        <w:t xml:space="preserve">used to allocate </w:t>
      </w:r>
      <w:r>
        <w:t>ATO</w:t>
      </w:r>
      <w:r w:rsidRPr="00952AE8">
        <w:t xml:space="preserve"> estimates of </w:t>
      </w:r>
      <w:r>
        <w:t>payments for the offset</w:t>
      </w:r>
      <w:r w:rsidRPr="00952AE8">
        <w:t xml:space="preserve"> (table</w:t>
      </w:r>
      <w:r>
        <w:t> </w:t>
      </w:r>
      <w:r w:rsidRPr="00952AE8">
        <w:t>A.</w:t>
      </w:r>
      <w:r>
        <w:t>4</w:t>
      </w:r>
      <w:r w:rsidRPr="00952AE8">
        <w:t>).</w:t>
      </w:r>
    </w:p>
    <w:p w:rsidR="000F2660" w:rsidRDefault="000F2660" w:rsidP="000F2660">
      <w:pPr>
        <w:pStyle w:val="TableTitle"/>
      </w:pPr>
      <w:r>
        <w:rPr>
          <w:b w:val="0"/>
        </w:rPr>
        <w:lastRenderedPageBreak/>
        <w:t xml:space="preserve">Table </w:t>
      </w:r>
      <w:r w:rsidR="00FA09C3">
        <w:rPr>
          <w:b w:val="0"/>
        </w:rPr>
        <w:t>A.</w:t>
      </w:r>
      <w:r w:rsidR="00FA09C3">
        <w:rPr>
          <w:b w:val="0"/>
          <w:noProof/>
        </w:rPr>
        <w:t>4</w:t>
      </w:r>
      <w:r>
        <w:tab/>
        <w:t>Allocation of R&amp;D tax offset for s</w:t>
      </w:r>
      <w:r w:rsidR="0037353C">
        <w:t>mall companies to</w:t>
      </w:r>
      <w:r>
        <w:t xml:space="preserve"> industry, 2006</w:t>
      </w:r>
      <w:r>
        <w:noBreakHyphen/>
        <w:t>07 to 2011</w:t>
      </w:r>
      <w:r>
        <w:noBreakHyphen/>
        <w:t>12</w:t>
      </w:r>
    </w:p>
    <w:p w:rsidR="000F2660" w:rsidRDefault="000F2660" w:rsidP="000F2660">
      <w:pPr>
        <w:pStyle w:val="Subtitle"/>
      </w:pPr>
      <w:r>
        <w:t>$ million (nominal)</w:t>
      </w:r>
    </w:p>
    <w:tbl>
      <w:tblPr>
        <w:tblW w:w="5000" w:type="pct"/>
        <w:tblCellMar>
          <w:left w:w="0" w:type="dxa"/>
          <w:right w:w="0" w:type="dxa"/>
        </w:tblCellMar>
        <w:tblLook w:val="0000" w:firstRow="0" w:lastRow="0" w:firstColumn="0" w:lastColumn="0" w:noHBand="0" w:noVBand="0"/>
      </w:tblPr>
      <w:tblGrid>
        <w:gridCol w:w="3445"/>
        <w:gridCol w:w="891"/>
        <w:gridCol w:w="891"/>
        <w:gridCol w:w="891"/>
        <w:gridCol w:w="891"/>
        <w:gridCol w:w="891"/>
        <w:gridCol w:w="889"/>
      </w:tblGrid>
      <w:tr w:rsidR="000F2660" w:rsidRPr="00AF699A" w:rsidTr="008B63A3">
        <w:tc>
          <w:tcPr>
            <w:tcW w:w="1959" w:type="pct"/>
            <w:tcBorders>
              <w:top w:val="single" w:sz="6" w:space="0" w:color="auto"/>
              <w:bottom w:val="single" w:sz="6" w:space="0" w:color="auto"/>
            </w:tcBorders>
          </w:tcPr>
          <w:p w:rsidR="000F2660" w:rsidRPr="00AF699A" w:rsidRDefault="000F2660" w:rsidP="008B63A3">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0F2660" w:rsidRPr="00AF699A" w:rsidRDefault="000F2660" w:rsidP="008B63A3">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0F2660" w:rsidRPr="00AF699A" w:rsidRDefault="000F2660" w:rsidP="008B63A3">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0F2660" w:rsidRPr="00AF699A" w:rsidRDefault="000F2660" w:rsidP="008B63A3">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0F2660" w:rsidRPr="00AF699A" w:rsidRDefault="000F2660" w:rsidP="008B63A3">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0F2660" w:rsidRPr="00AF699A" w:rsidRDefault="000F2660" w:rsidP="008B63A3">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0F2660" w:rsidRPr="00AF699A" w:rsidRDefault="000F2660" w:rsidP="008B63A3">
            <w:pPr>
              <w:pStyle w:val="TableColumnHeading"/>
              <w:ind w:right="28"/>
              <w:rPr>
                <w:rFonts w:cs="Arial"/>
                <w:sz w:val="18"/>
                <w:szCs w:val="18"/>
              </w:rPr>
            </w:pPr>
            <w:r w:rsidRPr="00AF699A">
              <w:rPr>
                <w:rFonts w:cs="Arial"/>
                <w:sz w:val="18"/>
                <w:szCs w:val="18"/>
              </w:rPr>
              <w:t>2011-12</w:t>
            </w:r>
          </w:p>
        </w:tc>
      </w:tr>
      <w:tr w:rsidR="000F2660" w:rsidRPr="00395466" w:rsidTr="008B63A3">
        <w:tc>
          <w:tcPr>
            <w:tcW w:w="1959" w:type="pct"/>
            <w:tcBorders>
              <w:top w:val="single" w:sz="6" w:space="0" w:color="auto"/>
            </w:tcBorders>
            <w:vAlign w:val="bottom"/>
          </w:tcPr>
          <w:p w:rsidR="000F2660" w:rsidRPr="004421AD" w:rsidRDefault="000F2660" w:rsidP="008B63A3">
            <w:pPr>
              <w:pStyle w:val="TableBodyText"/>
              <w:jc w:val="left"/>
              <w:rPr>
                <w:b/>
                <w:sz w:val="18"/>
                <w:szCs w:val="18"/>
              </w:rPr>
            </w:pPr>
            <w:r w:rsidRPr="004421AD">
              <w:rPr>
                <w:b/>
                <w:sz w:val="18"/>
                <w:szCs w:val="18"/>
              </w:rPr>
              <w:t>Primary production</w:t>
            </w:r>
          </w:p>
        </w:tc>
        <w:tc>
          <w:tcPr>
            <w:tcW w:w="507" w:type="pct"/>
            <w:tcBorders>
              <w:top w:val="single" w:sz="6" w:space="0" w:color="auto"/>
            </w:tcBorders>
            <w:vAlign w:val="bottom"/>
          </w:tcPr>
          <w:p w:rsidR="000F2660" w:rsidRPr="004421AD" w:rsidRDefault="000F2660" w:rsidP="008B63A3">
            <w:pPr>
              <w:pStyle w:val="TableBodyText"/>
              <w:rPr>
                <w:b/>
                <w:sz w:val="18"/>
                <w:szCs w:val="18"/>
              </w:rPr>
            </w:pPr>
            <w:r w:rsidRPr="004421AD">
              <w:rPr>
                <w:b/>
                <w:sz w:val="18"/>
                <w:szCs w:val="18"/>
              </w:rPr>
              <w:t>12.1</w:t>
            </w:r>
          </w:p>
        </w:tc>
        <w:tc>
          <w:tcPr>
            <w:tcW w:w="507" w:type="pct"/>
            <w:tcBorders>
              <w:top w:val="single" w:sz="6" w:space="0" w:color="auto"/>
            </w:tcBorders>
            <w:vAlign w:val="bottom"/>
          </w:tcPr>
          <w:p w:rsidR="000F2660" w:rsidRPr="004421AD" w:rsidRDefault="000F2660" w:rsidP="008B63A3">
            <w:pPr>
              <w:pStyle w:val="TableBodyText"/>
              <w:rPr>
                <w:b/>
                <w:sz w:val="18"/>
                <w:szCs w:val="18"/>
              </w:rPr>
            </w:pPr>
            <w:r w:rsidRPr="004421AD">
              <w:rPr>
                <w:b/>
                <w:sz w:val="18"/>
                <w:szCs w:val="18"/>
              </w:rPr>
              <w:t>11.6</w:t>
            </w:r>
          </w:p>
        </w:tc>
        <w:tc>
          <w:tcPr>
            <w:tcW w:w="507" w:type="pct"/>
            <w:tcBorders>
              <w:top w:val="single" w:sz="6" w:space="0" w:color="auto"/>
            </w:tcBorders>
            <w:vAlign w:val="bottom"/>
          </w:tcPr>
          <w:p w:rsidR="000F2660" w:rsidRPr="004421AD" w:rsidRDefault="000F2660" w:rsidP="008B63A3">
            <w:pPr>
              <w:pStyle w:val="TableBodyText"/>
              <w:rPr>
                <w:b/>
                <w:sz w:val="18"/>
                <w:szCs w:val="18"/>
              </w:rPr>
            </w:pPr>
            <w:r w:rsidRPr="004421AD">
              <w:rPr>
                <w:b/>
                <w:sz w:val="18"/>
                <w:szCs w:val="18"/>
              </w:rPr>
              <w:t>15.2</w:t>
            </w:r>
          </w:p>
        </w:tc>
        <w:tc>
          <w:tcPr>
            <w:tcW w:w="507" w:type="pct"/>
            <w:tcBorders>
              <w:top w:val="single" w:sz="6" w:space="0" w:color="auto"/>
            </w:tcBorders>
            <w:vAlign w:val="bottom"/>
          </w:tcPr>
          <w:p w:rsidR="000F2660" w:rsidRPr="004421AD" w:rsidRDefault="000F2660" w:rsidP="008B63A3">
            <w:pPr>
              <w:pStyle w:val="TableBodyText"/>
              <w:rPr>
                <w:b/>
                <w:sz w:val="18"/>
                <w:szCs w:val="18"/>
              </w:rPr>
            </w:pPr>
            <w:r w:rsidRPr="004421AD">
              <w:rPr>
                <w:b/>
                <w:sz w:val="18"/>
                <w:szCs w:val="18"/>
              </w:rPr>
              <w:t>20.6</w:t>
            </w:r>
          </w:p>
        </w:tc>
        <w:tc>
          <w:tcPr>
            <w:tcW w:w="507" w:type="pct"/>
            <w:tcBorders>
              <w:top w:val="single" w:sz="6" w:space="0" w:color="auto"/>
            </w:tcBorders>
            <w:vAlign w:val="bottom"/>
          </w:tcPr>
          <w:p w:rsidR="000F2660" w:rsidRPr="004421AD" w:rsidRDefault="000F2660" w:rsidP="008B63A3">
            <w:pPr>
              <w:pStyle w:val="TableBodyText"/>
              <w:rPr>
                <w:b/>
                <w:sz w:val="18"/>
                <w:szCs w:val="18"/>
              </w:rPr>
            </w:pPr>
            <w:r w:rsidRPr="004421AD">
              <w:rPr>
                <w:b/>
                <w:sz w:val="18"/>
                <w:szCs w:val="18"/>
              </w:rPr>
              <w:t>22.1</w:t>
            </w:r>
          </w:p>
        </w:tc>
        <w:tc>
          <w:tcPr>
            <w:tcW w:w="507" w:type="pct"/>
            <w:tcBorders>
              <w:top w:val="single" w:sz="6" w:space="0" w:color="auto"/>
            </w:tcBorders>
            <w:vAlign w:val="bottom"/>
          </w:tcPr>
          <w:p w:rsidR="000F2660" w:rsidRPr="004421AD" w:rsidRDefault="000F2660" w:rsidP="008B63A3">
            <w:pPr>
              <w:pStyle w:val="TableBodyText"/>
              <w:rPr>
                <w:b/>
                <w:sz w:val="18"/>
                <w:szCs w:val="18"/>
              </w:rPr>
            </w:pPr>
            <w:r w:rsidRPr="004421AD">
              <w:rPr>
                <w:b/>
                <w:sz w:val="18"/>
                <w:szCs w:val="18"/>
              </w:rPr>
              <w:t>24.9</w:t>
            </w:r>
          </w:p>
        </w:tc>
      </w:tr>
      <w:tr w:rsidR="000F2660" w:rsidRPr="00395466" w:rsidTr="008B63A3">
        <w:tc>
          <w:tcPr>
            <w:tcW w:w="1959" w:type="pct"/>
            <w:vAlign w:val="bottom"/>
          </w:tcPr>
          <w:p w:rsidR="000F2660" w:rsidRPr="004421AD" w:rsidRDefault="000F2660" w:rsidP="008B63A3">
            <w:pPr>
              <w:pStyle w:val="TableBodyText"/>
              <w:jc w:val="left"/>
              <w:rPr>
                <w:sz w:val="18"/>
                <w:szCs w:val="18"/>
              </w:rPr>
            </w:pPr>
            <w:r w:rsidRPr="004421AD">
              <w:rPr>
                <w:sz w:val="18"/>
                <w:szCs w:val="18"/>
              </w:rPr>
              <w:t>Horticulture and fruit growing</w:t>
            </w:r>
          </w:p>
        </w:tc>
        <w:tc>
          <w:tcPr>
            <w:tcW w:w="507" w:type="pct"/>
            <w:vAlign w:val="bottom"/>
          </w:tcPr>
          <w:p w:rsidR="000F2660" w:rsidRPr="004421AD" w:rsidRDefault="000F2660" w:rsidP="008B63A3">
            <w:pPr>
              <w:pStyle w:val="TableBodyText"/>
              <w:rPr>
                <w:sz w:val="18"/>
                <w:szCs w:val="18"/>
              </w:rPr>
            </w:pPr>
            <w:r w:rsidRPr="004421AD">
              <w:rPr>
                <w:sz w:val="18"/>
                <w:szCs w:val="18"/>
              </w:rPr>
              <w:t>2.8</w:t>
            </w:r>
          </w:p>
        </w:tc>
        <w:tc>
          <w:tcPr>
            <w:tcW w:w="507" w:type="pct"/>
            <w:vAlign w:val="bottom"/>
          </w:tcPr>
          <w:p w:rsidR="000F2660" w:rsidRPr="004421AD" w:rsidRDefault="000F2660" w:rsidP="008B63A3">
            <w:pPr>
              <w:pStyle w:val="TableBodyText"/>
              <w:rPr>
                <w:sz w:val="18"/>
                <w:szCs w:val="18"/>
              </w:rPr>
            </w:pPr>
            <w:r w:rsidRPr="004421AD">
              <w:rPr>
                <w:sz w:val="18"/>
                <w:szCs w:val="18"/>
              </w:rPr>
              <w:t>1.7</w:t>
            </w:r>
          </w:p>
        </w:tc>
        <w:tc>
          <w:tcPr>
            <w:tcW w:w="507" w:type="pct"/>
            <w:vAlign w:val="bottom"/>
          </w:tcPr>
          <w:p w:rsidR="000F2660" w:rsidRPr="004421AD" w:rsidRDefault="000F2660" w:rsidP="008B63A3">
            <w:pPr>
              <w:pStyle w:val="TableBodyText"/>
              <w:rPr>
                <w:sz w:val="18"/>
                <w:szCs w:val="18"/>
              </w:rPr>
            </w:pPr>
            <w:r w:rsidRPr="004421AD">
              <w:rPr>
                <w:sz w:val="18"/>
                <w:szCs w:val="18"/>
              </w:rPr>
              <w:t>4.0</w:t>
            </w:r>
          </w:p>
        </w:tc>
        <w:tc>
          <w:tcPr>
            <w:tcW w:w="507" w:type="pct"/>
            <w:vAlign w:val="bottom"/>
          </w:tcPr>
          <w:p w:rsidR="000F2660" w:rsidRPr="004421AD" w:rsidRDefault="000F2660" w:rsidP="008B63A3">
            <w:pPr>
              <w:pStyle w:val="TableBodyText"/>
              <w:rPr>
                <w:sz w:val="18"/>
                <w:szCs w:val="18"/>
              </w:rPr>
            </w:pPr>
            <w:r w:rsidRPr="004421AD">
              <w:rPr>
                <w:sz w:val="18"/>
                <w:szCs w:val="18"/>
              </w:rPr>
              <w:t>4.4</w:t>
            </w:r>
          </w:p>
        </w:tc>
        <w:tc>
          <w:tcPr>
            <w:tcW w:w="507" w:type="pct"/>
            <w:vAlign w:val="bottom"/>
          </w:tcPr>
          <w:p w:rsidR="000F2660" w:rsidRPr="004421AD" w:rsidRDefault="000F2660" w:rsidP="008B63A3">
            <w:pPr>
              <w:pStyle w:val="TableBodyText"/>
              <w:rPr>
                <w:sz w:val="18"/>
                <w:szCs w:val="18"/>
              </w:rPr>
            </w:pPr>
            <w:r w:rsidRPr="004421AD">
              <w:rPr>
                <w:sz w:val="18"/>
                <w:szCs w:val="18"/>
              </w:rPr>
              <w:t>4.7</w:t>
            </w:r>
          </w:p>
        </w:tc>
        <w:tc>
          <w:tcPr>
            <w:tcW w:w="507" w:type="pct"/>
            <w:vAlign w:val="bottom"/>
          </w:tcPr>
          <w:p w:rsidR="000F2660" w:rsidRPr="004421AD" w:rsidRDefault="000F2660" w:rsidP="008B63A3">
            <w:pPr>
              <w:pStyle w:val="TableBodyText"/>
              <w:rPr>
                <w:sz w:val="18"/>
                <w:szCs w:val="18"/>
              </w:rPr>
            </w:pPr>
            <w:r w:rsidRPr="004421AD">
              <w:rPr>
                <w:sz w:val="18"/>
                <w:szCs w:val="18"/>
              </w:rPr>
              <w:t>5.3</w:t>
            </w:r>
          </w:p>
        </w:tc>
      </w:tr>
      <w:tr w:rsidR="000F2660" w:rsidRPr="00395466" w:rsidTr="008B63A3">
        <w:tc>
          <w:tcPr>
            <w:tcW w:w="1959" w:type="pct"/>
            <w:vAlign w:val="bottom"/>
          </w:tcPr>
          <w:p w:rsidR="000F2660" w:rsidRPr="004421AD" w:rsidRDefault="000F2660" w:rsidP="008B63A3">
            <w:pPr>
              <w:pStyle w:val="TableBodyText"/>
              <w:jc w:val="left"/>
              <w:rPr>
                <w:sz w:val="18"/>
                <w:szCs w:val="18"/>
              </w:rPr>
            </w:pPr>
            <w:r w:rsidRPr="004421AD">
              <w:rPr>
                <w:sz w:val="18"/>
                <w:szCs w:val="18"/>
              </w:rPr>
              <w:t>Sheep, beef cattle and grain farming</w:t>
            </w:r>
          </w:p>
        </w:tc>
        <w:tc>
          <w:tcPr>
            <w:tcW w:w="507" w:type="pct"/>
            <w:vAlign w:val="bottom"/>
          </w:tcPr>
          <w:p w:rsidR="000F2660" w:rsidRPr="004421AD" w:rsidRDefault="000F2660" w:rsidP="008B63A3">
            <w:pPr>
              <w:pStyle w:val="TableBodyText"/>
              <w:rPr>
                <w:sz w:val="18"/>
                <w:szCs w:val="18"/>
              </w:rPr>
            </w:pPr>
            <w:r w:rsidRPr="004421AD">
              <w:rPr>
                <w:sz w:val="18"/>
                <w:szCs w:val="18"/>
              </w:rPr>
              <w:t>1.2</w:t>
            </w:r>
          </w:p>
        </w:tc>
        <w:tc>
          <w:tcPr>
            <w:tcW w:w="507" w:type="pct"/>
            <w:vAlign w:val="bottom"/>
          </w:tcPr>
          <w:p w:rsidR="000F2660" w:rsidRPr="004421AD" w:rsidRDefault="000F2660" w:rsidP="008B63A3">
            <w:pPr>
              <w:pStyle w:val="TableBodyText"/>
              <w:rPr>
                <w:sz w:val="18"/>
                <w:szCs w:val="18"/>
              </w:rPr>
            </w:pPr>
            <w:r w:rsidRPr="004421AD">
              <w:rPr>
                <w:sz w:val="18"/>
                <w:szCs w:val="18"/>
              </w:rPr>
              <w:t>1.3</w:t>
            </w:r>
          </w:p>
        </w:tc>
        <w:tc>
          <w:tcPr>
            <w:tcW w:w="507" w:type="pct"/>
            <w:vAlign w:val="bottom"/>
          </w:tcPr>
          <w:p w:rsidR="000F2660" w:rsidRPr="004421AD" w:rsidRDefault="000F2660" w:rsidP="008B63A3">
            <w:pPr>
              <w:pStyle w:val="TableBodyText"/>
              <w:rPr>
                <w:sz w:val="18"/>
                <w:szCs w:val="18"/>
              </w:rPr>
            </w:pPr>
            <w:r w:rsidRPr="004421AD">
              <w:rPr>
                <w:sz w:val="18"/>
                <w:szCs w:val="18"/>
              </w:rPr>
              <w:t>2.1</w:t>
            </w:r>
          </w:p>
        </w:tc>
        <w:tc>
          <w:tcPr>
            <w:tcW w:w="507" w:type="pct"/>
            <w:vAlign w:val="bottom"/>
          </w:tcPr>
          <w:p w:rsidR="000F2660" w:rsidRPr="004421AD" w:rsidRDefault="000F2660" w:rsidP="008B63A3">
            <w:pPr>
              <w:pStyle w:val="TableBodyText"/>
              <w:rPr>
                <w:sz w:val="18"/>
                <w:szCs w:val="18"/>
              </w:rPr>
            </w:pPr>
            <w:r w:rsidRPr="004421AD">
              <w:rPr>
                <w:sz w:val="18"/>
                <w:szCs w:val="18"/>
              </w:rPr>
              <w:t>7.2</w:t>
            </w:r>
          </w:p>
        </w:tc>
        <w:tc>
          <w:tcPr>
            <w:tcW w:w="507" w:type="pct"/>
            <w:vAlign w:val="bottom"/>
          </w:tcPr>
          <w:p w:rsidR="000F2660" w:rsidRPr="004421AD" w:rsidRDefault="000F2660" w:rsidP="008B63A3">
            <w:pPr>
              <w:pStyle w:val="TableBodyText"/>
              <w:rPr>
                <w:sz w:val="18"/>
                <w:szCs w:val="18"/>
              </w:rPr>
            </w:pPr>
            <w:r w:rsidRPr="004421AD">
              <w:rPr>
                <w:sz w:val="18"/>
                <w:szCs w:val="18"/>
              </w:rPr>
              <w:t>7.7</w:t>
            </w:r>
          </w:p>
        </w:tc>
        <w:tc>
          <w:tcPr>
            <w:tcW w:w="507" w:type="pct"/>
            <w:vAlign w:val="bottom"/>
          </w:tcPr>
          <w:p w:rsidR="000F2660" w:rsidRPr="004421AD" w:rsidRDefault="000F2660" w:rsidP="008B63A3">
            <w:pPr>
              <w:pStyle w:val="TableBodyText"/>
              <w:rPr>
                <w:sz w:val="18"/>
                <w:szCs w:val="18"/>
              </w:rPr>
            </w:pPr>
            <w:r w:rsidRPr="004421AD">
              <w:rPr>
                <w:sz w:val="18"/>
                <w:szCs w:val="18"/>
              </w:rPr>
              <w:t>8.7</w:t>
            </w:r>
          </w:p>
        </w:tc>
      </w:tr>
      <w:tr w:rsidR="000F2660" w:rsidRPr="00395466" w:rsidTr="008B63A3">
        <w:tc>
          <w:tcPr>
            <w:tcW w:w="1959" w:type="pct"/>
            <w:vAlign w:val="bottom"/>
          </w:tcPr>
          <w:p w:rsidR="000F2660" w:rsidRPr="004421AD" w:rsidRDefault="000F2660" w:rsidP="008B63A3">
            <w:pPr>
              <w:pStyle w:val="TableBodyText"/>
              <w:jc w:val="left"/>
              <w:rPr>
                <w:sz w:val="18"/>
                <w:szCs w:val="18"/>
              </w:rPr>
            </w:pPr>
            <w:r w:rsidRPr="004421AD">
              <w:rPr>
                <w:sz w:val="18"/>
                <w:szCs w:val="18"/>
              </w:rPr>
              <w:t>Other crop growing</w:t>
            </w:r>
          </w:p>
        </w:tc>
        <w:tc>
          <w:tcPr>
            <w:tcW w:w="507" w:type="pct"/>
            <w:vAlign w:val="bottom"/>
          </w:tcPr>
          <w:p w:rsidR="000F2660" w:rsidRPr="004421AD" w:rsidRDefault="000F2660" w:rsidP="008B63A3">
            <w:pPr>
              <w:pStyle w:val="TableBodyText"/>
              <w:rPr>
                <w:sz w:val="18"/>
                <w:szCs w:val="18"/>
              </w:rPr>
            </w:pPr>
            <w:r>
              <w:rPr>
                <w:sz w:val="18"/>
                <w:szCs w:val="18"/>
              </w:rPr>
              <w:noBreakHyphen/>
            </w:r>
          </w:p>
        </w:tc>
        <w:tc>
          <w:tcPr>
            <w:tcW w:w="507" w:type="pct"/>
            <w:vAlign w:val="bottom"/>
          </w:tcPr>
          <w:p w:rsidR="000F2660" w:rsidRPr="004421AD" w:rsidRDefault="000F2660" w:rsidP="008B63A3">
            <w:pPr>
              <w:pStyle w:val="TableBodyText"/>
              <w:rPr>
                <w:sz w:val="18"/>
                <w:szCs w:val="18"/>
              </w:rPr>
            </w:pPr>
            <w:r>
              <w:rPr>
                <w:sz w:val="18"/>
                <w:szCs w:val="18"/>
              </w:rPr>
              <w:noBreakHyphen/>
            </w:r>
          </w:p>
        </w:tc>
        <w:tc>
          <w:tcPr>
            <w:tcW w:w="507" w:type="pct"/>
            <w:vAlign w:val="bottom"/>
          </w:tcPr>
          <w:p w:rsidR="000F2660" w:rsidRPr="004421AD" w:rsidRDefault="000F2660" w:rsidP="008B63A3">
            <w:pPr>
              <w:pStyle w:val="TableBodyText"/>
              <w:rPr>
                <w:sz w:val="18"/>
                <w:szCs w:val="18"/>
              </w:rPr>
            </w:pPr>
            <w:r w:rsidRPr="004421AD">
              <w:rPr>
                <w:sz w:val="18"/>
                <w:szCs w:val="18"/>
              </w:rPr>
              <w:t>0.9</w:t>
            </w:r>
          </w:p>
        </w:tc>
        <w:tc>
          <w:tcPr>
            <w:tcW w:w="507" w:type="pct"/>
            <w:vAlign w:val="bottom"/>
          </w:tcPr>
          <w:p w:rsidR="000F2660" w:rsidRPr="004421AD" w:rsidRDefault="000F2660" w:rsidP="008B63A3">
            <w:pPr>
              <w:pStyle w:val="TableBodyText"/>
              <w:rPr>
                <w:sz w:val="18"/>
                <w:szCs w:val="18"/>
              </w:rPr>
            </w:pPr>
            <w:r>
              <w:rPr>
                <w:sz w:val="18"/>
                <w:szCs w:val="18"/>
              </w:rPr>
              <w:noBreakHyphen/>
            </w:r>
          </w:p>
        </w:tc>
        <w:tc>
          <w:tcPr>
            <w:tcW w:w="507" w:type="pct"/>
            <w:shd w:val="clear" w:color="auto" w:fill="auto"/>
            <w:vAlign w:val="bottom"/>
          </w:tcPr>
          <w:p w:rsidR="000F2660" w:rsidRPr="004421AD" w:rsidRDefault="000F2660" w:rsidP="008B63A3">
            <w:pPr>
              <w:pStyle w:val="TableBodyText"/>
              <w:rPr>
                <w:sz w:val="18"/>
                <w:szCs w:val="18"/>
              </w:rPr>
            </w:pPr>
            <w:r>
              <w:rPr>
                <w:sz w:val="18"/>
                <w:szCs w:val="18"/>
              </w:rPr>
              <w:noBreakHyphen/>
            </w:r>
          </w:p>
        </w:tc>
        <w:tc>
          <w:tcPr>
            <w:tcW w:w="507" w:type="pct"/>
            <w:shd w:val="clear" w:color="auto" w:fill="auto"/>
            <w:vAlign w:val="bottom"/>
          </w:tcPr>
          <w:p w:rsidR="000F2660" w:rsidRPr="004421AD" w:rsidRDefault="000F2660" w:rsidP="008B63A3">
            <w:pPr>
              <w:pStyle w:val="TableBodyText"/>
              <w:rPr>
                <w:sz w:val="18"/>
                <w:szCs w:val="18"/>
              </w:rPr>
            </w:pPr>
            <w:r>
              <w:rPr>
                <w:sz w:val="18"/>
                <w:szCs w:val="18"/>
              </w:rPr>
              <w:noBreakHyphen/>
            </w:r>
          </w:p>
        </w:tc>
      </w:tr>
      <w:tr w:rsidR="000F2660" w:rsidRPr="00395466" w:rsidTr="008B63A3">
        <w:tc>
          <w:tcPr>
            <w:tcW w:w="1959" w:type="pct"/>
            <w:vAlign w:val="bottom"/>
          </w:tcPr>
          <w:p w:rsidR="000F2660" w:rsidRPr="004421AD" w:rsidRDefault="000F2660" w:rsidP="008B63A3">
            <w:pPr>
              <w:pStyle w:val="TableBodyText"/>
              <w:jc w:val="left"/>
              <w:rPr>
                <w:sz w:val="18"/>
                <w:szCs w:val="18"/>
              </w:rPr>
            </w:pPr>
            <w:r w:rsidRPr="004421AD">
              <w:rPr>
                <w:sz w:val="18"/>
                <w:szCs w:val="18"/>
              </w:rPr>
              <w:t>Other livestock farming</w:t>
            </w:r>
          </w:p>
        </w:tc>
        <w:tc>
          <w:tcPr>
            <w:tcW w:w="507" w:type="pct"/>
            <w:vAlign w:val="bottom"/>
          </w:tcPr>
          <w:p w:rsidR="000F2660" w:rsidRPr="004421AD" w:rsidRDefault="000F2660" w:rsidP="008B63A3">
            <w:pPr>
              <w:pStyle w:val="TableBodyText"/>
              <w:rPr>
                <w:sz w:val="18"/>
                <w:szCs w:val="18"/>
              </w:rPr>
            </w:pPr>
            <w:r>
              <w:rPr>
                <w:sz w:val="18"/>
                <w:szCs w:val="18"/>
              </w:rPr>
              <w:noBreakHyphen/>
            </w:r>
          </w:p>
        </w:tc>
        <w:tc>
          <w:tcPr>
            <w:tcW w:w="507" w:type="pct"/>
            <w:vAlign w:val="bottom"/>
          </w:tcPr>
          <w:p w:rsidR="000F2660" w:rsidRPr="004421AD" w:rsidRDefault="000F2660" w:rsidP="008B63A3">
            <w:pPr>
              <w:pStyle w:val="TableBodyText"/>
              <w:rPr>
                <w:sz w:val="18"/>
                <w:szCs w:val="18"/>
              </w:rPr>
            </w:pPr>
            <w:r>
              <w:rPr>
                <w:sz w:val="18"/>
                <w:szCs w:val="18"/>
              </w:rPr>
              <w:noBreakHyphen/>
            </w:r>
          </w:p>
        </w:tc>
        <w:tc>
          <w:tcPr>
            <w:tcW w:w="507" w:type="pct"/>
            <w:vAlign w:val="bottom"/>
          </w:tcPr>
          <w:p w:rsidR="000F2660" w:rsidRPr="004421AD" w:rsidRDefault="000F2660" w:rsidP="008B63A3">
            <w:pPr>
              <w:pStyle w:val="TableBodyText"/>
              <w:rPr>
                <w:sz w:val="18"/>
                <w:szCs w:val="18"/>
              </w:rPr>
            </w:pPr>
            <w:r>
              <w:rPr>
                <w:sz w:val="18"/>
                <w:szCs w:val="18"/>
              </w:rPr>
              <w:noBreakHyphen/>
            </w:r>
          </w:p>
        </w:tc>
        <w:tc>
          <w:tcPr>
            <w:tcW w:w="507" w:type="pct"/>
            <w:vAlign w:val="bottom"/>
          </w:tcPr>
          <w:p w:rsidR="000F2660" w:rsidRPr="004421AD" w:rsidRDefault="000F2660" w:rsidP="008B63A3">
            <w:pPr>
              <w:pStyle w:val="TableBodyText"/>
              <w:rPr>
                <w:sz w:val="18"/>
                <w:szCs w:val="18"/>
              </w:rPr>
            </w:pPr>
            <w:r w:rsidRPr="004421AD">
              <w:rPr>
                <w:sz w:val="18"/>
                <w:szCs w:val="18"/>
              </w:rPr>
              <w:t>0.9</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1.0</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1.1</w:t>
            </w:r>
          </w:p>
        </w:tc>
      </w:tr>
      <w:tr w:rsidR="000F2660" w:rsidRPr="00395466" w:rsidTr="008B63A3">
        <w:tc>
          <w:tcPr>
            <w:tcW w:w="1959" w:type="pct"/>
            <w:vAlign w:val="bottom"/>
          </w:tcPr>
          <w:p w:rsidR="000F2660" w:rsidRPr="004421AD" w:rsidRDefault="000F2660" w:rsidP="008B63A3">
            <w:pPr>
              <w:pStyle w:val="TableBodyText"/>
              <w:jc w:val="left"/>
              <w:rPr>
                <w:sz w:val="18"/>
                <w:szCs w:val="18"/>
              </w:rPr>
            </w:pPr>
            <w:r w:rsidRPr="004421AD">
              <w:rPr>
                <w:sz w:val="18"/>
                <w:szCs w:val="18"/>
              </w:rPr>
              <w:t>Aquaculture and fishing</w:t>
            </w:r>
          </w:p>
        </w:tc>
        <w:tc>
          <w:tcPr>
            <w:tcW w:w="507" w:type="pct"/>
            <w:vAlign w:val="bottom"/>
          </w:tcPr>
          <w:p w:rsidR="000F2660" w:rsidRPr="004421AD" w:rsidRDefault="000F2660" w:rsidP="008B63A3">
            <w:pPr>
              <w:pStyle w:val="TableBodyText"/>
              <w:rPr>
                <w:sz w:val="18"/>
                <w:szCs w:val="18"/>
              </w:rPr>
            </w:pPr>
            <w:r w:rsidRPr="004421AD">
              <w:rPr>
                <w:sz w:val="18"/>
                <w:szCs w:val="18"/>
              </w:rPr>
              <w:t>5.2</w:t>
            </w:r>
          </w:p>
        </w:tc>
        <w:tc>
          <w:tcPr>
            <w:tcW w:w="507" w:type="pct"/>
            <w:vAlign w:val="bottom"/>
          </w:tcPr>
          <w:p w:rsidR="000F2660" w:rsidRPr="004421AD" w:rsidRDefault="000F2660" w:rsidP="008B63A3">
            <w:pPr>
              <w:pStyle w:val="TableBodyText"/>
              <w:rPr>
                <w:sz w:val="18"/>
                <w:szCs w:val="18"/>
              </w:rPr>
            </w:pPr>
            <w:r w:rsidRPr="004421AD">
              <w:rPr>
                <w:sz w:val="18"/>
                <w:szCs w:val="18"/>
              </w:rPr>
              <w:t>5.4</w:t>
            </w:r>
          </w:p>
        </w:tc>
        <w:tc>
          <w:tcPr>
            <w:tcW w:w="507" w:type="pct"/>
            <w:vAlign w:val="bottom"/>
          </w:tcPr>
          <w:p w:rsidR="000F2660" w:rsidRPr="004421AD" w:rsidRDefault="000F2660" w:rsidP="008B63A3">
            <w:pPr>
              <w:pStyle w:val="TableBodyText"/>
              <w:rPr>
                <w:sz w:val="18"/>
                <w:szCs w:val="18"/>
              </w:rPr>
            </w:pPr>
            <w:r w:rsidRPr="004421AD">
              <w:rPr>
                <w:sz w:val="18"/>
                <w:szCs w:val="18"/>
              </w:rPr>
              <w:t>5.7</w:t>
            </w:r>
          </w:p>
        </w:tc>
        <w:tc>
          <w:tcPr>
            <w:tcW w:w="507" w:type="pct"/>
            <w:vAlign w:val="bottom"/>
          </w:tcPr>
          <w:p w:rsidR="000F2660" w:rsidRPr="004421AD" w:rsidRDefault="000F2660" w:rsidP="008B63A3">
            <w:pPr>
              <w:pStyle w:val="TableBodyText"/>
              <w:rPr>
                <w:sz w:val="18"/>
                <w:szCs w:val="18"/>
              </w:rPr>
            </w:pPr>
            <w:r w:rsidRPr="004421AD">
              <w:rPr>
                <w:sz w:val="18"/>
                <w:szCs w:val="18"/>
              </w:rPr>
              <w:t>5.4</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5.8</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6.5</w:t>
            </w:r>
          </w:p>
        </w:tc>
      </w:tr>
      <w:tr w:rsidR="000F2660" w:rsidRPr="00395466" w:rsidTr="008B63A3">
        <w:tc>
          <w:tcPr>
            <w:tcW w:w="1959" w:type="pct"/>
            <w:vAlign w:val="bottom"/>
          </w:tcPr>
          <w:p w:rsidR="000F2660" w:rsidRPr="004421AD" w:rsidRDefault="000F2660" w:rsidP="008B63A3">
            <w:pPr>
              <w:pStyle w:val="TableBodyText"/>
              <w:jc w:val="left"/>
              <w:rPr>
                <w:sz w:val="18"/>
                <w:szCs w:val="18"/>
              </w:rPr>
            </w:pPr>
            <w:r w:rsidRPr="004421AD">
              <w:rPr>
                <w:sz w:val="18"/>
                <w:szCs w:val="18"/>
              </w:rPr>
              <w:t>Forestry and logging</w:t>
            </w:r>
          </w:p>
        </w:tc>
        <w:tc>
          <w:tcPr>
            <w:tcW w:w="507" w:type="pct"/>
            <w:vAlign w:val="bottom"/>
          </w:tcPr>
          <w:p w:rsidR="000F2660" w:rsidRPr="004421AD" w:rsidRDefault="000F2660" w:rsidP="008B63A3">
            <w:pPr>
              <w:pStyle w:val="TableBodyText"/>
              <w:rPr>
                <w:sz w:val="18"/>
                <w:szCs w:val="18"/>
              </w:rPr>
            </w:pPr>
            <w:r w:rsidRPr="004421AD">
              <w:rPr>
                <w:sz w:val="18"/>
                <w:szCs w:val="18"/>
              </w:rPr>
              <w:t>1.3</w:t>
            </w:r>
          </w:p>
        </w:tc>
        <w:tc>
          <w:tcPr>
            <w:tcW w:w="507" w:type="pct"/>
            <w:vAlign w:val="bottom"/>
          </w:tcPr>
          <w:p w:rsidR="000F2660" w:rsidRPr="004421AD" w:rsidRDefault="000F2660" w:rsidP="008B63A3">
            <w:pPr>
              <w:pStyle w:val="TableBodyText"/>
              <w:rPr>
                <w:sz w:val="18"/>
                <w:szCs w:val="18"/>
              </w:rPr>
            </w:pPr>
            <w:r w:rsidRPr="004421AD">
              <w:rPr>
                <w:sz w:val="18"/>
                <w:szCs w:val="18"/>
              </w:rPr>
              <w:t>1.0</w:t>
            </w:r>
          </w:p>
        </w:tc>
        <w:tc>
          <w:tcPr>
            <w:tcW w:w="507" w:type="pct"/>
            <w:vAlign w:val="bottom"/>
          </w:tcPr>
          <w:p w:rsidR="000F2660" w:rsidRPr="004421AD" w:rsidRDefault="000F2660" w:rsidP="008B63A3">
            <w:pPr>
              <w:pStyle w:val="TableBodyText"/>
              <w:rPr>
                <w:sz w:val="18"/>
                <w:szCs w:val="18"/>
              </w:rPr>
            </w:pPr>
            <w:r>
              <w:rPr>
                <w:sz w:val="18"/>
                <w:szCs w:val="18"/>
              </w:rPr>
              <w:noBreakHyphen/>
            </w:r>
          </w:p>
        </w:tc>
        <w:tc>
          <w:tcPr>
            <w:tcW w:w="507" w:type="pct"/>
            <w:vAlign w:val="bottom"/>
          </w:tcPr>
          <w:p w:rsidR="000F2660" w:rsidRPr="004421AD" w:rsidRDefault="000F2660" w:rsidP="008B63A3">
            <w:pPr>
              <w:pStyle w:val="TableBodyText"/>
              <w:rPr>
                <w:sz w:val="18"/>
                <w:szCs w:val="18"/>
              </w:rPr>
            </w:pPr>
            <w:r w:rsidRPr="004421AD">
              <w:rPr>
                <w:sz w:val="18"/>
                <w:szCs w:val="18"/>
              </w:rPr>
              <w:t>1.0</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1.0</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1.2</w:t>
            </w:r>
          </w:p>
        </w:tc>
      </w:tr>
      <w:tr w:rsidR="000F2660" w:rsidRPr="00395466" w:rsidTr="008B63A3">
        <w:tc>
          <w:tcPr>
            <w:tcW w:w="1959" w:type="pct"/>
            <w:vAlign w:val="bottom"/>
          </w:tcPr>
          <w:p w:rsidR="000F2660" w:rsidRPr="004421AD" w:rsidRDefault="000F2660" w:rsidP="008B63A3">
            <w:pPr>
              <w:pStyle w:val="TableBodyText"/>
              <w:jc w:val="left"/>
              <w:rPr>
                <w:sz w:val="18"/>
                <w:szCs w:val="18"/>
              </w:rPr>
            </w:pPr>
            <w:r w:rsidRPr="004421AD">
              <w:rPr>
                <w:sz w:val="18"/>
                <w:szCs w:val="18"/>
              </w:rPr>
              <w:t>Primary production support services</w:t>
            </w:r>
          </w:p>
        </w:tc>
        <w:tc>
          <w:tcPr>
            <w:tcW w:w="507" w:type="pct"/>
            <w:vAlign w:val="bottom"/>
          </w:tcPr>
          <w:p w:rsidR="000F2660" w:rsidRPr="004421AD" w:rsidRDefault="000F2660" w:rsidP="008B63A3">
            <w:pPr>
              <w:pStyle w:val="TableBodyText"/>
              <w:rPr>
                <w:sz w:val="18"/>
                <w:szCs w:val="18"/>
              </w:rPr>
            </w:pPr>
            <w:r w:rsidRPr="004421AD">
              <w:rPr>
                <w:sz w:val="18"/>
                <w:szCs w:val="18"/>
              </w:rPr>
              <w:t>1.6</w:t>
            </w:r>
          </w:p>
        </w:tc>
        <w:tc>
          <w:tcPr>
            <w:tcW w:w="507" w:type="pct"/>
            <w:vAlign w:val="bottom"/>
          </w:tcPr>
          <w:p w:rsidR="000F2660" w:rsidRPr="004421AD" w:rsidRDefault="000F2660" w:rsidP="008B63A3">
            <w:pPr>
              <w:pStyle w:val="TableBodyText"/>
              <w:rPr>
                <w:sz w:val="18"/>
                <w:szCs w:val="18"/>
              </w:rPr>
            </w:pPr>
            <w:r w:rsidRPr="004421AD">
              <w:rPr>
                <w:sz w:val="18"/>
                <w:szCs w:val="18"/>
              </w:rPr>
              <w:t>2.2</w:t>
            </w:r>
          </w:p>
        </w:tc>
        <w:tc>
          <w:tcPr>
            <w:tcW w:w="507" w:type="pct"/>
            <w:vAlign w:val="bottom"/>
          </w:tcPr>
          <w:p w:rsidR="000F2660" w:rsidRPr="004421AD" w:rsidRDefault="000F2660" w:rsidP="008B63A3">
            <w:pPr>
              <w:pStyle w:val="TableBodyText"/>
              <w:rPr>
                <w:sz w:val="18"/>
                <w:szCs w:val="18"/>
              </w:rPr>
            </w:pPr>
            <w:r w:rsidRPr="004421AD">
              <w:rPr>
                <w:sz w:val="18"/>
                <w:szCs w:val="18"/>
              </w:rPr>
              <w:t>2.5</w:t>
            </w:r>
          </w:p>
        </w:tc>
        <w:tc>
          <w:tcPr>
            <w:tcW w:w="507" w:type="pct"/>
            <w:vAlign w:val="bottom"/>
          </w:tcPr>
          <w:p w:rsidR="000F2660" w:rsidRPr="004421AD" w:rsidRDefault="000F2660" w:rsidP="008B63A3">
            <w:pPr>
              <w:pStyle w:val="TableBodyText"/>
              <w:rPr>
                <w:sz w:val="18"/>
                <w:szCs w:val="18"/>
              </w:rPr>
            </w:pPr>
            <w:r w:rsidRPr="004421AD">
              <w:rPr>
                <w:sz w:val="18"/>
                <w:szCs w:val="18"/>
              </w:rPr>
              <w:t>1.8</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1.9</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2.1</w:t>
            </w:r>
          </w:p>
        </w:tc>
      </w:tr>
      <w:tr w:rsidR="000F2660" w:rsidRPr="00411B63" w:rsidTr="008B63A3">
        <w:tc>
          <w:tcPr>
            <w:tcW w:w="1959" w:type="pct"/>
            <w:vAlign w:val="bottom"/>
          </w:tcPr>
          <w:p w:rsidR="000F2660" w:rsidRPr="00411B63" w:rsidRDefault="000F2660" w:rsidP="008B63A3">
            <w:pPr>
              <w:pStyle w:val="TableBodyText"/>
              <w:jc w:val="left"/>
              <w:rPr>
                <w:b/>
                <w:sz w:val="18"/>
                <w:szCs w:val="18"/>
              </w:rPr>
            </w:pPr>
            <w:r w:rsidRPr="00411B63">
              <w:rPr>
                <w:b/>
                <w:sz w:val="18"/>
                <w:szCs w:val="18"/>
              </w:rPr>
              <w:t>Mining</w:t>
            </w:r>
          </w:p>
        </w:tc>
        <w:tc>
          <w:tcPr>
            <w:tcW w:w="507" w:type="pct"/>
            <w:vAlign w:val="bottom"/>
          </w:tcPr>
          <w:p w:rsidR="000F2660" w:rsidRPr="00411B63" w:rsidRDefault="000F2660" w:rsidP="008B63A3">
            <w:pPr>
              <w:pStyle w:val="TableBodyText"/>
              <w:rPr>
                <w:b/>
                <w:sz w:val="18"/>
                <w:szCs w:val="18"/>
              </w:rPr>
            </w:pPr>
            <w:r w:rsidRPr="00411B63">
              <w:rPr>
                <w:b/>
                <w:sz w:val="18"/>
                <w:szCs w:val="18"/>
              </w:rPr>
              <w:t>16.9</w:t>
            </w:r>
          </w:p>
        </w:tc>
        <w:tc>
          <w:tcPr>
            <w:tcW w:w="507" w:type="pct"/>
            <w:vAlign w:val="bottom"/>
          </w:tcPr>
          <w:p w:rsidR="000F2660" w:rsidRPr="00411B63" w:rsidRDefault="000F2660" w:rsidP="008B63A3">
            <w:pPr>
              <w:pStyle w:val="TableBodyText"/>
              <w:rPr>
                <w:b/>
                <w:sz w:val="18"/>
                <w:szCs w:val="18"/>
              </w:rPr>
            </w:pPr>
            <w:r w:rsidRPr="00411B63">
              <w:rPr>
                <w:b/>
                <w:sz w:val="18"/>
                <w:szCs w:val="18"/>
              </w:rPr>
              <w:t>28.7</w:t>
            </w:r>
          </w:p>
        </w:tc>
        <w:tc>
          <w:tcPr>
            <w:tcW w:w="507" w:type="pct"/>
            <w:vAlign w:val="bottom"/>
          </w:tcPr>
          <w:p w:rsidR="000F2660" w:rsidRPr="00411B63" w:rsidRDefault="000F2660" w:rsidP="008B63A3">
            <w:pPr>
              <w:pStyle w:val="TableBodyText"/>
              <w:rPr>
                <w:b/>
                <w:sz w:val="18"/>
                <w:szCs w:val="18"/>
              </w:rPr>
            </w:pPr>
            <w:r w:rsidRPr="00411B63">
              <w:rPr>
                <w:b/>
                <w:sz w:val="18"/>
                <w:szCs w:val="18"/>
              </w:rPr>
              <w:t>36.1</w:t>
            </w:r>
          </w:p>
        </w:tc>
        <w:tc>
          <w:tcPr>
            <w:tcW w:w="507" w:type="pct"/>
            <w:vAlign w:val="bottom"/>
          </w:tcPr>
          <w:p w:rsidR="000F2660" w:rsidRPr="00411B63" w:rsidRDefault="000F2660" w:rsidP="008B63A3">
            <w:pPr>
              <w:pStyle w:val="TableBodyText"/>
              <w:rPr>
                <w:b/>
                <w:sz w:val="18"/>
                <w:szCs w:val="18"/>
              </w:rPr>
            </w:pPr>
            <w:r w:rsidRPr="00411B63">
              <w:rPr>
                <w:b/>
                <w:sz w:val="18"/>
                <w:szCs w:val="18"/>
              </w:rPr>
              <w:t>63.3</w:t>
            </w:r>
          </w:p>
        </w:tc>
        <w:tc>
          <w:tcPr>
            <w:tcW w:w="507" w:type="pct"/>
            <w:shd w:val="clear" w:color="auto" w:fill="auto"/>
            <w:vAlign w:val="bottom"/>
          </w:tcPr>
          <w:p w:rsidR="000F2660" w:rsidRPr="00411B63" w:rsidRDefault="000F2660" w:rsidP="008B63A3">
            <w:pPr>
              <w:pStyle w:val="TableBodyText"/>
              <w:rPr>
                <w:b/>
                <w:sz w:val="18"/>
                <w:szCs w:val="18"/>
              </w:rPr>
            </w:pPr>
            <w:r w:rsidRPr="00411B63">
              <w:rPr>
                <w:b/>
                <w:sz w:val="18"/>
                <w:szCs w:val="18"/>
              </w:rPr>
              <w:t>68.1</w:t>
            </w:r>
          </w:p>
        </w:tc>
        <w:tc>
          <w:tcPr>
            <w:tcW w:w="507" w:type="pct"/>
            <w:shd w:val="clear" w:color="auto" w:fill="auto"/>
            <w:vAlign w:val="bottom"/>
          </w:tcPr>
          <w:p w:rsidR="000F2660" w:rsidRPr="00411B63" w:rsidRDefault="000F2660" w:rsidP="008B63A3">
            <w:pPr>
              <w:pStyle w:val="TableBodyText"/>
              <w:rPr>
                <w:b/>
                <w:sz w:val="18"/>
                <w:szCs w:val="18"/>
              </w:rPr>
            </w:pPr>
            <w:r w:rsidRPr="00411B63">
              <w:rPr>
                <w:b/>
                <w:sz w:val="18"/>
                <w:szCs w:val="18"/>
              </w:rPr>
              <w:t>76.5</w:t>
            </w:r>
          </w:p>
        </w:tc>
      </w:tr>
      <w:tr w:rsidR="000F2660" w:rsidRPr="00395466" w:rsidTr="008B63A3">
        <w:tc>
          <w:tcPr>
            <w:tcW w:w="1959" w:type="pct"/>
            <w:vAlign w:val="bottom"/>
          </w:tcPr>
          <w:p w:rsidR="000F2660" w:rsidRPr="004421AD" w:rsidRDefault="000F2660" w:rsidP="008B63A3">
            <w:pPr>
              <w:pStyle w:val="TableBodyText"/>
              <w:jc w:val="left"/>
              <w:rPr>
                <w:b/>
                <w:sz w:val="18"/>
                <w:szCs w:val="18"/>
              </w:rPr>
            </w:pPr>
            <w:r w:rsidRPr="004421AD">
              <w:rPr>
                <w:b/>
                <w:sz w:val="18"/>
                <w:szCs w:val="18"/>
              </w:rPr>
              <w:t>Manufacturing</w:t>
            </w:r>
          </w:p>
        </w:tc>
        <w:tc>
          <w:tcPr>
            <w:tcW w:w="507" w:type="pct"/>
            <w:vAlign w:val="bottom"/>
          </w:tcPr>
          <w:p w:rsidR="000F2660" w:rsidRPr="004421AD" w:rsidRDefault="000F2660" w:rsidP="008B63A3">
            <w:pPr>
              <w:pStyle w:val="TableBodyText"/>
              <w:rPr>
                <w:b/>
                <w:sz w:val="18"/>
                <w:szCs w:val="18"/>
              </w:rPr>
            </w:pPr>
            <w:r w:rsidRPr="004421AD">
              <w:rPr>
                <w:b/>
                <w:sz w:val="18"/>
                <w:szCs w:val="18"/>
              </w:rPr>
              <w:t>74.3</w:t>
            </w:r>
          </w:p>
        </w:tc>
        <w:tc>
          <w:tcPr>
            <w:tcW w:w="507" w:type="pct"/>
            <w:vAlign w:val="bottom"/>
          </w:tcPr>
          <w:p w:rsidR="000F2660" w:rsidRPr="004421AD" w:rsidRDefault="000F2660" w:rsidP="008B63A3">
            <w:pPr>
              <w:pStyle w:val="TableBodyText"/>
              <w:rPr>
                <w:b/>
                <w:sz w:val="18"/>
                <w:szCs w:val="18"/>
              </w:rPr>
            </w:pPr>
            <w:r w:rsidRPr="004421AD">
              <w:rPr>
                <w:b/>
                <w:sz w:val="18"/>
                <w:szCs w:val="18"/>
              </w:rPr>
              <w:t>96.0</w:t>
            </w:r>
          </w:p>
        </w:tc>
        <w:tc>
          <w:tcPr>
            <w:tcW w:w="507" w:type="pct"/>
            <w:vAlign w:val="bottom"/>
          </w:tcPr>
          <w:p w:rsidR="000F2660" w:rsidRPr="004421AD" w:rsidRDefault="000F2660" w:rsidP="008B63A3">
            <w:pPr>
              <w:pStyle w:val="TableBodyText"/>
              <w:rPr>
                <w:b/>
                <w:sz w:val="18"/>
                <w:szCs w:val="18"/>
              </w:rPr>
            </w:pPr>
            <w:r w:rsidRPr="004421AD">
              <w:rPr>
                <w:b/>
                <w:sz w:val="18"/>
                <w:szCs w:val="18"/>
              </w:rPr>
              <w:t>124.5</w:t>
            </w:r>
          </w:p>
        </w:tc>
        <w:tc>
          <w:tcPr>
            <w:tcW w:w="507" w:type="pct"/>
            <w:vAlign w:val="bottom"/>
          </w:tcPr>
          <w:p w:rsidR="000F2660" w:rsidRPr="004421AD" w:rsidRDefault="000F2660" w:rsidP="008B63A3">
            <w:pPr>
              <w:pStyle w:val="TableBodyText"/>
              <w:rPr>
                <w:b/>
                <w:sz w:val="18"/>
                <w:szCs w:val="18"/>
              </w:rPr>
            </w:pPr>
            <w:r w:rsidRPr="004421AD">
              <w:rPr>
                <w:b/>
                <w:sz w:val="18"/>
                <w:szCs w:val="18"/>
              </w:rPr>
              <w:t>139.8</w:t>
            </w:r>
          </w:p>
        </w:tc>
        <w:tc>
          <w:tcPr>
            <w:tcW w:w="507" w:type="pct"/>
            <w:shd w:val="clear" w:color="auto" w:fill="auto"/>
            <w:vAlign w:val="bottom"/>
          </w:tcPr>
          <w:p w:rsidR="000F2660" w:rsidRPr="004421AD" w:rsidRDefault="000F2660" w:rsidP="008B63A3">
            <w:pPr>
              <w:pStyle w:val="TableBodyText"/>
              <w:rPr>
                <w:b/>
                <w:sz w:val="18"/>
                <w:szCs w:val="18"/>
              </w:rPr>
            </w:pPr>
            <w:r w:rsidRPr="004421AD">
              <w:rPr>
                <w:b/>
                <w:sz w:val="18"/>
                <w:szCs w:val="18"/>
              </w:rPr>
              <w:t>150.3</w:t>
            </w:r>
          </w:p>
        </w:tc>
        <w:tc>
          <w:tcPr>
            <w:tcW w:w="507" w:type="pct"/>
            <w:shd w:val="clear" w:color="auto" w:fill="auto"/>
            <w:vAlign w:val="bottom"/>
          </w:tcPr>
          <w:p w:rsidR="000F2660" w:rsidRPr="004421AD" w:rsidRDefault="000F2660" w:rsidP="008B63A3">
            <w:pPr>
              <w:pStyle w:val="TableBodyText"/>
              <w:rPr>
                <w:b/>
                <w:sz w:val="18"/>
                <w:szCs w:val="18"/>
              </w:rPr>
            </w:pPr>
            <w:r w:rsidRPr="004421AD">
              <w:rPr>
                <w:b/>
                <w:sz w:val="18"/>
                <w:szCs w:val="18"/>
              </w:rPr>
              <w:t>169.0</w:t>
            </w:r>
          </w:p>
        </w:tc>
      </w:tr>
      <w:tr w:rsidR="000F2660" w:rsidRPr="00395466" w:rsidTr="008B63A3">
        <w:tc>
          <w:tcPr>
            <w:tcW w:w="1959" w:type="pct"/>
            <w:vAlign w:val="bottom"/>
          </w:tcPr>
          <w:p w:rsidR="000F2660" w:rsidRPr="004421AD" w:rsidRDefault="000F2660" w:rsidP="008B63A3">
            <w:pPr>
              <w:pStyle w:val="TableBodyText"/>
              <w:jc w:val="left"/>
              <w:rPr>
                <w:sz w:val="18"/>
                <w:szCs w:val="18"/>
              </w:rPr>
            </w:pPr>
            <w:r w:rsidRPr="004421AD">
              <w:rPr>
                <w:sz w:val="18"/>
                <w:szCs w:val="18"/>
              </w:rPr>
              <w:t>Food, beverages and tobacco</w:t>
            </w:r>
          </w:p>
        </w:tc>
        <w:tc>
          <w:tcPr>
            <w:tcW w:w="507" w:type="pct"/>
            <w:vAlign w:val="bottom"/>
          </w:tcPr>
          <w:p w:rsidR="000F2660" w:rsidRPr="004421AD" w:rsidRDefault="000F2660" w:rsidP="008B63A3">
            <w:pPr>
              <w:pStyle w:val="TableBodyText"/>
              <w:rPr>
                <w:sz w:val="18"/>
                <w:szCs w:val="18"/>
              </w:rPr>
            </w:pPr>
            <w:r w:rsidRPr="004421AD">
              <w:rPr>
                <w:sz w:val="18"/>
                <w:szCs w:val="18"/>
              </w:rPr>
              <w:t>3.1</w:t>
            </w:r>
          </w:p>
        </w:tc>
        <w:tc>
          <w:tcPr>
            <w:tcW w:w="507" w:type="pct"/>
            <w:vAlign w:val="bottom"/>
          </w:tcPr>
          <w:p w:rsidR="000F2660" w:rsidRPr="004421AD" w:rsidRDefault="000F2660" w:rsidP="008B63A3">
            <w:pPr>
              <w:pStyle w:val="TableBodyText"/>
              <w:rPr>
                <w:sz w:val="18"/>
                <w:szCs w:val="18"/>
              </w:rPr>
            </w:pPr>
            <w:r w:rsidRPr="004421AD">
              <w:rPr>
                <w:sz w:val="18"/>
                <w:szCs w:val="18"/>
              </w:rPr>
              <w:t>4.3</w:t>
            </w:r>
          </w:p>
        </w:tc>
        <w:tc>
          <w:tcPr>
            <w:tcW w:w="507" w:type="pct"/>
            <w:vAlign w:val="bottom"/>
          </w:tcPr>
          <w:p w:rsidR="000F2660" w:rsidRPr="004421AD" w:rsidRDefault="000F2660" w:rsidP="008B63A3">
            <w:pPr>
              <w:pStyle w:val="TableBodyText"/>
              <w:rPr>
                <w:sz w:val="18"/>
                <w:szCs w:val="18"/>
              </w:rPr>
            </w:pPr>
            <w:r w:rsidRPr="004421AD">
              <w:rPr>
                <w:sz w:val="18"/>
                <w:szCs w:val="18"/>
              </w:rPr>
              <w:t>6.3</w:t>
            </w:r>
          </w:p>
        </w:tc>
        <w:tc>
          <w:tcPr>
            <w:tcW w:w="507" w:type="pct"/>
            <w:vAlign w:val="bottom"/>
          </w:tcPr>
          <w:p w:rsidR="000F2660" w:rsidRPr="004421AD" w:rsidRDefault="000F2660" w:rsidP="008B63A3">
            <w:pPr>
              <w:pStyle w:val="TableBodyText"/>
              <w:rPr>
                <w:sz w:val="18"/>
                <w:szCs w:val="18"/>
              </w:rPr>
            </w:pPr>
            <w:r w:rsidRPr="004421AD">
              <w:rPr>
                <w:sz w:val="18"/>
                <w:szCs w:val="18"/>
              </w:rPr>
              <w:t>10.2</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10.9</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12.3</w:t>
            </w:r>
          </w:p>
        </w:tc>
      </w:tr>
      <w:tr w:rsidR="000F2660" w:rsidRPr="00395466" w:rsidTr="008B63A3">
        <w:tc>
          <w:tcPr>
            <w:tcW w:w="1959" w:type="pct"/>
            <w:vAlign w:val="bottom"/>
          </w:tcPr>
          <w:p w:rsidR="000F2660" w:rsidRPr="004421AD" w:rsidRDefault="000F2660" w:rsidP="008B63A3">
            <w:pPr>
              <w:pStyle w:val="TableBodyText"/>
              <w:jc w:val="left"/>
              <w:rPr>
                <w:sz w:val="18"/>
                <w:szCs w:val="18"/>
              </w:rPr>
            </w:pPr>
            <w:r w:rsidRPr="004421AD">
              <w:rPr>
                <w:sz w:val="18"/>
                <w:szCs w:val="18"/>
              </w:rPr>
              <w:t>Textile, leather, clothing and footwear</w:t>
            </w:r>
          </w:p>
        </w:tc>
        <w:tc>
          <w:tcPr>
            <w:tcW w:w="507" w:type="pct"/>
            <w:vAlign w:val="bottom"/>
          </w:tcPr>
          <w:p w:rsidR="000F2660" w:rsidRPr="004421AD" w:rsidRDefault="000F2660" w:rsidP="008B63A3">
            <w:pPr>
              <w:pStyle w:val="TableBodyText"/>
              <w:rPr>
                <w:sz w:val="18"/>
                <w:szCs w:val="18"/>
              </w:rPr>
            </w:pPr>
            <w:r w:rsidRPr="004421AD">
              <w:rPr>
                <w:sz w:val="18"/>
                <w:szCs w:val="18"/>
              </w:rPr>
              <w:t>0.7</w:t>
            </w:r>
          </w:p>
        </w:tc>
        <w:tc>
          <w:tcPr>
            <w:tcW w:w="507" w:type="pct"/>
            <w:vAlign w:val="bottom"/>
          </w:tcPr>
          <w:p w:rsidR="000F2660" w:rsidRPr="004421AD" w:rsidRDefault="000F2660" w:rsidP="008B63A3">
            <w:pPr>
              <w:pStyle w:val="TableBodyText"/>
              <w:rPr>
                <w:sz w:val="18"/>
                <w:szCs w:val="18"/>
              </w:rPr>
            </w:pPr>
            <w:r w:rsidRPr="004421AD">
              <w:rPr>
                <w:sz w:val="18"/>
                <w:szCs w:val="18"/>
              </w:rPr>
              <w:t>1.2</w:t>
            </w:r>
          </w:p>
        </w:tc>
        <w:tc>
          <w:tcPr>
            <w:tcW w:w="507" w:type="pct"/>
            <w:vAlign w:val="bottom"/>
          </w:tcPr>
          <w:p w:rsidR="000F2660" w:rsidRPr="004421AD" w:rsidRDefault="000F2660" w:rsidP="008B63A3">
            <w:pPr>
              <w:pStyle w:val="TableBodyText"/>
              <w:rPr>
                <w:sz w:val="18"/>
                <w:szCs w:val="18"/>
              </w:rPr>
            </w:pPr>
            <w:r w:rsidRPr="004421AD">
              <w:rPr>
                <w:sz w:val="18"/>
                <w:szCs w:val="18"/>
              </w:rPr>
              <w:t>2.2</w:t>
            </w:r>
          </w:p>
        </w:tc>
        <w:tc>
          <w:tcPr>
            <w:tcW w:w="507" w:type="pct"/>
            <w:vAlign w:val="bottom"/>
          </w:tcPr>
          <w:p w:rsidR="000F2660" w:rsidRPr="004421AD" w:rsidRDefault="000F2660" w:rsidP="008B63A3">
            <w:pPr>
              <w:pStyle w:val="TableBodyText"/>
              <w:rPr>
                <w:sz w:val="18"/>
                <w:szCs w:val="18"/>
              </w:rPr>
            </w:pPr>
            <w:r w:rsidRPr="004421AD">
              <w:rPr>
                <w:sz w:val="18"/>
                <w:szCs w:val="18"/>
              </w:rPr>
              <w:t>2.7</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2.9</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3.3</w:t>
            </w:r>
          </w:p>
        </w:tc>
      </w:tr>
      <w:tr w:rsidR="000F2660" w:rsidRPr="00395466" w:rsidTr="008B63A3">
        <w:tc>
          <w:tcPr>
            <w:tcW w:w="1959" w:type="pct"/>
            <w:vAlign w:val="bottom"/>
          </w:tcPr>
          <w:p w:rsidR="000F2660" w:rsidRPr="004421AD" w:rsidRDefault="000F2660" w:rsidP="008B63A3">
            <w:pPr>
              <w:pStyle w:val="TableBodyText"/>
              <w:jc w:val="left"/>
              <w:rPr>
                <w:sz w:val="18"/>
                <w:szCs w:val="18"/>
              </w:rPr>
            </w:pPr>
            <w:r w:rsidRPr="004421AD">
              <w:rPr>
                <w:sz w:val="18"/>
                <w:szCs w:val="18"/>
              </w:rPr>
              <w:t>Wood and paper products</w:t>
            </w:r>
          </w:p>
        </w:tc>
        <w:tc>
          <w:tcPr>
            <w:tcW w:w="507" w:type="pct"/>
            <w:vAlign w:val="bottom"/>
          </w:tcPr>
          <w:p w:rsidR="000F2660" w:rsidRPr="004421AD" w:rsidRDefault="000F2660" w:rsidP="008B63A3">
            <w:pPr>
              <w:pStyle w:val="TableBodyText"/>
              <w:rPr>
                <w:sz w:val="18"/>
                <w:szCs w:val="18"/>
              </w:rPr>
            </w:pPr>
            <w:r w:rsidRPr="004421AD">
              <w:rPr>
                <w:sz w:val="18"/>
                <w:szCs w:val="18"/>
              </w:rPr>
              <w:t>1.0</w:t>
            </w:r>
          </w:p>
        </w:tc>
        <w:tc>
          <w:tcPr>
            <w:tcW w:w="507" w:type="pct"/>
            <w:vAlign w:val="bottom"/>
          </w:tcPr>
          <w:p w:rsidR="000F2660" w:rsidRPr="004421AD" w:rsidRDefault="000F2660" w:rsidP="008B63A3">
            <w:pPr>
              <w:pStyle w:val="TableBodyText"/>
              <w:rPr>
                <w:sz w:val="18"/>
                <w:szCs w:val="18"/>
              </w:rPr>
            </w:pPr>
            <w:r w:rsidRPr="004421AD">
              <w:rPr>
                <w:sz w:val="18"/>
                <w:szCs w:val="18"/>
              </w:rPr>
              <w:t>1.9</w:t>
            </w:r>
          </w:p>
        </w:tc>
        <w:tc>
          <w:tcPr>
            <w:tcW w:w="507" w:type="pct"/>
            <w:vAlign w:val="bottom"/>
          </w:tcPr>
          <w:p w:rsidR="000F2660" w:rsidRPr="004421AD" w:rsidRDefault="000F2660" w:rsidP="008B63A3">
            <w:pPr>
              <w:pStyle w:val="TableBodyText"/>
              <w:rPr>
                <w:sz w:val="18"/>
                <w:szCs w:val="18"/>
              </w:rPr>
            </w:pPr>
            <w:r w:rsidRPr="004421AD">
              <w:rPr>
                <w:sz w:val="18"/>
                <w:szCs w:val="18"/>
              </w:rPr>
              <w:t>2.1</w:t>
            </w:r>
          </w:p>
        </w:tc>
        <w:tc>
          <w:tcPr>
            <w:tcW w:w="507" w:type="pct"/>
            <w:vAlign w:val="bottom"/>
          </w:tcPr>
          <w:p w:rsidR="000F2660" w:rsidRPr="004421AD" w:rsidRDefault="000F2660" w:rsidP="008B63A3">
            <w:pPr>
              <w:pStyle w:val="TableBodyText"/>
              <w:rPr>
                <w:sz w:val="18"/>
                <w:szCs w:val="18"/>
              </w:rPr>
            </w:pPr>
            <w:r w:rsidRPr="004421AD">
              <w:rPr>
                <w:sz w:val="18"/>
                <w:szCs w:val="18"/>
              </w:rPr>
              <w:t>2.5</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2.6</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3.0</w:t>
            </w:r>
          </w:p>
        </w:tc>
      </w:tr>
      <w:tr w:rsidR="000F2660" w:rsidRPr="00395466" w:rsidTr="008B63A3">
        <w:tc>
          <w:tcPr>
            <w:tcW w:w="1959" w:type="pct"/>
            <w:vAlign w:val="bottom"/>
          </w:tcPr>
          <w:p w:rsidR="000F2660" w:rsidRPr="004421AD" w:rsidRDefault="000F2660" w:rsidP="008B63A3">
            <w:pPr>
              <w:pStyle w:val="TableBodyText"/>
              <w:jc w:val="left"/>
              <w:rPr>
                <w:sz w:val="18"/>
                <w:szCs w:val="18"/>
              </w:rPr>
            </w:pPr>
            <w:r w:rsidRPr="004421AD">
              <w:rPr>
                <w:sz w:val="18"/>
                <w:szCs w:val="18"/>
              </w:rPr>
              <w:t>Printing and recorded media</w:t>
            </w:r>
          </w:p>
        </w:tc>
        <w:tc>
          <w:tcPr>
            <w:tcW w:w="507" w:type="pct"/>
            <w:vAlign w:val="bottom"/>
          </w:tcPr>
          <w:p w:rsidR="000F2660" w:rsidRPr="004421AD" w:rsidRDefault="000F2660" w:rsidP="008B63A3">
            <w:pPr>
              <w:pStyle w:val="TableBodyText"/>
              <w:rPr>
                <w:sz w:val="18"/>
                <w:szCs w:val="18"/>
              </w:rPr>
            </w:pPr>
            <w:r w:rsidRPr="004421AD">
              <w:rPr>
                <w:sz w:val="18"/>
                <w:szCs w:val="18"/>
              </w:rPr>
              <w:t>1.8</w:t>
            </w:r>
          </w:p>
        </w:tc>
        <w:tc>
          <w:tcPr>
            <w:tcW w:w="507" w:type="pct"/>
            <w:vAlign w:val="bottom"/>
          </w:tcPr>
          <w:p w:rsidR="000F2660" w:rsidRPr="004421AD" w:rsidRDefault="000F2660" w:rsidP="008B63A3">
            <w:pPr>
              <w:pStyle w:val="TableBodyText"/>
              <w:rPr>
                <w:sz w:val="18"/>
                <w:szCs w:val="18"/>
              </w:rPr>
            </w:pPr>
            <w:r w:rsidRPr="004421AD">
              <w:rPr>
                <w:sz w:val="18"/>
                <w:szCs w:val="18"/>
              </w:rPr>
              <w:t>2.7</w:t>
            </w:r>
          </w:p>
        </w:tc>
        <w:tc>
          <w:tcPr>
            <w:tcW w:w="507" w:type="pct"/>
            <w:vAlign w:val="bottom"/>
          </w:tcPr>
          <w:p w:rsidR="000F2660" w:rsidRPr="004421AD" w:rsidRDefault="000F2660" w:rsidP="008B63A3">
            <w:pPr>
              <w:pStyle w:val="TableBodyText"/>
              <w:rPr>
                <w:sz w:val="18"/>
                <w:szCs w:val="18"/>
              </w:rPr>
            </w:pPr>
            <w:r w:rsidRPr="004421AD">
              <w:rPr>
                <w:sz w:val="18"/>
                <w:szCs w:val="18"/>
              </w:rPr>
              <w:t>3.1</w:t>
            </w:r>
          </w:p>
        </w:tc>
        <w:tc>
          <w:tcPr>
            <w:tcW w:w="507" w:type="pct"/>
            <w:vAlign w:val="bottom"/>
          </w:tcPr>
          <w:p w:rsidR="000F2660" w:rsidRPr="004421AD" w:rsidRDefault="000F2660" w:rsidP="008B63A3">
            <w:pPr>
              <w:pStyle w:val="TableBodyText"/>
              <w:rPr>
                <w:sz w:val="18"/>
                <w:szCs w:val="18"/>
              </w:rPr>
            </w:pPr>
            <w:r w:rsidRPr="004421AD">
              <w:rPr>
                <w:sz w:val="18"/>
                <w:szCs w:val="18"/>
              </w:rPr>
              <w:t>3.5</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3.8</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4.3</w:t>
            </w:r>
          </w:p>
        </w:tc>
      </w:tr>
      <w:tr w:rsidR="000F2660" w:rsidRPr="00395466" w:rsidTr="008B63A3">
        <w:tc>
          <w:tcPr>
            <w:tcW w:w="1959" w:type="pct"/>
            <w:vAlign w:val="bottom"/>
          </w:tcPr>
          <w:p w:rsidR="000F2660" w:rsidRPr="004421AD" w:rsidRDefault="000F2660" w:rsidP="008B63A3">
            <w:pPr>
              <w:pStyle w:val="TableBodyText"/>
              <w:jc w:val="left"/>
              <w:rPr>
                <w:sz w:val="18"/>
                <w:szCs w:val="18"/>
              </w:rPr>
            </w:pPr>
            <w:r w:rsidRPr="004421AD">
              <w:rPr>
                <w:sz w:val="18"/>
                <w:szCs w:val="18"/>
              </w:rPr>
              <w:t>Petroleum, coal, chemical and rubber products</w:t>
            </w:r>
          </w:p>
        </w:tc>
        <w:tc>
          <w:tcPr>
            <w:tcW w:w="507" w:type="pct"/>
            <w:vAlign w:val="bottom"/>
          </w:tcPr>
          <w:p w:rsidR="000F2660" w:rsidRPr="004421AD" w:rsidRDefault="000F2660" w:rsidP="008B63A3">
            <w:pPr>
              <w:pStyle w:val="TableBodyText"/>
              <w:rPr>
                <w:sz w:val="18"/>
                <w:szCs w:val="18"/>
              </w:rPr>
            </w:pPr>
            <w:r w:rsidRPr="004421AD">
              <w:rPr>
                <w:sz w:val="18"/>
                <w:szCs w:val="18"/>
              </w:rPr>
              <w:t>11.7</w:t>
            </w:r>
          </w:p>
        </w:tc>
        <w:tc>
          <w:tcPr>
            <w:tcW w:w="507" w:type="pct"/>
            <w:vAlign w:val="bottom"/>
          </w:tcPr>
          <w:p w:rsidR="000F2660" w:rsidRPr="004421AD" w:rsidRDefault="000F2660" w:rsidP="008B63A3">
            <w:pPr>
              <w:pStyle w:val="TableBodyText"/>
              <w:rPr>
                <w:sz w:val="18"/>
                <w:szCs w:val="18"/>
              </w:rPr>
            </w:pPr>
            <w:r w:rsidRPr="004421AD">
              <w:rPr>
                <w:sz w:val="18"/>
                <w:szCs w:val="18"/>
              </w:rPr>
              <w:t>15.7</w:t>
            </w:r>
          </w:p>
        </w:tc>
        <w:tc>
          <w:tcPr>
            <w:tcW w:w="507" w:type="pct"/>
            <w:vAlign w:val="bottom"/>
          </w:tcPr>
          <w:p w:rsidR="000F2660" w:rsidRPr="004421AD" w:rsidRDefault="000F2660" w:rsidP="008B63A3">
            <w:pPr>
              <w:pStyle w:val="TableBodyText"/>
              <w:rPr>
                <w:sz w:val="18"/>
                <w:szCs w:val="18"/>
              </w:rPr>
            </w:pPr>
            <w:r w:rsidRPr="004421AD">
              <w:rPr>
                <w:sz w:val="18"/>
                <w:szCs w:val="18"/>
              </w:rPr>
              <w:t>20.7</w:t>
            </w:r>
          </w:p>
        </w:tc>
        <w:tc>
          <w:tcPr>
            <w:tcW w:w="507" w:type="pct"/>
            <w:vAlign w:val="bottom"/>
          </w:tcPr>
          <w:p w:rsidR="000F2660" w:rsidRPr="004421AD" w:rsidRDefault="000F2660" w:rsidP="008B63A3">
            <w:pPr>
              <w:pStyle w:val="TableBodyText"/>
              <w:rPr>
                <w:sz w:val="18"/>
                <w:szCs w:val="18"/>
              </w:rPr>
            </w:pPr>
            <w:r w:rsidRPr="004421AD">
              <w:rPr>
                <w:sz w:val="18"/>
                <w:szCs w:val="18"/>
              </w:rPr>
              <w:t>23.9</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25.7</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28.9</w:t>
            </w:r>
          </w:p>
        </w:tc>
      </w:tr>
      <w:tr w:rsidR="000F2660" w:rsidRPr="00395466" w:rsidTr="008B63A3">
        <w:tc>
          <w:tcPr>
            <w:tcW w:w="1959" w:type="pct"/>
            <w:vAlign w:val="bottom"/>
          </w:tcPr>
          <w:p w:rsidR="000F2660" w:rsidRPr="004421AD" w:rsidRDefault="000F2660" w:rsidP="009778E6">
            <w:pPr>
              <w:pStyle w:val="TableBodyText"/>
              <w:jc w:val="left"/>
              <w:rPr>
                <w:sz w:val="18"/>
                <w:szCs w:val="18"/>
              </w:rPr>
            </w:pPr>
            <w:r w:rsidRPr="004421AD">
              <w:rPr>
                <w:sz w:val="18"/>
                <w:szCs w:val="18"/>
              </w:rPr>
              <w:t>Non-</w:t>
            </w:r>
            <w:r w:rsidR="009778E6">
              <w:rPr>
                <w:sz w:val="18"/>
                <w:szCs w:val="18"/>
              </w:rPr>
              <w:t>m</w:t>
            </w:r>
            <w:r w:rsidR="009778E6" w:rsidRPr="004421AD">
              <w:rPr>
                <w:sz w:val="18"/>
                <w:szCs w:val="18"/>
              </w:rPr>
              <w:t xml:space="preserve">etallic </w:t>
            </w:r>
            <w:r w:rsidRPr="004421AD">
              <w:rPr>
                <w:sz w:val="18"/>
                <w:szCs w:val="18"/>
              </w:rPr>
              <w:t>mineral products</w:t>
            </w:r>
          </w:p>
        </w:tc>
        <w:tc>
          <w:tcPr>
            <w:tcW w:w="507" w:type="pct"/>
            <w:vAlign w:val="bottom"/>
          </w:tcPr>
          <w:p w:rsidR="000F2660" w:rsidRPr="004421AD" w:rsidRDefault="000F2660" w:rsidP="008B63A3">
            <w:pPr>
              <w:pStyle w:val="TableBodyText"/>
              <w:rPr>
                <w:sz w:val="18"/>
                <w:szCs w:val="18"/>
              </w:rPr>
            </w:pPr>
            <w:r w:rsidRPr="004421AD">
              <w:rPr>
                <w:sz w:val="18"/>
                <w:szCs w:val="18"/>
              </w:rPr>
              <w:t>4.0</w:t>
            </w:r>
          </w:p>
        </w:tc>
        <w:tc>
          <w:tcPr>
            <w:tcW w:w="507" w:type="pct"/>
            <w:vAlign w:val="bottom"/>
          </w:tcPr>
          <w:p w:rsidR="000F2660" w:rsidRPr="004421AD" w:rsidRDefault="000F2660" w:rsidP="008B63A3">
            <w:pPr>
              <w:pStyle w:val="TableBodyText"/>
              <w:rPr>
                <w:sz w:val="18"/>
                <w:szCs w:val="18"/>
              </w:rPr>
            </w:pPr>
            <w:r w:rsidRPr="004421AD">
              <w:rPr>
                <w:sz w:val="18"/>
                <w:szCs w:val="18"/>
              </w:rPr>
              <w:t>4.1</w:t>
            </w:r>
          </w:p>
        </w:tc>
        <w:tc>
          <w:tcPr>
            <w:tcW w:w="507" w:type="pct"/>
            <w:vAlign w:val="bottom"/>
          </w:tcPr>
          <w:p w:rsidR="000F2660" w:rsidRPr="004421AD" w:rsidRDefault="000F2660" w:rsidP="008B63A3">
            <w:pPr>
              <w:pStyle w:val="TableBodyText"/>
              <w:rPr>
                <w:sz w:val="18"/>
                <w:szCs w:val="18"/>
              </w:rPr>
            </w:pPr>
            <w:r w:rsidRPr="004421AD">
              <w:rPr>
                <w:sz w:val="18"/>
                <w:szCs w:val="18"/>
              </w:rPr>
              <w:t>5.1</w:t>
            </w:r>
          </w:p>
        </w:tc>
        <w:tc>
          <w:tcPr>
            <w:tcW w:w="507" w:type="pct"/>
            <w:vAlign w:val="bottom"/>
          </w:tcPr>
          <w:p w:rsidR="000F2660" w:rsidRPr="004421AD" w:rsidRDefault="000F2660" w:rsidP="008B63A3">
            <w:pPr>
              <w:pStyle w:val="TableBodyText"/>
              <w:rPr>
                <w:sz w:val="18"/>
                <w:szCs w:val="18"/>
              </w:rPr>
            </w:pPr>
            <w:r w:rsidRPr="004421AD">
              <w:rPr>
                <w:sz w:val="18"/>
                <w:szCs w:val="18"/>
              </w:rPr>
              <w:t>6.2</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6.7</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7.5</w:t>
            </w:r>
          </w:p>
        </w:tc>
      </w:tr>
      <w:tr w:rsidR="000F2660" w:rsidRPr="00395466" w:rsidTr="008B63A3">
        <w:tc>
          <w:tcPr>
            <w:tcW w:w="1959" w:type="pct"/>
            <w:vAlign w:val="bottom"/>
          </w:tcPr>
          <w:p w:rsidR="000F2660" w:rsidRPr="004421AD" w:rsidRDefault="000F2660" w:rsidP="008B63A3">
            <w:pPr>
              <w:pStyle w:val="TableBodyText"/>
              <w:jc w:val="left"/>
              <w:rPr>
                <w:sz w:val="18"/>
                <w:szCs w:val="18"/>
              </w:rPr>
            </w:pPr>
            <w:r w:rsidRPr="004421AD">
              <w:rPr>
                <w:sz w:val="18"/>
                <w:szCs w:val="18"/>
              </w:rPr>
              <w:t>Metal and fabricated metal products</w:t>
            </w:r>
          </w:p>
        </w:tc>
        <w:tc>
          <w:tcPr>
            <w:tcW w:w="507" w:type="pct"/>
            <w:vAlign w:val="bottom"/>
          </w:tcPr>
          <w:p w:rsidR="000F2660" w:rsidRPr="004421AD" w:rsidRDefault="000F2660" w:rsidP="008B63A3">
            <w:pPr>
              <w:pStyle w:val="TableBodyText"/>
              <w:rPr>
                <w:sz w:val="18"/>
                <w:szCs w:val="18"/>
              </w:rPr>
            </w:pPr>
            <w:r w:rsidRPr="004421AD">
              <w:rPr>
                <w:sz w:val="18"/>
                <w:szCs w:val="18"/>
              </w:rPr>
              <w:t>5.5</w:t>
            </w:r>
          </w:p>
        </w:tc>
        <w:tc>
          <w:tcPr>
            <w:tcW w:w="507" w:type="pct"/>
            <w:vAlign w:val="bottom"/>
          </w:tcPr>
          <w:p w:rsidR="000F2660" w:rsidRPr="004421AD" w:rsidRDefault="000F2660" w:rsidP="008B63A3">
            <w:pPr>
              <w:pStyle w:val="TableBodyText"/>
              <w:rPr>
                <w:sz w:val="18"/>
                <w:szCs w:val="18"/>
              </w:rPr>
            </w:pPr>
            <w:r w:rsidRPr="004421AD">
              <w:rPr>
                <w:sz w:val="18"/>
                <w:szCs w:val="18"/>
              </w:rPr>
              <w:t>8.8</w:t>
            </w:r>
          </w:p>
        </w:tc>
        <w:tc>
          <w:tcPr>
            <w:tcW w:w="507" w:type="pct"/>
            <w:vAlign w:val="bottom"/>
          </w:tcPr>
          <w:p w:rsidR="000F2660" w:rsidRPr="004421AD" w:rsidRDefault="000F2660" w:rsidP="008B63A3">
            <w:pPr>
              <w:pStyle w:val="TableBodyText"/>
              <w:rPr>
                <w:sz w:val="18"/>
                <w:szCs w:val="18"/>
              </w:rPr>
            </w:pPr>
            <w:r w:rsidRPr="004421AD">
              <w:rPr>
                <w:sz w:val="18"/>
                <w:szCs w:val="18"/>
              </w:rPr>
              <w:t>12.4</w:t>
            </w:r>
          </w:p>
        </w:tc>
        <w:tc>
          <w:tcPr>
            <w:tcW w:w="507" w:type="pct"/>
            <w:vAlign w:val="bottom"/>
          </w:tcPr>
          <w:p w:rsidR="000F2660" w:rsidRPr="004421AD" w:rsidRDefault="000F2660" w:rsidP="008B63A3">
            <w:pPr>
              <w:pStyle w:val="TableBodyText"/>
              <w:rPr>
                <w:sz w:val="18"/>
                <w:szCs w:val="18"/>
              </w:rPr>
            </w:pPr>
            <w:r w:rsidRPr="004421AD">
              <w:rPr>
                <w:sz w:val="18"/>
                <w:szCs w:val="18"/>
              </w:rPr>
              <w:t>13.4</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14.4</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16.2</w:t>
            </w:r>
          </w:p>
        </w:tc>
      </w:tr>
      <w:tr w:rsidR="000F2660" w:rsidRPr="00395466" w:rsidTr="008B63A3">
        <w:tc>
          <w:tcPr>
            <w:tcW w:w="1959" w:type="pct"/>
            <w:vAlign w:val="bottom"/>
          </w:tcPr>
          <w:p w:rsidR="000F2660" w:rsidRPr="004421AD" w:rsidRDefault="000F2660" w:rsidP="008B63A3">
            <w:pPr>
              <w:pStyle w:val="TableBodyText"/>
              <w:jc w:val="left"/>
              <w:rPr>
                <w:sz w:val="18"/>
                <w:szCs w:val="18"/>
              </w:rPr>
            </w:pPr>
            <w:r w:rsidRPr="004421AD">
              <w:rPr>
                <w:sz w:val="18"/>
                <w:szCs w:val="18"/>
              </w:rPr>
              <w:t>Motor vehicle and parts</w:t>
            </w:r>
          </w:p>
        </w:tc>
        <w:tc>
          <w:tcPr>
            <w:tcW w:w="507" w:type="pct"/>
            <w:vAlign w:val="bottom"/>
          </w:tcPr>
          <w:p w:rsidR="000F2660" w:rsidRPr="004421AD" w:rsidRDefault="000F2660" w:rsidP="008B63A3">
            <w:pPr>
              <w:pStyle w:val="TableBodyText"/>
              <w:rPr>
                <w:sz w:val="18"/>
                <w:szCs w:val="18"/>
              </w:rPr>
            </w:pPr>
            <w:r w:rsidRPr="004421AD">
              <w:rPr>
                <w:sz w:val="18"/>
                <w:szCs w:val="18"/>
              </w:rPr>
              <w:t>4.3</w:t>
            </w:r>
          </w:p>
        </w:tc>
        <w:tc>
          <w:tcPr>
            <w:tcW w:w="507" w:type="pct"/>
            <w:vAlign w:val="bottom"/>
          </w:tcPr>
          <w:p w:rsidR="000F2660" w:rsidRPr="004421AD" w:rsidRDefault="000F2660" w:rsidP="008B63A3">
            <w:pPr>
              <w:pStyle w:val="TableBodyText"/>
              <w:rPr>
                <w:sz w:val="18"/>
                <w:szCs w:val="18"/>
              </w:rPr>
            </w:pPr>
            <w:r w:rsidRPr="004421AD">
              <w:rPr>
                <w:sz w:val="18"/>
                <w:szCs w:val="18"/>
              </w:rPr>
              <w:t>5.0</w:t>
            </w:r>
          </w:p>
        </w:tc>
        <w:tc>
          <w:tcPr>
            <w:tcW w:w="507" w:type="pct"/>
            <w:vAlign w:val="bottom"/>
          </w:tcPr>
          <w:p w:rsidR="000F2660" w:rsidRPr="004421AD" w:rsidRDefault="000F2660" w:rsidP="008B63A3">
            <w:pPr>
              <w:pStyle w:val="TableBodyText"/>
              <w:rPr>
                <w:sz w:val="18"/>
                <w:szCs w:val="18"/>
              </w:rPr>
            </w:pPr>
            <w:r w:rsidRPr="004421AD">
              <w:rPr>
                <w:sz w:val="18"/>
                <w:szCs w:val="18"/>
              </w:rPr>
              <w:t>9.6</w:t>
            </w:r>
          </w:p>
        </w:tc>
        <w:tc>
          <w:tcPr>
            <w:tcW w:w="507" w:type="pct"/>
            <w:vAlign w:val="bottom"/>
          </w:tcPr>
          <w:p w:rsidR="000F2660" w:rsidRPr="004421AD" w:rsidRDefault="000F2660" w:rsidP="008B63A3">
            <w:pPr>
              <w:pStyle w:val="TableBodyText"/>
              <w:rPr>
                <w:sz w:val="18"/>
                <w:szCs w:val="18"/>
              </w:rPr>
            </w:pPr>
            <w:r w:rsidRPr="004421AD">
              <w:rPr>
                <w:sz w:val="18"/>
                <w:szCs w:val="18"/>
              </w:rPr>
              <w:t>7.1</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7.6</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8.6</w:t>
            </w:r>
          </w:p>
        </w:tc>
      </w:tr>
      <w:tr w:rsidR="000F2660" w:rsidRPr="00395466" w:rsidTr="008B63A3">
        <w:tc>
          <w:tcPr>
            <w:tcW w:w="1959" w:type="pct"/>
            <w:vAlign w:val="bottom"/>
          </w:tcPr>
          <w:p w:rsidR="000F2660" w:rsidRPr="004421AD" w:rsidRDefault="000F2660" w:rsidP="008B63A3">
            <w:pPr>
              <w:pStyle w:val="TableBodyText"/>
              <w:jc w:val="left"/>
              <w:rPr>
                <w:sz w:val="18"/>
                <w:szCs w:val="18"/>
              </w:rPr>
            </w:pPr>
            <w:r w:rsidRPr="004421AD">
              <w:rPr>
                <w:sz w:val="18"/>
                <w:szCs w:val="18"/>
              </w:rPr>
              <w:t>Other transport equipment</w:t>
            </w:r>
          </w:p>
        </w:tc>
        <w:tc>
          <w:tcPr>
            <w:tcW w:w="507" w:type="pct"/>
            <w:vAlign w:val="bottom"/>
          </w:tcPr>
          <w:p w:rsidR="000F2660" w:rsidRPr="004421AD" w:rsidRDefault="000F2660" w:rsidP="008B63A3">
            <w:pPr>
              <w:pStyle w:val="TableBodyText"/>
              <w:rPr>
                <w:sz w:val="18"/>
                <w:szCs w:val="18"/>
              </w:rPr>
            </w:pPr>
            <w:r w:rsidRPr="004421AD">
              <w:rPr>
                <w:sz w:val="18"/>
                <w:szCs w:val="18"/>
              </w:rPr>
              <w:t>3.5</w:t>
            </w:r>
          </w:p>
        </w:tc>
        <w:tc>
          <w:tcPr>
            <w:tcW w:w="507" w:type="pct"/>
            <w:vAlign w:val="bottom"/>
          </w:tcPr>
          <w:p w:rsidR="000F2660" w:rsidRPr="004421AD" w:rsidRDefault="000F2660" w:rsidP="008B63A3">
            <w:pPr>
              <w:pStyle w:val="TableBodyText"/>
              <w:rPr>
                <w:sz w:val="18"/>
                <w:szCs w:val="18"/>
              </w:rPr>
            </w:pPr>
            <w:r w:rsidRPr="004421AD">
              <w:rPr>
                <w:sz w:val="18"/>
                <w:szCs w:val="18"/>
              </w:rPr>
              <w:t>5.8</w:t>
            </w:r>
          </w:p>
        </w:tc>
        <w:tc>
          <w:tcPr>
            <w:tcW w:w="507" w:type="pct"/>
            <w:vAlign w:val="bottom"/>
          </w:tcPr>
          <w:p w:rsidR="000F2660" w:rsidRPr="004421AD" w:rsidRDefault="000F2660" w:rsidP="008B63A3">
            <w:pPr>
              <w:pStyle w:val="TableBodyText"/>
              <w:rPr>
                <w:sz w:val="18"/>
                <w:szCs w:val="18"/>
              </w:rPr>
            </w:pPr>
            <w:r w:rsidRPr="004421AD">
              <w:rPr>
                <w:sz w:val="18"/>
                <w:szCs w:val="18"/>
              </w:rPr>
              <w:t>7.7</w:t>
            </w:r>
          </w:p>
        </w:tc>
        <w:tc>
          <w:tcPr>
            <w:tcW w:w="507" w:type="pct"/>
            <w:vAlign w:val="bottom"/>
          </w:tcPr>
          <w:p w:rsidR="000F2660" w:rsidRPr="004421AD" w:rsidRDefault="000F2660" w:rsidP="008B63A3">
            <w:pPr>
              <w:pStyle w:val="TableBodyText"/>
              <w:rPr>
                <w:sz w:val="18"/>
                <w:szCs w:val="18"/>
              </w:rPr>
            </w:pPr>
            <w:r w:rsidRPr="004421AD">
              <w:rPr>
                <w:sz w:val="18"/>
                <w:szCs w:val="18"/>
              </w:rPr>
              <w:t>7.4</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7.9</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8.9</w:t>
            </w:r>
          </w:p>
        </w:tc>
      </w:tr>
      <w:tr w:rsidR="000F2660" w:rsidRPr="00395466" w:rsidTr="008B63A3">
        <w:tc>
          <w:tcPr>
            <w:tcW w:w="1959" w:type="pct"/>
            <w:vAlign w:val="bottom"/>
          </w:tcPr>
          <w:p w:rsidR="000F2660" w:rsidRPr="004421AD" w:rsidRDefault="000F2660" w:rsidP="008B63A3">
            <w:pPr>
              <w:pStyle w:val="TableBodyText"/>
              <w:jc w:val="left"/>
              <w:rPr>
                <w:sz w:val="18"/>
                <w:szCs w:val="18"/>
              </w:rPr>
            </w:pPr>
            <w:r w:rsidRPr="004421AD">
              <w:rPr>
                <w:sz w:val="18"/>
                <w:szCs w:val="18"/>
              </w:rPr>
              <w:t>Machinery and equipment manufacturing</w:t>
            </w:r>
          </w:p>
        </w:tc>
        <w:tc>
          <w:tcPr>
            <w:tcW w:w="507" w:type="pct"/>
            <w:vAlign w:val="bottom"/>
          </w:tcPr>
          <w:p w:rsidR="000F2660" w:rsidRPr="004421AD" w:rsidRDefault="000F2660" w:rsidP="008B63A3">
            <w:pPr>
              <w:pStyle w:val="TableBodyText"/>
              <w:rPr>
                <w:sz w:val="18"/>
                <w:szCs w:val="18"/>
              </w:rPr>
            </w:pPr>
            <w:r w:rsidRPr="004421AD">
              <w:rPr>
                <w:sz w:val="18"/>
                <w:szCs w:val="18"/>
              </w:rPr>
              <w:t>34.9</w:t>
            </w:r>
          </w:p>
        </w:tc>
        <w:tc>
          <w:tcPr>
            <w:tcW w:w="507" w:type="pct"/>
            <w:vAlign w:val="bottom"/>
          </w:tcPr>
          <w:p w:rsidR="000F2660" w:rsidRPr="004421AD" w:rsidRDefault="000F2660" w:rsidP="008B63A3">
            <w:pPr>
              <w:pStyle w:val="TableBodyText"/>
              <w:rPr>
                <w:sz w:val="18"/>
                <w:szCs w:val="18"/>
              </w:rPr>
            </w:pPr>
            <w:r w:rsidRPr="004421AD">
              <w:rPr>
                <w:sz w:val="18"/>
                <w:szCs w:val="18"/>
              </w:rPr>
              <w:t>41.8</w:t>
            </w:r>
          </w:p>
        </w:tc>
        <w:tc>
          <w:tcPr>
            <w:tcW w:w="507" w:type="pct"/>
            <w:vAlign w:val="bottom"/>
          </w:tcPr>
          <w:p w:rsidR="000F2660" w:rsidRPr="004421AD" w:rsidRDefault="000F2660" w:rsidP="008B63A3">
            <w:pPr>
              <w:pStyle w:val="TableBodyText"/>
              <w:rPr>
                <w:sz w:val="18"/>
                <w:szCs w:val="18"/>
              </w:rPr>
            </w:pPr>
            <w:r w:rsidRPr="004421AD">
              <w:rPr>
                <w:sz w:val="18"/>
                <w:szCs w:val="18"/>
              </w:rPr>
              <w:t>51.5</w:t>
            </w:r>
          </w:p>
        </w:tc>
        <w:tc>
          <w:tcPr>
            <w:tcW w:w="507" w:type="pct"/>
            <w:vAlign w:val="bottom"/>
          </w:tcPr>
          <w:p w:rsidR="000F2660" w:rsidRPr="004421AD" w:rsidRDefault="000F2660" w:rsidP="008B63A3">
            <w:pPr>
              <w:pStyle w:val="TableBodyText"/>
              <w:rPr>
                <w:sz w:val="18"/>
                <w:szCs w:val="18"/>
              </w:rPr>
            </w:pPr>
            <w:r w:rsidRPr="004421AD">
              <w:rPr>
                <w:sz w:val="18"/>
                <w:szCs w:val="18"/>
              </w:rPr>
              <w:t>58.8</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63.2</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71.0</w:t>
            </w:r>
          </w:p>
        </w:tc>
      </w:tr>
      <w:tr w:rsidR="000F2660" w:rsidRPr="00395466" w:rsidTr="008B63A3">
        <w:tc>
          <w:tcPr>
            <w:tcW w:w="1959" w:type="pct"/>
            <w:vAlign w:val="bottom"/>
          </w:tcPr>
          <w:p w:rsidR="000F2660" w:rsidRPr="004421AD" w:rsidRDefault="000F2660" w:rsidP="008B63A3">
            <w:pPr>
              <w:pStyle w:val="TableBodyText"/>
              <w:jc w:val="left"/>
              <w:rPr>
                <w:sz w:val="18"/>
                <w:szCs w:val="18"/>
              </w:rPr>
            </w:pPr>
            <w:r w:rsidRPr="004421AD">
              <w:rPr>
                <w:sz w:val="18"/>
                <w:szCs w:val="18"/>
              </w:rPr>
              <w:t>Furniture and other manufacturing</w:t>
            </w:r>
          </w:p>
        </w:tc>
        <w:tc>
          <w:tcPr>
            <w:tcW w:w="507" w:type="pct"/>
            <w:vAlign w:val="bottom"/>
          </w:tcPr>
          <w:p w:rsidR="000F2660" w:rsidRPr="004421AD" w:rsidRDefault="000F2660" w:rsidP="008B63A3">
            <w:pPr>
              <w:pStyle w:val="TableBodyText"/>
              <w:rPr>
                <w:sz w:val="18"/>
                <w:szCs w:val="18"/>
              </w:rPr>
            </w:pPr>
            <w:r w:rsidRPr="004421AD">
              <w:rPr>
                <w:sz w:val="18"/>
                <w:szCs w:val="18"/>
              </w:rPr>
              <w:t>3.8</w:t>
            </w:r>
          </w:p>
        </w:tc>
        <w:tc>
          <w:tcPr>
            <w:tcW w:w="507" w:type="pct"/>
            <w:vAlign w:val="bottom"/>
          </w:tcPr>
          <w:p w:rsidR="000F2660" w:rsidRPr="004421AD" w:rsidRDefault="000F2660" w:rsidP="008B63A3">
            <w:pPr>
              <w:pStyle w:val="TableBodyText"/>
              <w:rPr>
                <w:sz w:val="18"/>
                <w:szCs w:val="18"/>
              </w:rPr>
            </w:pPr>
            <w:r w:rsidRPr="004421AD">
              <w:rPr>
                <w:sz w:val="18"/>
                <w:szCs w:val="18"/>
              </w:rPr>
              <w:t>4.6</w:t>
            </w:r>
          </w:p>
        </w:tc>
        <w:tc>
          <w:tcPr>
            <w:tcW w:w="507" w:type="pct"/>
            <w:vAlign w:val="bottom"/>
          </w:tcPr>
          <w:p w:rsidR="000F2660" w:rsidRPr="004421AD" w:rsidRDefault="000F2660" w:rsidP="008B63A3">
            <w:pPr>
              <w:pStyle w:val="TableBodyText"/>
              <w:rPr>
                <w:sz w:val="18"/>
                <w:szCs w:val="18"/>
              </w:rPr>
            </w:pPr>
            <w:r w:rsidRPr="004421AD">
              <w:rPr>
                <w:sz w:val="18"/>
                <w:szCs w:val="18"/>
              </w:rPr>
              <w:t>3.8</w:t>
            </w:r>
          </w:p>
        </w:tc>
        <w:tc>
          <w:tcPr>
            <w:tcW w:w="507" w:type="pct"/>
            <w:vAlign w:val="bottom"/>
          </w:tcPr>
          <w:p w:rsidR="000F2660" w:rsidRPr="004421AD" w:rsidRDefault="000F2660" w:rsidP="008B63A3">
            <w:pPr>
              <w:pStyle w:val="TableBodyText"/>
              <w:rPr>
                <w:sz w:val="18"/>
                <w:szCs w:val="18"/>
              </w:rPr>
            </w:pPr>
            <w:r w:rsidRPr="004421AD">
              <w:rPr>
                <w:sz w:val="18"/>
                <w:szCs w:val="18"/>
              </w:rPr>
              <w:t>4.1</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4.5</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5.0</w:t>
            </w:r>
          </w:p>
        </w:tc>
      </w:tr>
      <w:tr w:rsidR="000F2660" w:rsidRPr="00395466" w:rsidTr="008B63A3">
        <w:tc>
          <w:tcPr>
            <w:tcW w:w="1959" w:type="pct"/>
            <w:vAlign w:val="bottom"/>
          </w:tcPr>
          <w:p w:rsidR="000F2660" w:rsidRPr="004421AD" w:rsidRDefault="000F2660" w:rsidP="008B63A3">
            <w:pPr>
              <w:pStyle w:val="TableBodyText"/>
              <w:jc w:val="left"/>
              <w:rPr>
                <w:b/>
                <w:sz w:val="18"/>
                <w:szCs w:val="18"/>
              </w:rPr>
            </w:pPr>
            <w:r w:rsidRPr="004421AD">
              <w:rPr>
                <w:b/>
                <w:sz w:val="18"/>
                <w:szCs w:val="18"/>
              </w:rPr>
              <w:t>Services</w:t>
            </w:r>
          </w:p>
        </w:tc>
        <w:tc>
          <w:tcPr>
            <w:tcW w:w="507" w:type="pct"/>
            <w:vAlign w:val="bottom"/>
          </w:tcPr>
          <w:p w:rsidR="000F2660" w:rsidRPr="004421AD" w:rsidRDefault="000F2660" w:rsidP="008B63A3">
            <w:pPr>
              <w:pStyle w:val="TableBodyText"/>
              <w:rPr>
                <w:b/>
                <w:sz w:val="18"/>
                <w:szCs w:val="18"/>
              </w:rPr>
            </w:pPr>
            <w:r w:rsidRPr="004421AD">
              <w:rPr>
                <w:b/>
                <w:sz w:val="18"/>
                <w:szCs w:val="18"/>
              </w:rPr>
              <w:t>130.4</w:t>
            </w:r>
          </w:p>
        </w:tc>
        <w:tc>
          <w:tcPr>
            <w:tcW w:w="507" w:type="pct"/>
            <w:vAlign w:val="bottom"/>
          </w:tcPr>
          <w:p w:rsidR="000F2660" w:rsidRPr="004421AD" w:rsidRDefault="000F2660" w:rsidP="008B63A3">
            <w:pPr>
              <w:pStyle w:val="TableBodyText"/>
              <w:rPr>
                <w:b/>
                <w:sz w:val="18"/>
                <w:szCs w:val="18"/>
              </w:rPr>
            </w:pPr>
            <w:r w:rsidRPr="004421AD">
              <w:rPr>
                <w:b/>
                <w:sz w:val="18"/>
                <w:szCs w:val="18"/>
              </w:rPr>
              <w:t>175.0</w:t>
            </w:r>
          </w:p>
        </w:tc>
        <w:tc>
          <w:tcPr>
            <w:tcW w:w="507" w:type="pct"/>
            <w:vAlign w:val="bottom"/>
          </w:tcPr>
          <w:p w:rsidR="000F2660" w:rsidRPr="004421AD" w:rsidRDefault="000F2660" w:rsidP="008B63A3">
            <w:pPr>
              <w:pStyle w:val="TableBodyText"/>
              <w:rPr>
                <w:b/>
                <w:sz w:val="18"/>
                <w:szCs w:val="18"/>
              </w:rPr>
            </w:pPr>
            <w:r w:rsidRPr="004421AD">
              <w:rPr>
                <w:b/>
                <w:sz w:val="18"/>
                <w:szCs w:val="18"/>
              </w:rPr>
              <w:t>221.9</w:t>
            </w:r>
          </w:p>
        </w:tc>
        <w:tc>
          <w:tcPr>
            <w:tcW w:w="507" w:type="pct"/>
            <w:vAlign w:val="bottom"/>
          </w:tcPr>
          <w:p w:rsidR="000F2660" w:rsidRPr="004421AD" w:rsidRDefault="000F2660" w:rsidP="008B63A3">
            <w:pPr>
              <w:pStyle w:val="TableBodyText"/>
              <w:rPr>
                <w:b/>
                <w:sz w:val="18"/>
                <w:szCs w:val="18"/>
              </w:rPr>
            </w:pPr>
            <w:r w:rsidRPr="004421AD">
              <w:rPr>
                <w:b/>
                <w:sz w:val="18"/>
                <w:szCs w:val="18"/>
              </w:rPr>
              <w:t>275.5</w:t>
            </w:r>
          </w:p>
        </w:tc>
        <w:tc>
          <w:tcPr>
            <w:tcW w:w="507" w:type="pct"/>
            <w:shd w:val="clear" w:color="auto" w:fill="auto"/>
            <w:vAlign w:val="bottom"/>
          </w:tcPr>
          <w:p w:rsidR="000F2660" w:rsidRPr="004421AD" w:rsidRDefault="000F2660" w:rsidP="008B63A3">
            <w:pPr>
              <w:pStyle w:val="TableBodyText"/>
              <w:rPr>
                <w:b/>
                <w:sz w:val="18"/>
                <w:szCs w:val="18"/>
              </w:rPr>
            </w:pPr>
            <w:r w:rsidRPr="004421AD">
              <w:rPr>
                <w:b/>
                <w:sz w:val="18"/>
                <w:szCs w:val="18"/>
              </w:rPr>
              <w:t>296.1</w:t>
            </w:r>
          </w:p>
        </w:tc>
        <w:tc>
          <w:tcPr>
            <w:tcW w:w="507" w:type="pct"/>
            <w:shd w:val="clear" w:color="auto" w:fill="auto"/>
            <w:vAlign w:val="bottom"/>
          </w:tcPr>
          <w:p w:rsidR="000F2660" w:rsidRPr="004421AD" w:rsidRDefault="000F2660" w:rsidP="008B63A3">
            <w:pPr>
              <w:pStyle w:val="TableBodyText"/>
              <w:rPr>
                <w:b/>
                <w:sz w:val="18"/>
                <w:szCs w:val="18"/>
              </w:rPr>
            </w:pPr>
            <w:r w:rsidRPr="004421AD">
              <w:rPr>
                <w:b/>
                <w:sz w:val="18"/>
                <w:szCs w:val="18"/>
              </w:rPr>
              <w:t>341.4</w:t>
            </w:r>
          </w:p>
        </w:tc>
      </w:tr>
      <w:tr w:rsidR="000F2660" w:rsidRPr="00395466" w:rsidTr="008B63A3">
        <w:tc>
          <w:tcPr>
            <w:tcW w:w="1959" w:type="pct"/>
            <w:vAlign w:val="bottom"/>
          </w:tcPr>
          <w:p w:rsidR="000F2660" w:rsidRPr="004421AD" w:rsidRDefault="000F2660" w:rsidP="008B63A3">
            <w:pPr>
              <w:pStyle w:val="TableBodyText"/>
              <w:jc w:val="left"/>
              <w:rPr>
                <w:sz w:val="18"/>
                <w:szCs w:val="18"/>
              </w:rPr>
            </w:pPr>
            <w:r w:rsidRPr="004421AD">
              <w:rPr>
                <w:sz w:val="18"/>
                <w:szCs w:val="18"/>
              </w:rPr>
              <w:t>Electricity, gas, water and waste services</w:t>
            </w:r>
          </w:p>
        </w:tc>
        <w:tc>
          <w:tcPr>
            <w:tcW w:w="507" w:type="pct"/>
            <w:vAlign w:val="bottom"/>
          </w:tcPr>
          <w:p w:rsidR="000F2660" w:rsidRPr="004421AD" w:rsidRDefault="000F2660" w:rsidP="008B63A3">
            <w:pPr>
              <w:pStyle w:val="TableBodyText"/>
              <w:rPr>
                <w:sz w:val="18"/>
                <w:szCs w:val="18"/>
              </w:rPr>
            </w:pPr>
            <w:r w:rsidRPr="004421AD">
              <w:rPr>
                <w:sz w:val="18"/>
                <w:szCs w:val="18"/>
              </w:rPr>
              <w:t>2.4</w:t>
            </w:r>
          </w:p>
        </w:tc>
        <w:tc>
          <w:tcPr>
            <w:tcW w:w="507" w:type="pct"/>
            <w:vAlign w:val="bottom"/>
          </w:tcPr>
          <w:p w:rsidR="000F2660" w:rsidRPr="004421AD" w:rsidRDefault="000F2660" w:rsidP="008B63A3">
            <w:pPr>
              <w:pStyle w:val="TableBodyText"/>
              <w:rPr>
                <w:sz w:val="18"/>
                <w:szCs w:val="18"/>
              </w:rPr>
            </w:pPr>
            <w:r w:rsidRPr="004421AD">
              <w:rPr>
                <w:sz w:val="18"/>
                <w:szCs w:val="18"/>
              </w:rPr>
              <w:t>5.1</w:t>
            </w:r>
          </w:p>
        </w:tc>
        <w:tc>
          <w:tcPr>
            <w:tcW w:w="507" w:type="pct"/>
            <w:vAlign w:val="bottom"/>
          </w:tcPr>
          <w:p w:rsidR="000F2660" w:rsidRPr="004421AD" w:rsidRDefault="000F2660" w:rsidP="008B63A3">
            <w:pPr>
              <w:pStyle w:val="TableBodyText"/>
              <w:rPr>
                <w:sz w:val="18"/>
                <w:szCs w:val="18"/>
              </w:rPr>
            </w:pPr>
            <w:r w:rsidRPr="004421AD">
              <w:rPr>
                <w:sz w:val="18"/>
                <w:szCs w:val="18"/>
              </w:rPr>
              <w:t>7.1</w:t>
            </w:r>
          </w:p>
        </w:tc>
        <w:tc>
          <w:tcPr>
            <w:tcW w:w="507" w:type="pct"/>
            <w:vAlign w:val="bottom"/>
          </w:tcPr>
          <w:p w:rsidR="000F2660" w:rsidRPr="004421AD" w:rsidRDefault="000F2660" w:rsidP="008B63A3">
            <w:pPr>
              <w:pStyle w:val="TableBodyText"/>
              <w:rPr>
                <w:sz w:val="18"/>
                <w:szCs w:val="18"/>
              </w:rPr>
            </w:pPr>
            <w:r w:rsidRPr="004421AD">
              <w:rPr>
                <w:sz w:val="18"/>
                <w:szCs w:val="18"/>
              </w:rPr>
              <w:t>9.6</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10.4</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11.6</w:t>
            </w:r>
          </w:p>
        </w:tc>
      </w:tr>
      <w:tr w:rsidR="000F2660" w:rsidRPr="00395466" w:rsidTr="008B63A3">
        <w:tc>
          <w:tcPr>
            <w:tcW w:w="1959" w:type="pct"/>
            <w:vAlign w:val="bottom"/>
          </w:tcPr>
          <w:p w:rsidR="000F2660" w:rsidRPr="004421AD" w:rsidRDefault="000F2660" w:rsidP="008B63A3">
            <w:pPr>
              <w:pStyle w:val="TableBodyText"/>
              <w:jc w:val="left"/>
              <w:rPr>
                <w:sz w:val="18"/>
                <w:szCs w:val="18"/>
              </w:rPr>
            </w:pPr>
            <w:r w:rsidRPr="004421AD">
              <w:rPr>
                <w:sz w:val="18"/>
                <w:szCs w:val="18"/>
              </w:rPr>
              <w:t>Construction</w:t>
            </w:r>
          </w:p>
        </w:tc>
        <w:tc>
          <w:tcPr>
            <w:tcW w:w="507" w:type="pct"/>
            <w:vAlign w:val="bottom"/>
          </w:tcPr>
          <w:p w:rsidR="000F2660" w:rsidRPr="004421AD" w:rsidRDefault="000F2660" w:rsidP="008B63A3">
            <w:pPr>
              <w:pStyle w:val="TableBodyText"/>
              <w:rPr>
                <w:sz w:val="18"/>
                <w:szCs w:val="18"/>
              </w:rPr>
            </w:pPr>
            <w:r w:rsidRPr="004421AD">
              <w:rPr>
                <w:sz w:val="18"/>
                <w:szCs w:val="18"/>
              </w:rPr>
              <w:t>8.6</w:t>
            </w:r>
          </w:p>
        </w:tc>
        <w:tc>
          <w:tcPr>
            <w:tcW w:w="507" w:type="pct"/>
            <w:vAlign w:val="bottom"/>
          </w:tcPr>
          <w:p w:rsidR="000F2660" w:rsidRPr="004421AD" w:rsidRDefault="000F2660" w:rsidP="008B63A3">
            <w:pPr>
              <w:pStyle w:val="TableBodyText"/>
              <w:rPr>
                <w:sz w:val="18"/>
                <w:szCs w:val="18"/>
              </w:rPr>
            </w:pPr>
            <w:r w:rsidRPr="004421AD">
              <w:rPr>
                <w:sz w:val="18"/>
                <w:szCs w:val="18"/>
              </w:rPr>
              <w:t>10.5</w:t>
            </w:r>
          </w:p>
        </w:tc>
        <w:tc>
          <w:tcPr>
            <w:tcW w:w="507" w:type="pct"/>
            <w:vAlign w:val="bottom"/>
          </w:tcPr>
          <w:p w:rsidR="000F2660" w:rsidRPr="004421AD" w:rsidRDefault="000F2660" w:rsidP="008B63A3">
            <w:pPr>
              <w:pStyle w:val="TableBodyText"/>
              <w:rPr>
                <w:sz w:val="18"/>
                <w:szCs w:val="18"/>
              </w:rPr>
            </w:pPr>
            <w:r w:rsidRPr="004421AD">
              <w:rPr>
                <w:sz w:val="18"/>
                <w:szCs w:val="18"/>
              </w:rPr>
              <w:t>14.9</w:t>
            </w:r>
          </w:p>
        </w:tc>
        <w:tc>
          <w:tcPr>
            <w:tcW w:w="507" w:type="pct"/>
            <w:vAlign w:val="bottom"/>
          </w:tcPr>
          <w:p w:rsidR="000F2660" w:rsidRPr="004421AD" w:rsidRDefault="000F2660" w:rsidP="008B63A3">
            <w:pPr>
              <w:pStyle w:val="TableBodyText"/>
              <w:rPr>
                <w:sz w:val="18"/>
                <w:szCs w:val="18"/>
              </w:rPr>
            </w:pPr>
            <w:r w:rsidRPr="004421AD">
              <w:rPr>
                <w:sz w:val="18"/>
                <w:szCs w:val="18"/>
              </w:rPr>
              <w:t>17.4</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18.7</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21.0</w:t>
            </w:r>
          </w:p>
        </w:tc>
      </w:tr>
      <w:tr w:rsidR="000F2660" w:rsidRPr="00395466" w:rsidTr="008B63A3">
        <w:tc>
          <w:tcPr>
            <w:tcW w:w="1959" w:type="pct"/>
            <w:vAlign w:val="bottom"/>
          </w:tcPr>
          <w:p w:rsidR="000F2660" w:rsidRPr="004421AD" w:rsidRDefault="000F2660" w:rsidP="008B63A3">
            <w:pPr>
              <w:pStyle w:val="TableBodyText"/>
              <w:jc w:val="left"/>
              <w:rPr>
                <w:sz w:val="18"/>
                <w:szCs w:val="18"/>
              </w:rPr>
            </w:pPr>
            <w:r w:rsidRPr="004421AD">
              <w:rPr>
                <w:sz w:val="18"/>
                <w:szCs w:val="18"/>
              </w:rPr>
              <w:t>Wholesale trade</w:t>
            </w:r>
          </w:p>
        </w:tc>
        <w:tc>
          <w:tcPr>
            <w:tcW w:w="507" w:type="pct"/>
            <w:vAlign w:val="bottom"/>
          </w:tcPr>
          <w:p w:rsidR="000F2660" w:rsidRPr="004421AD" w:rsidRDefault="000F2660" w:rsidP="008B63A3">
            <w:pPr>
              <w:pStyle w:val="TableBodyText"/>
              <w:rPr>
                <w:sz w:val="18"/>
                <w:szCs w:val="18"/>
              </w:rPr>
            </w:pPr>
            <w:r w:rsidRPr="004421AD">
              <w:rPr>
                <w:sz w:val="18"/>
                <w:szCs w:val="18"/>
              </w:rPr>
              <w:t>23.3</w:t>
            </w:r>
          </w:p>
        </w:tc>
        <w:tc>
          <w:tcPr>
            <w:tcW w:w="507" w:type="pct"/>
            <w:vAlign w:val="bottom"/>
          </w:tcPr>
          <w:p w:rsidR="000F2660" w:rsidRPr="004421AD" w:rsidRDefault="000F2660" w:rsidP="008B63A3">
            <w:pPr>
              <w:pStyle w:val="TableBodyText"/>
              <w:rPr>
                <w:sz w:val="18"/>
                <w:szCs w:val="18"/>
              </w:rPr>
            </w:pPr>
            <w:r w:rsidRPr="004421AD">
              <w:rPr>
                <w:sz w:val="18"/>
                <w:szCs w:val="18"/>
              </w:rPr>
              <w:t>29.7</w:t>
            </w:r>
          </w:p>
        </w:tc>
        <w:tc>
          <w:tcPr>
            <w:tcW w:w="507" w:type="pct"/>
            <w:vAlign w:val="bottom"/>
          </w:tcPr>
          <w:p w:rsidR="000F2660" w:rsidRPr="004421AD" w:rsidRDefault="000F2660" w:rsidP="008B63A3">
            <w:pPr>
              <w:pStyle w:val="TableBodyText"/>
              <w:rPr>
                <w:sz w:val="18"/>
                <w:szCs w:val="18"/>
              </w:rPr>
            </w:pPr>
            <w:r w:rsidRPr="004421AD">
              <w:rPr>
                <w:sz w:val="18"/>
                <w:szCs w:val="18"/>
              </w:rPr>
              <w:t>36.2</w:t>
            </w:r>
          </w:p>
        </w:tc>
        <w:tc>
          <w:tcPr>
            <w:tcW w:w="507" w:type="pct"/>
            <w:vAlign w:val="bottom"/>
          </w:tcPr>
          <w:p w:rsidR="000F2660" w:rsidRPr="004421AD" w:rsidRDefault="000F2660" w:rsidP="008B63A3">
            <w:pPr>
              <w:pStyle w:val="TableBodyText"/>
              <w:rPr>
                <w:sz w:val="18"/>
                <w:szCs w:val="18"/>
              </w:rPr>
            </w:pPr>
            <w:r w:rsidRPr="004421AD">
              <w:rPr>
                <w:sz w:val="18"/>
                <w:szCs w:val="18"/>
              </w:rPr>
              <w:t>41.6</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44.7</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50.3</w:t>
            </w:r>
          </w:p>
        </w:tc>
      </w:tr>
      <w:tr w:rsidR="000F2660" w:rsidRPr="00395466" w:rsidTr="008B63A3">
        <w:tc>
          <w:tcPr>
            <w:tcW w:w="1959" w:type="pct"/>
            <w:vAlign w:val="bottom"/>
          </w:tcPr>
          <w:p w:rsidR="000F2660" w:rsidRPr="004421AD" w:rsidRDefault="000F2660" w:rsidP="008B63A3">
            <w:pPr>
              <w:pStyle w:val="TableBodyText"/>
              <w:jc w:val="left"/>
              <w:rPr>
                <w:sz w:val="18"/>
                <w:szCs w:val="18"/>
              </w:rPr>
            </w:pPr>
            <w:r w:rsidRPr="004421AD">
              <w:rPr>
                <w:sz w:val="18"/>
                <w:szCs w:val="18"/>
              </w:rPr>
              <w:t>Retail trade</w:t>
            </w:r>
          </w:p>
        </w:tc>
        <w:tc>
          <w:tcPr>
            <w:tcW w:w="507" w:type="pct"/>
            <w:vAlign w:val="bottom"/>
          </w:tcPr>
          <w:p w:rsidR="000F2660" w:rsidRPr="004421AD" w:rsidRDefault="000F2660" w:rsidP="008B63A3">
            <w:pPr>
              <w:pStyle w:val="TableBodyText"/>
              <w:rPr>
                <w:sz w:val="18"/>
                <w:szCs w:val="18"/>
              </w:rPr>
            </w:pPr>
            <w:r w:rsidRPr="004421AD">
              <w:rPr>
                <w:sz w:val="18"/>
                <w:szCs w:val="18"/>
              </w:rPr>
              <w:t>9.3</w:t>
            </w:r>
          </w:p>
        </w:tc>
        <w:tc>
          <w:tcPr>
            <w:tcW w:w="507" w:type="pct"/>
            <w:vAlign w:val="bottom"/>
          </w:tcPr>
          <w:p w:rsidR="000F2660" w:rsidRPr="004421AD" w:rsidRDefault="000F2660" w:rsidP="008B63A3">
            <w:pPr>
              <w:pStyle w:val="TableBodyText"/>
              <w:rPr>
                <w:sz w:val="18"/>
                <w:szCs w:val="18"/>
              </w:rPr>
            </w:pPr>
            <w:r w:rsidRPr="004421AD">
              <w:rPr>
                <w:sz w:val="18"/>
                <w:szCs w:val="18"/>
              </w:rPr>
              <w:t>12.5</w:t>
            </w:r>
          </w:p>
        </w:tc>
        <w:tc>
          <w:tcPr>
            <w:tcW w:w="507" w:type="pct"/>
            <w:vAlign w:val="bottom"/>
          </w:tcPr>
          <w:p w:rsidR="000F2660" w:rsidRPr="004421AD" w:rsidRDefault="000F2660" w:rsidP="008B63A3">
            <w:pPr>
              <w:pStyle w:val="TableBodyText"/>
              <w:rPr>
                <w:sz w:val="18"/>
                <w:szCs w:val="18"/>
              </w:rPr>
            </w:pPr>
            <w:r w:rsidRPr="004421AD">
              <w:rPr>
                <w:sz w:val="18"/>
                <w:szCs w:val="18"/>
              </w:rPr>
              <w:t>16.9</w:t>
            </w:r>
          </w:p>
        </w:tc>
        <w:tc>
          <w:tcPr>
            <w:tcW w:w="507" w:type="pct"/>
            <w:vAlign w:val="bottom"/>
          </w:tcPr>
          <w:p w:rsidR="000F2660" w:rsidRPr="004421AD" w:rsidRDefault="000F2660" w:rsidP="008B63A3">
            <w:pPr>
              <w:pStyle w:val="TableBodyText"/>
              <w:rPr>
                <w:sz w:val="18"/>
                <w:szCs w:val="18"/>
              </w:rPr>
            </w:pPr>
            <w:r w:rsidRPr="004421AD">
              <w:rPr>
                <w:sz w:val="18"/>
                <w:szCs w:val="18"/>
              </w:rPr>
              <w:t>15.6</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16.8</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18.9</w:t>
            </w:r>
          </w:p>
        </w:tc>
      </w:tr>
      <w:tr w:rsidR="000F2660" w:rsidRPr="00395466" w:rsidTr="008B63A3">
        <w:tc>
          <w:tcPr>
            <w:tcW w:w="1959" w:type="pct"/>
            <w:vAlign w:val="bottom"/>
          </w:tcPr>
          <w:p w:rsidR="000F2660" w:rsidRPr="004421AD" w:rsidRDefault="000F2660" w:rsidP="008B63A3">
            <w:pPr>
              <w:pStyle w:val="TableBodyText"/>
              <w:jc w:val="left"/>
              <w:rPr>
                <w:sz w:val="18"/>
                <w:szCs w:val="18"/>
              </w:rPr>
            </w:pPr>
            <w:r w:rsidRPr="004421AD">
              <w:rPr>
                <w:sz w:val="18"/>
                <w:szCs w:val="18"/>
              </w:rPr>
              <w:t>Accommodation and food services</w:t>
            </w:r>
          </w:p>
        </w:tc>
        <w:tc>
          <w:tcPr>
            <w:tcW w:w="507" w:type="pct"/>
            <w:vAlign w:val="bottom"/>
          </w:tcPr>
          <w:p w:rsidR="000F2660" w:rsidRPr="004421AD" w:rsidRDefault="000F2660" w:rsidP="008B63A3">
            <w:pPr>
              <w:pStyle w:val="TableBodyText"/>
              <w:rPr>
                <w:sz w:val="18"/>
                <w:szCs w:val="18"/>
              </w:rPr>
            </w:pPr>
            <w:r w:rsidRPr="004421AD">
              <w:rPr>
                <w:sz w:val="18"/>
                <w:szCs w:val="18"/>
              </w:rPr>
              <w:t>0.5</w:t>
            </w:r>
          </w:p>
        </w:tc>
        <w:tc>
          <w:tcPr>
            <w:tcW w:w="507" w:type="pct"/>
            <w:vAlign w:val="bottom"/>
          </w:tcPr>
          <w:p w:rsidR="000F2660" w:rsidRPr="004421AD" w:rsidRDefault="000F2660" w:rsidP="008B63A3">
            <w:pPr>
              <w:pStyle w:val="TableBodyText"/>
              <w:rPr>
                <w:sz w:val="18"/>
                <w:szCs w:val="18"/>
              </w:rPr>
            </w:pPr>
            <w:r w:rsidRPr="004421AD">
              <w:rPr>
                <w:sz w:val="18"/>
                <w:szCs w:val="18"/>
              </w:rPr>
              <w:t>1.4</w:t>
            </w:r>
          </w:p>
        </w:tc>
        <w:tc>
          <w:tcPr>
            <w:tcW w:w="507" w:type="pct"/>
            <w:vAlign w:val="bottom"/>
          </w:tcPr>
          <w:p w:rsidR="000F2660" w:rsidRPr="004421AD" w:rsidRDefault="000F2660" w:rsidP="008B63A3">
            <w:pPr>
              <w:pStyle w:val="TableBodyText"/>
              <w:rPr>
                <w:sz w:val="18"/>
                <w:szCs w:val="18"/>
              </w:rPr>
            </w:pPr>
            <w:r w:rsidRPr="004421AD">
              <w:rPr>
                <w:sz w:val="18"/>
                <w:szCs w:val="18"/>
              </w:rPr>
              <w:t>2.0</w:t>
            </w:r>
          </w:p>
        </w:tc>
        <w:tc>
          <w:tcPr>
            <w:tcW w:w="507" w:type="pct"/>
            <w:vAlign w:val="bottom"/>
          </w:tcPr>
          <w:p w:rsidR="000F2660" w:rsidRPr="004421AD" w:rsidRDefault="000F2660" w:rsidP="008B63A3">
            <w:pPr>
              <w:pStyle w:val="TableBodyText"/>
              <w:rPr>
                <w:sz w:val="18"/>
                <w:szCs w:val="18"/>
              </w:rPr>
            </w:pPr>
            <w:r w:rsidRPr="004421AD">
              <w:rPr>
                <w:sz w:val="18"/>
                <w:szCs w:val="18"/>
              </w:rPr>
              <w:t>1.2</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1.3</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1.5</w:t>
            </w:r>
          </w:p>
        </w:tc>
      </w:tr>
      <w:tr w:rsidR="000F2660" w:rsidRPr="00395466" w:rsidTr="008B63A3">
        <w:tc>
          <w:tcPr>
            <w:tcW w:w="1959" w:type="pct"/>
            <w:vAlign w:val="bottom"/>
          </w:tcPr>
          <w:p w:rsidR="000F2660" w:rsidRPr="004421AD" w:rsidRDefault="000F2660" w:rsidP="008B63A3">
            <w:pPr>
              <w:pStyle w:val="TableBodyText"/>
              <w:jc w:val="left"/>
              <w:rPr>
                <w:sz w:val="18"/>
                <w:szCs w:val="18"/>
              </w:rPr>
            </w:pPr>
            <w:r w:rsidRPr="004421AD">
              <w:rPr>
                <w:sz w:val="18"/>
                <w:szCs w:val="18"/>
              </w:rPr>
              <w:t>Transport, postal and warehousing</w:t>
            </w:r>
          </w:p>
        </w:tc>
        <w:tc>
          <w:tcPr>
            <w:tcW w:w="507" w:type="pct"/>
            <w:vAlign w:val="bottom"/>
          </w:tcPr>
          <w:p w:rsidR="000F2660" w:rsidRPr="004421AD" w:rsidRDefault="000F2660" w:rsidP="008B63A3">
            <w:pPr>
              <w:pStyle w:val="TableBodyText"/>
              <w:rPr>
                <w:sz w:val="18"/>
                <w:szCs w:val="18"/>
              </w:rPr>
            </w:pPr>
            <w:r w:rsidRPr="004421AD">
              <w:rPr>
                <w:sz w:val="18"/>
                <w:szCs w:val="18"/>
              </w:rPr>
              <w:t>3.4</w:t>
            </w:r>
          </w:p>
        </w:tc>
        <w:tc>
          <w:tcPr>
            <w:tcW w:w="507" w:type="pct"/>
            <w:vAlign w:val="bottom"/>
          </w:tcPr>
          <w:p w:rsidR="000F2660" w:rsidRPr="004421AD" w:rsidRDefault="000F2660" w:rsidP="008B63A3">
            <w:pPr>
              <w:pStyle w:val="TableBodyText"/>
              <w:rPr>
                <w:sz w:val="18"/>
                <w:szCs w:val="18"/>
              </w:rPr>
            </w:pPr>
            <w:r w:rsidRPr="004421AD">
              <w:rPr>
                <w:sz w:val="18"/>
                <w:szCs w:val="18"/>
              </w:rPr>
              <w:t>4.3</w:t>
            </w:r>
          </w:p>
        </w:tc>
        <w:tc>
          <w:tcPr>
            <w:tcW w:w="507" w:type="pct"/>
            <w:vAlign w:val="bottom"/>
          </w:tcPr>
          <w:p w:rsidR="000F2660" w:rsidRPr="004421AD" w:rsidRDefault="000F2660" w:rsidP="008B63A3">
            <w:pPr>
              <w:pStyle w:val="TableBodyText"/>
              <w:rPr>
                <w:sz w:val="18"/>
                <w:szCs w:val="18"/>
              </w:rPr>
            </w:pPr>
            <w:r w:rsidRPr="004421AD">
              <w:rPr>
                <w:sz w:val="18"/>
                <w:szCs w:val="18"/>
              </w:rPr>
              <w:t>5.4</w:t>
            </w:r>
          </w:p>
        </w:tc>
        <w:tc>
          <w:tcPr>
            <w:tcW w:w="507" w:type="pct"/>
            <w:vAlign w:val="bottom"/>
          </w:tcPr>
          <w:p w:rsidR="000F2660" w:rsidRPr="004421AD" w:rsidRDefault="000F2660" w:rsidP="008B63A3">
            <w:pPr>
              <w:pStyle w:val="TableBodyText"/>
              <w:rPr>
                <w:sz w:val="18"/>
                <w:szCs w:val="18"/>
              </w:rPr>
            </w:pPr>
            <w:r w:rsidRPr="004421AD">
              <w:rPr>
                <w:sz w:val="18"/>
                <w:szCs w:val="18"/>
              </w:rPr>
              <w:t>5.1</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5.5</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6.2</w:t>
            </w:r>
          </w:p>
        </w:tc>
      </w:tr>
      <w:tr w:rsidR="000F2660" w:rsidRPr="00395466" w:rsidTr="008B63A3">
        <w:tc>
          <w:tcPr>
            <w:tcW w:w="1959" w:type="pct"/>
            <w:vAlign w:val="bottom"/>
          </w:tcPr>
          <w:p w:rsidR="000F2660" w:rsidRPr="004421AD" w:rsidRDefault="000F2660" w:rsidP="008B63A3">
            <w:pPr>
              <w:pStyle w:val="TableBodyText"/>
              <w:jc w:val="left"/>
              <w:rPr>
                <w:sz w:val="18"/>
                <w:szCs w:val="18"/>
              </w:rPr>
            </w:pPr>
            <w:r w:rsidRPr="004421AD">
              <w:rPr>
                <w:sz w:val="18"/>
                <w:szCs w:val="18"/>
              </w:rPr>
              <w:t>Information, media and telecommunications</w:t>
            </w:r>
          </w:p>
        </w:tc>
        <w:tc>
          <w:tcPr>
            <w:tcW w:w="507" w:type="pct"/>
            <w:vAlign w:val="bottom"/>
          </w:tcPr>
          <w:p w:rsidR="000F2660" w:rsidRPr="004421AD" w:rsidRDefault="000F2660" w:rsidP="008B63A3">
            <w:pPr>
              <w:pStyle w:val="TableBodyText"/>
              <w:rPr>
                <w:sz w:val="18"/>
                <w:szCs w:val="18"/>
              </w:rPr>
            </w:pPr>
            <w:r w:rsidRPr="004421AD">
              <w:rPr>
                <w:sz w:val="18"/>
                <w:szCs w:val="18"/>
              </w:rPr>
              <w:t>15.6</w:t>
            </w:r>
          </w:p>
        </w:tc>
        <w:tc>
          <w:tcPr>
            <w:tcW w:w="507" w:type="pct"/>
            <w:vAlign w:val="bottom"/>
          </w:tcPr>
          <w:p w:rsidR="000F2660" w:rsidRPr="004421AD" w:rsidRDefault="000F2660" w:rsidP="008B63A3">
            <w:pPr>
              <w:pStyle w:val="TableBodyText"/>
              <w:rPr>
                <w:sz w:val="18"/>
                <w:szCs w:val="18"/>
              </w:rPr>
            </w:pPr>
            <w:r w:rsidRPr="004421AD">
              <w:rPr>
                <w:sz w:val="18"/>
                <w:szCs w:val="18"/>
              </w:rPr>
              <w:t>21.4</w:t>
            </w:r>
          </w:p>
        </w:tc>
        <w:tc>
          <w:tcPr>
            <w:tcW w:w="507" w:type="pct"/>
            <w:vAlign w:val="bottom"/>
          </w:tcPr>
          <w:p w:rsidR="000F2660" w:rsidRPr="004421AD" w:rsidRDefault="000F2660" w:rsidP="008B63A3">
            <w:pPr>
              <w:pStyle w:val="TableBodyText"/>
              <w:rPr>
                <w:sz w:val="18"/>
                <w:szCs w:val="18"/>
              </w:rPr>
            </w:pPr>
            <w:r w:rsidRPr="004421AD">
              <w:rPr>
                <w:sz w:val="18"/>
                <w:szCs w:val="18"/>
              </w:rPr>
              <w:t>23.2</w:t>
            </w:r>
          </w:p>
        </w:tc>
        <w:tc>
          <w:tcPr>
            <w:tcW w:w="507" w:type="pct"/>
            <w:vAlign w:val="bottom"/>
          </w:tcPr>
          <w:p w:rsidR="000F2660" w:rsidRPr="004421AD" w:rsidRDefault="000F2660" w:rsidP="008B63A3">
            <w:pPr>
              <w:pStyle w:val="TableBodyText"/>
              <w:rPr>
                <w:sz w:val="18"/>
                <w:szCs w:val="18"/>
              </w:rPr>
            </w:pPr>
            <w:r w:rsidRPr="004421AD">
              <w:rPr>
                <w:sz w:val="18"/>
                <w:szCs w:val="18"/>
              </w:rPr>
              <w:t>24.1</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25.9</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29.2</w:t>
            </w:r>
          </w:p>
        </w:tc>
      </w:tr>
      <w:tr w:rsidR="000F2660" w:rsidRPr="00395466" w:rsidTr="008B63A3">
        <w:tc>
          <w:tcPr>
            <w:tcW w:w="1959" w:type="pct"/>
            <w:vAlign w:val="bottom"/>
          </w:tcPr>
          <w:p w:rsidR="000F2660" w:rsidRPr="004421AD" w:rsidRDefault="000F2660" w:rsidP="008B63A3">
            <w:pPr>
              <w:pStyle w:val="TableBodyText"/>
              <w:jc w:val="left"/>
              <w:rPr>
                <w:sz w:val="18"/>
                <w:szCs w:val="18"/>
              </w:rPr>
            </w:pPr>
            <w:r w:rsidRPr="004421AD">
              <w:rPr>
                <w:sz w:val="18"/>
                <w:szCs w:val="18"/>
              </w:rPr>
              <w:t>Financial and insurance services</w:t>
            </w:r>
          </w:p>
        </w:tc>
        <w:tc>
          <w:tcPr>
            <w:tcW w:w="507" w:type="pct"/>
            <w:vAlign w:val="bottom"/>
          </w:tcPr>
          <w:p w:rsidR="000F2660" w:rsidRPr="004421AD" w:rsidRDefault="000F2660" w:rsidP="008B63A3">
            <w:pPr>
              <w:pStyle w:val="TableBodyText"/>
              <w:rPr>
                <w:sz w:val="18"/>
                <w:szCs w:val="18"/>
              </w:rPr>
            </w:pPr>
            <w:r w:rsidRPr="004421AD">
              <w:rPr>
                <w:sz w:val="18"/>
                <w:szCs w:val="18"/>
              </w:rPr>
              <w:t>13.0</w:t>
            </w:r>
          </w:p>
        </w:tc>
        <w:tc>
          <w:tcPr>
            <w:tcW w:w="507" w:type="pct"/>
            <w:vAlign w:val="bottom"/>
          </w:tcPr>
          <w:p w:rsidR="000F2660" w:rsidRPr="004421AD" w:rsidRDefault="000F2660" w:rsidP="008B63A3">
            <w:pPr>
              <w:pStyle w:val="TableBodyText"/>
              <w:rPr>
                <w:sz w:val="18"/>
                <w:szCs w:val="18"/>
              </w:rPr>
            </w:pPr>
            <w:r w:rsidRPr="004421AD">
              <w:rPr>
                <w:sz w:val="18"/>
                <w:szCs w:val="18"/>
              </w:rPr>
              <w:t>18.0</w:t>
            </w:r>
          </w:p>
        </w:tc>
        <w:tc>
          <w:tcPr>
            <w:tcW w:w="507" w:type="pct"/>
            <w:vAlign w:val="bottom"/>
          </w:tcPr>
          <w:p w:rsidR="000F2660" w:rsidRPr="004421AD" w:rsidRDefault="000F2660" w:rsidP="008B63A3">
            <w:pPr>
              <w:pStyle w:val="TableBodyText"/>
              <w:rPr>
                <w:sz w:val="18"/>
                <w:szCs w:val="18"/>
              </w:rPr>
            </w:pPr>
            <w:r w:rsidRPr="004421AD">
              <w:rPr>
                <w:sz w:val="18"/>
                <w:szCs w:val="18"/>
              </w:rPr>
              <w:t>26.2</w:t>
            </w:r>
          </w:p>
        </w:tc>
        <w:tc>
          <w:tcPr>
            <w:tcW w:w="507" w:type="pct"/>
            <w:vAlign w:val="bottom"/>
          </w:tcPr>
          <w:p w:rsidR="000F2660" w:rsidRPr="004421AD" w:rsidRDefault="000F2660" w:rsidP="008B63A3">
            <w:pPr>
              <w:pStyle w:val="TableBodyText"/>
              <w:rPr>
                <w:sz w:val="18"/>
                <w:szCs w:val="18"/>
              </w:rPr>
            </w:pPr>
            <w:r w:rsidRPr="004421AD">
              <w:rPr>
                <w:sz w:val="18"/>
                <w:szCs w:val="18"/>
              </w:rPr>
              <w:t>33.6</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36.1</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40.6</w:t>
            </w:r>
          </w:p>
        </w:tc>
      </w:tr>
      <w:tr w:rsidR="000F2660" w:rsidRPr="00395466" w:rsidTr="008B63A3">
        <w:tc>
          <w:tcPr>
            <w:tcW w:w="1959" w:type="pct"/>
            <w:vAlign w:val="bottom"/>
          </w:tcPr>
          <w:p w:rsidR="000F2660" w:rsidRPr="004421AD" w:rsidRDefault="000F2660" w:rsidP="008B63A3">
            <w:pPr>
              <w:pStyle w:val="TableBodyText"/>
              <w:jc w:val="left"/>
              <w:rPr>
                <w:sz w:val="18"/>
                <w:szCs w:val="18"/>
              </w:rPr>
            </w:pPr>
            <w:r w:rsidRPr="004421AD">
              <w:rPr>
                <w:sz w:val="18"/>
                <w:szCs w:val="18"/>
              </w:rPr>
              <w:t>Property, professional and administrative services</w:t>
            </w:r>
          </w:p>
        </w:tc>
        <w:tc>
          <w:tcPr>
            <w:tcW w:w="507" w:type="pct"/>
            <w:vAlign w:val="bottom"/>
          </w:tcPr>
          <w:p w:rsidR="000F2660" w:rsidRPr="004421AD" w:rsidRDefault="000F2660" w:rsidP="008B63A3">
            <w:pPr>
              <w:pStyle w:val="TableBodyText"/>
              <w:rPr>
                <w:sz w:val="18"/>
                <w:szCs w:val="18"/>
              </w:rPr>
            </w:pPr>
            <w:r w:rsidRPr="004421AD">
              <w:rPr>
                <w:sz w:val="18"/>
                <w:szCs w:val="18"/>
              </w:rPr>
              <w:t>40.0</w:t>
            </w:r>
          </w:p>
        </w:tc>
        <w:tc>
          <w:tcPr>
            <w:tcW w:w="507" w:type="pct"/>
            <w:vAlign w:val="bottom"/>
          </w:tcPr>
          <w:p w:rsidR="000F2660" w:rsidRPr="004421AD" w:rsidRDefault="000F2660" w:rsidP="008B63A3">
            <w:pPr>
              <w:pStyle w:val="TableBodyText"/>
              <w:rPr>
                <w:sz w:val="18"/>
                <w:szCs w:val="18"/>
              </w:rPr>
            </w:pPr>
            <w:r w:rsidRPr="004421AD">
              <w:rPr>
                <w:sz w:val="18"/>
                <w:szCs w:val="18"/>
              </w:rPr>
              <w:t>55.7</w:t>
            </w:r>
          </w:p>
        </w:tc>
        <w:tc>
          <w:tcPr>
            <w:tcW w:w="507" w:type="pct"/>
            <w:vAlign w:val="bottom"/>
          </w:tcPr>
          <w:p w:rsidR="000F2660" w:rsidRPr="004421AD" w:rsidRDefault="000F2660" w:rsidP="008B63A3">
            <w:pPr>
              <w:pStyle w:val="TableBodyText"/>
              <w:rPr>
                <w:sz w:val="18"/>
                <w:szCs w:val="18"/>
              </w:rPr>
            </w:pPr>
            <w:r w:rsidRPr="004421AD">
              <w:rPr>
                <w:sz w:val="18"/>
                <w:szCs w:val="18"/>
              </w:rPr>
              <w:t>69.9</w:t>
            </w:r>
          </w:p>
        </w:tc>
        <w:tc>
          <w:tcPr>
            <w:tcW w:w="507" w:type="pct"/>
            <w:vAlign w:val="bottom"/>
          </w:tcPr>
          <w:p w:rsidR="000F2660" w:rsidRPr="004421AD" w:rsidRDefault="000F2660" w:rsidP="008B63A3">
            <w:pPr>
              <w:pStyle w:val="TableBodyText"/>
              <w:rPr>
                <w:sz w:val="18"/>
                <w:szCs w:val="18"/>
              </w:rPr>
            </w:pPr>
            <w:r w:rsidRPr="004421AD">
              <w:rPr>
                <w:sz w:val="18"/>
                <w:szCs w:val="18"/>
              </w:rPr>
              <w:t>96.2</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103.4</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130.5</w:t>
            </w:r>
          </w:p>
        </w:tc>
      </w:tr>
      <w:tr w:rsidR="000F2660" w:rsidRPr="00395466" w:rsidTr="008B63A3">
        <w:tc>
          <w:tcPr>
            <w:tcW w:w="1959" w:type="pct"/>
            <w:vAlign w:val="bottom"/>
          </w:tcPr>
          <w:p w:rsidR="000F2660" w:rsidRPr="004421AD" w:rsidRDefault="000F2660" w:rsidP="008B63A3">
            <w:pPr>
              <w:pStyle w:val="TableBodyText"/>
              <w:jc w:val="left"/>
              <w:rPr>
                <w:sz w:val="18"/>
                <w:szCs w:val="18"/>
              </w:rPr>
            </w:pPr>
            <w:r w:rsidRPr="004421AD">
              <w:rPr>
                <w:sz w:val="18"/>
                <w:szCs w:val="18"/>
              </w:rPr>
              <w:t>Public administration and safety</w:t>
            </w:r>
          </w:p>
        </w:tc>
        <w:tc>
          <w:tcPr>
            <w:tcW w:w="507" w:type="pct"/>
            <w:vAlign w:val="bottom"/>
          </w:tcPr>
          <w:p w:rsidR="000F2660" w:rsidRPr="004421AD" w:rsidRDefault="000F2660" w:rsidP="008B63A3">
            <w:pPr>
              <w:pStyle w:val="TableBodyText"/>
              <w:rPr>
                <w:sz w:val="18"/>
                <w:szCs w:val="18"/>
              </w:rPr>
            </w:pPr>
            <w:r>
              <w:rPr>
                <w:sz w:val="18"/>
                <w:szCs w:val="18"/>
              </w:rPr>
              <w:noBreakHyphen/>
            </w:r>
          </w:p>
        </w:tc>
        <w:tc>
          <w:tcPr>
            <w:tcW w:w="507" w:type="pct"/>
            <w:vAlign w:val="bottom"/>
          </w:tcPr>
          <w:p w:rsidR="000F2660" w:rsidRPr="004421AD" w:rsidRDefault="000F2660" w:rsidP="008B63A3">
            <w:pPr>
              <w:pStyle w:val="TableBodyText"/>
              <w:rPr>
                <w:sz w:val="18"/>
                <w:szCs w:val="18"/>
              </w:rPr>
            </w:pPr>
            <w:r w:rsidRPr="004421AD">
              <w:rPr>
                <w:sz w:val="18"/>
                <w:szCs w:val="18"/>
              </w:rPr>
              <w:t>0.7</w:t>
            </w:r>
          </w:p>
        </w:tc>
        <w:tc>
          <w:tcPr>
            <w:tcW w:w="507" w:type="pct"/>
            <w:vAlign w:val="bottom"/>
          </w:tcPr>
          <w:p w:rsidR="000F2660" w:rsidRPr="004421AD" w:rsidRDefault="000F2660" w:rsidP="008B63A3">
            <w:pPr>
              <w:pStyle w:val="TableBodyText"/>
              <w:rPr>
                <w:sz w:val="18"/>
                <w:szCs w:val="18"/>
              </w:rPr>
            </w:pPr>
            <w:r w:rsidRPr="004421AD">
              <w:rPr>
                <w:sz w:val="18"/>
                <w:szCs w:val="18"/>
              </w:rPr>
              <w:t>1.6</w:t>
            </w:r>
          </w:p>
        </w:tc>
        <w:tc>
          <w:tcPr>
            <w:tcW w:w="507" w:type="pct"/>
            <w:vAlign w:val="bottom"/>
          </w:tcPr>
          <w:p w:rsidR="000F2660" w:rsidRPr="004421AD" w:rsidRDefault="000F2660" w:rsidP="008B63A3">
            <w:pPr>
              <w:pStyle w:val="TableBodyText"/>
              <w:rPr>
                <w:sz w:val="18"/>
                <w:szCs w:val="18"/>
              </w:rPr>
            </w:pPr>
            <w:r w:rsidRPr="004421AD">
              <w:rPr>
                <w:sz w:val="18"/>
                <w:szCs w:val="18"/>
              </w:rPr>
              <w:t>6.4</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6.9</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2.0</w:t>
            </w:r>
          </w:p>
        </w:tc>
      </w:tr>
      <w:tr w:rsidR="000F2660" w:rsidRPr="00395466" w:rsidTr="008B63A3">
        <w:tc>
          <w:tcPr>
            <w:tcW w:w="1959" w:type="pct"/>
            <w:vAlign w:val="bottom"/>
          </w:tcPr>
          <w:p w:rsidR="000F2660" w:rsidRPr="004421AD" w:rsidRDefault="000F2660" w:rsidP="008B63A3">
            <w:pPr>
              <w:pStyle w:val="TableBodyText"/>
              <w:jc w:val="left"/>
              <w:rPr>
                <w:sz w:val="18"/>
                <w:szCs w:val="18"/>
              </w:rPr>
            </w:pPr>
            <w:r w:rsidRPr="004421AD">
              <w:rPr>
                <w:sz w:val="18"/>
                <w:szCs w:val="18"/>
              </w:rPr>
              <w:t>Education and training</w:t>
            </w:r>
          </w:p>
        </w:tc>
        <w:tc>
          <w:tcPr>
            <w:tcW w:w="507" w:type="pct"/>
            <w:vAlign w:val="bottom"/>
          </w:tcPr>
          <w:p w:rsidR="000F2660" w:rsidRPr="004421AD" w:rsidRDefault="000F2660" w:rsidP="008B63A3">
            <w:pPr>
              <w:pStyle w:val="TableBodyText"/>
              <w:rPr>
                <w:sz w:val="18"/>
                <w:szCs w:val="18"/>
              </w:rPr>
            </w:pPr>
            <w:r w:rsidRPr="004421AD">
              <w:rPr>
                <w:sz w:val="18"/>
                <w:szCs w:val="18"/>
              </w:rPr>
              <w:t>3.3</w:t>
            </w:r>
          </w:p>
        </w:tc>
        <w:tc>
          <w:tcPr>
            <w:tcW w:w="507" w:type="pct"/>
            <w:vAlign w:val="bottom"/>
          </w:tcPr>
          <w:p w:rsidR="000F2660" w:rsidRPr="004421AD" w:rsidRDefault="000F2660" w:rsidP="008B63A3">
            <w:pPr>
              <w:pStyle w:val="TableBodyText"/>
              <w:rPr>
                <w:sz w:val="18"/>
                <w:szCs w:val="18"/>
              </w:rPr>
            </w:pPr>
            <w:r w:rsidRPr="004421AD">
              <w:rPr>
                <w:sz w:val="18"/>
                <w:szCs w:val="18"/>
              </w:rPr>
              <w:t>2.8</w:t>
            </w:r>
          </w:p>
        </w:tc>
        <w:tc>
          <w:tcPr>
            <w:tcW w:w="507" w:type="pct"/>
            <w:vAlign w:val="bottom"/>
          </w:tcPr>
          <w:p w:rsidR="000F2660" w:rsidRPr="004421AD" w:rsidRDefault="000F2660" w:rsidP="008B63A3">
            <w:pPr>
              <w:pStyle w:val="TableBodyText"/>
              <w:rPr>
                <w:sz w:val="18"/>
                <w:szCs w:val="18"/>
              </w:rPr>
            </w:pPr>
            <w:r w:rsidRPr="004421AD">
              <w:rPr>
                <w:sz w:val="18"/>
                <w:szCs w:val="18"/>
              </w:rPr>
              <w:t>4.1</w:t>
            </w:r>
          </w:p>
        </w:tc>
        <w:tc>
          <w:tcPr>
            <w:tcW w:w="507" w:type="pct"/>
            <w:vAlign w:val="bottom"/>
          </w:tcPr>
          <w:p w:rsidR="000F2660" w:rsidRPr="004421AD" w:rsidRDefault="000F2660" w:rsidP="008B63A3">
            <w:pPr>
              <w:pStyle w:val="TableBodyText"/>
              <w:rPr>
                <w:sz w:val="18"/>
                <w:szCs w:val="18"/>
              </w:rPr>
            </w:pPr>
            <w:r w:rsidRPr="004421AD">
              <w:rPr>
                <w:sz w:val="18"/>
                <w:szCs w:val="18"/>
              </w:rPr>
              <w:t>4.1</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4.4</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5.0</w:t>
            </w:r>
          </w:p>
        </w:tc>
      </w:tr>
      <w:tr w:rsidR="000F2660" w:rsidRPr="00395466" w:rsidTr="008B63A3">
        <w:tc>
          <w:tcPr>
            <w:tcW w:w="1959" w:type="pct"/>
            <w:vAlign w:val="bottom"/>
          </w:tcPr>
          <w:p w:rsidR="000F2660" w:rsidRPr="004421AD" w:rsidRDefault="000F2660" w:rsidP="008B63A3">
            <w:pPr>
              <w:pStyle w:val="TableBodyText"/>
              <w:jc w:val="left"/>
              <w:rPr>
                <w:sz w:val="18"/>
                <w:szCs w:val="18"/>
              </w:rPr>
            </w:pPr>
            <w:r w:rsidRPr="004421AD">
              <w:rPr>
                <w:sz w:val="18"/>
                <w:szCs w:val="18"/>
              </w:rPr>
              <w:t>Health care and social assistance</w:t>
            </w:r>
          </w:p>
        </w:tc>
        <w:tc>
          <w:tcPr>
            <w:tcW w:w="507" w:type="pct"/>
            <w:vAlign w:val="bottom"/>
          </w:tcPr>
          <w:p w:rsidR="000F2660" w:rsidRPr="004421AD" w:rsidRDefault="000F2660" w:rsidP="008B63A3">
            <w:pPr>
              <w:pStyle w:val="TableBodyText"/>
              <w:rPr>
                <w:sz w:val="18"/>
                <w:szCs w:val="18"/>
              </w:rPr>
            </w:pPr>
            <w:r w:rsidRPr="004421AD">
              <w:rPr>
                <w:sz w:val="18"/>
                <w:szCs w:val="18"/>
              </w:rPr>
              <w:t>4.4</w:t>
            </w:r>
          </w:p>
        </w:tc>
        <w:tc>
          <w:tcPr>
            <w:tcW w:w="507" w:type="pct"/>
            <w:vAlign w:val="bottom"/>
          </w:tcPr>
          <w:p w:rsidR="000F2660" w:rsidRPr="004421AD" w:rsidRDefault="000F2660" w:rsidP="008B63A3">
            <w:pPr>
              <w:pStyle w:val="TableBodyText"/>
              <w:rPr>
                <w:sz w:val="18"/>
                <w:szCs w:val="18"/>
              </w:rPr>
            </w:pPr>
            <w:r w:rsidRPr="004421AD">
              <w:rPr>
                <w:sz w:val="18"/>
                <w:szCs w:val="18"/>
              </w:rPr>
              <w:t>5.3</w:t>
            </w:r>
          </w:p>
        </w:tc>
        <w:tc>
          <w:tcPr>
            <w:tcW w:w="507" w:type="pct"/>
            <w:vAlign w:val="bottom"/>
          </w:tcPr>
          <w:p w:rsidR="000F2660" w:rsidRPr="004421AD" w:rsidRDefault="000F2660" w:rsidP="008B63A3">
            <w:pPr>
              <w:pStyle w:val="TableBodyText"/>
              <w:rPr>
                <w:sz w:val="18"/>
                <w:szCs w:val="18"/>
              </w:rPr>
            </w:pPr>
            <w:r w:rsidRPr="004421AD">
              <w:rPr>
                <w:sz w:val="18"/>
                <w:szCs w:val="18"/>
              </w:rPr>
              <w:t>6.7</w:t>
            </w:r>
          </w:p>
        </w:tc>
        <w:tc>
          <w:tcPr>
            <w:tcW w:w="507" w:type="pct"/>
            <w:vAlign w:val="bottom"/>
          </w:tcPr>
          <w:p w:rsidR="000F2660" w:rsidRPr="004421AD" w:rsidRDefault="000F2660" w:rsidP="008B63A3">
            <w:pPr>
              <w:pStyle w:val="TableBodyText"/>
              <w:rPr>
                <w:sz w:val="18"/>
                <w:szCs w:val="18"/>
              </w:rPr>
            </w:pPr>
            <w:r w:rsidRPr="004421AD">
              <w:rPr>
                <w:sz w:val="18"/>
                <w:szCs w:val="18"/>
              </w:rPr>
              <w:t>8.9</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9.6</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10.8</w:t>
            </w:r>
          </w:p>
        </w:tc>
      </w:tr>
      <w:tr w:rsidR="000F2660" w:rsidRPr="00395466" w:rsidTr="008B63A3">
        <w:tc>
          <w:tcPr>
            <w:tcW w:w="1959" w:type="pct"/>
            <w:vAlign w:val="bottom"/>
          </w:tcPr>
          <w:p w:rsidR="000F2660" w:rsidRPr="004421AD" w:rsidRDefault="000F2660" w:rsidP="008B63A3">
            <w:pPr>
              <w:pStyle w:val="TableBodyText"/>
              <w:jc w:val="left"/>
              <w:rPr>
                <w:sz w:val="18"/>
                <w:szCs w:val="18"/>
              </w:rPr>
            </w:pPr>
            <w:r w:rsidRPr="004421AD">
              <w:rPr>
                <w:sz w:val="18"/>
                <w:szCs w:val="18"/>
              </w:rPr>
              <w:t>Arts and recreation services</w:t>
            </w:r>
          </w:p>
        </w:tc>
        <w:tc>
          <w:tcPr>
            <w:tcW w:w="507" w:type="pct"/>
            <w:vAlign w:val="bottom"/>
          </w:tcPr>
          <w:p w:rsidR="000F2660" w:rsidRPr="004421AD" w:rsidRDefault="000F2660" w:rsidP="008B63A3">
            <w:pPr>
              <w:pStyle w:val="TableBodyText"/>
              <w:rPr>
                <w:sz w:val="18"/>
                <w:szCs w:val="18"/>
              </w:rPr>
            </w:pPr>
            <w:r w:rsidRPr="004421AD">
              <w:rPr>
                <w:sz w:val="18"/>
                <w:szCs w:val="18"/>
              </w:rPr>
              <w:t>1.2</w:t>
            </w:r>
          </w:p>
        </w:tc>
        <w:tc>
          <w:tcPr>
            <w:tcW w:w="507" w:type="pct"/>
            <w:vAlign w:val="bottom"/>
          </w:tcPr>
          <w:p w:rsidR="000F2660" w:rsidRPr="004421AD" w:rsidRDefault="000F2660" w:rsidP="008B63A3">
            <w:pPr>
              <w:pStyle w:val="TableBodyText"/>
              <w:rPr>
                <w:sz w:val="18"/>
                <w:szCs w:val="18"/>
              </w:rPr>
            </w:pPr>
            <w:r w:rsidRPr="004421AD">
              <w:rPr>
                <w:sz w:val="18"/>
                <w:szCs w:val="18"/>
              </w:rPr>
              <w:t>1.2</w:t>
            </w:r>
          </w:p>
        </w:tc>
        <w:tc>
          <w:tcPr>
            <w:tcW w:w="507" w:type="pct"/>
            <w:vAlign w:val="bottom"/>
          </w:tcPr>
          <w:p w:rsidR="000F2660" w:rsidRPr="004421AD" w:rsidRDefault="000F2660" w:rsidP="008B63A3">
            <w:pPr>
              <w:pStyle w:val="TableBodyText"/>
              <w:rPr>
                <w:sz w:val="18"/>
                <w:szCs w:val="18"/>
              </w:rPr>
            </w:pPr>
            <w:r w:rsidRPr="004421AD">
              <w:rPr>
                <w:sz w:val="18"/>
                <w:szCs w:val="18"/>
              </w:rPr>
              <w:t>1.6</w:t>
            </w:r>
          </w:p>
        </w:tc>
        <w:tc>
          <w:tcPr>
            <w:tcW w:w="507" w:type="pct"/>
            <w:vAlign w:val="bottom"/>
          </w:tcPr>
          <w:p w:rsidR="000F2660" w:rsidRPr="004421AD" w:rsidRDefault="000F2660" w:rsidP="008B63A3">
            <w:pPr>
              <w:pStyle w:val="TableBodyText"/>
              <w:rPr>
                <w:sz w:val="18"/>
                <w:szCs w:val="18"/>
              </w:rPr>
            </w:pPr>
            <w:r w:rsidRPr="004421AD">
              <w:rPr>
                <w:sz w:val="18"/>
                <w:szCs w:val="18"/>
              </w:rPr>
              <w:t>2.1</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2.3</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2.6</w:t>
            </w:r>
          </w:p>
        </w:tc>
      </w:tr>
      <w:tr w:rsidR="000F2660" w:rsidRPr="00395466" w:rsidTr="008B63A3">
        <w:tc>
          <w:tcPr>
            <w:tcW w:w="1959" w:type="pct"/>
            <w:vAlign w:val="bottom"/>
          </w:tcPr>
          <w:p w:rsidR="000F2660" w:rsidRPr="004421AD" w:rsidRDefault="000F2660" w:rsidP="008B63A3">
            <w:pPr>
              <w:pStyle w:val="TableBodyText"/>
              <w:jc w:val="left"/>
              <w:rPr>
                <w:sz w:val="18"/>
                <w:szCs w:val="18"/>
              </w:rPr>
            </w:pPr>
            <w:r w:rsidRPr="004421AD">
              <w:rPr>
                <w:sz w:val="18"/>
                <w:szCs w:val="18"/>
              </w:rPr>
              <w:t>Other services</w:t>
            </w:r>
          </w:p>
        </w:tc>
        <w:tc>
          <w:tcPr>
            <w:tcW w:w="507" w:type="pct"/>
            <w:vAlign w:val="bottom"/>
          </w:tcPr>
          <w:p w:rsidR="000F2660" w:rsidRPr="004421AD" w:rsidRDefault="000F2660" w:rsidP="008B63A3">
            <w:pPr>
              <w:pStyle w:val="TableBodyText"/>
              <w:rPr>
                <w:sz w:val="18"/>
                <w:szCs w:val="18"/>
              </w:rPr>
            </w:pPr>
            <w:r w:rsidRPr="004421AD">
              <w:rPr>
                <w:sz w:val="18"/>
                <w:szCs w:val="18"/>
              </w:rPr>
              <w:t>5.3</w:t>
            </w:r>
          </w:p>
        </w:tc>
        <w:tc>
          <w:tcPr>
            <w:tcW w:w="507" w:type="pct"/>
            <w:vAlign w:val="bottom"/>
          </w:tcPr>
          <w:p w:rsidR="000F2660" w:rsidRPr="004421AD" w:rsidRDefault="000F2660" w:rsidP="008B63A3">
            <w:pPr>
              <w:pStyle w:val="TableBodyText"/>
              <w:rPr>
                <w:sz w:val="18"/>
                <w:szCs w:val="18"/>
              </w:rPr>
            </w:pPr>
            <w:r w:rsidRPr="004421AD">
              <w:rPr>
                <w:sz w:val="18"/>
                <w:szCs w:val="18"/>
              </w:rPr>
              <w:t>6.3</w:t>
            </w:r>
          </w:p>
        </w:tc>
        <w:tc>
          <w:tcPr>
            <w:tcW w:w="507" w:type="pct"/>
            <w:vAlign w:val="bottom"/>
          </w:tcPr>
          <w:p w:rsidR="000F2660" w:rsidRPr="004421AD" w:rsidRDefault="000F2660" w:rsidP="008B63A3">
            <w:pPr>
              <w:pStyle w:val="TableBodyText"/>
              <w:rPr>
                <w:sz w:val="18"/>
                <w:szCs w:val="18"/>
              </w:rPr>
            </w:pPr>
            <w:r w:rsidRPr="004421AD">
              <w:rPr>
                <w:sz w:val="18"/>
                <w:szCs w:val="18"/>
              </w:rPr>
              <w:t>6.0</w:t>
            </w:r>
          </w:p>
        </w:tc>
        <w:tc>
          <w:tcPr>
            <w:tcW w:w="507" w:type="pct"/>
            <w:vAlign w:val="bottom"/>
          </w:tcPr>
          <w:p w:rsidR="000F2660" w:rsidRPr="004421AD" w:rsidRDefault="000F2660" w:rsidP="008B63A3">
            <w:pPr>
              <w:pStyle w:val="TableBodyText"/>
              <w:rPr>
                <w:sz w:val="18"/>
                <w:szCs w:val="18"/>
              </w:rPr>
            </w:pPr>
            <w:r w:rsidRPr="004421AD">
              <w:rPr>
                <w:sz w:val="18"/>
                <w:szCs w:val="18"/>
              </w:rPr>
              <w:t>9.4</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10.1</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11.4</w:t>
            </w:r>
          </w:p>
        </w:tc>
      </w:tr>
      <w:tr w:rsidR="000F2660" w:rsidRPr="00395466" w:rsidTr="008B63A3">
        <w:tc>
          <w:tcPr>
            <w:tcW w:w="1959" w:type="pct"/>
            <w:vAlign w:val="bottom"/>
          </w:tcPr>
          <w:p w:rsidR="000F2660" w:rsidRPr="004421AD" w:rsidRDefault="000F2660" w:rsidP="008B63A3">
            <w:pPr>
              <w:pStyle w:val="TableBodyText"/>
              <w:jc w:val="left"/>
              <w:rPr>
                <w:sz w:val="18"/>
                <w:szCs w:val="18"/>
              </w:rPr>
            </w:pPr>
            <w:r w:rsidRPr="004421AD">
              <w:rPr>
                <w:sz w:val="18"/>
                <w:szCs w:val="18"/>
              </w:rPr>
              <w:t>Unallocated other</w:t>
            </w:r>
            <w:r w:rsidRPr="004421AD">
              <w:rPr>
                <w:rStyle w:val="NoteLabel"/>
                <w:szCs w:val="18"/>
              </w:rPr>
              <w:t>a</w:t>
            </w:r>
          </w:p>
        </w:tc>
        <w:tc>
          <w:tcPr>
            <w:tcW w:w="507" w:type="pct"/>
            <w:vAlign w:val="bottom"/>
          </w:tcPr>
          <w:p w:rsidR="000F2660" w:rsidRPr="004421AD" w:rsidRDefault="000F2660" w:rsidP="008B63A3">
            <w:pPr>
              <w:pStyle w:val="TableBodyText"/>
              <w:rPr>
                <w:sz w:val="18"/>
                <w:szCs w:val="18"/>
              </w:rPr>
            </w:pPr>
            <w:r w:rsidRPr="004421AD">
              <w:rPr>
                <w:sz w:val="18"/>
                <w:szCs w:val="18"/>
              </w:rPr>
              <w:t>11.3</w:t>
            </w:r>
          </w:p>
        </w:tc>
        <w:tc>
          <w:tcPr>
            <w:tcW w:w="507" w:type="pct"/>
            <w:vAlign w:val="bottom"/>
          </w:tcPr>
          <w:p w:rsidR="000F2660" w:rsidRPr="004421AD" w:rsidRDefault="000F2660" w:rsidP="008B63A3">
            <w:pPr>
              <w:pStyle w:val="TableBodyText"/>
              <w:rPr>
                <w:sz w:val="18"/>
                <w:szCs w:val="18"/>
              </w:rPr>
            </w:pPr>
            <w:r w:rsidRPr="004421AD">
              <w:rPr>
                <w:sz w:val="18"/>
                <w:szCs w:val="18"/>
              </w:rPr>
              <w:t>21.8</w:t>
            </w:r>
          </w:p>
        </w:tc>
        <w:tc>
          <w:tcPr>
            <w:tcW w:w="507" w:type="pct"/>
            <w:vAlign w:val="bottom"/>
          </w:tcPr>
          <w:p w:rsidR="000F2660" w:rsidRPr="004421AD" w:rsidRDefault="000F2660" w:rsidP="008B63A3">
            <w:pPr>
              <w:pStyle w:val="TableBodyText"/>
              <w:rPr>
                <w:sz w:val="18"/>
                <w:szCs w:val="18"/>
              </w:rPr>
            </w:pPr>
            <w:r w:rsidRPr="004421AD">
              <w:rPr>
                <w:sz w:val="18"/>
                <w:szCs w:val="18"/>
              </w:rPr>
              <w:t>30.3</w:t>
            </w:r>
          </w:p>
        </w:tc>
        <w:tc>
          <w:tcPr>
            <w:tcW w:w="507" w:type="pct"/>
            <w:vAlign w:val="bottom"/>
          </w:tcPr>
          <w:p w:rsidR="000F2660" w:rsidRPr="004421AD" w:rsidRDefault="000F2660" w:rsidP="008B63A3">
            <w:pPr>
              <w:pStyle w:val="TableBodyText"/>
              <w:rPr>
                <w:sz w:val="18"/>
                <w:szCs w:val="18"/>
              </w:rPr>
            </w:pPr>
            <w:r w:rsidRPr="004421AD">
              <w:rPr>
                <w:sz w:val="18"/>
                <w:szCs w:val="18"/>
              </w:rPr>
              <w:t>35.7</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38.4</w:t>
            </w:r>
          </w:p>
        </w:tc>
        <w:tc>
          <w:tcPr>
            <w:tcW w:w="507" w:type="pct"/>
            <w:shd w:val="clear" w:color="auto" w:fill="auto"/>
            <w:vAlign w:val="bottom"/>
          </w:tcPr>
          <w:p w:rsidR="000F2660" w:rsidRPr="004421AD" w:rsidRDefault="000F2660" w:rsidP="008B63A3">
            <w:pPr>
              <w:pStyle w:val="TableBodyText"/>
              <w:rPr>
                <w:sz w:val="18"/>
                <w:szCs w:val="18"/>
              </w:rPr>
            </w:pPr>
            <w:r w:rsidRPr="004421AD">
              <w:rPr>
                <w:sz w:val="18"/>
                <w:szCs w:val="18"/>
              </w:rPr>
              <w:t>43.2</w:t>
            </w:r>
          </w:p>
        </w:tc>
      </w:tr>
      <w:tr w:rsidR="000F2660" w:rsidRPr="00395466" w:rsidTr="008B63A3">
        <w:tc>
          <w:tcPr>
            <w:tcW w:w="1959" w:type="pct"/>
            <w:tcBorders>
              <w:bottom w:val="single" w:sz="4" w:space="0" w:color="auto"/>
            </w:tcBorders>
            <w:vAlign w:val="bottom"/>
          </w:tcPr>
          <w:p w:rsidR="000F2660" w:rsidRPr="004421AD" w:rsidRDefault="000F2660" w:rsidP="008B63A3">
            <w:pPr>
              <w:pStyle w:val="TableBodyText"/>
              <w:jc w:val="left"/>
              <w:rPr>
                <w:b/>
                <w:bCs/>
                <w:sz w:val="18"/>
                <w:szCs w:val="18"/>
              </w:rPr>
            </w:pPr>
            <w:r w:rsidRPr="004421AD">
              <w:rPr>
                <w:b/>
                <w:bCs/>
                <w:sz w:val="18"/>
                <w:szCs w:val="18"/>
              </w:rPr>
              <w:t>Total</w:t>
            </w:r>
          </w:p>
        </w:tc>
        <w:tc>
          <w:tcPr>
            <w:tcW w:w="507" w:type="pct"/>
            <w:tcBorders>
              <w:bottom w:val="single" w:sz="4" w:space="0" w:color="auto"/>
            </w:tcBorders>
            <w:vAlign w:val="bottom"/>
          </w:tcPr>
          <w:p w:rsidR="000F2660" w:rsidRPr="004421AD" w:rsidRDefault="000F2660" w:rsidP="008B63A3">
            <w:pPr>
              <w:pStyle w:val="TableBodyText"/>
              <w:rPr>
                <w:b/>
                <w:sz w:val="18"/>
                <w:szCs w:val="18"/>
              </w:rPr>
            </w:pPr>
            <w:r w:rsidRPr="004421AD">
              <w:rPr>
                <w:b/>
                <w:sz w:val="18"/>
                <w:szCs w:val="18"/>
              </w:rPr>
              <w:t>245.0</w:t>
            </w:r>
          </w:p>
        </w:tc>
        <w:tc>
          <w:tcPr>
            <w:tcW w:w="507" w:type="pct"/>
            <w:tcBorders>
              <w:bottom w:val="single" w:sz="4" w:space="0" w:color="auto"/>
            </w:tcBorders>
            <w:vAlign w:val="bottom"/>
          </w:tcPr>
          <w:p w:rsidR="000F2660" w:rsidRPr="004421AD" w:rsidRDefault="000F2660" w:rsidP="008B63A3">
            <w:pPr>
              <w:pStyle w:val="TableBodyText"/>
              <w:rPr>
                <w:b/>
                <w:sz w:val="18"/>
                <w:szCs w:val="18"/>
              </w:rPr>
            </w:pPr>
            <w:r w:rsidRPr="004421AD">
              <w:rPr>
                <w:b/>
                <w:sz w:val="18"/>
                <w:szCs w:val="18"/>
              </w:rPr>
              <w:t>333.0</w:t>
            </w:r>
          </w:p>
        </w:tc>
        <w:tc>
          <w:tcPr>
            <w:tcW w:w="507" w:type="pct"/>
            <w:tcBorders>
              <w:bottom w:val="single" w:sz="4" w:space="0" w:color="auto"/>
            </w:tcBorders>
            <w:vAlign w:val="bottom"/>
          </w:tcPr>
          <w:p w:rsidR="000F2660" w:rsidRPr="004421AD" w:rsidRDefault="000F2660" w:rsidP="008B63A3">
            <w:pPr>
              <w:pStyle w:val="TableBodyText"/>
              <w:rPr>
                <w:b/>
                <w:sz w:val="18"/>
                <w:szCs w:val="18"/>
              </w:rPr>
            </w:pPr>
            <w:r w:rsidRPr="004421AD">
              <w:rPr>
                <w:b/>
                <w:sz w:val="18"/>
                <w:szCs w:val="18"/>
              </w:rPr>
              <w:t>428.0</w:t>
            </w:r>
          </w:p>
        </w:tc>
        <w:tc>
          <w:tcPr>
            <w:tcW w:w="507" w:type="pct"/>
            <w:tcBorders>
              <w:bottom w:val="single" w:sz="4" w:space="0" w:color="auto"/>
            </w:tcBorders>
            <w:vAlign w:val="bottom"/>
          </w:tcPr>
          <w:p w:rsidR="000F2660" w:rsidRPr="004421AD" w:rsidRDefault="000F2660" w:rsidP="008B63A3">
            <w:pPr>
              <w:pStyle w:val="TableBodyText"/>
              <w:rPr>
                <w:b/>
                <w:sz w:val="18"/>
                <w:szCs w:val="18"/>
              </w:rPr>
            </w:pPr>
            <w:r w:rsidRPr="004421AD">
              <w:rPr>
                <w:b/>
                <w:sz w:val="18"/>
                <w:szCs w:val="18"/>
              </w:rPr>
              <w:t>535.0</w:t>
            </w:r>
          </w:p>
        </w:tc>
        <w:tc>
          <w:tcPr>
            <w:tcW w:w="507" w:type="pct"/>
            <w:tcBorders>
              <w:bottom w:val="single" w:sz="4" w:space="0" w:color="auto"/>
            </w:tcBorders>
            <w:shd w:val="clear" w:color="auto" w:fill="auto"/>
            <w:vAlign w:val="bottom"/>
          </w:tcPr>
          <w:p w:rsidR="000F2660" w:rsidRPr="004421AD" w:rsidRDefault="000F2660" w:rsidP="008B63A3">
            <w:pPr>
              <w:pStyle w:val="TableBodyText"/>
              <w:rPr>
                <w:b/>
                <w:sz w:val="18"/>
                <w:szCs w:val="18"/>
              </w:rPr>
            </w:pPr>
            <w:r w:rsidRPr="004421AD">
              <w:rPr>
                <w:b/>
                <w:sz w:val="18"/>
                <w:szCs w:val="18"/>
              </w:rPr>
              <w:t>575.0</w:t>
            </w:r>
          </w:p>
        </w:tc>
        <w:tc>
          <w:tcPr>
            <w:tcW w:w="507" w:type="pct"/>
            <w:tcBorders>
              <w:bottom w:val="single" w:sz="4" w:space="0" w:color="auto"/>
            </w:tcBorders>
            <w:shd w:val="clear" w:color="auto" w:fill="auto"/>
            <w:vAlign w:val="bottom"/>
          </w:tcPr>
          <w:p w:rsidR="000F2660" w:rsidRPr="004421AD" w:rsidRDefault="000F2660" w:rsidP="008B63A3">
            <w:pPr>
              <w:pStyle w:val="TableBodyText"/>
              <w:rPr>
                <w:b/>
                <w:sz w:val="18"/>
                <w:szCs w:val="18"/>
              </w:rPr>
            </w:pPr>
            <w:r w:rsidRPr="004421AD">
              <w:rPr>
                <w:b/>
                <w:sz w:val="18"/>
                <w:szCs w:val="18"/>
              </w:rPr>
              <w:t>655.0</w:t>
            </w:r>
          </w:p>
        </w:tc>
      </w:tr>
    </w:tbl>
    <w:p w:rsidR="000F2660" w:rsidRDefault="000F2660" w:rsidP="000F2660">
      <w:pPr>
        <w:pStyle w:val="Note"/>
      </w:pPr>
      <w:r>
        <w:t xml:space="preserve">– Nil. </w:t>
      </w:r>
      <w:r w:rsidRPr="008E77FE">
        <w:rPr>
          <w:rStyle w:val="NoteLabel"/>
        </w:rPr>
        <w:t>a</w:t>
      </w:r>
      <w:r>
        <w:t xml:space="preserve"> Unallocated includes general programs where details of beneficiaries are unknown.</w:t>
      </w:r>
    </w:p>
    <w:p w:rsidR="000F2660" w:rsidRDefault="000F2660" w:rsidP="000F2660">
      <w:pPr>
        <w:pStyle w:val="Source"/>
      </w:pPr>
      <w:r>
        <w:rPr>
          <w:i/>
        </w:rPr>
        <w:t>Sources</w:t>
      </w:r>
      <w:r>
        <w:t xml:space="preserve">: </w:t>
      </w:r>
      <w:r w:rsidRPr="00814764">
        <w:t xml:space="preserve">Commission estimates based on </w:t>
      </w:r>
      <w:r>
        <w:t>ATO Commissioner of Taxation Annual Report 2011</w:t>
      </w:r>
      <w:r>
        <w:noBreakHyphen/>
        <w:t>12 (and earlier years)</w:t>
      </w:r>
      <w:r w:rsidRPr="00814764">
        <w:t>; Industry classification derived from detailed ATO data by ANZSIC industry</w:t>
      </w:r>
      <w:r>
        <w:t>;</w:t>
      </w:r>
      <w:r w:rsidRPr="00814764">
        <w:t xml:space="preserve"> and ABS Cat. </w:t>
      </w:r>
      <w:r w:rsidR="00C7652A">
        <w:t>n</w:t>
      </w:r>
      <w:r w:rsidRPr="00814764">
        <w:t>o. 8104.0, Business expenditure on R&amp;D, by ANZSIC 2006 industry s</w:t>
      </w:r>
      <w:r>
        <w:t xml:space="preserve">ubdivision </w:t>
      </w:r>
      <w:r>
        <w:noBreakHyphen/>
        <w:t xml:space="preserve"> by source of funds.</w:t>
      </w:r>
    </w:p>
    <w:p w:rsidR="00DC018F" w:rsidRPr="00DC018F" w:rsidRDefault="00FA09C3" w:rsidP="00DC018F">
      <w:pPr>
        <w:pStyle w:val="Heading2"/>
      </w:pPr>
      <w:r>
        <w:lastRenderedPageBreak/>
        <w:t>A.</w:t>
      </w:r>
      <w:r>
        <w:rPr>
          <w:noProof/>
        </w:rPr>
        <w:t>5</w:t>
      </w:r>
      <w:r w:rsidR="00D55623">
        <w:tab/>
      </w:r>
      <w:r w:rsidR="00DC018F">
        <w:t>Small business capital gains tax 50 per cent reduction (active asset sales)</w:t>
      </w:r>
    </w:p>
    <w:p w:rsidR="00975CC1" w:rsidRPr="00DD3B0A" w:rsidRDefault="00975CC1" w:rsidP="00975CC1">
      <w:pPr>
        <w:pStyle w:val="BodyText"/>
      </w:pPr>
      <w:r>
        <w:t xml:space="preserve">Under the small business capital gains tax concession, 50 per cent of the capital gains arising from the sale of active assets in an eligible small business </w:t>
      </w:r>
      <w:r w:rsidR="005A4A23">
        <w:t xml:space="preserve">is </w:t>
      </w:r>
      <w:r>
        <w:t xml:space="preserve">exempt from capital gains tax. Active assets include assets used in carrying on a business and intangible assets connected with a business (for example, goodwill). An eligible small business is one where the net value of assets that the taxpayer and connected entities own is no more than $6 million, or where the aggregated annual turnover is less than $2 million. This </w:t>
      </w:r>
      <w:r w:rsidRPr="00DD3B0A">
        <w:t>concession applies in addition to any capital gains tax discount entitlement of the taxpayer (</w:t>
      </w:r>
      <w:r w:rsidR="00734336" w:rsidRPr="006D248C">
        <w:t>Tax Expenditure Statement, Australian Government</w:t>
      </w:r>
      <w:r w:rsidR="00DD3B0A">
        <w:t> </w:t>
      </w:r>
      <w:r w:rsidR="00734336" w:rsidRPr="006D248C">
        <w:t>2013</w:t>
      </w:r>
      <w:r w:rsidR="009C70CB" w:rsidRPr="006D248C">
        <w:t>,</w:t>
      </w:r>
      <w:r w:rsidRPr="006D248C">
        <w:t xml:space="preserve"> </w:t>
      </w:r>
      <w:r w:rsidR="009C70CB" w:rsidRPr="006D248C">
        <w:t>i</w:t>
      </w:r>
      <w:r w:rsidRPr="006D248C">
        <w:t>tem</w:t>
      </w:r>
      <w:r w:rsidR="008A01E9" w:rsidRPr="006D248C">
        <w:t> </w:t>
      </w:r>
      <w:r w:rsidRPr="006D248C">
        <w:t>E34</w:t>
      </w:r>
      <w:r w:rsidRPr="00DD3B0A">
        <w:t>).</w:t>
      </w:r>
    </w:p>
    <w:p w:rsidR="003A33FA" w:rsidRDefault="00251380" w:rsidP="00975CC1">
      <w:pPr>
        <w:pStyle w:val="BodyText"/>
      </w:pPr>
      <w:r>
        <w:t>The ATO</w:t>
      </w:r>
      <w:r w:rsidR="00975CC1">
        <w:t xml:space="preserve"> has provided information detailing claim data for the concession by ANZSIC industry. The industry shares derived from the ATO claim data have been used to allocate </w:t>
      </w:r>
      <w:r w:rsidR="00B930F0">
        <w:t>TES</w:t>
      </w:r>
      <w:r w:rsidR="00975CC1">
        <w:t xml:space="preserve"> estimates of total revenue forgone for the concession to the Commission’s ANZSIC-based industry groupings (table A.</w:t>
      </w:r>
      <w:r w:rsidR="0008699E">
        <w:t>5</w:t>
      </w:r>
      <w:r w:rsidR="00975CC1">
        <w:t>).</w:t>
      </w:r>
    </w:p>
    <w:p w:rsidR="00DC018F" w:rsidRDefault="00DC018F" w:rsidP="00DC018F">
      <w:pPr>
        <w:pStyle w:val="TableTitle"/>
      </w:pPr>
      <w:r>
        <w:rPr>
          <w:b w:val="0"/>
        </w:rPr>
        <w:lastRenderedPageBreak/>
        <w:t xml:space="preserve">Table </w:t>
      </w:r>
      <w:r w:rsidR="00FA09C3">
        <w:rPr>
          <w:b w:val="0"/>
        </w:rPr>
        <w:t>A.</w:t>
      </w:r>
      <w:r w:rsidR="00FA09C3">
        <w:rPr>
          <w:b w:val="0"/>
          <w:noProof/>
        </w:rPr>
        <w:t>5</w:t>
      </w:r>
      <w:r>
        <w:tab/>
      </w:r>
      <w:r w:rsidR="00D55623">
        <w:t xml:space="preserve">Allocation of </w:t>
      </w:r>
      <w:r w:rsidR="00D03ABA">
        <w:t>s</w:t>
      </w:r>
      <w:r>
        <w:t xml:space="preserve">mall business </w:t>
      </w:r>
      <w:r w:rsidR="00B02634">
        <w:t xml:space="preserve">capital gains tax </w:t>
      </w:r>
      <w:r>
        <w:t>50 per cent reduction</w:t>
      </w:r>
      <w:r w:rsidR="0037353C">
        <w:t xml:space="preserve"> to</w:t>
      </w:r>
      <w:r w:rsidR="00D55623">
        <w:t xml:space="preserve"> industry, </w:t>
      </w:r>
      <w:r w:rsidR="0081643E">
        <w:t>2006</w:t>
      </w:r>
      <w:r w:rsidR="0081643E">
        <w:noBreakHyphen/>
        <w:t>07 to 2011</w:t>
      </w:r>
      <w:r w:rsidR="0081643E">
        <w:noBreakHyphen/>
        <w:t>12</w:t>
      </w:r>
    </w:p>
    <w:p w:rsidR="00DC018F" w:rsidRDefault="00D55623" w:rsidP="00DC018F">
      <w:pPr>
        <w:pStyle w:val="Subtitle"/>
      </w:pPr>
      <w:r>
        <w:t>$ million (nominal)</w:t>
      </w:r>
    </w:p>
    <w:tbl>
      <w:tblPr>
        <w:tblW w:w="5000" w:type="pct"/>
        <w:tblCellMar>
          <w:left w:w="0" w:type="dxa"/>
          <w:right w:w="0" w:type="dxa"/>
        </w:tblCellMar>
        <w:tblLook w:val="0000" w:firstRow="0" w:lastRow="0" w:firstColumn="0" w:lastColumn="0" w:noHBand="0" w:noVBand="0"/>
      </w:tblPr>
      <w:tblGrid>
        <w:gridCol w:w="3844"/>
        <w:gridCol w:w="825"/>
        <w:gridCol w:w="824"/>
        <w:gridCol w:w="824"/>
        <w:gridCol w:w="824"/>
        <w:gridCol w:w="824"/>
        <w:gridCol w:w="824"/>
      </w:tblGrid>
      <w:tr w:rsidR="009D43B4" w:rsidRPr="00AF699A" w:rsidTr="006C3E9D">
        <w:tc>
          <w:tcPr>
            <w:tcW w:w="2097" w:type="pct"/>
            <w:tcBorders>
              <w:top w:val="single" w:sz="6" w:space="0" w:color="auto"/>
              <w:bottom w:val="single" w:sz="6" w:space="0" w:color="auto"/>
            </w:tcBorders>
          </w:tcPr>
          <w:p w:rsidR="009D43B4" w:rsidRPr="00AF699A" w:rsidRDefault="009D43B4" w:rsidP="003A33FA">
            <w:pPr>
              <w:pStyle w:val="TableColumnHeading"/>
              <w:jc w:val="left"/>
              <w:rPr>
                <w:rFonts w:cs="Arial"/>
                <w:sz w:val="18"/>
                <w:szCs w:val="18"/>
              </w:rPr>
            </w:pPr>
            <w:r w:rsidRPr="00AF699A">
              <w:rPr>
                <w:rFonts w:cs="Arial"/>
                <w:sz w:val="18"/>
                <w:szCs w:val="18"/>
              </w:rPr>
              <w:t>Industry grouping</w:t>
            </w:r>
          </w:p>
        </w:tc>
        <w:tc>
          <w:tcPr>
            <w:tcW w:w="450" w:type="pct"/>
            <w:tcBorders>
              <w:top w:val="single" w:sz="6" w:space="0" w:color="auto"/>
              <w:bottom w:val="single" w:sz="6" w:space="0" w:color="auto"/>
            </w:tcBorders>
          </w:tcPr>
          <w:p w:rsidR="009D43B4" w:rsidRPr="00AF699A" w:rsidRDefault="009D43B4" w:rsidP="003A33FA">
            <w:pPr>
              <w:pStyle w:val="TableColumnHeading"/>
              <w:ind w:right="28"/>
              <w:rPr>
                <w:rFonts w:cs="Arial"/>
                <w:sz w:val="18"/>
                <w:szCs w:val="18"/>
              </w:rPr>
            </w:pPr>
            <w:r w:rsidRPr="00AF699A">
              <w:rPr>
                <w:rFonts w:cs="Arial"/>
                <w:sz w:val="18"/>
                <w:szCs w:val="18"/>
              </w:rPr>
              <w:t>2006-07</w:t>
            </w:r>
          </w:p>
        </w:tc>
        <w:tc>
          <w:tcPr>
            <w:tcW w:w="450" w:type="pct"/>
            <w:tcBorders>
              <w:top w:val="single" w:sz="6" w:space="0" w:color="auto"/>
              <w:bottom w:val="single" w:sz="6" w:space="0" w:color="auto"/>
            </w:tcBorders>
          </w:tcPr>
          <w:p w:rsidR="009D43B4" w:rsidRPr="00AF699A" w:rsidRDefault="009D43B4" w:rsidP="003A33FA">
            <w:pPr>
              <w:pStyle w:val="TableColumnHeading"/>
              <w:ind w:right="28"/>
              <w:rPr>
                <w:rFonts w:cs="Arial"/>
                <w:sz w:val="18"/>
                <w:szCs w:val="18"/>
              </w:rPr>
            </w:pPr>
            <w:r w:rsidRPr="00AF699A">
              <w:rPr>
                <w:rFonts w:cs="Arial"/>
                <w:sz w:val="18"/>
                <w:szCs w:val="18"/>
              </w:rPr>
              <w:t>2007-08</w:t>
            </w:r>
          </w:p>
        </w:tc>
        <w:tc>
          <w:tcPr>
            <w:tcW w:w="450" w:type="pct"/>
            <w:tcBorders>
              <w:top w:val="single" w:sz="6" w:space="0" w:color="auto"/>
              <w:bottom w:val="single" w:sz="6" w:space="0" w:color="auto"/>
            </w:tcBorders>
          </w:tcPr>
          <w:p w:rsidR="009D43B4" w:rsidRPr="00AF699A" w:rsidRDefault="009D43B4" w:rsidP="003A33FA">
            <w:pPr>
              <w:pStyle w:val="TableColumnHeading"/>
              <w:ind w:right="28"/>
              <w:rPr>
                <w:rFonts w:cs="Arial"/>
                <w:sz w:val="18"/>
                <w:szCs w:val="18"/>
              </w:rPr>
            </w:pPr>
            <w:r w:rsidRPr="00AF699A">
              <w:rPr>
                <w:rFonts w:cs="Arial"/>
                <w:sz w:val="18"/>
                <w:szCs w:val="18"/>
              </w:rPr>
              <w:t>2008-09</w:t>
            </w:r>
          </w:p>
        </w:tc>
        <w:tc>
          <w:tcPr>
            <w:tcW w:w="450" w:type="pct"/>
            <w:tcBorders>
              <w:top w:val="single" w:sz="6" w:space="0" w:color="auto"/>
              <w:bottom w:val="single" w:sz="6" w:space="0" w:color="auto"/>
            </w:tcBorders>
          </w:tcPr>
          <w:p w:rsidR="009D43B4" w:rsidRPr="00AF699A" w:rsidRDefault="009D43B4" w:rsidP="003A33FA">
            <w:pPr>
              <w:pStyle w:val="TableColumnHeading"/>
              <w:ind w:right="28"/>
              <w:rPr>
                <w:rFonts w:cs="Arial"/>
                <w:sz w:val="18"/>
                <w:szCs w:val="18"/>
              </w:rPr>
            </w:pPr>
            <w:r w:rsidRPr="00AF699A">
              <w:rPr>
                <w:rFonts w:cs="Arial"/>
                <w:sz w:val="18"/>
                <w:szCs w:val="18"/>
              </w:rPr>
              <w:t>2009-10</w:t>
            </w:r>
          </w:p>
        </w:tc>
        <w:tc>
          <w:tcPr>
            <w:tcW w:w="450" w:type="pct"/>
            <w:tcBorders>
              <w:top w:val="single" w:sz="6" w:space="0" w:color="auto"/>
              <w:bottom w:val="single" w:sz="6" w:space="0" w:color="auto"/>
            </w:tcBorders>
            <w:shd w:val="clear" w:color="auto" w:fill="auto"/>
          </w:tcPr>
          <w:p w:rsidR="009D43B4" w:rsidRPr="00AF699A" w:rsidRDefault="009D43B4" w:rsidP="003A33FA">
            <w:pPr>
              <w:pStyle w:val="TableColumnHeading"/>
              <w:ind w:right="28"/>
              <w:rPr>
                <w:rFonts w:cs="Arial"/>
                <w:sz w:val="18"/>
                <w:szCs w:val="18"/>
              </w:rPr>
            </w:pPr>
            <w:r w:rsidRPr="00AF699A">
              <w:rPr>
                <w:rFonts w:cs="Arial"/>
                <w:sz w:val="18"/>
                <w:szCs w:val="18"/>
              </w:rPr>
              <w:t>2010-11</w:t>
            </w:r>
          </w:p>
        </w:tc>
        <w:tc>
          <w:tcPr>
            <w:tcW w:w="450" w:type="pct"/>
            <w:tcBorders>
              <w:top w:val="single" w:sz="6" w:space="0" w:color="auto"/>
              <w:bottom w:val="single" w:sz="6" w:space="0" w:color="auto"/>
            </w:tcBorders>
            <w:shd w:val="clear" w:color="auto" w:fill="auto"/>
          </w:tcPr>
          <w:p w:rsidR="009D43B4" w:rsidRPr="00AF699A" w:rsidRDefault="009D43B4" w:rsidP="003A33FA">
            <w:pPr>
              <w:pStyle w:val="TableColumnHeading"/>
              <w:ind w:right="28"/>
              <w:rPr>
                <w:rFonts w:cs="Arial"/>
                <w:sz w:val="18"/>
                <w:szCs w:val="18"/>
              </w:rPr>
            </w:pPr>
            <w:r w:rsidRPr="00AF699A">
              <w:rPr>
                <w:rFonts w:cs="Arial"/>
                <w:sz w:val="18"/>
                <w:szCs w:val="18"/>
              </w:rPr>
              <w:t>2011-12</w:t>
            </w:r>
          </w:p>
        </w:tc>
      </w:tr>
      <w:tr w:rsidR="009D43B4" w:rsidRPr="00AF699A" w:rsidTr="006C3E9D">
        <w:tc>
          <w:tcPr>
            <w:tcW w:w="2097" w:type="pct"/>
            <w:tcBorders>
              <w:top w:val="single" w:sz="6" w:space="0" w:color="auto"/>
            </w:tcBorders>
            <w:vAlign w:val="bottom"/>
          </w:tcPr>
          <w:p w:rsidR="009D43B4" w:rsidRPr="009D43B4" w:rsidRDefault="009D43B4" w:rsidP="00DC018F">
            <w:pPr>
              <w:pStyle w:val="TableBodyText"/>
              <w:jc w:val="left"/>
              <w:rPr>
                <w:b/>
                <w:sz w:val="18"/>
                <w:szCs w:val="18"/>
              </w:rPr>
            </w:pPr>
            <w:r w:rsidRPr="009D43B4">
              <w:rPr>
                <w:b/>
                <w:sz w:val="18"/>
                <w:szCs w:val="18"/>
              </w:rPr>
              <w:t>Primary production</w:t>
            </w:r>
          </w:p>
        </w:tc>
        <w:tc>
          <w:tcPr>
            <w:tcW w:w="450" w:type="pct"/>
            <w:tcBorders>
              <w:top w:val="single" w:sz="6" w:space="0" w:color="auto"/>
            </w:tcBorders>
            <w:vAlign w:val="bottom"/>
          </w:tcPr>
          <w:p w:rsidR="009D43B4" w:rsidRPr="009D43B4" w:rsidRDefault="009D43B4" w:rsidP="009D43B4">
            <w:pPr>
              <w:pStyle w:val="TableBodyText"/>
              <w:rPr>
                <w:b/>
                <w:sz w:val="18"/>
                <w:szCs w:val="18"/>
              </w:rPr>
            </w:pPr>
            <w:r w:rsidRPr="009D43B4">
              <w:rPr>
                <w:b/>
                <w:sz w:val="18"/>
                <w:szCs w:val="18"/>
              </w:rPr>
              <w:t>48.0</w:t>
            </w:r>
          </w:p>
        </w:tc>
        <w:tc>
          <w:tcPr>
            <w:tcW w:w="450" w:type="pct"/>
            <w:tcBorders>
              <w:top w:val="single" w:sz="6" w:space="0" w:color="auto"/>
            </w:tcBorders>
            <w:vAlign w:val="bottom"/>
          </w:tcPr>
          <w:p w:rsidR="009D43B4" w:rsidRPr="009D43B4" w:rsidRDefault="009D43B4" w:rsidP="009D43B4">
            <w:pPr>
              <w:pStyle w:val="TableBodyText"/>
              <w:rPr>
                <w:b/>
                <w:sz w:val="18"/>
                <w:szCs w:val="18"/>
              </w:rPr>
            </w:pPr>
            <w:r w:rsidRPr="009D43B4">
              <w:rPr>
                <w:b/>
                <w:sz w:val="18"/>
                <w:szCs w:val="18"/>
              </w:rPr>
              <w:t>96.4</w:t>
            </w:r>
          </w:p>
        </w:tc>
        <w:tc>
          <w:tcPr>
            <w:tcW w:w="450" w:type="pct"/>
            <w:tcBorders>
              <w:top w:val="single" w:sz="6" w:space="0" w:color="auto"/>
            </w:tcBorders>
            <w:vAlign w:val="bottom"/>
          </w:tcPr>
          <w:p w:rsidR="009D43B4" w:rsidRPr="009D43B4" w:rsidRDefault="009D43B4" w:rsidP="009D43B4">
            <w:pPr>
              <w:pStyle w:val="TableBodyText"/>
              <w:rPr>
                <w:b/>
                <w:sz w:val="18"/>
                <w:szCs w:val="18"/>
              </w:rPr>
            </w:pPr>
            <w:r w:rsidRPr="009D43B4">
              <w:rPr>
                <w:b/>
                <w:sz w:val="18"/>
                <w:szCs w:val="18"/>
              </w:rPr>
              <w:t>118.6</w:t>
            </w:r>
          </w:p>
        </w:tc>
        <w:tc>
          <w:tcPr>
            <w:tcW w:w="450" w:type="pct"/>
            <w:tcBorders>
              <w:top w:val="single" w:sz="6" w:space="0" w:color="auto"/>
            </w:tcBorders>
            <w:vAlign w:val="bottom"/>
          </w:tcPr>
          <w:p w:rsidR="009D43B4" w:rsidRPr="009D43B4" w:rsidRDefault="009D43B4" w:rsidP="009D43B4">
            <w:pPr>
              <w:pStyle w:val="TableBodyText"/>
              <w:rPr>
                <w:b/>
                <w:sz w:val="18"/>
                <w:szCs w:val="18"/>
              </w:rPr>
            </w:pPr>
            <w:r w:rsidRPr="009D43B4">
              <w:rPr>
                <w:b/>
                <w:sz w:val="18"/>
                <w:szCs w:val="18"/>
              </w:rPr>
              <w:t>74.2</w:t>
            </w:r>
          </w:p>
        </w:tc>
        <w:tc>
          <w:tcPr>
            <w:tcW w:w="450" w:type="pct"/>
            <w:tcBorders>
              <w:top w:val="single" w:sz="6" w:space="0" w:color="auto"/>
            </w:tcBorders>
            <w:vAlign w:val="bottom"/>
          </w:tcPr>
          <w:p w:rsidR="009D43B4" w:rsidRPr="009D43B4" w:rsidRDefault="009D43B4" w:rsidP="009D43B4">
            <w:pPr>
              <w:pStyle w:val="TableBodyText"/>
              <w:rPr>
                <w:b/>
                <w:sz w:val="18"/>
                <w:szCs w:val="18"/>
              </w:rPr>
            </w:pPr>
            <w:r w:rsidRPr="009D43B4">
              <w:rPr>
                <w:b/>
                <w:sz w:val="18"/>
                <w:szCs w:val="18"/>
              </w:rPr>
              <w:t>66.8</w:t>
            </w:r>
          </w:p>
        </w:tc>
        <w:tc>
          <w:tcPr>
            <w:tcW w:w="450" w:type="pct"/>
            <w:tcBorders>
              <w:top w:val="single" w:sz="6" w:space="0" w:color="auto"/>
            </w:tcBorders>
            <w:vAlign w:val="bottom"/>
          </w:tcPr>
          <w:p w:rsidR="009D43B4" w:rsidRPr="009D43B4" w:rsidRDefault="009D43B4" w:rsidP="009D43B4">
            <w:pPr>
              <w:pStyle w:val="TableBodyText"/>
              <w:rPr>
                <w:b/>
                <w:sz w:val="18"/>
                <w:szCs w:val="18"/>
              </w:rPr>
            </w:pPr>
            <w:r w:rsidRPr="009D43B4">
              <w:rPr>
                <w:b/>
                <w:sz w:val="18"/>
                <w:szCs w:val="18"/>
              </w:rPr>
              <w:t>66.8</w:t>
            </w:r>
          </w:p>
        </w:tc>
      </w:tr>
      <w:tr w:rsidR="009D43B4" w:rsidRPr="00AF699A" w:rsidTr="006C3E9D">
        <w:tc>
          <w:tcPr>
            <w:tcW w:w="2097" w:type="pct"/>
            <w:vAlign w:val="bottom"/>
          </w:tcPr>
          <w:p w:rsidR="009D43B4" w:rsidRPr="009D43B4" w:rsidRDefault="009D43B4" w:rsidP="00BD2B3E">
            <w:pPr>
              <w:pStyle w:val="TableBodyText"/>
              <w:ind w:left="0" w:right="0"/>
              <w:jc w:val="left"/>
              <w:rPr>
                <w:sz w:val="18"/>
                <w:szCs w:val="18"/>
              </w:rPr>
            </w:pPr>
            <w:r w:rsidRPr="009D43B4">
              <w:rPr>
                <w:sz w:val="18"/>
                <w:szCs w:val="18"/>
              </w:rPr>
              <w:t>Horticulture and fruit growing</w:t>
            </w:r>
          </w:p>
        </w:tc>
        <w:tc>
          <w:tcPr>
            <w:tcW w:w="450" w:type="pct"/>
            <w:vAlign w:val="bottom"/>
          </w:tcPr>
          <w:p w:rsidR="009D43B4" w:rsidRPr="009D43B4" w:rsidRDefault="009D43B4" w:rsidP="002C67CF">
            <w:pPr>
              <w:pStyle w:val="TableBodyText"/>
              <w:rPr>
                <w:sz w:val="18"/>
                <w:szCs w:val="18"/>
              </w:rPr>
            </w:pPr>
            <w:r w:rsidRPr="009D43B4">
              <w:rPr>
                <w:sz w:val="18"/>
                <w:szCs w:val="18"/>
              </w:rPr>
              <w:t>7.3</w:t>
            </w:r>
          </w:p>
        </w:tc>
        <w:tc>
          <w:tcPr>
            <w:tcW w:w="450" w:type="pct"/>
            <w:vAlign w:val="bottom"/>
          </w:tcPr>
          <w:p w:rsidR="009D43B4" w:rsidRPr="009D43B4" w:rsidRDefault="009D43B4" w:rsidP="002C67CF">
            <w:pPr>
              <w:pStyle w:val="TableBodyText"/>
              <w:rPr>
                <w:sz w:val="18"/>
                <w:szCs w:val="18"/>
              </w:rPr>
            </w:pPr>
            <w:r w:rsidRPr="009D43B4">
              <w:rPr>
                <w:sz w:val="18"/>
                <w:szCs w:val="18"/>
              </w:rPr>
              <w:t>14.0</w:t>
            </w:r>
          </w:p>
        </w:tc>
        <w:tc>
          <w:tcPr>
            <w:tcW w:w="450" w:type="pct"/>
            <w:vAlign w:val="bottom"/>
          </w:tcPr>
          <w:p w:rsidR="009D43B4" w:rsidRPr="009D43B4" w:rsidRDefault="009D43B4" w:rsidP="002C67CF">
            <w:pPr>
              <w:pStyle w:val="TableBodyText"/>
              <w:rPr>
                <w:sz w:val="18"/>
                <w:szCs w:val="18"/>
              </w:rPr>
            </w:pPr>
            <w:r w:rsidRPr="009D43B4">
              <w:rPr>
                <w:sz w:val="18"/>
                <w:szCs w:val="18"/>
              </w:rPr>
              <w:t>9.1</w:t>
            </w:r>
          </w:p>
        </w:tc>
        <w:tc>
          <w:tcPr>
            <w:tcW w:w="450" w:type="pct"/>
            <w:vAlign w:val="bottom"/>
          </w:tcPr>
          <w:p w:rsidR="009D43B4" w:rsidRPr="009D43B4" w:rsidRDefault="009D43B4" w:rsidP="002C67CF">
            <w:pPr>
              <w:pStyle w:val="TableBodyText"/>
              <w:rPr>
                <w:sz w:val="18"/>
                <w:szCs w:val="18"/>
              </w:rPr>
            </w:pPr>
            <w:r w:rsidRPr="009D43B4">
              <w:rPr>
                <w:sz w:val="18"/>
                <w:szCs w:val="18"/>
              </w:rPr>
              <w:t>7.3</w:t>
            </w:r>
          </w:p>
        </w:tc>
        <w:tc>
          <w:tcPr>
            <w:tcW w:w="450" w:type="pct"/>
            <w:vAlign w:val="bottom"/>
          </w:tcPr>
          <w:p w:rsidR="009D43B4" w:rsidRPr="009D43B4" w:rsidRDefault="009D43B4" w:rsidP="002C67CF">
            <w:pPr>
              <w:pStyle w:val="TableBodyText"/>
              <w:rPr>
                <w:sz w:val="18"/>
                <w:szCs w:val="18"/>
              </w:rPr>
            </w:pPr>
            <w:r w:rsidRPr="009D43B4">
              <w:rPr>
                <w:sz w:val="18"/>
                <w:szCs w:val="18"/>
              </w:rPr>
              <w:t>6.6</w:t>
            </w:r>
          </w:p>
        </w:tc>
        <w:tc>
          <w:tcPr>
            <w:tcW w:w="450" w:type="pct"/>
            <w:vAlign w:val="bottom"/>
          </w:tcPr>
          <w:p w:rsidR="009D43B4" w:rsidRPr="009D43B4" w:rsidRDefault="009D43B4" w:rsidP="002C67CF">
            <w:pPr>
              <w:pStyle w:val="TableBodyText"/>
              <w:rPr>
                <w:sz w:val="18"/>
                <w:szCs w:val="18"/>
              </w:rPr>
            </w:pPr>
            <w:r w:rsidRPr="009D43B4">
              <w:rPr>
                <w:sz w:val="18"/>
                <w:szCs w:val="18"/>
              </w:rPr>
              <w:t>6.6</w:t>
            </w:r>
          </w:p>
        </w:tc>
      </w:tr>
      <w:tr w:rsidR="009D43B4" w:rsidRPr="00AF699A" w:rsidTr="006C3E9D">
        <w:tc>
          <w:tcPr>
            <w:tcW w:w="2097" w:type="pct"/>
            <w:vAlign w:val="bottom"/>
          </w:tcPr>
          <w:p w:rsidR="009D43B4" w:rsidRPr="009D43B4" w:rsidRDefault="009D43B4" w:rsidP="00BD2B3E">
            <w:pPr>
              <w:pStyle w:val="TableBodyText"/>
              <w:ind w:left="0" w:right="0"/>
              <w:jc w:val="left"/>
              <w:rPr>
                <w:sz w:val="18"/>
                <w:szCs w:val="18"/>
              </w:rPr>
            </w:pPr>
            <w:r w:rsidRPr="009D43B4">
              <w:rPr>
                <w:sz w:val="18"/>
                <w:szCs w:val="18"/>
              </w:rPr>
              <w:t>Sheep, beef cattle and grain farming</w:t>
            </w:r>
          </w:p>
        </w:tc>
        <w:tc>
          <w:tcPr>
            <w:tcW w:w="450" w:type="pct"/>
            <w:vAlign w:val="bottom"/>
          </w:tcPr>
          <w:p w:rsidR="009D43B4" w:rsidRPr="009D43B4" w:rsidRDefault="009D43B4" w:rsidP="00DC018F">
            <w:pPr>
              <w:pStyle w:val="TableBodyText"/>
              <w:rPr>
                <w:sz w:val="18"/>
                <w:szCs w:val="18"/>
              </w:rPr>
            </w:pPr>
            <w:r w:rsidRPr="009D43B4">
              <w:rPr>
                <w:sz w:val="18"/>
                <w:szCs w:val="18"/>
              </w:rPr>
              <w:t>26.3</w:t>
            </w:r>
          </w:p>
        </w:tc>
        <w:tc>
          <w:tcPr>
            <w:tcW w:w="450" w:type="pct"/>
            <w:vAlign w:val="bottom"/>
          </w:tcPr>
          <w:p w:rsidR="009D43B4" w:rsidRPr="009D43B4" w:rsidRDefault="009D43B4" w:rsidP="00DC018F">
            <w:pPr>
              <w:pStyle w:val="TableBodyText"/>
              <w:rPr>
                <w:sz w:val="18"/>
                <w:szCs w:val="18"/>
              </w:rPr>
            </w:pPr>
            <w:r w:rsidRPr="009D43B4">
              <w:rPr>
                <w:sz w:val="18"/>
                <w:szCs w:val="18"/>
              </w:rPr>
              <w:t>52.4</w:t>
            </w:r>
          </w:p>
        </w:tc>
        <w:tc>
          <w:tcPr>
            <w:tcW w:w="450" w:type="pct"/>
            <w:vAlign w:val="bottom"/>
          </w:tcPr>
          <w:p w:rsidR="009D43B4" w:rsidRPr="009D43B4" w:rsidRDefault="009D43B4" w:rsidP="00DC018F">
            <w:pPr>
              <w:pStyle w:val="TableBodyText"/>
              <w:rPr>
                <w:sz w:val="18"/>
                <w:szCs w:val="18"/>
              </w:rPr>
            </w:pPr>
            <w:r w:rsidRPr="009D43B4">
              <w:rPr>
                <w:sz w:val="18"/>
                <w:szCs w:val="18"/>
              </w:rPr>
              <w:t>79.6</w:t>
            </w:r>
          </w:p>
        </w:tc>
        <w:tc>
          <w:tcPr>
            <w:tcW w:w="450" w:type="pct"/>
            <w:vAlign w:val="bottom"/>
          </w:tcPr>
          <w:p w:rsidR="009D43B4" w:rsidRPr="009D43B4" w:rsidRDefault="009D43B4" w:rsidP="00DC018F">
            <w:pPr>
              <w:pStyle w:val="TableBodyText"/>
              <w:rPr>
                <w:sz w:val="18"/>
                <w:szCs w:val="18"/>
              </w:rPr>
            </w:pPr>
            <w:r w:rsidRPr="009D43B4">
              <w:rPr>
                <w:sz w:val="18"/>
                <w:szCs w:val="18"/>
              </w:rPr>
              <w:t>43.0</w:t>
            </w:r>
          </w:p>
        </w:tc>
        <w:tc>
          <w:tcPr>
            <w:tcW w:w="450" w:type="pct"/>
            <w:vAlign w:val="bottom"/>
          </w:tcPr>
          <w:p w:rsidR="009D43B4" w:rsidRPr="009D43B4" w:rsidRDefault="009D43B4" w:rsidP="00DC018F">
            <w:pPr>
              <w:pStyle w:val="TableBodyText"/>
              <w:rPr>
                <w:sz w:val="18"/>
                <w:szCs w:val="18"/>
              </w:rPr>
            </w:pPr>
            <w:r w:rsidRPr="009D43B4">
              <w:rPr>
                <w:sz w:val="18"/>
                <w:szCs w:val="18"/>
              </w:rPr>
              <w:t>38.7</w:t>
            </w:r>
          </w:p>
        </w:tc>
        <w:tc>
          <w:tcPr>
            <w:tcW w:w="450" w:type="pct"/>
            <w:vAlign w:val="bottom"/>
          </w:tcPr>
          <w:p w:rsidR="009D43B4" w:rsidRPr="009D43B4" w:rsidRDefault="009D43B4" w:rsidP="00DC018F">
            <w:pPr>
              <w:pStyle w:val="TableBodyText"/>
              <w:rPr>
                <w:sz w:val="18"/>
                <w:szCs w:val="18"/>
              </w:rPr>
            </w:pPr>
            <w:r w:rsidRPr="009D43B4">
              <w:rPr>
                <w:sz w:val="18"/>
                <w:szCs w:val="18"/>
              </w:rPr>
              <w:t>38.7</w:t>
            </w:r>
          </w:p>
        </w:tc>
      </w:tr>
      <w:tr w:rsidR="009D43B4" w:rsidRPr="00AF699A" w:rsidTr="006C3E9D">
        <w:tc>
          <w:tcPr>
            <w:tcW w:w="2097" w:type="pct"/>
            <w:vAlign w:val="bottom"/>
          </w:tcPr>
          <w:p w:rsidR="009D43B4" w:rsidRPr="009D43B4" w:rsidRDefault="009D43B4" w:rsidP="00BD2B3E">
            <w:pPr>
              <w:pStyle w:val="TableBodyText"/>
              <w:ind w:left="0" w:right="0"/>
              <w:jc w:val="left"/>
              <w:rPr>
                <w:sz w:val="18"/>
                <w:szCs w:val="18"/>
              </w:rPr>
            </w:pPr>
            <w:r w:rsidRPr="009D43B4">
              <w:rPr>
                <w:sz w:val="18"/>
                <w:szCs w:val="18"/>
              </w:rPr>
              <w:t>Other crop growing</w:t>
            </w:r>
          </w:p>
        </w:tc>
        <w:tc>
          <w:tcPr>
            <w:tcW w:w="450" w:type="pct"/>
            <w:vAlign w:val="bottom"/>
          </w:tcPr>
          <w:p w:rsidR="009D43B4" w:rsidRPr="009D43B4" w:rsidRDefault="009D43B4" w:rsidP="00DC018F">
            <w:pPr>
              <w:pStyle w:val="TableBodyText"/>
              <w:rPr>
                <w:sz w:val="18"/>
                <w:szCs w:val="18"/>
              </w:rPr>
            </w:pPr>
            <w:r w:rsidRPr="009D43B4">
              <w:rPr>
                <w:sz w:val="18"/>
                <w:szCs w:val="18"/>
              </w:rPr>
              <w:t>1.9</w:t>
            </w:r>
          </w:p>
        </w:tc>
        <w:tc>
          <w:tcPr>
            <w:tcW w:w="450" w:type="pct"/>
            <w:vAlign w:val="bottom"/>
          </w:tcPr>
          <w:p w:rsidR="009D43B4" w:rsidRPr="009D43B4" w:rsidRDefault="009D43B4" w:rsidP="00DC018F">
            <w:pPr>
              <w:pStyle w:val="TableBodyText"/>
              <w:rPr>
                <w:sz w:val="18"/>
                <w:szCs w:val="18"/>
              </w:rPr>
            </w:pPr>
            <w:r w:rsidRPr="009D43B4">
              <w:rPr>
                <w:sz w:val="18"/>
                <w:szCs w:val="18"/>
              </w:rPr>
              <w:t>5.0</w:t>
            </w:r>
          </w:p>
        </w:tc>
        <w:tc>
          <w:tcPr>
            <w:tcW w:w="450" w:type="pct"/>
            <w:vAlign w:val="bottom"/>
          </w:tcPr>
          <w:p w:rsidR="009D43B4" w:rsidRPr="009D43B4" w:rsidRDefault="009D43B4" w:rsidP="00DC018F">
            <w:pPr>
              <w:pStyle w:val="TableBodyText"/>
              <w:rPr>
                <w:sz w:val="18"/>
                <w:szCs w:val="18"/>
              </w:rPr>
            </w:pPr>
            <w:r w:rsidRPr="009D43B4">
              <w:rPr>
                <w:sz w:val="18"/>
                <w:szCs w:val="18"/>
              </w:rPr>
              <w:t>6.0</w:t>
            </w:r>
          </w:p>
        </w:tc>
        <w:tc>
          <w:tcPr>
            <w:tcW w:w="450" w:type="pct"/>
            <w:vAlign w:val="bottom"/>
          </w:tcPr>
          <w:p w:rsidR="009D43B4" w:rsidRPr="009D43B4" w:rsidRDefault="009D43B4" w:rsidP="00DC018F">
            <w:pPr>
              <w:pStyle w:val="TableBodyText"/>
              <w:rPr>
                <w:sz w:val="18"/>
                <w:szCs w:val="18"/>
              </w:rPr>
            </w:pPr>
            <w:r w:rsidRPr="009D43B4">
              <w:rPr>
                <w:sz w:val="18"/>
                <w:szCs w:val="18"/>
              </w:rPr>
              <w:t>5.2</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4.7</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4.7</w:t>
            </w:r>
          </w:p>
        </w:tc>
      </w:tr>
      <w:tr w:rsidR="009D43B4" w:rsidRPr="00AF699A" w:rsidTr="006C3E9D">
        <w:tc>
          <w:tcPr>
            <w:tcW w:w="2097" w:type="pct"/>
            <w:vAlign w:val="bottom"/>
          </w:tcPr>
          <w:p w:rsidR="009D43B4" w:rsidRPr="009D43B4" w:rsidRDefault="009D43B4" w:rsidP="00BD2B3E">
            <w:pPr>
              <w:pStyle w:val="TableBodyText"/>
              <w:ind w:left="0" w:right="0"/>
              <w:jc w:val="left"/>
              <w:rPr>
                <w:sz w:val="18"/>
                <w:szCs w:val="18"/>
              </w:rPr>
            </w:pPr>
            <w:r w:rsidRPr="009D43B4">
              <w:rPr>
                <w:sz w:val="18"/>
                <w:szCs w:val="18"/>
              </w:rPr>
              <w:t>Dairy cattle farming</w:t>
            </w:r>
          </w:p>
        </w:tc>
        <w:tc>
          <w:tcPr>
            <w:tcW w:w="450" w:type="pct"/>
            <w:vAlign w:val="bottom"/>
          </w:tcPr>
          <w:p w:rsidR="009D43B4" w:rsidRPr="009D43B4" w:rsidRDefault="009D43B4" w:rsidP="00DC018F">
            <w:pPr>
              <w:pStyle w:val="TableBodyText"/>
              <w:rPr>
                <w:sz w:val="18"/>
                <w:szCs w:val="18"/>
              </w:rPr>
            </w:pPr>
            <w:r w:rsidRPr="009D43B4">
              <w:rPr>
                <w:sz w:val="18"/>
                <w:szCs w:val="18"/>
              </w:rPr>
              <w:t>2.4</w:t>
            </w:r>
          </w:p>
        </w:tc>
        <w:tc>
          <w:tcPr>
            <w:tcW w:w="450" w:type="pct"/>
            <w:vAlign w:val="bottom"/>
          </w:tcPr>
          <w:p w:rsidR="009D43B4" w:rsidRPr="009D43B4" w:rsidRDefault="009D43B4" w:rsidP="00DC018F">
            <w:pPr>
              <w:pStyle w:val="TableBodyText"/>
              <w:rPr>
                <w:sz w:val="18"/>
                <w:szCs w:val="18"/>
              </w:rPr>
            </w:pPr>
            <w:r w:rsidRPr="009D43B4">
              <w:rPr>
                <w:sz w:val="18"/>
                <w:szCs w:val="18"/>
              </w:rPr>
              <w:t>6.0</w:t>
            </w:r>
          </w:p>
        </w:tc>
        <w:tc>
          <w:tcPr>
            <w:tcW w:w="450" w:type="pct"/>
            <w:vAlign w:val="bottom"/>
          </w:tcPr>
          <w:p w:rsidR="009D43B4" w:rsidRPr="009D43B4" w:rsidRDefault="009D43B4" w:rsidP="00DC018F">
            <w:pPr>
              <w:pStyle w:val="TableBodyText"/>
              <w:rPr>
                <w:sz w:val="18"/>
                <w:szCs w:val="18"/>
              </w:rPr>
            </w:pPr>
            <w:r w:rsidRPr="009D43B4">
              <w:rPr>
                <w:sz w:val="18"/>
                <w:szCs w:val="18"/>
              </w:rPr>
              <w:t>5.6</w:t>
            </w:r>
          </w:p>
        </w:tc>
        <w:tc>
          <w:tcPr>
            <w:tcW w:w="450" w:type="pct"/>
            <w:vAlign w:val="bottom"/>
          </w:tcPr>
          <w:p w:rsidR="009D43B4" w:rsidRPr="009D43B4" w:rsidRDefault="009D43B4" w:rsidP="00DC018F">
            <w:pPr>
              <w:pStyle w:val="TableBodyText"/>
              <w:rPr>
                <w:sz w:val="18"/>
                <w:szCs w:val="18"/>
              </w:rPr>
            </w:pPr>
            <w:r w:rsidRPr="009D43B4">
              <w:rPr>
                <w:sz w:val="18"/>
                <w:szCs w:val="18"/>
              </w:rPr>
              <w:t>4.8</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4.4</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4.4</w:t>
            </w:r>
          </w:p>
        </w:tc>
      </w:tr>
      <w:tr w:rsidR="009D43B4" w:rsidRPr="00AF699A" w:rsidTr="006C3E9D">
        <w:tc>
          <w:tcPr>
            <w:tcW w:w="2097" w:type="pct"/>
            <w:vAlign w:val="bottom"/>
          </w:tcPr>
          <w:p w:rsidR="009D43B4" w:rsidRPr="009D43B4" w:rsidRDefault="009D43B4" w:rsidP="00BD2B3E">
            <w:pPr>
              <w:pStyle w:val="TableBodyText"/>
              <w:ind w:left="0" w:right="0"/>
              <w:jc w:val="left"/>
              <w:rPr>
                <w:sz w:val="18"/>
                <w:szCs w:val="18"/>
              </w:rPr>
            </w:pPr>
            <w:r w:rsidRPr="009D43B4">
              <w:rPr>
                <w:sz w:val="18"/>
                <w:szCs w:val="18"/>
              </w:rPr>
              <w:t>Other livestock farming</w:t>
            </w:r>
          </w:p>
        </w:tc>
        <w:tc>
          <w:tcPr>
            <w:tcW w:w="450" w:type="pct"/>
            <w:vAlign w:val="bottom"/>
          </w:tcPr>
          <w:p w:rsidR="009D43B4" w:rsidRPr="009D43B4" w:rsidRDefault="009D43B4" w:rsidP="00DC018F">
            <w:pPr>
              <w:pStyle w:val="TableBodyText"/>
              <w:rPr>
                <w:sz w:val="18"/>
                <w:szCs w:val="18"/>
              </w:rPr>
            </w:pPr>
            <w:r w:rsidRPr="009D43B4">
              <w:rPr>
                <w:sz w:val="18"/>
                <w:szCs w:val="18"/>
              </w:rPr>
              <w:t>1.2</w:t>
            </w:r>
          </w:p>
        </w:tc>
        <w:tc>
          <w:tcPr>
            <w:tcW w:w="450" w:type="pct"/>
            <w:vAlign w:val="bottom"/>
          </w:tcPr>
          <w:p w:rsidR="009D43B4" w:rsidRPr="009D43B4" w:rsidRDefault="009D43B4" w:rsidP="00DC018F">
            <w:pPr>
              <w:pStyle w:val="TableBodyText"/>
              <w:rPr>
                <w:sz w:val="18"/>
                <w:szCs w:val="18"/>
              </w:rPr>
            </w:pPr>
            <w:r w:rsidRPr="009D43B4">
              <w:rPr>
                <w:sz w:val="18"/>
                <w:szCs w:val="18"/>
              </w:rPr>
              <w:t>2.3</w:t>
            </w:r>
          </w:p>
        </w:tc>
        <w:tc>
          <w:tcPr>
            <w:tcW w:w="450" w:type="pct"/>
            <w:vAlign w:val="bottom"/>
          </w:tcPr>
          <w:p w:rsidR="009D43B4" w:rsidRPr="009D43B4" w:rsidRDefault="009D43B4" w:rsidP="00DC018F">
            <w:pPr>
              <w:pStyle w:val="TableBodyText"/>
              <w:rPr>
                <w:sz w:val="18"/>
                <w:szCs w:val="18"/>
              </w:rPr>
            </w:pPr>
            <w:r w:rsidRPr="009D43B4">
              <w:rPr>
                <w:sz w:val="18"/>
                <w:szCs w:val="18"/>
              </w:rPr>
              <w:t>4.9</w:t>
            </w:r>
          </w:p>
        </w:tc>
        <w:tc>
          <w:tcPr>
            <w:tcW w:w="450" w:type="pct"/>
            <w:vAlign w:val="bottom"/>
          </w:tcPr>
          <w:p w:rsidR="009D43B4" w:rsidRPr="009D43B4" w:rsidRDefault="009D43B4" w:rsidP="00DC018F">
            <w:pPr>
              <w:pStyle w:val="TableBodyText"/>
              <w:rPr>
                <w:sz w:val="18"/>
                <w:szCs w:val="18"/>
              </w:rPr>
            </w:pPr>
            <w:r w:rsidRPr="009D43B4">
              <w:rPr>
                <w:sz w:val="18"/>
                <w:szCs w:val="18"/>
              </w:rPr>
              <w:t>2.2</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2.0</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2.0</w:t>
            </w:r>
          </w:p>
        </w:tc>
      </w:tr>
      <w:tr w:rsidR="009D43B4" w:rsidRPr="00AF699A" w:rsidTr="006C3E9D">
        <w:tc>
          <w:tcPr>
            <w:tcW w:w="2097" w:type="pct"/>
            <w:vAlign w:val="bottom"/>
          </w:tcPr>
          <w:p w:rsidR="009D43B4" w:rsidRPr="009D43B4" w:rsidRDefault="009D43B4" w:rsidP="00BD2B3E">
            <w:pPr>
              <w:pStyle w:val="TableBodyText"/>
              <w:ind w:left="0" w:right="0"/>
              <w:jc w:val="left"/>
              <w:rPr>
                <w:sz w:val="18"/>
                <w:szCs w:val="18"/>
              </w:rPr>
            </w:pPr>
            <w:r w:rsidRPr="009D43B4">
              <w:rPr>
                <w:sz w:val="18"/>
                <w:szCs w:val="18"/>
              </w:rPr>
              <w:t>Aquaculture and fishing</w:t>
            </w:r>
          </w:p>
        </w:tc>
        <w:tc>
          <w:tcPr>
            <w:tcW w:w="450" w:type="pct"/>
            <w:vAlign w:val="bottom"/>
          </w:tcPr>
          <w:p w:rsidR="009D43B4" w:rsidRPr="009D43B4" w:rsidRDefault="009D43B4" w:rsidP="00DC018F">
            <w:pPr>
              <w:pStyle w:val="TableBodyText"/>
              <w:rPr>
                <w:sz w:val="18"/>
                <w:szCs w:val="18"/>
              </w:rPr>
            </w:pPr>
            <w:r w:rsidRPr="009D43B4">
              <w:rPr>
                <w:sz w:val="18"/>
                <w:szCs w:val="18"/>
              </w:rPr>
              <w:t>2.7</w:t>
            </w:r>
          </w:p>
        </w:tc>
        <w:tc>
          <w:tcPr>
            <w:tcW w:w="450" w:type="pct"/>
            <w:vAlign w:val="bottom"/>
          </w:tcPr>
          <w:p w:rsidR="009D43B4" w:rsidRPr="009D43B4" w:rsidRDefault="009D43B4" w:rsidP="00DC018F">
            <w:pPr>
              <w:pStyle w:val="TableBodyText"/>
              <w:rPr>
                <w:sz w:val="18"/>
                <w:szCs w:val="18"/>
              </w:rPr>
            </w:pPr>
            <w:r w:rsidRPr="009D43B4">
              <w:rPr>
                <w:sz w:val="18"/>
                <w:szCs w:val="18"/>
              </w:rPr>
              <w:t>0.4</w:t>
            </w:r>
          </w:p>
        </w:tc>
        <w:tc>
          <w:tcPr>
            <w:tcW w:w="450" w:type="pct"/>
            <w:vAlign w:val="bottom"/>
          </w:tcPr>
          <w:p w:rsidR="009D43B4" w:rsidRPr="009D43B4" w:rsidRDefault="009D43B4" w:rsidP="00DC018F">
            <w:pPr>
              <w:pStyle w:val="TableBodyText"/>
              <w:rPr>
                <w:sz w:val="18"/>
                <w:szCs w:val="18"/>
              </w:rPr>
            </w:pPr>
            <w:r w:rsidRPr="009D43B4">
              <w:rPr>
                <w:sz w:val="18"/>
                <w:szCs w:val="18"/>
              </w:rPr>
              <w:t>0.1</w:t>
            </w:r>
          </w:p>
        </w:tc>
        <w:tc>
          <w:tcPr>
            <w:tcW w:w="450" w:type="pct"/>
            <w:vAlign w:val="bottom"/>
          </w:tcPr>
          <w:p w:rsidR="009D43B4" w:rsidRPr="009D43B4" w:rsidRDefault="009D43B4" w:rsidP="00DC018F">
            <w:pPr>
              <w:pStyle w:val="TableBodyText"/>
              <w:rPr>
                <w:sz w:val="18"/>
                <w:szCs w:val="18"/>
              </w:rPr>
            </w:pPr>
            <w:r w:rsidRPr="009D43B4">
              <w:rPr>
                <w:sz w:val="18"/>
                <w:szCs w:val="18"/>
              </w:rPr>
              <w:t>1.8</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1.6</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1.6</w:t>
            </w:r>
          </w:p>
        </w:tc>
      </w:tr>
      <w:tr w:rsidR="009D43B4" w:rsidRPr="00AF699A" w:rsidTr="006C3E9D">
        <w:tc>
          <w:tcPr>
            <w:tcW w:w="2097" w:type="pct"/>
            <w:vAlign w:val="bottom"/>
          </w:tcPr>
          <w:p w:rsidR="009D43B4" w:rsidRPr="009D43B4" w:rsidRDefault="009D43B4" w:rsidP="00BD2B3E">
            <w:pPr>
              <w:pStyle w:val="TableBodyText"/>
              <w:ind w:left="0" w:right="0"/>
              <w:jc w:val="left"/>
              <w:rPr>
                <w:sz w:val="18"/>
                <w:szCs w:val="18"/>
              </w:rPr>
            </w:pPr>
            <w:r w:rsidRPr="009D43B4">
              <w:rPr>
                <w:sz w:val="18"/>
                <w:szCs w:val="18"/>
              </w:rPr>
              <w:t>Forestry and logging</w:t>
            </w:r>
          </w:p>
        </w:tc>
        <w:tc>
          <w:tcPr>
            <w:tcW w:w="450" w:type="pct"/>
            <w:vAlign w:val="bottom"/>
          </w:tcPr>
          <w:p w:rsidR="009D43B4" w:rsidRPr="009D43B4" w:rsidRDefault="009D43B4" w:rsidP="00DC018F">
            <w:pPr>
              <w:pStyle w:val="TableBodyText"/>
              <w:rPr>
                <w:sz w:val="18"/>
                <w:szCs w:val="18"/>
              </w:rPr>
            </w:pPr>
            <w:r w:rsidRPr="009D43B4">
              <w:rPr>
                <w:sz w:val="18"/>
                <w:szCs w:val="18"/>
              </w:rPr>
              <w:t>4.3</w:t>
            </w:r>
          </w:p>
        </w:tc>
        <w:tc>
          <w:tcPr>
            <w:tcW w:w="450" w:type="pct"/>
            <w:vAlign w:val="bottom"/>
          </w:tcPr>
          <w:p w:rsidR="009D43B4" w:rsidRPr="009D43B4" w:rsidRDefault="009D43B4" w:rsidP="00DC018F">
            <w:pPr>
              <w:pStyle w:val="TableBodyText"/>
              <w:rPr>
                <w:sz w:val="18"/>
                <w:szCs w:val="18"/>
              </w:rPr>
            </w:pPr>
            <w:r w:rsidRPr="009D43B4">
              <w:rPr>
                <w:sz w:val="18"/>
                <w:szCs w:val="18"/>
              </w:rPr>
              <w:t>10.8</w:t>
            </w:r>
          </w:p>
        </w:tc>
        <w:tc>
          <w:tcPr>
            <w:tcW w:w="450" w:type="pct"/>
            <w:vAlign w:val="bottom"/>
          </w:tcPr>
          <w:p w:rsidR="009D43B4" w:rsidRPr="009D43B4" w:rsidRDefault="009D43B4" w:rsidP="00DC018F">
            <w:pPr>
              <w:pStyle w:val="TableBodyText"/>
              <w:rPr>
                <w:sz w:val="18"/>
                <w:szCs w:val="18"/>
              </w:rPr>
            </w:pPr>
            <w:r w:rsidRPr="009D43B4">
              <w:rPr>
                <w:sz w:val="18"/>
                <w:szCs w:val="18"/>
              </w:rPr>
              <w:t>6.9</w:t>
            </w:r>
          </w:p>
        </w:tc>
        <w:tc>
          <w:tcPr>
            <w:tcW w:w="450" w:type="pct"/>
            <w:vAlign w:val="bottom"/>
          </w:tcPr>
          <w:p w:rsidR="009D43B4" w:rsidRPr="009D43B4" w:rsidRDefault="009D43B4" w:rsidP="00DC018F">
            <w:pPr>
              <w:pStyle w:val="TableBodyText"/>
              <w:rPr>
                <w:sz w:val="18"/>
                <w:szCs w:val="18"/>
              </w:rPr>
            </w:pPr>
            <w:r w:rsidRPr="009D43B4">
              <w:rPr>
                <w:sz w:val="18"/>
                <w:szCs w:val="18"/>
              </w:rPr>
              <w:t>6.5</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5.8</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5.8</w:t>
            </w:r>
          </w:p>
        </w:tc>
      </w:tr>
      <w:tr w:rsidR="009D43B4" w:rsidRPr="00AF699A" w:rsidTr="006C3E9D">
        <w:tc>
          <w:tcPr>
            <w:tcW w:w="2097" w:type="pct"/>
            <w:vAlign w:val="bottom"/>
          </w:tcPr>
          <w:p w:rsidR="009D43B4" w:rsidRPr="009D43B4" w:rsidRDefault="009D43B4" w:rsidP="00BD2B3E">
            <w:pPr>
              <w:pStyle w:val="TableBodyText"/>
              <w:ind w:left="0" w:right="0"/>
              <w:jc w:val="left"/>
              <w:rPr>
                <w:sz w:val="18"/>
                <w:szCs w:val="18"/>
              </w:rPr>
            </w:pPr>
            <w:r w:rsidRPr="009D43B4">
              <w:rPr>
                <w:sz w:val="18"/>
                <w:szCs w:val="18"/>
              </w:rPr>
              <w:t>Primary production support services</w:t>
            </w:r>
          </w:p>
        </w:tc>
        <w:tc>
          <w:tcPr>
            <w:tcW w:w="450" w:type="pct"/>
            <w:vAlign w:val="bottom"/>
          </w:tcPr>
          <w:p w:rsidR="009D43B4" w:rsidRPr="009D43B4" w:rsidRDefault="009D43B4" w:rsidP="00DC018F">
            <w:pPr>
              <w:pStyle w:val="TableBodyText"/>
              <w:rPr>
                <w:sz w:val="18"/>
                <w:szCs w:val="18"/>
              </w:rPr>
            </w:pPr>
            <w:r w:rsidRPr="009D43B4">
              <w:rPr>
                <w:sz w:val="18"/>
                <w:szCs w:val="18"/>
              </w:rPr>
              <w:t>1.8</w:t>
            </w:r>
          </w:p>
        </w:tc>
        <w:tc>
          <w:tcPr>
            <w:tcW w:w="450" w:type="pct"/>
            <w:vAlign w:val="bottom"/>
          </w:tcPr>
          <w:p w:rsidR="009D43B4" w:rsidRPr="009D43B4" w:rsidRDefault="009D43B4" w:rsidP="00DC018F">
            <w:pPr>
              <w:pStyle w:val="TableBodyText"/>
              <w:rPr>
                <w:sz w:val="18"/>
                <w:szCs w:val="18"/>
              </w:rPr>
            </w:pPr>
            <w:r w:rsidRPr="009D43B4">
              <w:rPr>
                <w:sz w:val="18"/>
                <w:szCs w:val="18"/>
              </w:rPr>
              <w:t>5.4</w:t>
            </w:r>
          </w:p>
        </w:tc>
        <w:tc>
          <w:tcPr>
            <w:tcW w:w="450" w:type="pct"/>
            <w:vAlign w:val="bottom"/>
          </w:tcPr>
          <w:p w:rsidR="009D43B4" w:rsidRPr="009D43B4" w:rsidRDefault="009D43B4" w:rsidP="00DC018F">
            <w:pPr>
              <w:pStyle w:val="TableBodyText"/>
              <w:rPr>
                <w:sz w:val="18"/>
                <w:szCs w:val="18"/>
              </w:rPr>
            </w:pPr>
            <w:r w:rsidRPr="009D43B4">
              <w:rPr>
                <w:sz w:val="18"/>
                <w:szCs w:val="18"/>
              </w:rPr>
              <w:t>6.2</w:t>
            </w:r>
          </w:p>
        </w:tc>
        <w:tc>
          <w:tcPr>
            <w:tcW w:w="450" w:type="pct"/>
            <w:vAlign w:val="bottom"/>
          </w:tcPr>
          <w:p w:rsidR="009D43B4" w:rsidRPr="009D43B4" w:rsidRDefault="009D43B4" w:rsidP="00DC018F">
            <w:pPr>
              <w:pStyle w:val="TableBodyText"/>
              <w:rPr>
                <w:sz w:val="18"/>
                <w:szCs w:val="18"/>
              </w:rPr>
            </w:pPr>
            <w:r w:rsidRPr="009D43B4">
              <w:rPr>
                <w:sz w:val="18"/>
                <w:szCs w:val="18"/>
              </w:rPr>
              <w:t>3.4</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3.1</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3.1</w:t>
            </w:r>
          </w:p>
        </w:tc>
      </w:tr>
      <w:tr w:rsidR="009D43B4" w:rsidRPr="00AF699A" w:rsidTr="006C3E9D">
        <w:tc>
          <w:tcPr>
            <w:tcW w:w="2097" w:type="pct"/>
            <w:vAlign w:val="bottom"/>
          </w:tcPr>
          <w:p w:rsidR="009D43B4" w:rsidRPr="009D43B4" w:rsidRDefault="009D43B4" w:rsidP="00DC018F">
            <w:pPr>
              <w:pStyle w:val="TableBodyText"/>
              <w:jc w:val="left"/>
              <w:rPr>
                <w:b/>
                <w:sz w:val="18"/>
                <w:szCs w:val="18"/>
              </w:rPr>
            </w:pPr>
            <w:r w:rsidRPr="009D43B4">
              <w:rPr>
                <w:b/>
                <w:sz w:val="18"/>
                <w:szCs w:val="18"/>
              </w:rPr>
              <w:t>Mining</w:t>
            </w:r>
          </w:p>
        </w:tc>
        <w:tc>
          <w:tcPr>
            <w:tcW w:w="450" w:type="pct"/>
            <w:vAlign w:val="bottom"/>
          </w:tcPr>
          <w:p w:rsidR="009D43B4" w:rsidRPr="009D43B4" w:rsidRDefault="009D43B4" w:rsidP="00DC018F">
            <w:pPr>
              <w:pStyle w:val="TableBodyText"/>
              <w:rPr>
                <w:b/>
                <w:sz w:val="18"/>
                <w:szCs w:val="18"/>
              </w:rPr>
            </w:pPr>
            <w:r w:rsidRPr="009D43B4">
              <w:rPr>
                <w:b/>
                <w:sz w:val="18"/>
                <w:szCs w:val="18"/>
              </w:rPr>
              <w:t>1.2</w:t>
            </w:r>
          </w:p>
        </w:tc>
        <w:tc>
          <w:tcPr>
            <w:tcW w:w="450" w:type="pct"/>
            <w:vAlign w:val="bottom"/>
          </w:tcPr>
          <w:p w:rsidR="009D43B4" w:rsidRPr="009D43B4" w:rsidRDefault="009D43B4" w:rsidP="00DC018F">
            <w:pPr>
              <w:pStyle w:val="TableBodyText"/>
              <w:rPr>
                <w:b/>
                <w:sz w:val="18"/>
                <w:szCs w:val="18"/>
              </w:rPr>
            </w:pPr>
            <w:r w:rsidRPr="009D43B4">
              <w:rPr>
                <w:b/>
                <w:sz w:val="18"/>
                <w:szCs w:val="18"/>
              </w:rPr>
              <w:t>2.1</w:t>
            </w:r>
          </w:p>
        </w:tc>
        <w:tc>
          <w:tcPr>
            <w:tcW w:w="450" w:type="pct"/>
            <w:vAlign w:val="bottom"/>
          </w:tcPr>
          <w:p w:rsidR="009D43B4" w:rsidRPr="009D43B4" w:rsidRDefault="009D43B4" w:rsidP="00DC018F">
            <w:pPr>
              <w:pStyle w:val="TableBodyText"/>
              <w:rPr>
                <w:b/>
                <w:sz w:val="18"/>
                <w:szCs w:val="18"/>
              </w:rPr>
            </w:pPr>
            <w:r w:rsidRPr="009D43B4">
              <w:rPr>
                <w:b/>
                <w:sz w:val="18"/>
                <w:szCs w:val="18"/>
              </w:rPr>
              <w:t>1.9</w:t>
            </w:r>
          </w:p>
        </w:tc>
        <w:tc>
          <w:tcPr>
            <w:tcW w:w="450" w:type="pct"/>
            <w:vAlign w:val="bottom"/>
          </w:tcPr>
          <w:p w:rsidR="009D43B4" w:rsidRPr="009D43B4" w:rsidRDefault="009D43B4" w:rsidP="00DC018F">
            <w:pPr>
              <w:pStyle w:val="TableBodyText"/>
              <w:rPr>
                <w:b/>
                <w:sz w:val="18"/>
                <w:szCs w:val="18"/>
              </w:rPr>
            </w:pPr>
            <w:r w:rsidRPr="009D43B4">
              <w:rPr>
                <w:b/>
                <w:sz w:val="18"/>
                <w:szCs w:val="18"/>
              </w:rPr>
              <w:t>2.1</w:t>
            </w:r>
          </w:p>
        </w:tc>
        <w:tc>
          <w:tcPr>
            <w:tcW w:w="450" w:type="pct"/>
            <w:shd w:val="clear" w:color="auto" w:fill="auto"/>
            <w:vAlign w:val="bottom"/>
          </w:tcPr>
          <w:p w:rsidR="009D43B4" w:rsidRPr="009D43B4" w:rsidRDefault="009D43B4" w:rsidP="00DC018F">
            <w:pPr>
              <w:pStyle w:val="TableBodyText"/>
              <w:rPr>
                <w:b/>
                <w:sz w:val="18"/>
                <w:szCs w:val="18"/>
              </w:rPr>
            </w:pPr>
            <w:r w:rsidRPr="009D43B4">
              <w:rPr>
                <w:b/>
                <w:sz w:val="18"/>
                <w:szCs w:val="18"/>
              </w:rPr>
              <w:t>1.9</w:t>
            </w:r>
          </w:p>
        </w:tc>
        <w:tc>
          <w:tcPr>
            <w:tcW w:w="450" w:type="pct"/>
            <w:shd w:val="clear" w:color="auto" w:fill="auto"/>
            <w:vAlign w:val="bottom"/>
          </w:tcPr>
          <w:p w:rsidR="009D43B4" w:rsidRPr="009D43B4" w:rsidRDefault="009D43B4" w:rsidP="00DC018F">
            <w:pPr>
              <w:pStyle w:val="TableBodyText"/>
              <w:rPr>
                <w:b/>
                <w:sz w:val="18"/>
                <w:szCs w:val="18"/>
              </w:rPr>
            </w:pPr>
            <w:r w:rsidRPr="009D43B4">
              <w:rPr>
                <w:b/>
                <w:sz w:val="18"/>
                <w:szCs w:val="18"/>
              </w:rPr>
              <w:t>1.9</w:t>
            </w:r>
          </w:p>
        </w:tc>
      </w:tr>
      <w:tr w:rsidR="009D43B4" w:rsidRPr="00AF699A" w:rsidTr="006C3E9D">
        <w:tc>
          <w:tcPr>
            <w:tcW w:w="2097" w:type="pct"/>
            <w:vAlign w:val="bottom"/>
          </w:tcPr>
          <w:p w:rsidR="009D43B4" w:rsidRPr="009D43B4" w:rsidRDefault="009D43B4" w:rsidP="00DC018F">
            <w:pPr>
              <w:pStyle w:val="TableBodyText"/>
              <w:jc w:val="left"/>
              <w:rPr>
                <w:b/>
                <w:sz w:val="18"/>
                <w:szCs w:val="18"/>
              </w:rPr>
            </w:pPr>
            <w:r w:rsidRPr="009D43B4">
              <w:rPr>
                <w:b/>
                <w:sz w:val="18"/>
                <w:szCs w:val="18"/>
              </w:rPr>
              <w:t>Manufacturing</w:t>
            </w:r>
          </w:p>
        </w:tc>
        <w:tc>
          <w:tcPr>
            <w:tcW w:w="450" w:type="pct"/>
            <w:vAlign w:val="bottom"/>
          </w:tcPr>
          <w:p w:rsidR="009D43B4" w:rsidRPr="009D43B4" w:rsidRDefault="009D43B4" w:rsidP="009D43B4">
            <w:pPr>
              <w:pStyle w:val="TableBodyText"/>
              <w:rPr>
                <w:b/>
                <w:sz w:val="18"/>
                <w:szCs w:val="18"/>
              </w:rPr>
            </w:pPr>
            <w:r w:rsidRPr="009D43B4">
              <w:rPr>
                <w:b/>
                <w:sz w:val="18"/>
                <w:szCs w:val="18"/>
              </w:rPr>
              <w:t>13.9</w:t>
            </w:r>
          </w:p>
        </w:tc>
        <w:tc>
          <w:tcPr>
            <w:tcW w:w="450" w:type="pct"/>
            <w:vAlign w:val="bottom"/>
          </w:tcPr>
          <w:p w:rsidR="009D43B4" w:rsidRPr="009D43B4" w:rsidRDefault="009D43B4" w:rsidP="009D43B4">
            <w:pPr>
              <w:pStyle w:val="TableBodyText"/>
              <w:rPr>
                <w:b/>
                <w:sz w:val="18"/>
                <w:szCs w:val="18"/>
              </w:rPr>
            </w:pPr>
            <w:r w:rsidRPr="009D43B4">
              <w:rPr>
                <w:b/>
                <w:sz w:val="18"/>
                <w:szCs w:val="18"/>
              </w:rPr>
              <w:t>19.6</w:t>
            </w:r>
          </w:p>
        </w:tc>
        <w:tc>
          <w:tcPr>
            <w:tcW w:w="450" w:type="pct"/>
            <w:vAlign w:val="bottom"/>
          </w:tcPr>
          <w:p w:rsidR="009D43B4" w:rsidRPr="009D43B4" w:rsidRDefault="009D43B4" w:rsidP="009D43B4">
            <w:pPr>
              <w:pStyle w:val="TableBodyText"/>
              <w:rPr>
                <w:b/>
                <w:sz w:val="18"/>
                <w:szCs w:val="18"/>
              </w:rPr>
            </w:pPr>
            <w:r w:rsidRPr="009D43B4">
              <w:rPr>
                <w:b/>
                <w:sz w:val="18"/>
                <w:szCs w:val="18"/>
              </w:rPr>
              <w:t>19.8</w:t>
            </w:r>
          </w:p>
        </w:tc>
        <w:tc>
          <w:tcPr>
            <w:tcW w:w="450" w:type="pct"/>
            <w:vAlign w:val="bottom"/>
          </w:tcPr>
          <w:p w:rsidR="009D43B4" w:rsidRPr="009D43B4" w:rsidRDefault="009D43B4" w:rsidP="009D43B4">
            <w:pPr>
              <w:pStyle w:val="TableBodyText"/>
              <w:rPr>
                <w:b/>
                <w:sz w:val="18"/>
                <w:szCs w:val="18"/>
              </w:rPr>
            </w:pPr>
            <w:r w:rsidRPr="009D43B4">
              <w:rPr>
                <w:b/>
                <w:sz w:val="18"/>
                <w:szCs w:val="18"/>
              </w:rPr>
              <w:t>11.2</w:t>
            </w:r>
          </w:p>
        </w:tc>
        <w:tc>
          <w:tcPr>
            <w:tcW w:w="450" w:type="pct"/>
            <w:shd w:val="clear" w:color="auto" w:fill="auto"/>
            <w:vAlign w:val="bottom"/>
          </w:tcPr>
          <w:p w:rsidR="009D43B4" w:rsidRPr="009D43B4" w:rsidRDefault="009D43B4" w:rsidP="009D43B4">
            <w:pPr>
              <w:pStyle w:val="TableBodyText"/>
              <w:rPr>
                <w:b/>
                <w:sz w:val="18"/>
                <w:szCs w:val="18"/>
              </w:rPr>
            </w:pPr>
            <w:r w:rsidRPr="009D43B4">
              <w:rPr>
                <w:b/>
                <w:sz w:val="18"/>
                <w:szCs w:val="18"/>
              </w:rPr>
              <w:t>10.1</w:t>
            </w:r>
          </w:p>
        </w:tc>
        <w:tc>
          <w:tcPr>
            <w:tcW w:w="450" w:type="pct"/>
            <w:shd w:val="clear" w:color="auto" w:fill="auto"/>
            <w:vAlign w:val="bottom"/>
          </w:tcPr>
          <w:p w:rsidR="009D43B4" w:rsidRPr="009D43B4" w:rsidRDefault="009D43B4" w:rsidP="009D43B4">
            <w:pPr>
              <w:pStyle w:val="TableBodyText"/>
              <w:rPr>
                <w:b/>
                <w:sz w:val="18"/>
                <w:szCs w:val="18"/>
              </w:rPr>
            </w:pPr>
            <w:r w:rsidRPr="009D43B4">
              <w:rPr>
                <w:b/>
                <w:sz w:val="18"/>
                <w:szCs w:val="18"/>
              </w:rPr>
              <w:t>10.1</w:t>
            </w:r>
          </w:p>
        </w:tc>
      </w:tr>
      <w:tr w:rsidR="009D43B4" w:rsidRPr="00AF699A" w:rsidTr="006C3E9D">
        <w:tc>
          <w:tcPr>
            <w:tcW w:w="2097" w:type="pct"/>
            <w:vAlign w:val="bottom"/>
          </w:tcPr>
          <w:p w:rsidR="009D43B4" w:rsidRPr="009D43B4" w:rsidRDefault="009D43B4" w:rsidP="00BD2B3E">
            <w:pPr>
              <w:pStyle w:val="TableBodyText"/>
              <w:ind w:left="0"/>
              <w:jc w:val="left"/>
              <w:rPr>
                <w:sz w:val="18"/>
                <w:szCs w:val="18"/>
              </w:rPr>
            </w:pPr>
            <w:r w:rsidRPr="009D43B4">
              <w:rPr>
                <w:sz w:val="18"/>
                <w:szCs w:val="18"/>
              </w:rPr>
              <w:t>Food, beverages and tobacco</w:t>
            </w:r>
          </w:p>
        </w:tc>
        <w:tc>
          <w:tcPr>
            <w:tcW w:w="450" w:type="pct"/>
            <w:vAlign w:val="bottom"/>
          </w:tcPr>
          <w:p w:rsidR="009D43B4" w:rsidRPr="009D43B4" w:rsidRDefault="009D43B4" w:rsidP="00DC018F">
            <w:pPr>
              <w:pStyle w:val="TableBodyText"/>
              <w:rPr>
                <w:sz w:val="18"/>
                <w:szCs w:val="18"/>
              </w:rPr>
            </w:pPr>
            <w:r w:rsidRPr="009D43B4">
              <w:rPr>
                <w:sz w:val="18"/>
                <w:szCs w:val="18"/>
              </w:rPr>
              <w:t>3.1</w:t>
            </w:r>
          </w:p>
        </w:tc>
        <w:tc>
          <w:tcPr>
            <w:tcW w:w="450" w:type="pct"/>
            <w:vAlign w:val="bottom"/>
          </w:tcPr>
          <w:p w:rsidR="009D43B4" w:rsidRPr="009D43B4" w:rsidRDefault="009D43B4" w:rsidP="00DC018F">
            <w:pPr>
              <w:pStyle w:val="TableBodyText"/>
              <w:rPr>
                <w:sz w:val="18"/>
                <w:szCs w:val="18"/>
              </w:rPr>
            </w:pPr>
            <w:r w:rsidRPr="009D43B4">
              <w:rPr>
                <w:sz w:val="18"/>
                <w:szCs w:val="18"/>
              </w:rPr>
              <w:t>3.5</w:t>
            </w:r>
          </w:p>
        </w:tc>
        <w:tc>
          <w:tcPr>
            <w:tcW w:w="450" w:type="pct"/>
            <w:vAlign w:val="bottom"/>
          </w:tcPr>
          <w:p w:rsidR="009D43B4" w:rsidRPr="009D43B4" w:rsidRDefault="009D43B4" w:rsidP="00DC018F">
            <w:pPr>
              <w:pStyle w:val="TableBodyText"/>
              <w:rPr>
                <w:sz w:val="18"/>
                <w:szCs w:val="18"/>
              </w:rPr>
            </w:pPr>
            <w:r w:rsidRPr="009D43B4">
              <w:rPr>
                <w:sz w:val="18"/>
                <w:szCs w:val="18"/>
              </w:rPr>
              <w:t>3.0</w:t>
            </w:r>
          </w:p>
        </w:tc>
        <w:tc>
          <w:tcPr>
            <w:tcW w:w="450" w:type="pct"/>
            <w:vAlign w:val="bottom"/>
          </w:tcPr>
          <w:p w:rsidR="009D43B4" w:rsidRPr="009D43B4" w:rsidRDefault="009D43B4" w:rsidP="00DC018F">
            <w:pPr>
              <w:pStyle w:val="TableBodyText"/>
              <w:rPr>
                <w:sz w:val="18"/>
                <w:szCs w:val="18"/>
              </w:rPr>
            </w:pPr>
            <w:r w:rsidRPr="009D43B4">
              <w:rPr>
                <w:sz w:val="18"/>
                <w:szCs w:val="18"/>
              </w:rPr>
              <w:t>3.0</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2.7</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2.7</w:t>
            </w:r>
          </w:p>
        </w:tc>
      </w:tr>
      <w:tr w:rsidR="009D43B4" w:rsidRPr="00AF699A" w:rsidTr="006C3E9D">
        <w:tc>
          <w:tcPr>
            <w:tcW w:w="2097" w:type="pct"/>
            <w:vAlign w:val="bottom"/>
          </w:tcPr>
          <w:p w:rsidR="009D43B4" w:rsidRPr="009D43B4" w:rsidRDefault="009D43B4" w:rsidP="00BD2B3E">
            <w:pPr>
              <w:pStyle w:val="TableBodyText"/>
              <w:ind w:left="0"/>
              <w:jc w:val="left"/>
              <w:rPr>
                <w:sz w:val="18"/>
                <w:szCs w:val="18"/>
              </w:rPr>
            </w:pPr>
            <w:r w:rsidRPr="009D43B4">
              <w:rPr>
                <w:sz w:val="18"/>
                <w:szCs w:val="18"/>
              </w:rPr>
              <w:t>Textile, leather, clothing and footwear</w:t>
            </w:r>
          </w:p>
        </w:tc>
        <w:tc>
          <w:tcPr>
            <w:tcW w:w="450" w:type="pct"/>
            <w:vAlign w:val="bottom"/>
          </w:tcPr>
          <w:p w:rsidR="009D43B4" w:rsidRPr="009D43B4" w:rsidRDefault="009D43B4" w:rsidP="00DC018F">
            <w:pPr>
              <w:pStyle w:val="TableBodyText"/>
              <w:rPr>
                <w:sz w:val="18"/>
                <w:szCs w:val="18"/>
              </w:rPr>
            </w:pPr>
            <w:r w:rsidRPr="009D43B4">
              <w:rPr>
                <w:sz w:val="18"/>
                <w:szCs w:val="18"/>
              </w:rPr>
              <w:t>0.6</w:t>
            </w:r>
          </w:p>
        </w:tc>
        <w:tc>
          <w:tcPr>
            <w:tcW w:w="450" w:type="pct"/>
            <w:vAlign w:val="bottom"/>
          </w:tcPr>
          <w:p w:rsidR="009D43B4" w:rsidRPr="009D43B4" w:rsidRDefault="009D43B4" w:rsidP="00DC018F">
            <w:pPr>
              <w:pStyle w:val="TableBodyText"/>
              <w:rPr>
                <w:sz w:val="18"/>
                <w:szCs w:val="18"/>
              </w:rPr>
            </w:pPr>
            <w:r w:rsidRPr="009D43B4">
              <w:rPr>
                <w:sz w:val="18"/>
                <w:szCs w:val="18"/>
              </w:rPr>
              <w:t>0.7</w:t>
            </w:r>
          </w:p>
        </w:tc>
        <w:tc>
          <w:tcPr>
            <w:tcW w:w="450" w:type="pct"/>
            <w:vAlign w:val="bottom"/>
          </w:tcPr>
          <w:p w:rsidR="009D43B4" w:rsidRPr="009D43B4" w:rsidRDefault="009D43B4" w:rsidP="00DC018F">
            <w:pPr>
              <w:pStyle w:val="TableBodyText"/>
              <w:rPr>
                <w:sz w:val="18"/>
                <w:szCs w:val="18"/>
              </w:rPr>
            </w:pPr>
            <w:r w:rsidRPr="009D43B4">
              <w:rPr>
                <w:sz w:val="18"/>
                <w:szCs w:val="18"/>
              </w:rPr>
              <w:t>1.2</w:t>
            </w:r>
          </w:p>
        </w:tc>
        <w:tc>
          <w:tcPr>
            <w:tcW w:w="450" w:type="pct"/>
            <w:vAlign w:val="bottom"/>
          </w:tcPr>
          <w:p w:rsidR="009D43B4" w:rsidRPr="009D43B4" w:rsidRDefault="009D43B4" w:rsidP="00DC018F">
            <w:pPr>
              <w:pStyle w:val="TableBodyText"/>
              <w:rPr>
                <w:sz w:val="18"/>
                <w:szCs w:val="18"/>
              </w:rPr>
            </w:pPr>
            <w:r w:rsidRPr="009D43B4">
              <w:rPr>
                <w:sz w:val="18"/>
                <w:szCs w:val="18"/>
              </w:rPr>
              <w:t>0.4</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0.3</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0.3</w:t>
            </w:r>
          </w:p>
        </w:tc>
      </w:tr>
      <w:tr w:rsidR="009D43B4" w:rsidRPr="00AF699A" w:rsidTr="006C3E9D">
        <w:tc>
          <w:tcPr>
            <w:tcW w:w="2097" w:type="pct"/>
            <w:vAlign w:val="bottom"/>
          </w:tcPr>
          <w:p w:rsidR="009D43B4" w:rsidRPr="009D43B4" w:rsidRDefault="009D43B4" w:rsidP="00BD2B3E">
            <w:pPr>
              <w:pStyle w:val="TableBodyText"/>
              <w:ind w:left="0"/>
              <w:jc w:val="left"/>
              <w:rPr>
                <w:sz w:val="18"/>
                <w:szCs w:val="18"/>
              </w:rPr>
            </w:pPr>
            <w:r w:rsidRPr="009D43B4">
              <w:rPr>
                <w:sz w:val="18"/>
                <w:szCs w:val="18"/>
              </w:rPr>
              <w:t>Wood and paper products</w:t>
            </w:r>
          </w:p>
        </w:tc>
        <w:tc>
          <w:tcPr>
            <w:tcW w:w="450" w:type="pct"/>
            <w:vAlign w:val="bottom"/>
          </w:tcPr>
          <w:p w:rsidR="009D43B4" w:rsidRPr="009D43B4" w:rsidRDefault="009D43B4" w:rsidP="00DC018F">
            <w:pPr>
              <w:pStyle w:val="TableBodyText"/>
              <w:rPr>
                <w:sz w:val="18"/>
                <w:szCs w:val="18"/>
              </w:rPr>
            </w:pPr>
            <w:r w:rsidRPr="009D43B4">
              <w:rPr>
                <w:sz w:val="18"/>
                <w:szCs w:val="18"/>
              </w:rPr>
              <w:t>0.8</w:t>
            </w:r>
          </w:p>
        </w:tc>
        <w:tc>
          <w:tcPr>
            <w:tcW w:w="450" w:type="pct"/>
            <w:vAlign w:val="bottom"/>
          </w:tcPr>
          <w:p w:rsidR="009D43B4" w:rsidRPr="009D43B4" w:rsidRDefault="009D43B4" w:rsidP="00DC018F">
            <w:pPr>
              <w:pStyle w:val="TableBodyText"/>
              <w:rPr>
                <w:sz w:val="18"/>
                <w:szCs w:val="18"/>
              </w:rPr>
            </w:pPr>
            <w:r w:rsidRPr="009D43B4">
              <w:rPr>
                <w:sz w:val="18"/>
                <w:szCs w:val="18"/>
              </w:rPr>
              <w:t>1.8</w:t>
            </w:r>
          </w:p>
        </w:tc>
        <w:tc>
          <w:tcPr>
            <w:tcW w:w="450" w:type="pct"/>
            <w:vAlign w:val="bottom"/>
          </w:tcPr>
          <w:p w:rsidR="009D43B4" w:rsidRPr="009D43B4" w:rsidRDefault="009D43B4" w:rsidP="00DC018F">
            <w:pPr>
              <w:pStyle w:val="TableBodyText"/>
              <w:rPr>
                <w:sz w:val="18"/>
                <w:szCs w:val="18"/>
              </w:rPr>
            </w:pPr>
            <w:r w:rsidRPr="009D43B4">
              <w:rPr>
                <w:sz w:val="18"/>
                <w:szCs w:val="18"/>
              </w:rPr>
              <w:t>2.8</w:t>
            </w:r>
          </w:p>
        </w:tc>
        <w:tc>
          <w:tcPr>
            <w:tcW w:w="450" w:type="pct"/>
            <w:vAlign w:val="bottom"/>
          </w:tcPr>
          <w:p w:rsidR="009D43B4" w:rsidRPr="009D43B4" w:rsidRDefault="009D43B4" w:rsidP="00DC018F">
            <w:pPr>
              <w:pStyle w:val="TableBodyText"/>
              <w:rPr>
                <w:sz w:val="18"/>
                <w:szCs w:val="18"/>
              </w:rPr>
            </w:pPr>
            <w:r w:rsidRPr="009D43B4">
              <w:rPr>
                <w:sz w:val="18"/>
                <w:szCs w:val="18"/>
              </w:rPr>
              <w:t>1.2</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1.1</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1.1</w:t>
            </w:r>
          </w:p>
        </w:tc>
      </w:tr>
      <w:tr w:rsidR="009D43B4" w:rsidRPr="00AF699A" w:rsidTr="006C3E9D">
        <w:tc>
          <w:tcPr>
            <w:tcW w:w="2097" w:type="pct"/>
            <w:vAlign w:val="bottom"/>
          </w:tcPr>
          <w:p w:rsidR="009D43B4" w:rsidRPr="009D43B4" w:rsidRDefault="009D43B4" w:rsidP="00BD2B3E">
            <w:pPr>
              <w:pStyle w:val="TableBodyText"/>
              <w:ind w:left="0"/>
              <w:jc w:val="left"/>
              <w:rPr>
                <w:sz w:val="18"/>
                <w:szCs w:val="18"/>
              </w:rPr>
            </w:pPr>
            <w:r w:rsidRPr="009D43B4">
              <w:rPr>
                <w:sz w:val="18"/>
                <w:szCs w:val="18"/>
              </w:rPr>
              <w:t>Printing and recorded media</w:t>
            </w:r>
          </w:p>
        </w:tc>
        <w:tc>
          <w:tcPr>
            <w:tcW w:w="450" w:type="pct"/>
            <w:vAlign w:val="bottom"/>
          </w:tcPr>
          <w:p w:rsidR="009D43B4" w:rsidRPr="009D43B4" w:rsidRDefault="009D43B4" w:rsidP="00DC018F">
            <w:pPr>
              <w:pStyle w:val="TableBodyText"/>
              <w:rPr>
                <w:sz w:val="18"/>
                <w:szCs w:val="18"/>
              </w:rPr>
            </w:pPr>
            <w:r w:rsidRPr="009D43B4">
              <w:rPr>
                <w:sz w:val="18"/>
                <w:szCs w:val="18"/>
              </w:rPr>
              <w:t>0.8</w:t>
            </w:r>
          </w:p>
        </w:tc>
        <w:tc>
          <w:tcPr>
            <w:tcW w:w="450" w:type="pct"/>
            <w:vAlign w:val="bottom"/>
          </w:tcPr>
          <w:p w:rsidR="009D43B4" w:rsidRPr="009D43B4" w:rsidRDefault="009D43B4" w:rsidP="00DC018F">
            <w:pPr>
              <w:pStyle w:val="TableBodyText"/>
              <w:rPr>
                <w:sz w:val="18"/>
                <w:szCs w:val="18"/>
              </w:rPr>
            </w:pPr>
            <w:r w:rsidRPr="009D43B4">
              <w:rPr>
                <w:sz w:val="18"/>
                <w:szCs w:val="18"/>
              </w:rPr>
              <w:t>0.8</w:t>
            </w:r>
          </w:p>
        </w:tc>
        <w:tc>
          <w:tcPr>
            <w:tcW w:w="450" w:type="pct"/>
            <w:vAlign w:val="bottom"/>
          </w:tcPr>
          <w:p w:rsidR="009D43B4" w:rsidRPr="009D43B4" w:rsidRDefault="009D43B4" w:rsidP="00DC018F">
            <w:pPr>
              <w:pStyle w:val="TableBodyText"/>
              <w:rPr>
                <w:sz w:val="18"/>
                <w:szCs w:val="18"/>
              </w:rPr>
            </w:pPr>
            <w:r w:rsidRPr="009D43B4">
              <w:rPr>
                <w:sz w:val="18"/>
                <w:szCs w:val="18"/>
              </w:rPr>
              <w:t>1.3</w:t>
            </w:r>
          </w:p>
        </w:tc>
        <w:tc>
          <w:tcPr>
            <w:tcW w:w="450" w:type="pct"/>
            <w:vAlign w:val="bottom"/>
          </w:tcPr>
          <w:p w:rsidR="009D43B4" w:rsidRPr="009D43B4" w:rsidRDefault="009D43B4" w:rsidP="00DC018F">
            <w:pPr>
              <w:pStyle w:val="TableBodyText"/>
              <w:rPr>
                <w:sz w:val="18"/>
                <w:szCs w:val="18"/>
              </w:rPr>
            </w:pPr>
            <w:r w:rsidRPr="009D43B4">
              <w:rPr>
                <w:sz w:val="18"/>
                <w:szCs w:val="18"/>
              </w:rPr>
              <w:t>2.2</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2.0</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2.0</w:t>
            </w:r>
          </w:p>
        </w:tc>
      </w:tr>
      <w:tr w:rsidR="009D43B4" w:rsidRPr="00AF699A" w:rsidTr="006C3E9D">
        <w:tc>
          <w:tcPr>
            <w:tcW w:w="2097" w:type="pct"/>
            <w:vAlign w:val="bottom"/>
          </w:tcPr>
          <w:p w:rsidR="009D43B4" w:rsidRPr="009D43B4" w:rsidRDefault="009D43B4" w:rsidP="00BD2B3E">
            <w:pPr>
              <w:pStyle w:val="TableBodyText"/>
              <w:ind w:left="0"/>
              <w:jc w:val="left"/>
              <w:rPr>
                <w:sz w:val="18"/>
                <w:szCs w:val="18"/>
              </w:rPr>
            </w:pPr>
            <w:r w:rsidRPr="009D43B4">
              <w:rPr>
                <w:sz w:val="18"/>
                <w:szCs w:val="18"/>
              </w:rPr>
              <w:t>Petroleum, coal, chemical and rubber products</w:t>
            </w:r>
          </w:p>
        </w:tc>
        <w:tc>
          <w:tcPr>
            <w:tcW w:w="450" w:type="pct"/>
            <w:vAlign w:val="bottom"/>
          </w:tcPr>
          <w:p w:rsidR="009D43B4" w:rsidRPr="009D43B4" w:rsidRDefault="009D43B4" w:rsidP="00DC018F">
            <w:pPr>
              <w:pStyle w:val="TableBodyText"/>
              <w:rPr>
                <w:sz w:val="18"/>
                <w:szCs w:val="18"/>
              </w:rPr>
            </w:pPr>
            <w:r w:rsidRPr="009D43B4">
              <w:rPr>
                <w:sz w:val="18"/>
                <w:szCs w:val="18"/>
              </w:rPr>
              <w:t>1.1</w:t>
            </w:r>
          </w:p>
        </w:tc>
        <w:tc>
          <w:tcPr>
            <w:tcW w:w="450" w:type="pct"/>
            <w:vAlign w:val="bottom"/>
          </w:tcPr>
          <w:p w:rsidR="009D43B4" w:rsidRPr="009D43B4" w:rsidRDefault="009D43B4" w:rsidP="00DC018F">
            <w:pPr>
              <w:pStyle w:val="TableBodyText"/>
              <w:rPr>
                <w:sz w:val="18"/>
                <w:szCs w:val="18"/>
              </w:rPr>
            </w:pPr>
            <w:r w:rsidRPr="009D43B4">
              <w:rPr>
                <w:sz w:val="18"/>
                <w:szCs w:val="18"/>
              </w:rPr>
              <w:t>2.1</w:t>
            </w:r>
          </w:p>
        </w:tc>
        <w:tc>
          <w:tcPr>
            <w:tcW w:w="450" w:type="pct"/>
            <w:vAlign w:val="bottom"/>
          </w:tcPr>
          <w:p w:rsidR="009D43B4" w:rsidRPr="009D43B4" w:rsidRDefault="009D43B4" w:rsidP="00DC018F">
            <w:pPr>
              <w:pStyle w:val="TableBodyText"/>
              <w:rPr>
                <w:sz w:val="18"/>
                <w:szCs w:val="18"/>
              </w:rPr>
            </w:pPr>
            <w:r w:rsidRPr="009D43B4">
              <w:rPr>
                <w:sz w:val="18"/>
                <w:szCs w:val="18"/>
              </w:rPr>
              <w:t>0.4</w:t>
            </w:r>
          </w:p>
        </w:tc>
        <w:tc>
          <w:tcPr>
            <w:tcW w:w="450" w:type="pct"/>
            <w:vAlign w:val="bottom"/>
          </w:tcPr>
          <w:p w:rsidR="009D43B4" w:rsidRPr="009D43B4" w:rsidRDefault="009D43B4" w:rsidP="00DC018F">
            <w:pPr>
              <w:pStyle w:val="TableBodyText"/>
              <w:rPr>
                <w:sz w:val="18"/>
                <w:szCs w:val="18"/>
              </w:rPr>
            </w:pPr>
            <w:r w:rsidRPr="009D43B4">
              <w:rPr>
                <w:sz w:val="18"/>
                <w:szCs w:val="18"/>
              </w:rPr>
              <w:t>0.6</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0.6</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0.6</w:t>
            </w:r>
          </w:p>
        </w:tc>
      </w:tr>
      <w:tr w:rsidR="009D43B4" w:rsidRPr="00AF699A" w:rsidTr="006C3E9D">
        <w:tc>
          <w:tcPr>
            <w:tcW w:w="2097" w:type="pct"/>
            <w:vAlign w:val="bottom"/>
          </w:tcPr>
          <w:p w:rsidR="009D43B4" w:rsidRPr="009D43B4" w:rsidRDefault="009D43B4" w:rsidP="005A4A23">
            <w:pPr>
              <w:pStyle w:val="TableBodyText"/>
              <w:ind w:left="0"/>
              <w:jc w:val="left"/>
              <w:rPr>
                <w:sz w:val="18"/>
                <w:szCs w:val="18"/>
              </w:rPr>
            </w:pPr>
            <w:r w:rsidRPr="009D43B4">
              <w:rPr>
                <w:sz w:val="18"/>
                <w:szCs w:val="18"/>
              </w:rPr>
              <w:t>Non-</w:t>
            </w:r>
            <w:r w:rsidR="005A4A23">
              <w:rPr>
                <w:sz w:val="18"/>
                <w:szCs w:val="18"/>
              </w:rPr>
              <w:t>m</w:t>
            </w:r>
            <w:r w:rsidR="005A4A23" w:rsidRPr="009D43B4">
              <w:rPr>
                <w:sz w:val="18"/>
                <w:szCs w:val="18"/>
              </w:rPr>
              <w:t xml:space="preserve">etallic </w:t>
            </w:r>
            <w:r w:rsidRPr="009D43B4">
              <w:rPr>
                <w:sz w:val="18"/>
                <w:szCs w:val="18"/>
              </w:rPr>
              <w:t>mineral products</w:t>
            </w:r>
          </w:p>
        </w:tc>
        <w:tc>
          <w:tcPr>
            <w:tcW w:w="450" w:type="pct"/>
            <w:vAlign w:val="bottom"/>
          </w:tcPr>
          <w:p w:rsidR="009D43B4" w:rsidRPr="009D43B4" w:rsidRDefault="009D43B4" w:rsidP="00DC018F">
            <w:pPr>
              <w:pStyle w:val="TableBodyText"/>
              <w:rPr>
                <w:sz w:val="18"/>
                <w:szCs w:val="18"/>
              </w:rPr>
            </w:pPr>
            <w:r w:rsidRPr="009D43B4">
              <w:rPr>
                <w:sz w:val="18"/>
                <w:szCs w:val="18"/>
              </w:rPr>
              <w:t>0.5</w:t>
            </w:r>
          </w:p>
        </w:tc>
        <w:tc>
          <w:tcPr>
            <w:tcW w:w="450" w:type="pct"/>
            <w:vAlign w:val="bottom"/>
          </w:tcPr>
          <w:p w:rsidR="009D43B4" w:rsidRPr="009D43B4" w:rsidRDefault="009D43B4" w:rsidP="00DC018F">
            <w:pPr>
              <w:pStyle w:val="TableBodyText"/>
              <w:rPr>
                <w:sz w:val="18"/>
                <w:szCs w:val="18"/>
              </w:rPr>
            </w:pPr>
            <w:r w:rsidRPr="009D43B4">
              <w:rPr>
                <w:sz w:val="18"/>
                <w:szCs w:val="18"/>
              </w:rPr>
              <w:t>1.3</w:t>
            </w:r>
          </w:p>
        </w:tc>
        <w:tc>
          <w:tcPr>
            <w:tcW w:w="450" w:type="pct"/>
            <w:vAlign w:val="bottom"/>
          </w:tcPr>
          <w:p w:rsidR="009D43B4" w:rsidRPr="009D43B4" w:rsidRDefault="009D43B4" w:rsidP="00DC018F">
            <w:pPr>
              <w:pStyle w:val="TableBodyText"/>
              <w:rPr>
                <w:sz w:val="18"/>
                <w:szCs w:val="18"/>
              </w:rPr>
            </w:pPr>
            <w:r w:rsidRPr="009D43B4">
              <w:rPr>
                <w:sz w:val="18"/>
                <w:szCs w:val="18"/>
              </w:rPr>
              <w:t>0.7</w:t>
            </w:r>
          </w:p>
        </w:tc>
        <w:tc>
          <w:tcPr>
            <w:tcW w:w="450" w:type="pct"/>
            <w:vAlign w:val="bottom"/>
          </w:tcPr>
          <w:p w:rsidR="009D43B4" w:rsidRPr="009D43B4" w:rsidRDefault="009D43B4" w:rsidP="00DC018F">
            <w:pPr>
              <w:pStyle w:val="TableBodyText"/>
              <w:rPr>
                <w:sz w:val="18"/>
                <w:szCs w:val="18"/>
              </w:rPr>
            </w:pPr>
            <w:r w:rsidRPr="009D43B4">
              <w:rPr>
                <w:sz w:val="18"/>
                <w:szCs w:val="18"/>
              </w:rPr>
              <w:t>0.3</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0.2</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0.2</w:t>
            </w:r>
          </w:p>
        </w:tc>
      </w:tr>
      <w:tr w:rsidR="009D43B4" w:rsidRPr="00AF699A" w:rsidTr="006C3E9D">
        <w:tc>
          <w:tcPr>
            <w:tcW w:w="2097" w:type="pct"/>
            <w:vAlign w:val="bottom"/>
          </w:tcPr>
          <w:p w:rsidR="009D43B4" w:rsidRPr="009D43B4" w:rsidRDefault="009D43B4" w:rsidP="00BD2B3E">
            <w:pPr>
              <w:pStyle w:val="TableBodyText"/>
              <w:ind w:left="0"/>
              <w:jc w:val="left"/>
              <w:rPr>
                <w:sz w:val="18"/>
                <w:szCs w:val="18"/>
              </w:rPr>
            </w:pPr>
            <w:r w:rsidRPr="009D43B4">
              <w:rPr>
                <w:sz w:val="18"/>
                <w:szCs w:val="18"/>
              </w:rPr>
              <w:t>Metal and fabricated metal products</w:t>
            </w:r>
          </w:p>
        </w:tc>
        <w:tc>
          <w:tcPr>
            <w:tcW w:w="450" w:type="pct"/>
            <w:vAlign w:val="bottom"/>
          </w:tcPr>
          <w:p w:rsidR="009D43B4" w:rsidRPr="009D43B4" w:rsidRDefault="009D43B4" w:rsidP="00DC018F">
            <w:pPr>
              <w:pStyle w:val="TableBodyText"/>
              <w:rPr>
                <w:sz w:val="18"/>
                <w:szCs w:val="18"/>
              </w:rPr>
            </w:pPr>
            <w:r w:rsidRPr="009D43B4">
              <w:rPr>
                <w:sz w:val="18"/>
                <w:szCs w:val="18"/>
              </w:rPr>
              <w:t>2.0</w:t>
            </w:r>
          </w:p>
        </w:tc>
        <w:tc>
          <w:tcPr>
            <w:tcW w:w="450" w:type="pct"/>
            <w:vAlign w:val="bottom"/>
          </w:tcPr>
          <w:p w:rsidR="009D43B4" w:rsidRPr="009D43B4" w:rsidRDefault="009D43B4" w:rsidP="00DC018F">
            <w:pPr>
              <w:pStyle w:val="TableBodyText"/>
              <w:rPr>
                <w:sz w:val="18"/>
                <w:szCs w:val="18"/>
              </w:rPr>
            </w:pPr>
            <w:r w:rsidRPr="009D43B4">
              <w:rPr>
                <w:sz w:val="18"/>
                <w:szCs w:val="18"/>
              </w:rPr>
              <w:t>4.9</w:t>
            </w:r>
          </w:p>
        </w:tc>
        <w:tc>
          <w:tcPr>
            <w:tcW w:w="450" w:type="pct"/>
            <w:vAlign w:val="bottom"/>
          </w:tcPr>
          <w:p w:rsidR="009D43B4" w:rsidRPr="009D43B4" w:rsidRDefault="009D43B4" w:rsidP="00DC018F">
            <w:pPr>
              <w:pStyle w:val="TableBodyText"/>
              <w:rPr>
                <w:sz w:val="18"/>
                <w:szCs w:val="18"/>
              </w:rPr>
            </w:pPr>
            <w:r w:rsidRPr="009D43B4">
              <w:rPr>
                <w:sz w:val="18"/>
                <w:szCs w:val="18"/>
              </w:rPr>
              <w:t>5.1</w:t>
            </w:r>
          </w:p>
        </w:tc>
        <w:tc>
          <w:tcPr>
            <w:tcW w:w="450" w:type="pct"/>
            <w:vAlign w:val="bottom"/>
          </w:tcPr>
          <w:p w:rsidR="009D43B4" w:rsidRPr="009D43B4" w:rsidRDefault="009D43B4" w:rsidP="00DC018F">
            <w:pPr>
              <w:pStyle w:val="TableBodyText"/>
              <w:rPr>
                <w:sz w:val="18"/>
                <w:szCs w:val="18"/>
              </w:rPr>
            </w:pPr>
            <w:r w:rsidRPr="009D43B4">
              <w:rPr>
                <w:sz w:val="18"/>
                <w:szCs w:val="18"/>
              </w:rPr>
              <w:t>0.8</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0.7</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0.7</w:t>
            </w:r>
          </w:p>
        </w:tc>
      </w:tr>
      <w:tr w:rsidR="009D43B4" w:rsidRPr="00AF699A" w:rsidTr="006C3E9D">
        <w:tc>
          <w:tcPr>
            <w:tcW w:w="2097" w:type="pct"/>
            <w:vAlign w:val="bottom"/>
          </w:tcPr>
          <w:p w:rsidR="009D43B4" w:rsidRPr="009D43B4" w:rsidRDefault="009D43B4" w:rsidP="00BD2B3E">
            <w:pPr>
              <w:pStyle w:val="TableBodyText"/>
              <w:ind w:left="0"/>
              <w:jc w:val="left"/>
              <w:rPr>
                <w:sz w:val="18"/>
                <w:szCs w:val="18"/>
              </w:rPr>
            </w:pPr>
            <w:r w:rsidRPr="009D43B4">
              <w:rPr>
                <w:sz w:val="18"/>
                <w:szCs w:val="18"/>
              </w:rPr>
              <w:t>Motor vehicle and parts</w:t>
            </w:r>
          </w:p>
        </w:tc>
        <w:tc>
          <w:tcPr>
            <w:tcW w:w="450" w:type="pct"/>
            <w:vAlign w:val="bottom"/>
          </w:tcPr>
          <w:p w:rsidR="009D43B4" w:rsidRPr="009D43B4" w:rsidRDefault="009D43B4" w:rsidP="00DC018F">
            <w:pPr>
              <w:pStyle w:val="TableBodyText"/>
              <w:rPr>
                <w:sz w:val="18"/>
                <w:szCs w:val="18"/>
              </w:rPr>
            </w:pPr>
            <w:r w:rsidRPr="009D43B4">
              <w:rPr>
                <w:sz w:val="18"/>
                <w:szCs w:val="18"/>
              </w:rPr>
              <w:t>0.8</w:t>
            </w:r>
          </w:p>
        </w:tc>
        <w:tc>
          <w:tcPr>
            <w:tcW w:w="450" w:type="pct"/>
            <w:vAlign w:val="bottom"/>
          </w:tcPr>
          <w:p w:rsidR="009D43B4" w:rsidRPr="009D43B4" w:rsidRDefault="009D43B4" w:rsidP="00DC018F">
            <w:pPr>
              <w:pStyle w:val="TableBodyText"/>
              <w:rPr>
                <w:sz w:val="18"/>
                <w:szCs w:val="18"/>
              </w:rPr>
            </w:pPr>
            <w:r w:rsidRPr="009D43B4">
              <w:rPr>
                <w:sz w:val="18"/>
                <w:szCs w:val="18"/>
              </w:rPr>
              <w:t>0.1</w:t>
            </w:r>
          </w:p>
        </w:tc>
        <w:tc>
          <w:tcPr>
            <w:tcW w:w="450" w:type="pct"/>
            <w:vAlign w:val="bottom"/>
          </w:tcPr>
          <w:p w:rsidR="009D43B4" w:rsidRPr="009D43B4" w:rsidRDefault="009D43B4" w:rsidP="00DC018F">
            <w:pPr>
              <w:pStyle w:val="TableBodyText"/>
              <w:rPr>
                <w:sz w:val="18"/>
                <w:szCs w:val="18"/>
              </w:rPr>
            </w:pPr>
            <w:r w:rsidRPr="009D43B4">
              <w:rPr>
                <w:sz w:val="18"/>
                <w:szCs w:val="18"/>
              </w:rPr>
              <w:t>0.1</w:t>
            </w:r>
          </w:p>
        </w:tc>
        <w:tc>
          <w:tcPr>
            <w:tcW w:w="450" w:type="pct"/>
            <w:vAlign w:val="bottom"/>
          </w:tcPr>
          <w:p w:rsidR="009D43B4" w:rsidRPr="009D43B4" w:rsidRDefault="009D43B4" w:rsidP="00DC018F">
            <w:pPr>
              <w:pStyle w:val="TableBodyText"/>
              <w:rPr>
                <w:sz w:val="18"/>
                <w:szCs w:val="18"/>
              </w:rPr>
            </w:pPr>
            <w:r w:rsidRPr="009D43B4">
              <w:rPr>
                <w:sz w:val="18"/>
                <w:szCs w:val="18"/>
              </w:rPr>
              <w:t>0.9</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0.8</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0.8</w:t>
            </w:r>
          </w:p>
        </w:tc>
      </w:tr>
      <w:tr w:rsidR="009D43B4" w:rsidRPr="00AF699A" w:rsidTr="006C3E9D">
        <w:tc>
          <w:tcPr>
            <w:tcW w:w="2097" w:type="pct"/>
            <w:vAlign w:val="bottom"/>
          </w:tcPr>
          <w:p w:rsidR="009D43B4" w:rsidRPr="009D43B4" w:rsidRDefault="009D43B4" w:rsidP="00BD2B3E">
            <w:pPr>
              <w:pStyle w:val="TableBodyText"/>
              <w:ind w:left="0"/>
              <w:jc w:val="left"/>
              <w:rPr>
                <w:sz w:val="18"/>
                <w:szCs w:val="18"/>
              </w:rPr>
            </w:pPr>
            <w:r w:rsidRPr="009D43B4">
              <w:rPr>
                <w:sz w:val="18"/>
                <w:szCs w:val="18"/>
              </w:rPr>
              <w:t>Other transport equipment</w:t>
            </w:r>
          </w:p>
        </w:tc>
        <w:tc>
          <w:tcPr>
            <w:tcW w:w="450" w:type="pct"/>
            <w:vAlign w:val="bottom"/>
          </w:tcPr>
          <w:p w:rsidR="009D43B4" w:rsidRPr="009D43B4" w:rsidRDefault="009D43B4" w:rsidP="00DC018F">
            <w:pPr>
              <w:pStyle w:val="TableBodyText"/>
              <w:rPr>
                <w:sz w:val="18"/>
                <w:szCs w:val="18"/>
              </w:rPr>
            </w:pPr>
            <w:r w:rsidRPr="009D43B4">
              <w:rPr>
                <w:sz w:val="18"/>
                <w:szCs w:val="18"/>
              </w:rPr>
              <w:t>0.9</w:t>
            </w:r>
          </w:p>
        </w:tc>
        <w:tc>
          <w:tcPr>
            <w:tcW w:w="450" w:type="pct"/>
            <w:vAlign w:val="bottom"/>
          </w:tcPr>
          <w:p w:rsidR="009D43B4" w:rsidRPr="009D43B4" w:rsidRDefault="009D43B4" w:rsidP="00DC018F">
            <w:pPr>
              <w:pStyle w:val="TableBodyText"/>
              <w:rPr>
                <w:sz w:val="18"/>
                <w:szCs w:val="18"/>
              </w:rPr>
            </w:pPr>
            <w:r w:rsidRPr="009D43B4">
              <w:rPr>
                <w:sz w:val="18"/>
                <w:szCs w:val="18"/>
              </w:rPr>
              <w:t>0.4</w:t>
            </w:r>
          </w:p>
        </w:tc>
        <w:tc>
          <w:tcPr>
            <w:tcW w:w="450" w:type="pct"/>
            <w:vAlign w:val="bottom"/>
          </w:tcPr>
          <w:p w:rsidR="009D43B4" w:rsidRPr="009D43B4" w:rsidRDefault="009D43B4" w:rsidP="00DC018F">
            <w:pPr>
              <w:pStyle w:val="TableBodyText"/>
              <w:rPr>
                <w:sz w:val="18"/>
                <w:szCs w:val="18"/>
              </w:rPr>
            </w:pPr>
            <w:r w:rsidRPr="009D43B4">
              <w:rPr>
                <w:sz w:val="18"/>
                <w:szCs w:val="18"/>
              </w:rPr>
              <w:t>0.1</w:t>
            </w:r>
          </w:p>
        </w:tc>
        <w:tc>
          <w:tcPr>
            <w:tcW w:w="450" w:type="pct"/>
            <w:vAlign w:val="bottom"/>
          </w:tcPr>
          <w:p w:rsidR="009D43B4" w:rsidRPr="009D43B4" w:rsidRDefault="009D43B4" w:rsidP="00DC018F">
            <w:pPr>
              <w:pStyle w:val="TableBodyText"/>
              <w:rPr>
                <w:sz w:val="18"/>
                <w:szCs w:val="18"/>
              </w:rPr>
            </w:pPr>
            <w:r w:rsidRPr="009D43B4">
              <w:rPr>
                <w:sz w:val="18"/>
                <w:szCs w:val="18"/>
              </w:rPr>
              <w:t>0.4</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0.4</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0.4</w:t>
            </w:r>
          </w:p>
        </w:tc>
      </w:tr>
      <w:tr w:rsidR="009D43B4" w:rsidRPr="00AF699A" w:rsidTr="006C3E9D">
        <w:tc>
          <w:tcPr>
            <w:tcW w:w="2097" w:type="pct"/>
            <w:vAlign w:val="bottom"/>
          </w:tcPr>
          <w:p w:rsidR="009D43B4" w:rsidRPr="009D43B4" w:rsidRDefault="009D43B4" w:rsidP="00BD2B3E">
            <w:pPr>
              <w:pStyle w:val="TableBodyText"/>
              <w:ind w:left="0"/>
              <w:jc w:val="left"/>
              <w:rPr>
                <w:sz w:val="18"/>
                <w:szCs w:val="18"/>
              </w:rPr>
            </w:pPr>
            <w:r w:rsidRPr="009D43B4">
              <w:rPr>
                <w:sz w:val="18"/>
                <w:szCs w:val="18"/>
              </w:rPr>
              <w:t>Machinery and equipment manufacturing</w:t>
            </w:r>
          </w:p>
        </w:tc>
        <w:tc>
          <w:tcPr>
            <w:tcW w:w="450" w:type="pct"/>
            <w:vAlign w:val="bottom"/>
          </w:tcPr>
          <w:p w:rsidR="009D43B4" w:rsidRPr="009D43B4" w:rsidRDefault="009D43B4" w:rsidP="00DC018F">
            <w:pPr>
              <w:pStyle w:val="TableBodyText"/>
              <w:rPr>
                <w:sz w:val="18"/>
                <w:szCs w:val="18"/>
              </w:rPr>
            </w:pPr>
            <w:r w:rsidRPr="009D43B4">
              <w:rPr>
                <w:sz w:val="18"/>
                <w:szCs w:val="18"/>
              </w:rPr>
              <w:t>2.1</w:t>
            </w:r>
          </w:p>
        </w:tc>
        <w:tc>
          <w:tcPr>
            <w:tcW w:w="450" w:type="pct"/>
            <w:vAlign w:val="bottom"/>
          </w:tcPr>
          <w:p w:rsidR="009D43B4" w:rsidRPr="009D43B4" w:rsidRDefault="009D43B4" w:rsidP="00DC018F">
            <w:pPr>
              <w:pStyle w:val="TableBodyText"/>
              <w:rPr>
                <w:sz w:val="18"/>
                <w:szCs w:val="18"/>
              </w:rPr>
            </w:pPr>
            <w:r w:rsidRPr="009D43B4">
              <w:rPr>
                <w:sz w:val="18"/>
                <w:szCs w:val="18"/>
              </w:rPr>
              <w:t>1.5</w:t>
            </w:r>
          </w:p>
        </w:tc>
        <w:tc>
          <w:tcPr>
            <w:tcW w:w="450" w:type="pct"/>
            <w:vAlign w:val="bottom"/>
          </w:tcPr>
          <w:p w:rsidR="009D43B4" w:rsidRPr="009D43B4" w:rsidRDefault="009D43B4" w:rsidP="00DC018F">
            <w:pPr>
              <w:pStyle w:val="TableBodyText"/>
              <w:rPr>
                <w:sz w:val="18"/>
                <w:szCs w:val="18"/>
              </w:rPr>
            </w:pPr>
            <w:r w:rsidRPr="009D43B4">
              <w:rPr>
                <w:sz w:val="18"/>
                <w:szCs w:val="18"/>
              </w:rPr>
              <w:t>3.3</w:t>
            </w:r>
          </w:p>
        </w:tc>
        <w:tc>
          <w:tcPr>
            <w:tcW w:w="450" w:type="pct"/>
            <w:vAlign w:val="bottom"/>
          </w:tcPr>
          <w:p w:rsidR="009D43B4" w:rsidRPr="009D43B4" w:rsidRDefault="009D43B4" w:rsidP="00DC018F">
            <w:pPr>
              <w:pStyle w:val="TableBodyText"/>
              <w:rPr>
                <w:sz w:val="18"/>
                <w:szCs w:val="18"/>
              </w:rPr>
            </w:pPr>
            <w:r w:rsidRPr="009D43B4">
              <w:rPr>
                <w:sz w:val="18"/>
                <w:szCs w:val="18"/>
              </w:rPr>
              <w:t>0.8</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0.7</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0.7</w:t>
            </w:r>
          </w:p>
        </w:tc>
      </w:tr>
      <w:tr w:rsidR="009D43B4" w:rsidRPr="00AF699A" w:rsidTr="006C3E9D">
        <w:tc>
          <w:tcPr>
            <w:tcW w:w="2097" w:type="pct"/>
            <w:vAlign w:val="bottom"/>
          </w:tcPr>
          <w:p w:rsidR="009D43B4" w:rsidRPr="009D43B4" w:rsidRDefault="009D43B4" w:rsidP="00BD2B3E">
            <w:pPr>
              <w:pStyle w:val="TableBodyText"/>
              <w:ind w:left="0"/>
              <w:jc w:val="left"/>
              <w:rPr>
                <w:sz w:val="18"/>
                <w:szCs w:val="18"/>
              </w:rPr>
            </w:pPr>
            <w:r w:rsidRPr="009D43B4">
              <w:rPr>
                <w:sz w:val="18"/>
                <w:szCs w:val="18"/>
              </w:rPr>
              <w:t>Furniture and other manufacturing</w:t>
            </w:r>
          </w:p>
        </w:tc>
        <w:tc>
          <w:tcPr>
            <w:tcW w:w="450" w:type="pct"/>
            <w:vAlign w:val="bottom"/>
          </w:tcPr>
          <w:p w:rsidR="009D43B4" w:rsidRPr="009D43B4" w:rsidRDefault="009D43B4" w:rsidP="00DC018F">
            <w:pPr>
              <w:pStyle w:val="TableBodyText"/>
              <w:rPr>
                <w:sz w:val="18"/>
                <w:szCs w:val="18"/>
              </w:rPr>
            </w:pPr>
            <w:r w:rsidRPr="009D43B4">
              <w:rPr>
                <w:sz w:val="18"/>
                <w:szCs w:val="18"/>
              </w:rPr>
              <w:t>1.0</w:t>
            </w:r>
          </w:p>
        </w:tc>
        <w:tc>
          <w:tcPr>
            <w:tcW w:w="450" w:type="pct"/>
            <w:vAlign w:val="bottom"/>
          </w:tcPr>
          <w:p w:rsidR="009D43B4" w:rsidRPr="009D43B4" w:rsidRDefault="009D43B4" w:rsidP="00DC018F">
            <w:pPr>
              <w:pStyle w:val="TableBodyText"/>
              <w:rPr>
                <w:sz w:val="18"/>
                <w:szCs w:val="18"/>
              </w:rPr>
            </w:pPr>
            <w:r w:rsidRPr="009D43B4">
              <w:rPr>
                <w:sz w:val="18"/>
                <w:szCs w:val="18"/>
              </w:rPr>
              <w:t>2.6</w:t>
            </w:r>
          </w:p>
        </w:tc>
        <w:tc>
          <w:tcPr>
            <w:tcW w:w="450" w:type="pct"/>
            <w:vAlign w:val="bottom"/>
          </w:tcPr>
          <w:p w:rsidR="009D43B4" w:rsidRPr="009D43B4" w:rsidRDefault="009D43B4" w:rsidP="00DC018F">
            <w:pPr>
              <w:pStyle w:val="TableBodyText"/>
              <w:rPr>
                <w:sz w:val="18"/>
                <w:szCs w:val="18"/>
              </w:rPr>
            </w:pPr>
            <w:r w:rsidRPr="009D43B4">
              <w:rPr>
                <w:sz w:val="18"/>
                <w:szCs w:val="18"/>
              </w:rPr>
              <w:t>1.7</w:t>
            </w:r>
          </w:p>
        </w:tc>
        <w:tc>
          <w:tcPr>
            <w:tcW w:w="450" w:type="pct"/>
            <w:vAlign w:val="bottom"/>
          </w:tcPr>
          <w:p w:rsidR="009D43B4" w:rsidRPr="009D43B4" w:rsidRDefault="009D43B4" w:rsidP="00DC018F">
            <w:pPr>
              <w:pStyle w:val="TableBodyText"/>
              <w:rPr>
                <w:sz w:val="18"/>
                <w:szCs w:val="18"/>
              </w:rPr>
            </w:pPr>
            <w:r w:rsidRPr="009D43B4">
              <w:rPr>
                <w:sz w:val="18"/>
                <w:szCs w:val="18"/>
              </w:rPr>
              <w:t>0.6</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0.5</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0.5</w:t>
            </w:r>
          </w:p>
        </w:tc>
      </w:tr>
      <w:tr w:rsidR="009D43B4" w:rsidRPr="00AF699A" w:rsidTr="006C3E9D">
        <w:tc>
          <w:tcPr>
            <w:tcW w:w="2097" w:type="pct"/>
            <w:vAlign w:val="bottom"/>
          </w:tcPr>
          <w:p w:rsidR="009D43B4" w:rsidRPr="009D43B4" w:rsidRDefault="009D43B4" w:rsidP="00DC018F">
            <w:pPr>
              <w:pStyle w:val="TableBodyText"/>
              <w:jc w:val="left"/>
              <w:rPr>
                <w:b/>
                <w:sz w:val="18"/>
                <w:szCs w:val="18"/>
              </w:rPr>
            </w:pPr>
            <w:r w:rsidRPr="009D43B4">
              <w:rPr>
                <w:b/>
                <w:sz w:val="18"/>
                <w:szCs w:val="18"/>
              </w:rPr>
              <w:t>Services</w:t>
            </w:r>
          </w:p>
        </w:tc>
        <w:tc>
          <w:tcPr>
            <w:tcW w:w="450" w:type="pct"/>
            <w:vAlign w:val="bottom"/>
          </w:tcPr>
          <w:p w:rsidR="009D43B4" w:rsidRPr="009D43B4" w:rsidRDefault="009D43B4" w:rsidP="009D43B4">
            <w:pPr>
              <w:pStyle w:val="TableBodyText"/>
              <w:rPr>
                <w:b/>
                <w:sz w:val="18"/>
                <w:szCs w:val="18"/>
              </w:rPr>
            </w:pPr>
            <w:r w:rsidRPr="009D43B4">
              <w:rPr>
                <w:b/>
                <w:sz w:val="18"/>
                <w:szCs w:val="18"/>
              </w:rPr>
              <w:t>310.9</w:t>
            </w:r>
          </w:p>
        </w:tc>
        <w:tc>
          <w:tcPr>
            <w:tcW w:w="450" w:type="pct"/>
            <w:vAlign w:val="bottom"/>
          </w:tcPr>
          <w:p w:rsidR="009D43B4" w:rsidRPr="009D43B4" w:rsidRDefault="009D43B4" w:rsidP="009D43B4">
            <w:pPr>
              <w:pStyle w:val="TableBodyText"/>
              <w:rPr>
                <w:b/>
                <w:sz w:val="18"/>
                <w:szCs w:val="18"/>
              </w:rPr>
            </w:pPr>
            <w:r w:rsidRPr="009D43B4">
              <w:rPr>
                <w:b/>
                <w:sz w:val="18"/>
                <w:szCs w:val="18"/>
              </w:rPr>
              <w:t>391.6</w:t>
            </w:r>
          </w:p>
        </w:tc>
        <w:tc>
          <w:tcPr>
            <w:tcW w:w="450" w:type="pct"/>
            <w:vAlign w:val="bottom"/>
          </w:tcPr>
          <w:p w:rsidR="009D43B4" w:rsidRPr="009D43B4" w:rsidRDefault="009D43B4" w:rsidP="009D43B4">
            <w:pPr>
              <w:pStyle w:val="TableBodyText"/>
              <w:rPr>
                <w:b/>
                <w:sz w:val="18"/>
                <w:szCs w:val="18"/>
              </w:rPr>
            </w:pPr>
            <w:r w:rsidRPr="009D43B4">
              <w:rPr>
                <w:b/>
                <w:sz w:val="18"/>
                <w:szCs w:val="18"/>
              </w:rPr>
              <w:t>535.0</w:t>
            </w:r>
          </w:p>
        </w:tc>
        <w:tc>
          <w:tcPr>
            <w:tcW w:w="450" w:type="pct"/>
            <w:vAlign w:val="bottom"/>
          </w:tcPr>
          <w:p w:rsidR="009D43B4" w:rsidRPr="009D43B4" w:rsidRDefault="009D43B4" w:rsidP="009D43B4">
            <w:pPr>
              <w:pStyle w:val="TableBodyText"/>
              <w:rPr>
                <w:b/>
                <w:sz w:val="18"/>
                <w:szCs w:val="18"/>
              </w:rPr>
            </w:pPr>
            <w:r w:rsidRPr="009D43B4">
              <w:rPr>
                <w:b/>
                <w:sz w:val="18"/>
                <w:szCs w:val="18"/>
              </w:rPr>
              <w:t>312.2</w:t>
            </w:r>
          </w:p>
        </w:tc>
        <w:tc>
          <w:tcPr>
            <w:tcW w:w="450" w:type="pct"/>
            <w:shd w:val="clear" w:color="auto" w:fill="auto"/>
            <w:vAlign w:val="bottom"/>
          </w:tcPr>
          <w:p w:rsidR="009D43B4" w:rsidRPr="009D43B4" w:rsidRDefault="009D43B4" w:rsidP="009D43B4">
            <w:pPr>
              <w:pStyle w:val="TableBodyText"/>
              <w:rPr>
                <w:b/>
                <w:sz w:val="18"/>
                <w:szCs w:val="18"/>
              </w:rPr>
            </w:pPr>
            <w:r w:rsidRPr="009D43B4">
              <w:rPr>
                <w:b/>
                <w:sz w:val="18"/>
                <w:szCs w:val="18"/>
              </w:rPr>
              <w:t>281.0</w:t>
            </w:r>
          </w:p>
        </w:tc>
        <w:tc>
          <w:tcPr>
            <w:tcW w:w="450" w:type="pct"/>
            <w:shd w:val="clear" w:color="auto" w:fill="auto"/>
            <w:vAlign w:val="bottom"/>
          </w:tcPr>
          <w:p w:rsidR="009D43B4" w:rsidRPr="009D43B4" w:rsidRDefault="009D43B4" w:rsidP="009D43B4">
            <w:pPr>
              <w:pStyle w:val="TableBodyText"/>
              <w:rPr>
                <w:b/>
                <w:sz w:val="18"/>
                <w:szCs w:val="18"/>
              </w:rPr>
            </w:pPr>
            <w:r w:rsidRPr="009D43B4">
              <w:rPr>
                <w:b/>
                <w:sz w:val="18"/>
                <w:szCs w:val="18"/>
              </w:rPr>
              <w:t>281.0</w:t>
            </w:r>
          </w:p>
        </w:tc>
      </w:tr>
      <w:tr w:rsidR="009D43B4" w:rsidRPr="00AF699A" w:rsidTr="006C3E9D">
        <w:tc>
          <w:tcPr>
            <w:tcW w:w="2097" w:type="pct"/>
            <w:vAlign w:val="bottom"/>
          </w:tcPr>
          <w:p w:rsidR="009D43B4" w:rsidRPr="009D43B4" w:rsidRDefault="009D43B4" w:rsidP="00BD2B3E">
            <w:pPr>
              <w:pStyle w:val="TableBodyText"/>
              <w:ind w:left="0"/>
              <w:jc w:val="left"/>
              <w:rPr>
                <w:sz w:val="18"/>
                <w:szCs w:val="18"/>
              </w:rPr>
            </w:pPr>
            <w:r w:rsidRPr="009D43B4">
              <w:rPr>
                <w:sz w:val="18"/>
                <w:szCs w:val="18"/>
              </w:rPr>
              <w:t>Electricity, gas, water and waste services</w:t>
            </w:r>
          </w:p>
        </w:tc>
        <w:tc>
          <w:tcPr>
            <w:tcW w:w="450" w:type="pct"/>
            <w:vAlign w:val="bottom"/>
          </w:tcPr>
          <w:p w:rsidR="009D43B4" w:rsidRPr="009D43B4" w:rsidRDefault="009D43B4" w:rsidP="00DC018F">
            <w:pPr>
              <w:pStyle w:val="TableBodyText"/>
              <w:rPr>
                <w:sz w:val="18"/>
                <w:szCs w:val="18"/>
              </w:rPr>
            </w:pPr>
            <w:r w:rsidRPr="009D43B4">
              <w:rPr>
                <w:sz w:val="18"/>
                <w:szCs w:val="18"/>
              </w:rPr>
              <w:t>0.9</w:t>
            </w:r>
          </w:p>
        </w:tc>
        <w:tc>
          <w:tcPr>
            <w:tcW w:w="450" w:type="pct"/>
            <w:vAlign w:val="bottom"/>
          </w:tcPr>
          <w:p w:rsidR="009D43B4" w:rsidRPr="009D43B4" w:rsidRDefault="009D43B4" w:rsidP="00DC018F">
            <w:pPr>
              <w:pStyle w:val="TableBodyText"/>
              <w:rPr>
                <w:sz w:val="18"/>
                <w:szCs w:val="18"/>
              </w:rPr>
            </w:pPr>
            <w:r w:rsidRPr="009D43B4">
              <w:rPr>
                <w:sz w:val="18"/>
                <w:szCs w:val="18"/>
              </w:rPr>
              <w:t>2.3</w:t>
            </w:r>
          </w:p>
        </w:tc>
        <w:tc>
          <w:tcPr>
            <w:tcW w:w="450" w:type="pct"/>
            <w:vAlign w:val="bottom"/>
          </w:tcPr>
          <w:p w:rsidR="009D43B4" w:rsidRPr="009D43B4" w:rsidRDefault="009D43B4" w:rsidP="00DC018F">
            <w:pPr>
              <w:pStyle w:val="TableBodyText"/>
              <w:rPr>
                <w:sz w:val="18"/>
                <w:szCs w:val="18"/>
              </w:rPr>
            </w:pPr>
            <w:r w:rsidRPr="009D43B4">
              <w:rPr>
                <w:sz w:val="18"/>
                <w:szCs w:val="18"/>
              </w:rPr>
              <w:t>0.8</w:t>
            </w:r>
          </w:p>
        </w:tc>
        <w:tc>
          <w:tcPr>
            <w:tcW w:w="450" w:type="pct"/>
            <w:vAlign w:val="bottom"/>
          </w:tcPr>
          <w:p w:rsidR="009D43B4" w:rsidRPr="009D43B4" w:rsidRDefault="009D43B4" w:rsidP="00DC018F">
            <w:pPr>
              <w:pStyle w:val="TableBodyText"/>
              <w:rPr>
                <w:sz w:val="18"/>
                <w:szCs w:val="18"/>
              </w:rPr>
            </w:pPr>
            <w:r w:rsidRPr="009D43B4">
              <w:rPr>
                <w:sz w:val="18"/>
                <w:szCs w:val="18"/>
              </w:rPr>
              <w:t>1.1</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1.0</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1.0</w:t>
            </w:r>
          </w:p>
        </w:tc>
      </w:tr>
      <w:tr w:rsidR="009D43B4" w:rsidRPr="00AF699A" w:rsidTr="006C3E9D">
        <w:tc>
          <w:tcPr>
            <w:tcW w:w="2097" w:type="pct"/>
            <w:vAlign w:val="bottom"/>
          </w:tcPr>
          <w:p w:rsidR="009D43B4" w:rsidRPr="009D43B4" w:rsidRDefault="009D43B4" w:rsidP="00BD2B3E">
            <w:pPr>
              <w:pStyle w:val="TableBodyText"/>
              <w:ind w:left="0"/>
              <w:jc w:val="left"/>
              <w:rPr>
                <w:sz w:val="18"/>
                <w:szCs w:val="18"/>
              </w:rPr>
            </w:pPr>
            <w:r w:rsidRPr="009D43B4">
              <w:rPr>
                <w:sz w:val="18"/>
                <w:szCs w:val="18"/>
              </w:rPr>
              <w:t>Construction</w:t>
            </w:r>
          </w:p>
        </w:tc>
        <w:tc>
          <w:tcPr>
            <w:tcW w:w="450" w:type="pct"/>
            <w:vAlign w:val="bottom"/>
          </w:tcPr>
          <w:p w:rsidR="009D43B4" w:rsidRPr="009D43B4" w:rsidRDefault="009D43B4" w:rsidP="00DC018F">
            <w:pPr>
              <w:pStyle w:val="TableBodyText"/>
              <w:rPr>
                <w:sz w:val="18"/>
                <w:szCs w:val="18"/>
              </w:rPr>
            </w:pPr>
            <w:r w:rsidRPr="009D43B4">
              <w:rPr>
                <w:sz w:val="18"/>
                <w:szCs w:val="18"/>
              </w:rPr>
              <w:t>18.8</w:t>
            </w:r>
          </w:p>
        </w:tc>
        <w:tc>
          <w:tcPr>
            <w:tcW w:w="450" w:type="pct"/>
            <w:vAlign w:val="bottom"/>
          </w:tcPr>
          <w:p w:rsidR="009D43B4" w:rsidRPr="009D43B4" w:rsidRDefault="009D43B4" w:rsidP="00DC018F">
            <w:pPr>
              <w:pStyle w:val="TableBodyText"/>
              <w:rPr>
                <w:sz w:val="18"/>
                <w:szCs w:val="18"/>
              </w:rPr>
            </w:pPr>
            <w:r w:rsidRPr="009D43B4">
              <w:rPr>
                <w:sz w:val="18"/>
                <w:szCs w:val="18"/>
              </w:rPr>
              <w:t>21.6</w:t>
            </w:r>
          </w:p>
        </w:tc>
        <w:tc>
          <w:tcPr>
            <w:tcW w:w="450" w:type="pct"/>
            <w:vAlign w:val="bottom"/>
          </w:tcPr>
          <w:p w:rsidR="009D43B4" w:rsidRPr="009D43B4" w:rsidRDefault="009D43B4" w:rsidP="00DC018F">
            <w:pPr>
              <w:pStyle w:val="TableBodyText"/>
              <w:rPr>
                <w:sz w:val="18"/>
                <w:szCs w:val="18"/>
              </w:rPr>
            </w:pPr>
            <w:r w:rsidRPr="009D43B4">
              <w:rPr>
                <w:sz w:val="18"/>
                <w:szCs w:val="18"/>
              </w:rPr>
              <w:t>30.4</w:t>
            </w:r>
          </w:p>
        </w:tc>
        <w:tc>
          <w:tcPr>
            <w:tcW w:w="450" w:type="pct"/>
            <w:vAlign w:val="bottom"/>
          </w:tcPr>
          <w:p w:rsidR="009D43B4" w:rsidRPr="009D43B4" w:rsidRDefault="009D43B4" w:rsidP="00DC018F">
            <w:pPr>
              <w:pStyle w:val="TableBodyText"/>
              <w:rPr>
                <w:sz w:val="18"/>
                <w:szCs w:val="18"/>
              </w:rPr>
            </w:pPr>
            <w:r w:rsidRPr="009D43B4">
              <w:rPr>
                <w:sz w:val="18"/>
                <w:szCs w:val="18"/>
              </w:rPr>
              <w:t>16.1</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14.5</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14.5</w:t>
            </w:r>
          </w:p>
        </w:tc>
      </w:tr>
      <w:tr w:rsidR="009D43B4" w:rsidRPr="00AF699A" w:rsidTr="006C3E9D">
        <w:tc>
          <w:tcPr>
            <w:tcW w:w="2097" w:type="pct"/>
            <w:vAlign w:val="bottom"/>
          </w:tcPr>
          <w:p w:rsidR="009D43B4" w:rsidRPr="009D43B4" w:rsidRDefault="009D43B4" w:rsidP="00BD2B3E">
            <w:pPr>
              <w:pStyle w:val="TableBodyText"/>
              <w:ind w:left="0"/>
              <w:jc w:val="left"/>
              <w:rPr>
                <w:sz w:val="18"/>
                <w:szCs w:val="18"/>
              </w:rPr>
            </w:pPr>
            <w:r w:rsidRPr="009D43B4">
              <w:rPr>
                <w:sz w:val="18"/>
                <w:szCs w:val="18"/>
              </w:rPr>
              <w:t>Wholesale trade</w:t>
            </w:r>
          </w:p>
        </w:tc>
        <w:tc>
          <w:tcPr>
            <w:tcW w:w="450" w:type="pct"/>
            <w:vAlign w:val="bottom"/>
          </w:tcPr>
          <w:p w:rsidR="009D43B4" w:rsidRPr="009D43B4" w:rsidRDefault="009D43B4" w:rsidP="00DC018F">
            <w:pPr>
              <w:pStyle w:val="TableBodyText"/>
              <w:rPr>
                <w:sz w:val="18"/>
                <w:szCs w:val="18"/>
              </w:rPr>
            </w:pPr>
            <w:r w:rsidRPr="009D43B4">
              <w:rPr>
                <w:sz w:val="18"/>
                <w:szCs w:val="18"/>
              </w:rPr>
              <w:t>12.7</w:t>
            </w:r>
          </w:p>
        </w:tc>
        <w:tc>
          <w:tcPr>
            <w:tcW w:w="450" w:type="pct"/>
            <w:vAlign w:val="bottom"/>
          </w:tcPr>
          <w:p w:rsidR="009D43B4" w:rsidRPr="009D43B4" w:rsidRDefault="009D43B4" w:rsidP="00DC018F">
            <w:pPr>
              <w:pStyle w:val="TableBodyText"/>
              <w:rPr>
                <w:sz w:val="18"/>
                <w:szCs w:val="18"/>
              </w:rPr>
            </w:pPr>
            <w:r w:rsidRPr="009D43B4">
              <w:rPr>
                <w:sz w:val="18"/>
                <w:szCs w:val="18"/>
              </w:rPr>
              <w:t>13.6</w:t>
            </w:r>
          </w:p>
        </w:tc>
        <w:tc>
          <w:tcPr>
            <w:tcW w:w="450" w:type="pct"/>
            <w:vAlign w:val="bottom"/>
          </w:tcPr>
          <w:p w:rsidR="009D43B4" w:rsidRPr="009D43B4" w:rsidRDefault="009D43B4" w:rsidP="00DC018F">
            <w:pPr>
              <w:pStyle w:val="TableBodyText"/>
              <w:rPr>
                <w:sz w:val="18"/>
                <w:szCs w:val="18"/>
              </w:rPr>
            </w:pPr>
            <w:r w:rsidRPr="009D43B4">
              <w:rPr>
                <w:sz w:val="18"/>
                <w:szCs w:val="18"/>
              </w:rPr>
              <w:t>21.8</w:t>
            </w:r>
          </w:p>
        </w:tc>
        <w:tc>
          <w:tcPr>
            <w:tcW w:w="450" w:type="pct"/>
            <w:vAlign w:val="bottom"/>
          </w:tcPr>
          <w:p w:rsidR="009D43B4" w:rsidRPr="009D43B4" w:rsidRDefault="009D43B4" w:rsidP="00DC018F">
            <w:pPr>
              <w:pStyle w:val="TableBodyText"/>
              <w:rPr>
                <w:sz w:val="18"/>
                <w:szCs w:val="18"/>
              </w:rPr>
            </w:pPr>
            <w:r w:rsidRPr="009D43B4">
              <w:rPr>
                <w:sz w:val="18"/>
                <w:szCs w:val="18"/>
              </w:rPr>
              <w:t>11.5</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10.4</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10.4</w:t>
            </w:r>
          </w:p>
        </w:tc>
      </w:tr>
      <w:tr w:rsidR="009D43B4" w:rsidRPr="00AF699A" w:rsidTr="006C3E9D">
        <w:tc>
          <w:tcPr>
            <w:tcW w:w="2097" w:type="pct"/>
            <w:vAlign w:val="bottom"/>
          </w:tcPr>
          <w:p w:rsidR="009D43B4" w:rsidRPr="009D43B4" w:rsidRDefault="009D43B4" w:rsidP="00BD2B3E">
            <w:pPr>
              <w:pStyle w:val="TableBodyText"/>
              <w:ind w:left="0"/>
              <w:jc w:val="left"/>
              <w:rPr>
                <w:sz w:val="18"/>
                <w:szCs w:val="18"/>
              </w:rPr>
            </w:pPr>
            <w:r w:rsidRPr="009D43B4">
              <w:rPr>
                <w:sz w:val="18"/>
                <w:szCs w:val="18"/>
              </w:rPr>
              <w:t>Retail trade</w:t>
            </w:r>
          </w:p>
        </w:tc>
        <w:tc>
          <w:tcPr>
            <w:tcW w:w="450" w:type="pct"/>
            <w:vAlign w:val="bottom"/>
          </w:tcPr>
          <w:p w:rsidR="009D43B4" w:rsidRPr="009D43B4" w:rsidRDefault="009D43B4" w:rsidP="00DC018F">
            <w:pPr>
              <w:pStyle w:val="TableBodyText"/>
              <w:rPr>
                <w:sz w:val="18"/>
                <w:szCs w:val="18"/>
              </w:rPr>
            </w:pPr>
            <w:r w:rsidRPr="009D43B4">
              <w:rPr>
                <w:sz w:val="18"/>
                <w:szCs w:val="18"/>
              </w:rPr>
              <w:t>32.0</w:t>
            </w:r>
          </w:p>
        </w:tc>
        <w:tc>
          <w:tcPr>
            <w:tcW w:w="450" w:type="pct"/>
            <w:vAlign w:val="bottom"/>
          </w:tcPr>
          <w:p w:rsidR="009D43B4" w:rsidRPr="009D43B4" w:rsidRDefault="009D43B4" w:rsidP="00DC018F">
            <w:pPr>
              <w:pStyle w:val="TableBodyText"/>
              <w:rPr>
                <w:sz w:val="18"/>
                <w:szCs w:val="18"/>
              </w:rPr>
            </w:pPr>
            <w:r w:rsidRPr="009D43B4">
              <w:rPr>
                <w:sz w:val="18"/>
                <w:szCs w:val="18"/>
              </w:rPr>
              <w:t>37.1</w:t>
            </w:r>
          </w:p>
        </w:tc>
        <w:tc>
          <w:tcPr>
            <w:tcW w:w="450" w:type="pct"/>
            <w:vAlign w:val="bottom"/>
          </w:tcPr>
          <w:p w:rsidR="009D43B4" w:rsidRPr="009D43B4" w:rsidRDefault="009D43B4" w:rsidP="00DC018F">
            <w:pPr>
              <w:pStyle w:val="TableBodyText"/>
              <w:rPr>
                <w:sz w:val="18"/>
                <w:szCs w:val="18"/>
              </w:rPr>
            </w:pPr>
            <w:r w:rsidRPr="009D43B4">
              <w:rPr>
                <w:sz w:val="18"/>
                <w:szCs w:val="18"/>
              </w:rPr>
              <w:t>58.9</w:t>
            </w:r>
          </w:p>
        </w:tc>
        <w:tc>
          <w:tcPr>
            <w:tcW w:w="450" w:type="pct"/>
            <w:vAlign w:val="bottom"/>
          </w:tcPr>
          <w:p w:rsidR="009D43B4" w:rsidRPr="009D43B4" w:rsidRDefault="009D43B4" w:rsidP="00DC018F">
            <w:pPr>
              <w:pStyle w:val="TableBodyText"/>
              <w:rPr>
                <w:sz w:val="18"/>
                <w:szCs w:val="18"/>
              </w:rPr>
            </w:pPr>
            <w:r w:rsidRPr="009D43B4">
              <w:rPr>
                <w:sz w:val="18"/>
                <w:szCs w:val="18"/>
              </w:rPr>
              <w:t>34.8</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31.3</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31.3</w:t>
            </w:r>
          </w:p>
        </w:tc>
      </w:tr>
      <w:tr w:rsidR="009D43B4" w:rsidRPr="00AF699A" w:rsidTr="006C3E9D">
        <w:tc>
          <w:tcPr>
            <w:tcW w:w="2097" w:type="pct"/>
            <w:vAlign w:val="bottom"/>
          </w:tcPr>
          <w:p w:rsidR="009D43B4" w:rsidRPr="009D43B4" w:rsidRDefault="009D43B4" w:rsidP="00BD2B3E">
            <w:pPr>
              <w:pStyle w:val="TableBodyText"/>
              <w:ind w:left="0"/>
              <w:jc w:val="left"/>
              <w:rPr>
                <w:sz w:val="18"/>
                <w:szCs w:val="18"/>
              </w:rPr>
            </w:pPr>
            <w:r w:rsidRPr="009D43B4">
              <w:rPr>
                <w:sz w:val="18"/>
                <w:szCs w:val="18"/>
              </w:rPr>
              <w:t>Accommodation and food services</w:t>
            </w:r>
          </w:p>
        </w:tc>
        <w:tc>
          <w:tcPr>
            <w:tcW w:w="450" w:type="pct"/>
            <w:vAlign w:val="bottom"/>
          </w:tcPr>
          <w:p w:rsidR="009D43B4" w:rsidRPr="009D43B4" w:rsidRDefault="009D43B4" w:rsidP="00DC018F">
            <w:pPr>
              <w:pStyle w:val="TableBodyText"/>
              <w:rPr>
                <w:sz w:val="18"/>
                <w:szCs w:val="18"/>
              </w:rPr>
            </w:pPr>
            <w:r w:rsidRPr="009D43B4">
              <w:rPr>
                <w:sz w:val="18"/>
                <w:szCs w:val="18"/>
              </w:rPr>
              <w:t>21.8</w:t>
            </w:r>
          </w:p>
        </w:tc>
        <w:tc>
          <w:tcPr>
            <w:tcW w:w="450" w:type="pct"/>
            <w:vAlign w:val="bottom"/>
          </w:tcPr>
          <w:p w:rsidR="009D43B4" w:rsidRPr="009D43B4" w:rsidRDefault="009D43B4" w:rsidP="00DC018F">
            <w:pPr>
              <w:pStyle w:val="TableBodyText"/>
              <w:rPr>
                <w:sz w:val="18"/>
                <w:szCs w:val="18"/>
              </w:rPr>
            </w:pPr>
            <w:r w:rsidRPr="009D43B4">
              <w:rPr>
                <w:sz w:val="18"/>
                <w:szCs w:val="18"/>
              </w:rPr>
              <w:t>32.1</w:t>
            </w:r>
          </w:p>
        </w:tc>
        <w:tc>
          <w:tcPr>
            <w:tcW w:w="450" w:type="pct"/>
            <w:vAlign w:val="bottom"/>
          </w:tcPr>
          <w:p w:rsidR="009D43B4" w:rsidRPr="009D43B4" w:rsidRDefault="009D43B4" w:rsidP="00DC018F">
            <w:pPr>
              <w:pStyle w:val="TableBodyText"/>
              <w:rPr>
                <w:sz w:val="18"/>
                <w:szCs w:val="18"/>
              </w:rPr>
            </w:pPr>
            <w:r w:rsidRPr="009D43B4">
              <w:rPr>
                <w:sz w:val="18"/>
                <w:szCs w:val="18"/>
              </w:rPr>
              <w:t>33.5</w:t>
            </w:r>
          </w:p>
        </w:tc>
        <w:tc>
          <w:tcPr>
            <w:tcW w:w="450" w:type="pct"/>
            <w:vAlign w:val="bottom"/>
          </w:tcPr>
          <w:p w:rsidR="009D43B4" w:rsidRPr="009D43B4" w:rsidRDefault="009D43B4" w:rsidP="00DC018F">
            <w:pPr>
              <w:pStyle w:val="TableBodyText"/>
              <w:rPr>
                <w:sz w:val="18"/>
                <w:szCs w:val="18"/>
              </w:rPr>
            </w:pPr>
            <w:r w:rsidRPr="009D43B4">
              <w:rPr>
                <w:sz w:val="18"/>
                <w:szCs w:val="18"/>
              </w:rPr>
              <w:t>21.7</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19.5</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19.5</w:t>
            </w:r>
          </w:p>
        </w:tc>
      </w:tr>
      <w:tr w:rsidR="009D43B4" w:rsidRPr="00AF699A" w:rsidTr="006C3E9D">
        <w:tc>
          <w:tcPr>
            <w:tcW w:w="2097" w:type="pct"/>
            <w:vAlign w:val="bottom"/>
          </w:tcPr>
          <w:p w:rsidR="009D43B4" w:rsidRPr="009D43B4" w:rsidRDefault="009D43B4" w:rsidP="00BD2B3E">
            <w:pPr>
              <w:pStyle w:val="TableBodyText"/>
              <w:ind w:left="0"/>
              <w:jc w:val="left"/>
              <w:rPr>
                <w:sz w:val="18"/>
                <w:szCs w:val="18"/>
              </w:rPr>
            </w:pPr>
            <w:r w:rsidRPr="009D43B4">
              <w:rPr>
                <w:sz w:val="18"/>
                <w:szCs w:val="18"/>
              </w:rPr>
              <w:t>Transport, postal and warehousing</w:t>
            </w:r>
          </w:p>
        </w:tc>
        <w:tc>
          <w:tcPr>
            <w:tcW w:w="450" w:type="pct"/>
            <w:vAlign w:val="bottom"/>
          </w:tcPr>
          <w:p w:rsidR="009D43B4" w:rsidRPr="009D43B4" w:rsidRDefault="009D43B4" w:rsidP="00DC018F">
            <w:pPr>
              <w:pStyle w:val="TableBodyText"/>
              <w:rPr>
                <w:sz w:val="18"/>
                <w:szCs w:val="18"/>
              </w:rPr>
            </w:pPr>
            <w:r w:rsidRPr="009D43B4">
              <w:rPr>
                <w:sz w:val="18"/>
                <w:szCs w:val="18"/>
              </w:rPr>
              <w:t>9.2</w:t>
            </w:r>
          </w:p>
        </w:tc>
        <w:tc>
          <w:tcPr>
            <w:tcW w:w="450" w:type="pct"/>
            <w:vAlign w:val="bottom"/>
          </w:tcPr>
          <w:p w:rsidR="009D43B4" w:rsidRPr="009D43B4" w:rsidRDefault="009D43B4" w:rsidP="00DC018F">
            <w:pPr>
              <w:pStyle w:val="TableBodyText"/>
              <w:rPr>
                <w:sz w:val="18"/>
                <w:szCs w:val="18"/>
              </w:rPr>
            </w:pPr>
            <w:r w:rsidRPr="009D43B4">
              <w:rPr>
                <w:sz w:val="18"/>
                <w:szCs w:val="18"/>
              </w:rPr>
              <w:t>13.4</w:t>
            </w:r>
          </w:p>
        </w:tc>
        <w:tc>
          <w:tcPr>
            <w:tcW w:w="450" w:type="pct"/>
            <w:vAlign w:val="bottom"/>
          </w:tcPr>
          <w:p w:rsidR="009D43B4" w:rsidRPr="009D43B4" w:rsidRDefault="009D43B4" w:rsidP="00DC018F">
            <w:pPr>
              <w:pStyle w:val="TableBodyText"/>
              <w:rPr>
                <w:sz w:val="18"/>
                <w:szCs w:val="18"/>
              </w:rPr>
            </w:pPr>
            <w:r w:rsidRPr="009D43B4">
              <w:rPr>
                <w:sz w:val="18"/>
                <w:szCs w:val="18"/>
              </w:rPr>
              <w:t>17.1</w:t>
            </w:r>
          </w:p>
        </w:tc>
        <w:tc>
          <w:tcPr>
            <w:tcW w:w="450" w:type="pct"/>
            <w:vAlign w:val="bottom"/>
          </w:tcPr>
          <w:p w:rsidR="009D43B4" w:rsidRPr="009D43B4" w:rsidRDefault="009D43B4" w:rsidP="00DC018F">
            <w:pPr>
              <w:pStyle w:val="TableBodyText"/>
              <w:rPr>
                <w:sz w:val="18"/>
                <w:szCs w:val="18"/>
              </w:rPr>
            </w:pPr>
            <w:r w:rsidRPr="009D43B4">
              <w:rPr>
                <w:sz w:val="18"/>
                <w:szCs w:val="18"/>
              </w:rPr>
              <w:t>10.5</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9.4</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9.4</w:t>
            </w:r>
          </w:p>
        </w:tc>
      </w:tr>
      <w:tr w:rsidR="009D43B4" w:rsidRPr="00AF699A" w:rsidTr="006C3E9D">
        <w:tc>
          <w:tcPr>
            <w:tcW w:w="2097" w:type="pct"/>
            <w:vAlign w:val="bottom"/>
          </w:tcPr>
          <w:p w:rsidR="009D43B4" w:rsidRPr="009D43B4" w:rsidRDefault="009D43B4" w:rsidP="00BD2B3E">
            <w:pPr>
              <w:pStyle w:val="TableBodyText"/>
              <w:ind w:left="0"/>
              <w:jc w:val="left"/>
              <w:rPr>
                <w:sz w:val="18"/>
                <w:szCs w:val="18"/>
              </w:rPr>
            </w:pPr>
            <w:r w:rsidRPr="009D43B4">
              <w:rPr>
                <w:sz w:val="18"/>
                <w:szCs w:val="18"/>
              </w:rPr>
              <w:t>Information, media and telecommunications</w:t>
            </w:r>
          </w:p>
        </w:tc>
        <w:tc>
          <w:tcPr>
            <w:tcW w:w="450" w:type="pct"/>
            <w:vAlign w:val="bottom"/>
          </w:tcPr>
          <w:p w:rsidR="009D43B4" w:rsidRPr="009D43B4" w:rsidRDefault="009D43B4" w:rsidP="00DC018F">
            <w:pPr>
              <w:pStyle w:val="TableBodyText"/>
              <w:rPr>
                <w:sz w:val="18"/>
                <w:szCs w:val="18"/>
              </w:rPr>
            </w:pPr>
            <w:r w:rsidRPr="009D43B4">
              <w:rPr>
                <w:sz w:val="18"/>
                <w:szCs w:val="18"/>
              </w:rPr>
              <w:t>2.0</w:t>
            </w:r>
          </w:p>
        </w:tc>
        <w:tc>
          <w:tcPr>
            <w:tcW w:w="450" w:type="pct"/>
            <w:vAlign w:val="bottom"/>
          </w:tcPr>
          <w:p w:rsidR="009D43B4" w:rsidRPr="009D43B4" w:rsidRDefault="009D43B4" w:rsidP="00DC018F">
            <w:pPr>
              <w:pStyle w:val="TableBodyText"/>
              <w:rPr>
                <w:sz w:val="18"/>
                <w:szCs w:val="18"/>
              </w:rPr>
            </w:pPr>
            <w:r w:rsidRPr="009D43B4">
              <w:rPr>
                <w:sz w:val="18"/>
                <w:szCs w:val="18"/>
              </w:rPr>
              <w:t>3.2</w:t>
            </w:r>
          </w:p>
        </w:tc>
        <w:tc>
          <w:tcPr>
            <w:tcW w:w="450" w:type="pct"/>
            <w:vAlign w:val="bottom"/>
          </w:tcPr>
          <w:p w:rsidR="009D43B4" w:rsidRPr="009D43B4" w:rsidRDefault="009D43B4" w:rsidP="00DC018F">
            <w:pPr>
              <w:pStyle w:val="TableBodyText"/>
              <w:rPr>
                <w:sz w:val="18"/>
                <w:szCs w:val="18"/>
              </w:rPr>
            </w:pPr>
            <w:r w:rsidRPr="009D43B4">
              <w:rPr>
                <w:sz w:val="18"/>
                <w:szCs w:val="18"/>
              </w:rPr>
              <w:t>3.1</w:t>
            </w:r>
          </w:p>
        </w:tc>
        <w:tc>
          <w:tcPr>
            <w:tcW w:w="450" w:type="pct"/>
            <w:vAlign w:val="bottom"/>
          </w:tcPr>
          <w:p w:rsidR="009D43B4" w:rsidRPr="009D43B4" w:rsidRDefault="009D43B4" w:rsidP="00DC018F">
            <w:pPr>
              <w:pStyle w:val="TableBodyText"/>
              <w:rPr>
                <w:sz w:val="18"/>
                <w:szCs w:val="18"/>
              </w:rPr>
            </w:pPr>
            <w:r w:rsidRPr="009D43B4">
              <w:rPr>
                <w:sz w:val="18"/>
                <w:szCs w:val="18"/>
              </w:rPr>
              <w:t>3.4</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3.1</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3.1</w:t>
            </w:r>
          </w:p>
        </w:tc>
      </w:tr>
      <w:tr w:rsidR="009D43B4" w:rsidRPr="00AF699A" w:rsidTr="006C3E9D">
        <w:tc>
          <w:tcPr>
            <w:tcW w:w="2097" w:type="pct"/>
            <w:vAlign w:val="bottom"/>
          </w:tcPr>
          <w:p w:rsidR="009D43B4" w:rsidRPr="009D43B4" w:rsidRDefault="009D43B4" w:rsidP="00BD2B3E">
            <w:pPr>
              <w:pStyle w:val="TableBodyText"/>
              <w:ind w:left="0"/>
              <w:jc w:val="left"/>
              <w:rPr>
                <w:sz w:val="18"/>
                <w:szCs w:val="18"/>
              </w:rPr>
            </w:pPr>
            <w:r w:rsidRPr="009D43B4">
              <w:rPr>
                <w:sz w:val="18"/>
                <w:szCs w:val="18"/>
              </w:rPr>
              <w:t>Financial and insurance services</w:t>
            </w:r>
          </w:p>
        </w:tc>
        <w:tc>
          <w:tcPr>
            <w:tcW w:w="450" w:type="pct"/>
            <w:vAlign w:val="bottom"/>
          </w:tcPr>
          <w:p w:rsidR="009D43B4" w:rsidRPr="009D43B4" w:rsidRDefault="009D43B4" w:rsidP="00DC018F">
            <w:pPr>
              <w:pStyle w:val="TableBodyText"/>
              <w:rPr>
                <w:sz w:val="18"/>
                <w:szCs w:val="18"/>
              </w:rPr>
            </w:pPr>
            <w:r w:rsidRPr="009D43B4">
              <w:rPr>
                <w:sz w:val="18"/>
                <w:szCs w:val="18"/>
              </w:rPr>
              <w:t>105.5</w:t>
            </w:r>
          </w:p>
        </w:tc>
        <w:tc>
          <w:tcPr>
            <w:tcW w:w="450" w:type="pct"/>
            <w:vAlign w:val="bottom"/>
          </w:tcPr>
          <w:p w:rsidR="009D43B4" w:rsidRPr="009D43B4" w:rsidRDefault="009D43B4" w:rsidP="00DC018F">
            <w:pPr>
              <w:pStyle w:val="TableBodyText"/>
              <w:rPr>
                <w:sz w:val="18"/>
                <w:szCs w:val="18"/>
              </w:rPr>
            </w:pPr>
            <w:r w:rsidRPr="009D43B4">
              <w:rPr>
                <w:sz w:val="18"/>
                <w:szCs w:val="18"/>
              </w:rPr>
              <w:t>113.6</w:t>
            </w:r>
          </w:p>
        </w:tc>
        <w:tc>
          <w:tcPr>
            <w:tcW w:w="450" w:type="pct"/>
            <w:vAlign w:val="bottom"/>
          </w:tcPr>
          <w:p w:rsidR="009D43B4" w:rsidRPr="009D43B4" w:rsidRDefault="009D43B4" w:rsidP="00DC018F">
            <w:pPr>
              <w:pStyle w:val="TableBodyText"/>
              <w:rPr>
                <w:sz w:val="18"/>
                <w:szCs w:val="18"/>
              </w:rPr>
            </w:pPr>
            <w:r w:rsidRPr="009D43B4">
              <w:rPr>
                <w:sz w:val="18"/>
                <w:szCs w:val="18"/>
              </w:rPr>
              <w:t>169.7</w:t>
            </w:r>
          </w:p>
        </w:tc>
        <w:tc>
          <w:tcPr>
            <w:tcW w:w="450" w:type="pct"/>
            <w:vAlign w:val="bottom"/>
          </w:tcPr>
          <w:p w:rsidR="009D43B4" w:rsidRPr="009D43B4" w:rsidRDefault="009D43B4" w:rsidP="00DC018F">
            <w:pPr>
              <w:pStyle w:val="TableBodyText"/>
              <w:rPr>
                <w:sz w:val="18"/>
                <w:szCs w:val="18"/>
              </w:rPr>
            </w:pPr>
            <w:r w:rsidRPr="009D43B4">
              <w:rPr>
                <w:sz w:val="18"/>
                <w:szCs w:val="18"/>
              </w:rPr>
              <w:t>99.2</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89.2</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89.2</w:t>
            </w:r>
          </w:p>
        </w:tc>
      </w:tr>
      <w:tr w:rsidR="009D43B4" w:rsidRPr="00AF699A" w:rsidTr="006C3E9D">
        <w:tc>
          <w:tcPr>
            <w:tcW w:w="2097" w:type="pct"/>
            <w:vAlign w:val="bottom"/>
          </w:tcPr>
          <w:p w:rsidR="009D43B4" w:rsidRPr="009D43B4" w:rsidRDefault="009D43B4" w:rsidP="00BD2B3E">
            <w:pPr>
              <w:pStyle w:val="TableBodyText"/>
              <w:ind w:left="0"/>
              <w:jc w:val="left"/>
              <w:rPr>
                <w:sz w:val="18"/>
                <w:szCs w:val="18"/>
              </w:rPr>
            </w:pPr>
            <w:r w:rsidRPr="009D43B4">
              <w:rPr>
                <w:sz w:val="18"/>
                <w:szCs w:val="18"/>
              </w:rPr>
              <w:t>Property,</w:t>
            </w:r>
            <w:r w:rsidR="006C3E9D">
              <w:rPr>
                <w:sz w:val="18"/>
                <w:szCs w:val="18"/>
              </w:rPr>
              <w:t xml:space="preserve"> professional and admin.</w:t>
            </w:r>
            <w:r w:rsidRPr="009D43B4">
              <w:rPr>
                <w:sz w:val="18"/>
                <w:szCs w:val="18"/>
              </w:rPr>
              <w:t xml:space="preserve"> services</w:t>
            </w:r>
          </w:p>
        </w:tc>
        <w:tc>
          <w:tcPr>
            <w:tcW w:w="450" w:type="pct"/>
            <w:vAlign w:val="bottom"/>
          </w:tcPr>
          <w:p w:rsidR="009D43B4" w:rsidRPr="009D43B4" w:rsidRDefault="009D43B4" w:rsidP="00DC018F">
            <w:pPr>
              <w:pStyle w:val="TableBodyText"/>
              <w:rPr>
                <w:sz w:val="18"/>
                <w:szCs w:val="18"/>
              </w:rPr>
            </w:pPr>
            <w:r w:rsidRPr="009D43B4">
              <w:rPr>
                <w:sz w:val="18"/>
                <w:szCs w:val="18"/>
              </w:rPr>
              <w:t>71.6</w:t>
            </w:r>
          </w:p>
        </w:tc>
        <w:tc>
          <w:tcPr>
            <w:tcW w:w="450" w:type="pct"/>
            <w:vAlign w:val="bottom"/>
          </w:tcPr>
          <w:p w:rsidR="009D43B4" w:rsidRPr="009D43B4" w:rsidRDefault="009D43B4" w:rsidP="00DC018F">
            <w:pPr>
              <w:pStyle w:val="TableBodyText"/>
              <w:rPr>
                <w:sz w:val="18"/>
                <w:szCs w:val="18"/>
              </w:rPr>
            </w:pPr>
            <w:r w:rsidRPr="009D43B4">
              <w:rPr>
                <w:sz w:val="18"/>
                <w:szCs w:val="18"/>
              </w:rPr>
              <w:t>98.6</w:t>
            </w:r>
          </w:p>
        </w:tc>
        <w:tc>
          <w:tcPr>
            <w:tcW w:w="450" w:type="pct"/>
            <w:vAlign w:val="bottom"/>
          </w:tcPr>
          <w:p w:rsidR="009D43B4" w:rsidRPr="009D43B4" w:rsidRDefault="009D43B4" w:rsidP="00DC018F">
            <w:pPr>
              <w:pStyle w:val="TableBodyText"/>
              <w:rPr>
                <w:sz w:val="18"/>
                <w:szCs w:val="18"/>
              </w:rPr>
            </w:pPr>
            <w:r w:rsidRPr="009D43B4">
              <w:rPr>
                <w:sz w:val="18"/>
                <w:szCs w:val="18"/>
              </w:rPr>
              <w:t>136.2</w:t>
            </w:r>
          </w:p>
        </w:tc>
        <w:tc>
          <w:tcPr>
            <w:tcW w:w="450" w:type="pct"/>
            <w:vAlign w:val="bottom"/>
          </w:tcPr>
          <w:p w:rsidR="009D43B4" w:rsidRPr="009D43B4" w:rsidRDefault="009D43B4" w:rsidP="00DC018F">
            <w:pPr>
              <w:pStyle w:val="TableBodyText"/>
              <w:rPr>
                <w:sz w:val="18"/>
                <w:szCs w:val="18"/>
              </w:rPr>
            </w:pPr>
            <w:r w:rsidRPr="009D43B4">
              <w:rPr>
                <w:sz w:val="18"/>
                <w:szCs w:val="18"/>
              </w:rPr>
              <w:t>80.9</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72.8</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72.8</w:t>
            </w:r>
          </w:p>
        </w:tc>
      </w:tr>
      <w:tr w:rsidR="009D43B4" w:rsidRPr="00AF699A" w:rsidTr="006C3E9D">
        <w:tc>
          <w:tcPr>
            <w:tcW w:w="2097" w:type="pct"/>
            <w:vAlign w:val="bottom"/>
          </w:tcPr>
          <w:p w:rsidR="009D43B4" w:rsidRPr="009D43B4" w:rsidRDefault="009D43B4" w:rsidP="00BD2B3E">
            <w:pPr>
              <w:pStyle w:val="TableBodyText"/>
              <w:ind w:left="0"/>
              <w:jc w:val="left"/>
              <w:rPr>
                <w:sz w:val="18"/>
                <w:szCs w:val="18"/>
              </w:rPr>
            </w:pPr>
            <w:r w:rsidRPr="009D43B4">
              <w:rPr>
                <w:sz w:val="18"/>
                <w:szCs w:val="18"/>
              </w:rPr>
              <w:t>Public administration and safety</w:t>
            </w:r>
          </w:p>
        </w:tc>
        <w:tc>
          <w:tcPr>
            <w:tcW w:w="450" w:type="pct"/>
            <w:vAlign w:val="bottom"/>
          </w:tcPr>
          <w:p w:rsidR="009D43B4" w:rsidRPr="009D43B4" w:rsidRDefault="009D43B4" w:rsidP="00DC018F">
            <w:pPr>
              <w:pStyle w:val="TableBodyText"/>
              <w:rPr>
                <w:sz w:val="18"/>
                <w:szCs w:val="18"/>
              </w:rPr>
            </w:pPr>
            <w:r w:rsidRPr="009D43B4">
              <w:rPr>
                <w:sz w:val="18"/>
                <w:szCs w:val="18"/>
              </w:rPr>
              <w:t>0.4</w:t>
            </w:r>
          </w:p>
        </w:tc>
        <w:tc>
          <w:tcPr>
            <w:tcW w:w="450" w:type="pct"/>
            <w:vAlign w:val="bottom"/>
          </w:tcPr>
          <w:p w:rsidR="009D43B4" w:rsidRPr="009D43B4" w:rsidRDefault="009D43B4" w:rsidP="00DC018F">
            <w:pPr>
              <w:pStyle w:val="TableBodyText"/>
              <w:rPr>
                <w:sz w:val="18"/>
                <w:szCs w:val="18"/>
              </w:rPr>
            </w:pPr>
            <w:r w:rsidRPr="009D43B4">
              <w:rPr>
                <w:sz w:val="18"/>
                <w:szCs w:val="18"/>
              </w:rPr>
              <w:t>0.4</w:t>
            </w:r>
          </w:p>
        </w:tc>
        <w:tc>
          <w:tcPr>
            <w:tcW w:w="450" w:type="pct"/>
            <w:vAlign w:val="bottom"/>
          </w:tcPr>
          <w:p w:rsidR="009D43B4" w:rsidRPr="009D43B4" w:rsidRDefault="009D43B4" w:rsidP="00DC018F">
            <w:pPr>
              <w:pStyle w:val="TableBodyText"/>
              <w:rPr>
                <w:sz w:val="18"/>
                <w:szCs w:val="18"/>
              </w:rPr>
            </w:pPr>
            <w:r w:rsidRPr="009D43B4">
              <w:rPr>
                <w:sz w:val="18"/>
                <w:szCs w:val="18"/>
              </w:rPr>
              <w:t>2.0</w:t>
            </w:r>
          </w:p>
        </w:tc>
        <w:tc>
          <w:tcPr>
            <w:tcW w:w="450" w:type="pct"/>
            <w:vAlign w:val="bottom"/>
          </w:tcPr>
          <w:p w:rsidR="009D43B4" w:rsidRPr="009D43B4" w:rsidRDefault="009D43B4" w:rsidP="00DC018F">
            <w:pPr>
              <w:pStyle w:val="TableBodyText"/>
              <w:rPr>
                <w:sz w:val="18"/>
                <w:szCs w:val="18"/>
              </w:rPr>
            </w:pPr>
            <w:r w:rsidRPr="009D43B4">
              <w:rPr>
                <w:sz w:val="18"/>
                <w:szCs w:val="18"/>
              </w:rPr>
              <w:t>0.8</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0.7</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0.7</w:t>
            </w:r>
          </w:p>
        </w:tc>
      </w:tr>
      <w:tr w:rsidR="009D43B4" w:rsidRPr="00AF699A" w:rsidTr="006C3E9D">
        <w:tc>
          <w:tcPr>
            <w:tcW w:w="2097" w:type="pct"/>
            <w:vAlign w:val="bottom"/>
          </w:tcPr>
          <w:p w:rsidR="009D43B4" w:rsidRPr="009D43B4" w:rsidRDefault="009D43B4" w:rsidP="00BD2B3E">
            <w:pPr>
              <w:pStyle w:val="TableBodyText"/>
              <w:ind w:left="0"/>
              <w:jc w:val="left"/>
              <w:rPr>
                <w:sz w:val="18"/>
                <w:szCs w:val="18"/>
              </w:rPr>
            </w:pPr>
            <w:r w:rsidRPr="009D43B4">
              <w:rPr>
                <w:sz w:val="18"/>
                <w:szCs w:val="18"/>
              </w:rPr>
              <w:t>Education and training</w:t>
            </w:r>
          </w:p>
        </w:tc>
        <w:tc>
          <w:tcPr>
            <w:tcW w:w="450" w:type="pct"/>
            <w:vAlign w:val="bottom"/>
          </w:tcPr>
          <w:p w:rsidR="009D43B4" w:rsidRPr="009D43B4" w:rsidRDefault="009D43B4" w:rsidP="00DC018F">
            <w:pPr>
              <w:pStyle w:val="TableBodyText"/>
              <w:rPr>
                <w:sz w:val="18"/>
                <w:szCs w:val="18"/>
              </w:rPr>
            </w:pPr>
            <w:r w:rsidRPr="009D43B4">
              <w:rPr>
                <w:sz w:val="18"/>
                <w:szCs w:val="18"/>
              </w:rPr>
              <w:t>1.8</w:t>
            </w:r>
          </w:p>
        </w:tc>
        <w:tc>
          <w:tcPr>
            <w:tcW w:w="450" w:type="pct"/>
            <w:vAlign w:val="bottom"/>
          </w:tcPr>
          <w:p w:rsidR="009D43B4" w:rsidRPr="009D43B4" w:rsidRDefault="009D43B4" w:rsidP="00DC018F">
            <w:pPr>
              <w:pStyle w:val="TableBodyText"/>
              <w:rPr>
                <w:sz w:val="18"/>
                <w:szCs w:val="18"/>
              </w:rPr>
            </w:pPr>
            <w:r w:rsidRPr="009D43B4">
              <w:rPr>
                <w:sz w:val="18"/>
                <w:szCs w:val="18"/>
              </w:rPr>
              <w:t>3.6</w:t>
            </w:r>
          </w:p>
        </w:tc>
        <w:tc>
          <w:tcPr>
            <w:tcW w:w="450" w:type="pct"/>
            <w:vAlign w:val="bottom"/>
          </w:tcPr>
          <w:p w:rsidR="009D43B4" w:rsidRPr="009D43B4" w:rsidRDefault="009D43B4" w:rsidP="00DC018F">
            <w:pPr>
              <w:pStyle w:val="TableBodyText"/>
              <w:rPr>
                <w:sz w:val="18"/>
                <w:szCs w:val="18"/>
              </w:rPr>
            </w:pPr>
            <w:r w:rsidRPr="009D43B4">
              <w:rPr>
                <w:sz w:val="18"/>
                <w:szCs w:val="18"/>
              </w:rPr>
              <w:t>4.7</w:t>
            </w:r>
          </w:p>
        </w:tc>
        <w:tc>
          <w:tcPr>
            <w:tcW w:w="450" w:type="pct"/>
            <w:vAlign w:val="bottom"/>
          </w:tcPr>
          <w:p w:rsidR="009D43B4" w:rsidRPr="009D43B4" w:rsidRDefault="009D43B4" w:rsidP="00DC018F">
            <w:pPr>
              <w:pStyle w:val="TableBodyText"/>
              <w:rPr>
                <w:sz w:val="18"/>
                <w:szCs w:val="18"/>
              </w:rPr>
            </w:pPr>
            <w:r w:rsidRPr="009D43B4">
              <w:rPr>
                <w:sz w:val="18"/>
                <w:szCs w:val="18"/>
              </w:rPr>
              <w:t>2.2</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2.0</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2.0</w:t>
            </w:r>
          </w:p>
        </w:tc>
      </w:tr>
      <w:tr w:rsidR="009D43B4" w:rsidRPr="00AF699A" w:rsidTr="006C3E9D">
        <w:tc>
          <w:tcPr>
            <w:tcW w:w="2097" w:type="pct"/>
            <w:vAlign w:val="bottom"/>
          </w:tcPr>
          <w:p w:rsidR="009D43B4" w:rsidRPr="009D43B4" w:rsidRDefault="009D43B4" w:rsidP="00BD2B3E">
            <w:pPr>
              <w:pStyle w:val="TableBodyText"/>
              <w:ind w:left="0"/>
              <w:jc w:val="left"/>
              <w:rPr>
                <w:sz w:val="18"/>
                <w:szCs w:val="18"/>
              </w:rPr>
            </w:pPr>
            <w:r w:rsidRPr="009D43B4">
              <w:rPr>
                <w:sz w:val="18"/>
                <w:szCs w:val="18"/>
              </w:rPr>
              <w:t>Health care and social assistance</w:t>
            </w:r>
          </w:p>
        </w:tc>
        <w:tc>
          <w:tcPr>
            <w:tcW w:w="450" w:type="pct"/>
            <w:vAlign w:val="bottom"/>
          </w:tcPr>
          <w:p w:rsidR="009D43B4" w:rsidRPr="009D43B4" w:rsidRDefault="009D43B4" w:rsidP="00DC018F">
            <w:pPr>
              <w:pStyle w:val="TableBodyText"/>
              <w:rPr>
                <w:sz w:val="18"/>
                <w:szCs w:val="18"/>
              </w:rPr>
            </w:pPr>
            <w:r w:rsidRPr="009D43B4">
              <w:rPr>
                <w:sz w:val="18"/>
                <w:szCs w:val="18"/>
              </w:rPr>
              <w:t>20.7</w:t>
            </w:r>
          </w:p>
        </w:tc>
        <w:tc>
          <w:tcPr>
            <w:tcW w:w="450" w:type="pct"/>
            <w:vAlign w:val="bottom"/>
          </w:tcPr>
          <w:p w:rsidR="009D43B4" w:rsidRPr="009D43B4" w:rsidRDefault="009D43B4" w:rsidP="00DC018F">
            <w:pPr>
              <w:pStyle w:val="TableBodyText"/>
              <w:rPr>
                <w:sz w:val="18"/>
                <w:szCs w:val="18"/>
              </w:rPr>
            </w:pPr>
            <w:r w:rsidRPr="009D43B4">
              <w:rPr>
                <w:sz w:val="18"/>
                <w:szCs w:val="18"/>
              </w:rPr>
              <w:t>36.1</w:t>
            </w:r>
          </w:p>
        </w:tc>
        <w:tc>
          <w:tcPr>
            <w:tcW w:w="450" w:type="pct"/>
            <w:vAlign w:val="bottom"/>
          </w:tcPr>
          <w:p w:rsidR="009D43B4" w:rsidRPr="009D43B4" w:rsidRDefault="009D43B4" w:rsidP="00DC018F">
            <w:pPr>
              <w:pStyle w:val="TableBodyText"/>
              <w:rPr>
                <w:sz w:val="18"/>
                <w:szCs w:val="18"/>
              </w:rPr>
            </w:pPr>
            <w:r w:rsidRPr="009D43B4">
              <w:rPr>
                <w:sz w:val="18"/>
                <w:szCs w:val="18"/>
              </w:rPr>
              <w:t>36.4</w:t>
            </w:r>
          </w:p>
        </w:tc>
        <w:tc>
          <w:tcPr>
            <w:tcW w:w="450" w:type="pct"/>
            <w:vAlign w:val="bottom"/>
          </w:tcPr>
          <w:p w:rsidR="009D43B4" w:rsidRPr="009D43B4" w:rsidRDefault="009D43B4" w:rsidP="00DC018F">
            <w:pPr>
              <w:pStyle w:val="TableBodyText"/>
              <w:rPr>
                <w:sz w:val="18"/>
                <w:szCs w:val="18"/>
              </w:rPr>
            </w:pPr>
            <w:r w:rsidRPr="009D43B4">
              <w:rPr>
                <w:sz w:val="18"/>
                <w:szCs w:val="18"/>
              </w:rPr>
              <w:t>17.8</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16.0</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16.0</w:t>
            </w:r>
          </w:p>
        </w:tc>
      </w:tr>
      <w:tr w:rsidR="009D43B4" w:rsidRPr="00AF699A" w:rsidTr="006C3E9D">
        <w:tc>
          <w:tcPr>
            <w:tcW w:w="2097" w:type="pct"/>
            <w:vAlign w:val="bottom"/>
          </w:tcPr>
          <w:p w:rsidR="009D43B4" w:rsidRPr="009D43B4" w:rsidRDefault="009D43B4" w:rsidP="00BD2B3E">
            <w:pPr>
              <w:pStyle w:val="TableBodyText"/>
              <w:ind w:left="0"/>
              <w:jc w:val="left"/>
              <w:rPr>
                <w:sz w:val="18"/>
                <w:szCs w:val="18"/>
              </w:rPr>
            </w:pPr>
            <w:r w:rsidRPr="009D43B4">
              <w:rPr>
                <w:sz w:val="18"/>
                <w:szCs w:val="18"/>
              </w:rPr>
              <w:t>Arts and recreation services</w:t>
            </w:r>
          </w:p>
        </w:tc>
        <w:tc>
          <w:tcPr>
            <w:tcW w:w="450" w:type="pct"/>
            <w:vAlign w:val="bottom"/>
          </w:tcPr>
          <w:p w:rsidR="009D43B4" w:rsidRPr="009D43B4" w:rsidRDefault="009D43B4" w:rsidP="00DC018F">
            <w:pPr>
              <w:pStyle w:val="TableBodyText"/>
              <w:rPr>
                <w:sz w:val="18"/>
                <w:szCs w:val="18"/>
              </w:rPr>
            </w:pPr>
            <w:r w:rsidRPr="009D43B4">
              <w:rPr>
                <w:sz w:val="18"/>
                <w:szCs w:val="18"/>
              </w:rPr>
              <w:t>4.7</w:t>
            </w:r>
          </w:p>
        </w:tc>
        <w:tc>
          <w:tcPr>
            <w:tcW w:w="450" w:type="pct"/>
            <w:vAlign w:val="bottom"/>
          </w:tcPr>
          <w:p w:rsidR="009D43B4" w:rsidRPr="009D43B4" w:rsidRDefault="009D43B4" w:rsidP="00DC018F">
            <w:pPr>
              <w:pStyle w:val="TableBodyText"/>
              <w:rPr>
                <w:sz w:val="18"/>
                <w:szCs w:val="18"/>
              </w:rPr>
            </w:pPr>
            <w:r w:rsidRPr="009D43B4">
              <w:rPr>
                <w:sz w:val="18"/>
                <w:szCs w:val="18"/>
              </w:rPr>
              <w:t>3.7</w:t>
            </w:r>
          </w:p>
        </w:tc>
        <w:tc>
          <w:tcPr>
            <w:tcW w:w="450" w:type="pct"/>
            <w:vAlign w:val="bottom"/>
          </w:tcPr>
          <w:p w:rsidR="009D43B4" w:rsidRPr="009D43B4" w:rsidRDefault="009D43B4" w:rsidP="00DC018F">
            <w:pPr>
              <w:pStyle w:val="TableBodyText"/>
              <w:rPr>
                <w:sz w:val="18"/>
                <w:szCs w:val="18"/>
              </w:rPr>
            </w:pPr>
            <w:r w:rsidRPr="009D43B4">
              <w:rPr>
                <w:sz w:val="18"/>
                <w:szCs w:val="18"/>
              </w:rPr>
              <w:t>5.3</w:t>
            </w:r>
          </w:p>
        </w:tc>
        <w:tc>
          <w:tcPr>
            <w:tcW w:w="450" w:type="pct"/>
            <w:vAlign w:val="bottom"/>
          </w:tcPr>
          <w:p w:rsidR="009D43B4" w:rsidRPr="009D43B4" w:rsidRDefault="009D43B4" w:rsidP="00DC018F">
            <w:pPr>
              <w:pStyle w:val="TableBodyText"/>
              <w:rPr>
                <w:sz w:val="18"/>
                <w:szCs w:val="18"/>
              </w:rPr>
            </w:pPr>
            <w:r w:rsidRPr="009D43B4">
              <w:rPr>
                <w:sz w:val="18"/>
                <w:szCs w:val="18"/>
              </w:rPr>
              <w:t>4.3</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3.9</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3.9</w:t>
            </w:r>
          </w:p>
        </w:tc>
      </w:tr>
      <w:tr w:rsidR="009D43B4" w:rsidRPr="00AF699A" w:rsidTr="006C3E9D">
        <w:tc>
          <w:tcPr>
            <w:tcW w:w="2097" w:type="pct"/>
            <w:vAlign w:val="bottom"/>
          </w:tcPr>
          <w:p w:rsidR="009D43B4" w:rsidRPr="009D43B4" w:rsidRDefault="009D43B4" w:rsidP="00BD2B3E">
            <w:pPr>
              <w:pStyle w:val="TableBodyText"/>
              <w:ind w:left="0"/>
              <w:jc w:val="left"/>
              <w:rPr>
                <w:sz w:val="18"/>
                <w:szCs w:val="18"/>
              </w:rPr>
            </w:pPr>
            <w:r w:rsidRPr="009D43B4">
              <w:rPr>
                <w:sz w:val="18"/>
                <w:szCs w:val="18"/>
              </w:rPr>
              <w:t>Other services</w:t>
            </w:r>
          </w:p>
        </w:tc>
        <w:tc>
          <w:tcPr>
            <w:tcW w:w="450" w:type="pct"/>
            <w:vAlign w:val="bottom"/>
          </w:tcPr>
          <w:p w:rsidR="009D43B4" w:rsidRPr="009D43B4" w:rsidRDefault="009D43B4" w:rsidP="00DC018F">
            <w:pPr>
              <w:pStyle w:val="TableBodyText"/>
              <w:rPr>
                <w:sz w:val="18"/>
                <w:szCs w:val="18"/>
              </w:rPr>
            </w:pPr>
            <w:r w:rsidRPr="009D43B4">
              <w:rPr>
                <w:sz w:val="18"/>
                <w:szCs w:val="18"/>
              </w:rPr>
              <w:t>8.9</w:t>
            </w:r>
          </w:p>
        </w:tc>
        <w:tc>
          <w:tcPr>
            <w:tcW w:w="450" w:type="pct"/>
            <w:vAlign w:val="bottom"/>
          </w:tcPr>
          <w:p w:rsidR="009D43B4" w:rsidRPr="009D43B4" w:rsidRDefault="009D43B4" w:rsidP="00DC018F">
            <w:pPr>
              <w:pStyle w:val="TableBodyText"/>
              <w:rPr>
                <w:sz w:val="18"/>
                <w:szCs w:val="18"/>
              </w:rPr>
            </w:pPr>
            <w:r w:rsidRPr="009D43B4">
              <w:rPr>
                <w:sz w:val="18"/>
                <w:szCs w:val="18"/>
              </w:rPr>
              <w:t>12.3</w:t>
            </w:r>
          </w:p>
        </w:tc>
        <w:tc>
          <w:tcPr>
            <w:tcW w:w="450" w:type="pct"/>
            <w:vAlign w:val="bottom"/>
          </w:tcPr>
          <w:p w:rsidR="009D43B4" w:rsidRPr="009D43B4" w:rsidRDefault="009D43B4" w:rsidP="00DC018F">
            <w:pPr>
              <w:pStyle w:val="TableBodyText"/>
              <w:rPr>
                <w:sz w:val="18"/>
                <w:szCs w:val="18"/>
              </w:rPr>
            </w:pPr>
            <w:r w:rsidRPr="009D43B4">
              <w:rPr>
                <w:sz w:val="18"/>
                <w:szCs w:val="18"/>
              </w:rPr>
              <w:t>15.1</w:t>
            </w:r>
          </w:p>
        </w:tc>
        <w:tc>
          <w:tcPr>
            <w:tcW w:w="450" w:type="pct"/>
            <w:vAlign w:val="bottom"/>
          </w:tcPr>
          <w:p w:rsidR="009D43B4" w:rsidRPr="009D43B4" w:rsidRDefault="009D43B4" w:rsidP="00DC018F">
            <w:pPr>
              <w:pStyle w:val="TableBodyText"/>
              <w:rPr>
                <w:sz w:val="18"/>
                <w:szCs w:val="18"/>
              </w:rPr>
            </w:pPr>
            <w:r w:rsidRPr="009D43B4">
              <w:rPr>
                <w:sz w:val="18"/>
                <w:szCs w:val="18"/>
              </w:rPr>
              <w:t>7.8</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7.0</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7.0</w:t>
            </w:r>
          </w:p>
        </w:tc>
      </w:tr>
      <w:tr w:rsidR="009D43B4" w:rsidRPr="00AF699A" w:rsidTr="006C3E9D">
        <w:tc>
          <w:tcPr>
            <w:tcW w:w="2097" w:type="pct"/>
            <w:vAlign w:val="bottom"/>
          </w:tcPr>
          <w:p w:rsidR="009D43B4" w:rsidRPr="009D43B4" w:rsidRDefault="009D43B4" w:rsidP="0045429A">
            <w:pPr>
              <w:pStyle w:val="TableBodyText"/>
              <w:jc w:val="left"/>
              <w:rPr>
                <w:sz w:val="18"/>
                <w:szCs w:val="18"/>
              </w:rPr>
            </w:pPr>
            <w:r w:rsidRPr="009D43B4">
              <w:rPr>
                <w:sz w:val="18"/>
                <w:szCs w:val="18"/>
              </w:rPr>
              <w:t>Unallocated other</w:t>
            </w:r>
            <w:r w:rsidRPr="009D43B4">
              <w:rPr>
                <w:rStyle w:val="NoteLabel"/>
                <w:szCs w:val="18"/>
              </w:rPr>
              <w:t>a</w:t>
            </w:r>
          </w:p>
        </w:tc>
        <w:tc>
          <w:tcPr>
            <w:tcW w:w="450" w:type="pct"/>
            <w:vAlign w:val="bottom"/>
          </w:tcPr>
          <w:p w:rsidR="009D43B4" w:rsidRPr="009D43B4" w:rsidRDefault="009D43B4" w:rsidP="00DC018F">
            <w:pPr>
              <w:pStyle w:val="TableBodyText"/>
              <w:rPr>
                <w:sz w:val="18"/>
                <w:szCs w:val="18"/>
              </w:rPr>
            </w:pPr>
            <w:r w:rsidRPr="009D43B4">
              <w:rPr>
                <w:sz w:val="18"/>
                <w:szCs w:val="18"/>
              </w:rPr>
              <w:t>186.0</w:t>
            </w:r>
          </w:p>
        </w:tc>
        <w:tc>
          <w:tcPr>
            <w:tcW w:w="450" w:type="pct"/>
            <w:vAlign w:val="bottom"/>
          </w:tcPr>
          <w:p w:rsidR="009D43B4" w:rsidRPr="009D43B4" w:rsidRDefault="009D43B4" w:rsidP="00DC018F">
            <w:pPr>
              <w:pStyle w:val="TableBodyText"/>
              <w:rPr>
                <w:sz w:val="18"/>
                <w:szCs w:val="18"/>
              </w:rPr>
            </w:pPr>
            <w:r w:rsidRPr="009D43B4">
              <w:rPr>
                <w:sz w:val="18"/>
                <w:szCs w:val="18"/>
              </w:rPr>
              <w:t>270.3</w:t>
            </w:r>
          </w:p>
        </w:tc>
        <w:tc>
          <w:tcPr>
            <w:tcW w:w="450" w:type="pct"/>
            <w:vAlign w:val="bottom"/>
          </w:tcPr>
          <w:p w:rsidR="009D43B4" w:rsidRPr="009D43B4" w:rsidRDefault="009D43B4" w:rsidP="00DC018F">
            <w:pPr>
              <w:pStyle w:val="TableBodyText"/>
              <w:rPr>
                <w:sz w:val="18"/>
                <w:szCs w:val="18"/>
              </w:rPr>
            </w:pPr>
            <w:r w:rsidRPr="009D43B4">
              <w:rPr>
                <w:sz w:val="18"/>
                <w:szCs w:val="18"/>
              </w:rPr>
              <w:t>334.7</w:t>
            </w:r>
          </w:p>
        </w:tc>
        <w:tc>
          <w:tcPr>
            <w:tcW w:w="450" w:type="pct"/>
            <w:vAlign w:val="bottom"/>
          </w:tcPr>
          <w:p w:rsidR="009D43B4" w:rsidRPr="009D43B4" w:rsidRDefault="009D43B4" w:rsidP="00DC018F">
            <w:pPr>
              <w:pStyle w:val="TableBodyText"/>
              <w:rPr>
                <w:sz w:val="18"/>
                <w:szCs w:val="18"/>
              </w:rPr>
            </w:pPr>
            <w:r w:rsidRPr="009D43B4">
              <w:rPr>
                <w:sz w:val="18"/>
                <w:szCs w:val="18"/>
              </w:rPr>
              <w:t>200.3</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180.3</w:t>
            </w:r>
          </w:p>
        </w:tc>
        <w:tc>
          <w:tcPr>
            <w:tcW w:w="450" w:type="pct"/>
            <w:shd w:val="clear" w:color="auto" w:fill="auto"/>
            <w:vAlign w:val="bottom"/>
          </w:tcPr>
          <w:p w:rsidR="009D43B4" w:rsidRPr="009D43B4" w:rsidRDefault="009D43B4" w:rsidP="00DC018F">
            <w:pPr>
              <w:pStyle w:val="TableBodyText"/>
              <w:rPr>
                <w:sz w:val="18"/>
                <w:szCs w:val="18"/>
              </w:rPr>
            </w:pPr>
            <w:r w:rsidRPr="009D43B4">
              <w:rPr>
                <w:sz w:val="18"/>
                <w:szCs w:val="18"/>
              </w:rPr>
              <w:t>180.3</w:t>
            </w:r>
          </w:p>
        </w:tc>
      </w:tr>
      <w:tr w:rsidR="009D43B4" w:rsidRPr="00AF699A" w:rsidTr="006C3E9D">
        <w:tc>
          <w:tcPr>
            <w:tcW w:w="2097" w:type="pct"/>
            <w:tcBorders>
              <w:bottom w:val="single" w:sz="4" w:space="0" w:color="auto"/>
            </w:tcBorders>
            <w:vAlign w:val="bottom"/>
          </w:tcPr>
          <w:p w:rsidR="009D43B4" w:rsidRPr="009D43B4" w:rsidRDefault="009D43B4" w:rsidP="00DC018F">
            <w:pPr>
              <w:pStyle w:val="TableBodyText"/>
              <w:jc w:val="left"/>
              <w:rPr>
                <w:b/>
                <w:bCs/>
                <w:sz w:val="18"/>
                <w:szCs w:val="18"/>
              </w:rPr>
            </w:pPr>
            <w:r w:rsidRPr="009D43B4">
              <w:rPr>
                <w:b/>
                <w:bCs/>
                <w:sz w:val="18"/>
                <w:szCs w:val="18"/>
              </w:rPr>
              <w:t>Total</w:t>
            </w:r>
          </w:p>
        </w:tc>
        <w:tc>
          <w:tcPr>
            <w:tcW w:w="450" w:type="pct"/>
            <w:tcBorders>
              <w:bottom w:val="single" w:sz="4" w:space="0" w:color="auto"/>
            </w:tcBorders>
            <w:vAlign w:val="bottom"/>
          </w:tcPr>
          <w:p w:rsidR="009D43B4" w:rsidRPr="009D43B4" w:rsidRDefault="009D43B4" w:rsidP="00DC018F">
            <w:pPr>
              <w:pStyle w:val="TableBodyText"/>
              <w:rPr>
                <w:b/>
                <w:bCs/>
                <w:sz w:val="18"/>
                <w:szCs w:val="18"/>
              </w:rPr>
            </w:pPr>
            <w:r w:rsidRPr="009D43B4">
              <w:rPr>
                <w:b/>
                <w:bCs/>
                <w:sz w:val="18"/>
                <w:szCs w:val="18"/>
              </w:rPr>
              <w:t>560.0</w:t>
            </w:r>
          </w:p>
        </w:tc>
        <w:tc>
          <w:tcPr>
            <w:tcW w:w="450" w:type="pct"/>
            <w:tcBorders>
              <w:bottom w:val="single" w:sz="4" w:space="0" w:color="auto"/>
            </w:tcBorders>
            <w:vAlign w:val="bottom"/>
          </w:tcPr>
          <w:p w:rsidR="009D43B4" w:rsidRPr="009D43B4" w:rsidRDefault="009D43B4" w:rsidP="00DC018F">
            <w:pPr>
              <w:pStyle w:val="TableBodyText"/>
              <w:rPr>
                <w:b/>
                <w:bCs/>
                <w:sz w:val="18"/>
                <w:szCs w:val="18"/>
              </w:rPr>
            </w:pPr>
            <w:r w:rsidRPr="009D43B4">
              <w:rPr>
                <w:b/>
                <w:bCs/>
                <w:sz w:val="18"/>
                <w:szCs w:val="18"/>
              </w:rPr>
              <w:t>780.0</w:t>
            </w:r>
          </w:p>
        </w:tc>
        <w:tc>
          <w:tcPr>
            <w:tcW w:w="450" w:type="pct"/>
            <w:tcBorders>
              <w:bottom w:val="single" w:sz="4" w:space="0" w:color="auto"/>
            </w:tcBorders>
            <w:vAlign w:val="bottom"/>
          </w:tcPr>
          <w:p w:rsidR="009D43B4" w:rsidRPr="009D43B4" w:rsidRDefault="009D43B4" w:rsidP="00DC018F">
            <w:pPr>
              <w:pStyle w:val="TableBodyText"/>
              <w:rPr>
                <w:b/>
                <w:bCs/>
                <w:sz w:val="18"/>
                <w:szCs w:val="18"/>
              </w:rPr>
            </w:pPr>
            <w:r w:rsidRPr="009D43B4">
              <w:rPr>
                <w:b/>
                <w:bCs/>
                <w:sz w:val="18"/>
                <w:szCs w:val="18"/>
              </w:rPr>
              <w:t>1010.0</w:t>
            </w:r>
          </w:p>
        </w:tc>
        <w:tc>
          <w:tcPr>
            <w:tcW w:w="450" w:type="pct"/>
            <w:tcBorders>
              <w:bottom w:val="single" w:sz="4" w:space="0" w:color="auto"/>
            </w:tcBorders>
            <w:vAlign w:val="bottom"/>
          </w:tcPr>
          <w:p w:rsidR="009D43B4" w:rsidRPr="009D43B4" w:rsidRDefault="009D43B4" w:rsidP="00DC018F">
            <w:pPr>
              <w:pStyle w:val="TableBodyText"/>
              <w:rPr>
                <w:b/>
                <w:bCs/>
                <w:sz w:val="18"/>
                <w:szCs w:val="18"/>
              </w:rPr>
            </w:pPr>
            <w:r w:rsidRPr="009D43B4">
              <w:rPr>
                <w:b/>
                <w:bCs/>
                <w:sz w:val="18"/>
                <w:szCs w:val="18"/>
              </w:rPr>
              <w:t>600.0</w:t>
            </w:r>
          </w:p>
        </w:tc>
        <w:tc>
          <w:tcPr>
            <w:tcW w:w="450" w:type="pct"/>
            <w:tcBorders>
              <w:bottom w:val="single" w:sz="4" w:space="0" w:color="auto"/>
            </w:tcBorders>
            <w:shd w:val="clear" w:color="auto" w:fill="auto"/>
            <w:vAlign w:val="bottom"/>
          </w:tcPr>
          <w:p w:rsidR="009D43B4" w:rsidRPr="009D43B4" w:rsidRDefault="009D43B4" w:rsidP="00DC018F">
            <w:pPr>
              <w:pStyle w:val="TableBodyText"/>
              <w:rPr>
                <w:b/>
                <w:bCs/>
                <w:sz w:val="18"/>
                <w:szCs w:val="18"/>
              </w:rPr>
            </w:pPr>
            <w:r w:rsidRPr="009D43B4">
              <w:rPr>
                <w:b/>
                <w:bCs/>
                <w:sz w:val="18"/>
                <w:szCs w:val="18"/>
              </w:rPr>
              <w:t>540.0</w:t>
            </w:r>
          </w:p>
        </w:tc>
        <w:tc>
          <w:tcPr>
            <w:tcW w:w="450" w:type="pct"/>
            <w:tcBorders>
              <w:bottom w:val="single" w:sz="4" w:space="0" w:color="auto"/>
            </w:tcBorders>
            <w:shd w:val="clear" w:color="auto" w:fill="auto"/>
            <w:vAlign w:val="bottom"/>
          </w:tcPr>
          <w:p w:rsidR="009D43B4" w:rsidRPr="009D43B4" w:rsidRDefault="009D43B4" w:rsidP="00DC018F">
            <w:pPr>
              <w:pStyle w:val="TableBodyText"/>
              <w:rPr>
                <w:b/>
                <w:bCs/>
                <w:sz w:val="18"/>
                <w:szCs w:val="18"/>
              </w:rPr>
            </w:pPr>
            <w:r w:rsidRPr="009D43B4">
              <w:rPr>
                <w:b/>
                <w:bCs/>
                <w:sz w:val="18"/>
                <w:szCs w:val="18"/>
              </w:rPr>
              <w:t>540.0</w:t>
            </w:r>
          </w:p>
        </w:tc>
      </w:tr>
    </w:tbl>
    <w:p w:rsidR="00DC018F" w:rsidRDefault="00DC018F" w:rsidP="00DC018F">
      <w:pPr>
        <w:pStyle w:val="Note"/>
      </w:pPr>
      <w:r w:rsidRPr="008E77FE">
        <w:rPr>
          <w:rStyle w:val="NoteLabel"/>
        </w:rPr>
        <w:t>a</w:t>
      </w:r>
      <w:r>
        <w:t xml:space="preserve"> </w:t>
      </w:r>
      <w:r w:rsidR="0045429A">
        <w:t>Unallocated includes general programs where details of beneficiaries are unk</w:t>
      </w:r>
      <w:r w:rsidR="00991237">
        <w:t>n</w:t>
      </w:r>
      <w:r w:rsidR="0045429A">
        <w:t>own</w:t>
      </w:r>
      <w:r>
        <w:t>.</w:t>
      </w:r>
    </w:p>
    <w:p w:rsidR="00DC018F" w:rsidRDefault="00991237" w:rsidP="00DC018F">
      <w:pPr>
        <w:pStyle w:val="Source"/>
      </w:pPr>
      <w:r>
        <w:rPr>
          <w:i/>
        </w:rPr>
        <w:t>Source</w:t>
      </w:r>
      <w:r w:rsidR="00DC018F">
        <w:t xml:space="preserve">: </w:t>
      </w:r>
      <w:r>
        <w:t>Commission estimates</w:t>
      </w:r>
      <w:r w:rsidR="00A94839">
        <w:t xml:space="preserve"> based on </w:t>
      </w:r>
      <w:r w:rsidR="00734336">
        <w:t>Tax Expenditure Statement</w:t>
      </w:r>
      <w:r w:rsidR="00140AFA">
        <w:t xml:space="preserve"> 2012</w:t>
      </w:r>
      <w:r w:rsidR="00734336">
        <w:t>, Australian Government</w:t>
      </w:r>
      <w:r w:rsidR="00DD3B0A">
        <w:t> </w:t>
      </w:r>
      <w:r w:rsidR="00734336">
        <w:t>2013</w:t>
      </w:r>
      <w:r w:rsidR="00A94839">
        <w:t>, p.</w:t>
      </w:r>
      <w:r w:rsidR="003E218E">
        <w:t> </w:t>
      </w:r>
      <w:r w:rsidR="00A94839">
        <w:t>171, item E34; Industry classification derived from detailed ATO data by ANZSIC industry</w:t>
      </w:r>
      <w:r w:rsidR="00DC018F">
        <w:t>.</w:t>
      </w:r>
    </w:p>
    <w:p w:rsidR="009F43C1" w:rsidRDefault="00FA09C3" w:rsidP="009F43C1">
      <w:pPr>
        <w:pStyle w:val="Heading2"/>
      </w:pPr>
      <w:r>
        <w:lastRenderedPageBreak/>
        <w:t>A.</w:t>
      </w:r>
      <w:r>
        <w:rPr>
          <w:noProof/>
        </w:rPr>
        <w:t>6</w:t>
      </w:r>
      <w:r w:rsidR="007F2673">
        <w:tab/>
      </w:r>
      <w:r w:rsidR="009F43C1">
        <w:t>CSIRO research</w:t>
      </w:r>
    </w:p>
    <w:p w:rsidR="00211BFF" w:rsidRDefault="00211BFF" w:rsidP="00211BFF">
      <w:pPr>
        <w:pStyle w:val="BodyText"/>
      </w:pPr>
      <w:r>
        <w:t xml:space="preserve">The Commonwealth Scientific and Industrial Research Organisation (CSIRO) was established in 1926 and is Australia’s principle national science agency. A primary function of CSIRO is to undertake scientific research to assist Australian industry, sometimes in collaboration with industry </w:t>
      </w:r>
      <w:r w:rsidRPr="00DD3B0A">
        <w:t>partners (</w:t>
      </w:r>
      <w:r w:rsidRPr="006D248C">
        <w:t>CSIRO 2009</w:t>
      </w:r>
      <w:r w:rsidRPr="00DD3B0A">
        <w:t xml:space="preserve">). The </w:t>
      </w:r>
      <w:r>
        <w:t>Commission allocates its research funding among the industries involved.</w:t>
      </w:r>
    </w:p>
    <w:p w:rsidR="006719C8" w:rsidRDefault="006719C8" w:rsidP="009F43C1">
      <w:pPr>
        <w:pStyle w:val="BodyText"/>
      </w:pPr>
      <w:r w:rsidRPr="006719C8">
        <w:t>The Commission’s assistance estimates do not include the full CSIRO appropriation. Excluded are</w:t>
      </w:r>
      <w:r w:rsidR="00211BFF">
        <w:t xml:space="preserve"> CSIRO’s</w:t>
      </w:r>
      <w:r w:rsidRPr="006719C8">
        <w:t xml:space="preserve"> corporate overheads</w:t>
      </w:r>
      <w:r w:rsidR="00211BFF">
        <w:t>,</w:t>
      </w:r>
      <w:r w:rsidRPr="006719C8">
        <w:t xml:space="preserve"> certain public research such as environmental research, some renewable energy research and general research towards expanding knowledge in various fields.</w:t>
      </w:r>
    </w:p>
    <w:p w:rsidR="009F43C1" w:rsidRDefault="000415F7" w:rsidP="009F43C1">
      <w:pPr>
        <w:pStyle w:val="BodyText"/>
      </w:pPr>
      <w:r>
        <w:t xml:space="preserve">A methodology for allocating CSIRO assistance to the Commission’s ANZSIC-based industry groupings was first set out in the context of the Industry Commission inquiry into research and </w:t>
      </w:r>
      <w:r w:rsidRPr="00DD3B0A">
        <w:t>development (</w:t>
      </w:r>
      <w:r w:rsidRPr="006D248C">
        <w:t>IC 1995</w:t>
      </w:r>
      <w:r w:rsidR="007741E1" w:rsidRPr="006D248C">
        <w:t>b</w:t>
      </w:r>
      <w:r w:rsidRPr="00DD3B0A">
        <w:t xml:space="preserve">). The </w:t>
      </w:r>
      <w:r>
        <w:t xml:space="preserve">application of this methodology in </w:t>
      </w:r>
      <w:r w:rsidRPr="006D248C">
        <w:rPr>
          <w:i/>
        </w:rPr>
        <w:t xml:space="preserve">Trade </w:t>
      </w:r>
      <w:r w:rsidR="00853690" w:rsidRPr="006D248C">
        <w:rPr>
          <w:i/>
        </w:rPr>
        <w:t xml:space="preserve">&amp; </w:t>
      </w:r>
      <w:r w:rsidRPr="006D248C">
        <w:rPr>
          <w:i/>
        </w:rPr>
        <w:t>Assistance Review</w:t>
      </w:r>
      <w:r>
        <w:t xml:space="preserve"> was first described in the methodological annex to </w:t>
      </w:r>
      <w:r w:rsidRPr="000415F7">
        <w:rPr>
          <w:i/>
        </w:rPr>
        <w:t>Trade &amp; Assistance Review 1999</w:t>
      </w:r>
      <w:r w:rsidR="004F5883">
        <w:rPr>
          <w:i/>
        </w:rPr>
        <w:noBreakHyphen/>
      </w:r>
      <w:r w:rsidRPr="00DD3B0A">
        <w:rPr>
          <w:i/>
        </w:rPr>
        <w:t>2000</w:t>
      </w:r>
      <w:r w:rsidRPr="00DD3B0A">
        <w:t xml:space="preserve"> </w:t>
      </w:r>
      <w:r w:rsidR="009F43C1" w:rsidRPr="00DD3B0A">
        <w:t>(</w:t>
      </w:r>
      <w:r w:rsidR="009F43C1" w:rsidRPr="006D248C">
        <w:t>PC 2000</w:t>
      </w:r>
      <w:r w:rsidR="009F43C1">
        <w:t xml:space="preserve">). Refinements to the allocation to primary production were discussed in Methodological Annex B to </w:t>
      </w:r>
      <w:r w:rsidR="009F43C1" w:rsidRPr="00BC0E40">
        <w:rPr>
          <w:i/>
        </w:rPr>
        <w:t>Trade &amp; Assistance Review 2001</w:t>
      </w:r>
      <w:r w:rsidR="004F5883">
        <w:rPr>
          <w:i/>
        </w:rPr>
        <w:noBreakHyphen/>
      </w:r>
      <w:r w:rsidR="009F43C1" w:rsidRPr="00BC0E40">
        <w:rPr>
          <w:i/>
        </w:rPr>
        <w:t>02</w:t>
      </w:r>
      <w:r w:rsidR="009F43C1">
        <w:t xml:space="preserve"> </w:t>
      </w:r>
      <w:r w:rsidR="009F43C1" w:rsidRPr="00DD3B0A">
        <w:t>(</w:t>
      </w:r>
      <w:r w:rsidR="009F43C1" w:rsidRPr="006D248C">
        <w:t>PC 2002</w:t>
      </w:r>
      <w:r w:rsidR="009F43C1" w:rsidRPr="00DD3B0A">
        <w:t xml:space="preserve">). </w:t>
      </w:r>
      <w:r w:rsidR="009F43C1">
        <w:t xml:space="preserve">Subsequent changes to the reporting of CSIRO data and modifications to the allocation methodology were further discussed in the Methodological Annex to </w:t>
      </w:r>
      <w:r w:rsidR="009F43C1" w:rsidRPr="00BC0E40">
        <w:rPr>
          <w:i/>
        </w:rPr>
        <w:t>Trade &amp; Assistance Review 2004</w:t>
      </w:r>
      <w:r w:rsidR="004F5883">
        <w:rPr>
          <w:i/>
        </w:rPr>
        <w:noBreakHyphen/>
      </w:r>
      <w:r w:rsidR="009F43C1" w:rsidRPr="00BC0E40">
        <w:rPr>
          <w:i/>
        </w:rPr>
        <w:t>05</w:t>
      </w:r>
      <w:r w:rsidR="009F43C1">
        <w:t xml:space="preserve"> </w:t>
      </w:r>
      <w:r w:rsidR="009F43C1" w:rsidRPr="00DD3B0A">
        <w:t>(</w:t>
      </w:r>
      <w:r w:rsidR="009F43C1" w:rsidRPr="006D248C">
        <w:t>PC 2006</w:t>
      </w:r>
      <w:r w:rsidR="009F43C1" w:rsidRPr="00DD3B0A">
        <w:t>).</w:t>
      </w:r>
    </w:p>
    <w:p w:rsidR="009F43C1" w:rsidRDefault="009F43C1" w:rsidP="009F43C1">
      <w:pPr>
        <w:pStyle w:val="BodyText"/>
      </w:pPr>
      <w:r>
        <w:t xml:space="preserve">For </w:t>
      </w:r>
      <w:r w:rsidRPr="001D239C">
        <w:rPr>
          <w:i/>
        </w:rPr>
        <w:t>Trade &amp; Assistance Review 2008</w:t>
      </w:r>
      <w:r w:rsidR="004F5883">
        <w:rPr>
          <w:i/>
        </w:rPr>
        <w:noBreakHyphen/>
      </w:r>
      <w:r w:rsidRPr="001D239C">
        <w:rPr>
          <w:i/>
        </w:rPr>
        <w:t>09</w:t>
      </w:r>
      <w:r>
        <w:t xml:space="preserve">, the allocation methodology was modified again as CSIRO no longer reported appropriation funding by CSIRO division. Instead, CSIRO </w:t>
      </w:r>
      <w:r w:rsidR="00F361C4">
        <w:t>returned to providing</w:t>
      </w:r>
      <w:r>
        <w:t xml:space="preserve"> the Commission with CSIRO appropriation expenditure by the ABS’s Social Economic Objective (SEO) classification. The SEO classification enables R&amp;D activity to be categorised according to the intended purpose or outcome of the </w:t>
      </w:r>
      <w:r w:rsidRPr="00DD3B0A">
        <w:t>research (</w:t>
      </w:r>
      <w:r w:rsidRPr="006D248C">
        <w:t>ABS 1998, 2008</w:t>
      </w:r>
      <w:r w:rsidRPr="00DD3B0A">
        <w:t>). In response, the</w:t>
      </w:r>
      <w:r w:rsidR="000415F7" w:rsidRPr="009C1EC7">
        <w:t xml:space="preserve"> Commission</w:t>
      </w:r>
      <w:r w:rsidRPr="00EC76CA">
        <w:t xml:space="preserve"> </w:t>
      </w:r>
      <w:r w:rsidR="00FD3E98" w:rsidRPr="00EC76CA">
        <w:t>updated its</w:t>
      </w:r>
      <w:r w:rsidRPr="00DD3B0A">
        <w:t xml:space="preserve"> concordance between the SEO and ANZSIC classifications </w:t>
      </w:r>
      <w:r w:rsidR="000415F7" w:rsidRPr="00DD3B0A">
        <w:t>from the IC (1995</w:t>
      </w:r>
      <w:r w:rsidR="007741E1" w:rsidRPr="006D248C">
        <w:t>b</w:t>
      </w:r>
      <w:r w:rsidR="000415F7" w:rsidRPr="006D248C">
        <w:t>)</w:t>
      </w:r>
      <w:r w:rsidR="000415F7" w:rsidRPr="00DD3B0A">
        <w:t xml:space="preserve"> ed</w:t>
      </w:r>
      <w:r w:rsidR="000415F7" w:rsidRPr="009C1EC7">
        <w:t>it</w:t>
      </w:r>
      <w:r w:rsidR="000415F7">
        <w:t xml:space="preserve">ion </w:t>
      </w:r>
      <w:r>
        <w:t>(</w:t>
      </w:r>
      <w:r w:rsidRPr="007F2673">
        <w:t>table A.</w:t>
      </w:r>
      <w:r w:rsidR="0008699E">
        <w:t>6</w:t>
      </w:r>
      <w:r w:rsidR="002847C3">
        <w:t>).</w:t>
      </w:r>
    </w:p>
    <w:p w:rsidR="009F43C1" w:rsidRDefault="009F43C1" w:rsidP="009F43C1">
      <w:pPr>
        <w:pStyle w:val="TableTitle"/>
      </w:pPr>
      <w:r>
        <w:rPr>
          <w:b w:val="0"/>
        </w:rPr>
        <w:lastRenderedPageBreak/>
        <w:t xml:space="preserve">Table </w:t>
      </w:r>
      <w:r w:rsidR="00FA09C3">
        <w:rPr>
          <w:b w:val="0"/>
        </w:rPr>
        <w:t>A.</w:t>
      </w:r>
      <w:r w:rsidR="00FA09C3">
        <w:rPr>
          <w:b w:val="0"/>
          <w:noProof/>
        </w:rPr>
        <w:t>6</w:t>
      </w:r>
      <w:r>
        <w:tab/>
      </w:r>
      <w:r w:rsidR="007F2673">
        <w:t xml:space="preserve">Allocation of </w:t>
      </w:r>
      <w:r>
        <w:t>CSIRO</w:t>
      </w:r>
      <w:r w:rsidR="006873B2">
        <w:t xml:space="preserve"> research to</w:t>
      </w:r>
      <w:r w:rsidR="007F2673">
        <w:t xml:space="preserve"> industry, 200</w:t>
      </w:r>
      <w:r w:rsidR="005D40F5">
        <w:t>6</w:t>
      </w:r>
      <w:r w:rsidR="005D40F5">
        <w:noBreakHyphen/>
      </w:r>
      <w:r w:rsidR="007F2673">
        <w:t>0</w:t>
      </w:r>
      <w:r w:rsidR="005D40F5">
        <w:t>7</w:t>
      </w:r>
      <w:r w:rsidR="007F2673">
        <w:t xml:space="preserve"> to 2011</w:t>
      </w:r>
      <w:r w:rsidR="005D40F5">
        <w:noBreakHyphen/>
      </w:r>
      <w:r w:rsidR="007F2673">
        <w:t>12</w:t>
      </w:r>
    </w:p>
    <w:p w:rsidR="009F43C1" w:rsidRDefault="007F2673" w:rsidP="009F43C1">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BD5DAD" w:rsidRPr="00AF699A" w:rsidTr="00ED4285">
        <w:tc>
          <w:tcPr>
            <w:tcW w:w="1960" w:type="pct"/>
            <w:tcBorders>
              <w:top w:val="single" w:sz="6" w:space="0" w:color="auto"/>
              <w:bottom w:val="single" w:sz="6" w:space="0" w:color="auto"/>
            </w:tcBorders>
          </w:tcPr>
          <w:p w:rsidR="00BD5DAD" w:rsidRPr="00AF699A" w:rsidRDefault="00BD5DAD" w:rsidP="00932CE7">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BD5DAD" w:rsidRPr="00AF699A" w:rsidRDefault="00BD5DAD" w:rsidP="00932CE7">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BD5DAD" w:rsidRPr="00AF699A" w:rsidRDefault="00BD5DAD" w:rsidP="00932CE7">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BD5DAD" w:rsidRPr="00AF699A" w:rsidRDefault="00BD5DAD" w:rsidP="00932CE7">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BD5DAD" w:rsidRPr="00AF699A" w:rsidRDefault="00BD5DAD" w:rsidP="00932CE7">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BD5DAD" w:rsidRPr="00AF699A" w:rsidRDefault="00BD5DAD" w:rsidP="00932CE7">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BD5DAD" w:rsidRPr="00AF699A" w:rsidRDefault="00BD5DAD" w:rsidP="00932CE7">
            <w:pPr>
              <w:pStyle w:val="TableColumnHeading"/>
              <w:ind w:right="28"/>
              <w:rPr>
                <w:rFonts w:cs="Arial"/>
                <w:sz w:val="18"/>
                <w:szCs w:val="18"/>
              </w:rPr>
            </w:pPr>
            <w:r w:rsidRPr="00AF699A">
              <w:rPr>
                <w:rFonts w:cs="Arial"/>
                <w:sz w:val="18"/>
                <w:szCs w:val="18"/>
              </w:rPr>
              <w:t>2011-12</w:t>
            </w:r>
          </w:p>
        </w:tc>
      </w:tr>
      <w:tr w:rsidR="00ED4285" w:rsidRPr="006C5A80" w:rsidTr="00ED4285">
        <w:tc>
          <w:tcPr>
            <w:tcW w:w="1960" w:type="pct"/>
            <w:tcBorders>
              <w:top w:val="single" w:sz="6" w:space="0" w:color="auto"/>
            </w:tcBorders>
            <w:vAlign w:val="bottom"/>
          </w:tcPr>
          <w:p w:rsidR="00ED4285" w:rsidRPr="00ED4285" w:rsidRDefault="00ED4285" w:rsidP="00932CE7">
            <w:pPr>
              <w:pStyle w:val="TableBodyText"/>
              <w:jc w:val="left"/>
              <w:rPr>
                <w:b/>
                <w:sz w:val="18"/>
                <w:szCs w:val="18"/>
              </w:rPr>
            </w:pPr>
            <w:r w:rsidRPr="00ED4285">
              <w:rPr>
                <w:b/>
                <w:sz w:val="18"/>
                <w:szCs w:val="18"/>
              </w:rPr>
              <w:t>Primary production</w:t>
            </w:r>
          </w:p>
        </w:tc>
        <w:tc>
          <w:tcPr>
            <w:tcW w:w="507" w:type="pct"/>
            <w:tcBorders>
              <w:top w:val="single" w:sz="6" w:space="0" w:color="auto"/>
            </w:tcBorders>
            <w:vAlign w:val="bottom"/>
          </w:tcPr>
          <w:p w:rsidR="00ED4285" w:rsidRPr="00ED4285" w:rsidRDefault="00ED4285" w:rsidP="00ED4285">
            <w:pPr>
              <w:pStyle w:val="TableBodyText"/>
              <w:rPr>
                <w:b/>
                <w:sz w:val="18"/>
                <w:szCs w:val="18"/>
              </w:rPr>
            </w:pPr>
            <w:r w:rsidRPr="00ED4285">
              <w:rPr>
                <w:b/>
                <w:sz w:val="18"/>
                <w:szCs w:val="18"/>
              </w:rPr>
              <w:t>129.2</w:t>
            </w:r>
          </w:p>
        </w:tc>
        <w:tc>
          <w:tcPr>
            <w:tcW w:w="507" w:type="pct"/>
            <w:tcBorders>
              <w:top w:val="single" w:sz="6" w:space="0" w:color="auto"/>
            </w:tcBorders>
            <w:vAlign w:val="bottom"/>
          </w:tcPr>
          <w:p w:rsidR="00ED4285" w:rsidRPr="00ED4285" w:rsidRDefault="00ED4285" w:rsidP="00ED4285">
            <w:pPr>
              <w:pStyle w:val="TableBodyText"/>
              <w:rPr>
                <w:b/>
                <w:sz w:val="18"/>
                <w:szCs w:val="18"/>
              </w:rPr>
            </w:pPr>
            <w:r w:rsidRPr="00ED4285">
              <w:rPr>
                <w:b/>
                <w:sz w:val="18"/>
                <w:szCs w:val="18"/>
              </w:rPr>
              <w:t>125.4</w:t>
            </w:r>
          </w:p>
        </w:tc>
        <w:tc>
          <w:tcPr>
            <w:tcW w:w="507" w:type="pct"/>
            <w:tcBorders>
              <w:top w:val="single" w:sz="6" w:space="0" w:color="auto"/>
            </w:tcBorders>
            <w:vAlign w:val="bottom"/>
          </w:tcPr>
          <w:p w:rsidR="00ED4285" w:rsidRPr="00ED4285" w:rsidRDefault="00ED4285" w:rsidP="00ED4285">
            <w:pPr>
              <w:pStyle w:val="TableBodyText"/>
              <w:rPr>
                <w:b/>
                <w:sz w:val="18"/>
                <w:szCs w:val="18"/>
              </w:rPr>
            </w:pPr>
            <w:r w:rsidRPr="00ED4285">
              <w:rPr>
                <w:b/>
                <w:sz w:val="18"/>
                <w:szCs w:val="18"/>
              </w:rPr>
              <w:t>115.4</w:t>
            </w:r>
          </w:p>
        </w:tc>
        <w:tc>
          <w:tcPr>
            <w:tcW w:w="507" w:type="pct"/>
            <w:tcBorders>
              <w:top w:val="single" w:sz="6" w:space="0" w:color="auto"/>
            </w:tcBorders>
            <w:vAlign w:val="bottom"/>
          </w:tcPr>
          <w:p w:rsidR="00ED4285" w:rsidRPr="00ED4285" w:rsidRDefault="00ED4285" w:rsidP="00ED4285">
            <w:pPr>
              <w:pStyle w:val="TableBodyText"/>
              <w:rPr>
                <w:b/>
                <w:sz w:val="18"/>
                <w:szCs w:val="18"/>
              </w:rPr>
            </w:pPr>
            <w:r w:rsidRPr="00ED4285">
              <w:rPr>
                <w:b/>
                <w:sz w:val="18"/>
                <w:szCs w:val="18"/>
              </w:rPr>
              <w:t>121.7</w:t>
            </w:r>
          </w:p>
        </w:tc>
        <w:tc>
          <w:tcPr>
            <w:tcW w:w="507" w:type="pct"/>
            <w:tcBorders>
              <w:top w:val="single" w:sz="6" w:space="0" w:color="auto"/>
            </w:tcBorders>
            <w:vAlign w:val="bottom"/>
          </w:tcPr>
          <w:p w:rsidR="00ED4285" w:rsidRPr="00ED4285" w:rsidRDefault="00ED4285" w:rsidP="00ED4285">
            <w:pPr>
              <w:pStyle w:val="TableBodyText"/>
              <w:rPr>
                <w:b/>
                <w:sz w:val="18"/>
                <w:szCs w:val="18"/>
              </w:rPr>
            </w:pPr>
            <w:r w:rsidRPr="00ED4285">
              <w:rPr>
                <w:b/>
                <w:sz w:val="18"/>
                <w:szCs w:val="18"/>
              </w:rPr>
              <w:t>124.5</w:t>
            </w:r>
          </w:p>
        </w:tc>
        <w:tc>
          <w:tcPr>
            <w:tcW w:w="505" w:type="pct"/>
            <w:tcBorders>
              <w:top w:val="single" w:sz="6" w:space="0" w:color="auto"/>
            </w:tcBorders>
            <w:vAlign w:val="bottom"/>
          </w:tcPr>
          <w:p w:rsidR="00ED4285" w:rsidRPr="00ED4285" w:rsidRDefault="00ED4285" w:rsidP="00ED4285">
            <w:pPr>
              <w:pStyle w:val="TableBodyText"/>
              <w:rPr>
                <w:b/>
                <w:sz w:val="18"/>
                <w:szCs w:val="18"/>
              </w:rPr>
            </w:pPr>
            <w:r w:rsidRPr="00ED4285">
              <w:rPr>
                <w:b/>
                <w:sz w:val="18"/>
                <w:szCs w:val="18"/>
              </w:rPr>
              <w:t>124.5</w:t>
            </w:r>
          </w:p>
        </w:tc>
      </w:tr>
      <w:tr w:rsidR="00ED4285" w:rsidRPr="006C5A80" w:rsidTr="00ED4285">
        <w:tc>
          <w:tcPr>
            <w:tcW w:w="1960" w:type="pct"/>
            <w:vAlign w:val="bottom"/>
          </w:tcPr>
          <w:p w:rsidR="00ED4285" w:rsidRPr="00ED4285" w:rsidRDefault="00ED4285" w:rsidP="00932CE7">
            <w:pPr>
              <w:pStyle w:val="TableBodyText"/>
              <w:jc w:val="left"/>
              <w:rPr>
                <w:sz w:val="18"/>
                <w:szCs w:val="18"/>
              </w:rPr>
            </w:pPr>
            <w:r w:rsidRPr="00ED4285">
              <w:rPr>
                <w:sz w:val="18"/>
                <w:szCs w:val="18"/>
              </w:rPr>
              <w:t>Horticulture and fruit growing</w:t>
            </w:r>
          </w:p>
        </w:tc>
        <w:tc>
          <w:tcPr>
            <w:tcW w:w="507" w:type="pct"/>
            <w:vAlign w:val="bottom"/>
          </w:tcPr>
          <w:p w:rsidR="00ED4285" w:rsidRPr="00ED4285" w:rsidRDefault="00ED4285" w:rsidP="00FC1E37">
            <w:pPr>
              <w:pStyle w:val="TableBodyText"/>
              <w:rPr>
                <w:sz w:val="18"/>
                <w:szCs w:val="18"/>
              </w:rPr>
            </w:pPr>
            <w:r w:rsidRPr="00ED4285">
              <w:rPr>
                <w:sz w:val="18"/>
                <w:szCs w:val="18"/>
              </w:rPr>
              <w:t>12.6</w:t>
            </w:r>
          </w:p>
        </w:tc>
        <w:tc>
          <w:tcPr>
            <w:tcW w:w="507" w:type="pct"/>
            <w:vAlign w:val="bottom"/>
          </w:tcPr>
          <w:p w:rsidR="00ED4285" w:rsidRPr="00ED4285" w:rsidRDefault="00ED4285" w:rsidP="00FC1E37">
            <w:pPr>
              <w:pStyle w:val="TableBodyText"/>
              <w:rPr>
                <w:sz w:val="18"/>
                <w:szCs w:val="18"/>
              </w:rPr>
            </w:pPr>
            <w:r w:rsidRPr="00ED4285">
              <w:rPr>
                <w:sz w:val="18"/>
                <w:szCs w:val="18"/>
              </w:rPr>
              <w:t>9.2</w:t>
            </w:r>
          </w:p>
        </w:tc>
        <w:tc>
          <w:tcPr>
            <w:tcW w:w="507" w:type="pct"/>
            <w:vAlign w:val="bottom"/>
          </w:tcPr>
          <w:p w:rsidR="00ED4285" w:rsidRPr="00ED4285" w:rsidRDefault="00ED4285" w:rsidP="00FC1E37">
            <w:pPr>
              <w:pStyle w:val="TableBodyText"/>
              <w:rPr>
                <w:sz w:val="18"/>
                <w:szCs w:val="18"/>
              </w:rPr>
            </w:pPr>
            <w:r w:rsidRPr="00ED4285">
              <w:rPr>
                <w:sz w:val="18"/>
                <w:szCs w:val="18"/>
              </w:rPr>
              <w:t>8.1</w:t>
            </w:r>
          </w:p>
        </w:tc>
        <w:tc>
          <w:tcPr>
            <w:tcW w:w="507" w:type="pct"/>
            <w:vAlign w:val="bottom"/>
          </w:tcPr>
          <w:p w:rsidR="00ED4285" w:rsidRPr="00ED4285" w:rsidRDefault="00ED4285" w:rsidP="00FC1E37">
            <w:pPr>
              <w:pStyle w:val="TableBodyText"/>
              <w:rPr>
                <w:sz w:val="18"/>
                <w:szCs w:val="18"/>
              </w:rPr>
            </w:pPr>
            <w:r w:rsidRPr="00ED4285">
              <w:rPr>
                <w:sz w:val="18"/>
                <w:szCs w:val="18"/>
              </w:rPr>
              <w:t>8.6</w:t>
            </w:r>
          </w:p>
        </w:tc>
        <w:tc>
          <w:tcPr>
            <w:tcW w:w="507" w:type="pct"/>
            <w:vAlign w:val="bottom"/>
          </w:tcPr>
          <w:p w:rsidR="00ED4285" w:rsidRPr="00ED4285" w:rsidRDefault="00ED4285" w:rsidP="00FC1E37">
            <w:pPr>
              <w:pStyle w:val="TableBodyText"/>
              <w:rPr>
                <w:sz w:val="18"/>
                <w:szCs w:val="18"/>
              </w:rPr>
            </w:pPr>
            <w:r w:rsidRPr="00ED4285">
              <w:rPr>
                <w:sz w:val="18"/>
                <w:szCs w:val="18"/>
              </w:rPr>
              <w:t>8.7</w:t>
            </w:r>
          </w:p>
        </w:tc>
        <w:tc>
          <w:tcPr>
            <w:tcW w:w="505" w:type="pct"/>
            <w:vAlign w:val="bottom"/>
          </w:tcPr>
          <w:p w:rsidR="00ED4285" w:rsidRPr="00ED4285" w:rsidRDefault="00ED4285" w:rsidP="00FC1E37">
            <w:pPr>
              <w:pStyle w:val="TableBodyText"/>
              <w:rPr>
                <w:sz w:val="18"/>
                <w:szCs w:val="18"/>
              </w:rPr>
            </w:pPr>
            <w:r w:rsidRPr="00ED4285">
              <w:rPr>
                <w:sz w:val="18"/>
                <w:szCs w:val="18"/>
              </w:rPr>
              <w:t>8.7</w:t>
            </w:r>
          </w:p>
        </w:tc>
      </w:tr>
      <w:tr w:rsidR="00ED4285" w:rsidRPr="006C5A80" w:rsidTr="00ED4285">
        <w:tc>
          <w:tcPr>
            <w:tcW w:w="1960" w:type="pct"/>
            <w:vAlign w:val="bottom"/>
          </w:tcPr>
          <w:p w:rsidR="00ED4285" w:rsidRPr="00ED4285" w:rsidRDefault="00ED4285" w:rsidP="00932CE7">
            <w:pPr>
              <w:pStyle w:val="TableBodyText"/>
              <w:jc w:val="left"/>
              <w:rPr>
                <w:sz w:val="18"/>
                <w:szCs w:val="18"/>
              </w:rPr>
            </w:pPr>
            <w:r w:rsidRPr="00ED4285">
              <w:rPr>
                <w:sz w:val="18"/>
                <w:szCs w:val="18"/>
              </w:rPr>
              <w:t>Sheep, beef cattle and grain farming</w:t>
            </w:r>
          </w:p>
        </w:tc>
        <w:tc>
          <w:tcPr>
            <w:tcW w:w="507" w:type="pct"/>
            <w:vAlign w:val="bottom"/>
          </w:tcPr>
          <w:p w:rsidR="00ED4285" w:rsidRPr="00ED4285" w:rsidRDefault="00ED4285" w:rsidP="00932CE7">
            <w:pPr>
              <w:pStyle w:val="TableBodyText"/>
              <w:rPr>
                <w:sz w:val="18"/>
                <w:szCs w:val="18"/>
              </w:rPr>
            </w:pPr>
            <w:r w:rsidRPr="00ED4285">
              <w:rPr>
                <w:sz w:val="18"/>
                <w:szCs w:val="18"/>
              </w:rPr>
              <w:t>40.2</w:t>
            </w:r>
          </w:p>
        </w:tc>
        <w:tc>
          <w:tcPr>
            <w:tcW w:w="507" w:type="pct"/>
            <w:vAlign w:val="bottom"/>
          </w:tcPr>
          <w:p w:rsidR="00ED4285" w:rsidRPr="00ED4285" w:rsidRDefault="00ED4285" w:rsidP="00932CE7">
            <w:pPr>
              <w:pStyle w:val="TableBodyText"/>
              <w:rPr>
                <w:sz w:val="18"/>
                <w:szCs w:val="18"/>
              </w:rPr>
            </w:pPr>
            <w:r w:rsidRPr="00ED4285">
              <w:rPr>
                <w:sz w:val="18"/>
                <w:szCs w:val="18"/>
              </w:rPr>
              <w:t>34.3</w:t>
            </w:r>
          </w:p>
        </w:tc>
        <w:tc>
          <w:tcPr>
            <w:tcW w:w="507" w:type="pct"/>
            <w:vAlign w:val="bottom"/>
          </w:tcPr>
          <w:p w:rsidR="00ED4285" w:rsidRPr="00ED4285" w:rsidRDefault="00ED4285" w:rsidP="00932CE7">
            <w:pPr>
              <w:pStyle w:val="TableBodyText"/>
              <w:rPr>
                <w:sz w:val="18"/>
                <w:szCs w:val="18"/>
              </w:rPr>
            </w:pPr>
            <w:r w:rsidRPr="00ED4285">
              <w:rPr>
                <w:sz w:val="18"/>
                <w:szCs w:val="18"/>
              </w:rPr>
              <w:t>45.3</w:t>
            </w:r>
          </w:p>
        </w:tc>
        <w:tc>
          <w:tcPr>
            <w:tcW w:w="507" w:type="pct"/>
            <w:vAlign w:val="bottom"/>
          </w:tcPr>
          <w:p w:rsidR="00ED4285" w:rsidRPr="00ED4285" w:rsidRDefault="00ED4285" w:rsidP="00932CE7">
            <w:pPr>
              <w:pStyle w:val="TableBodyText"/>
              <w:rPr>
                <w:sz w:val="18"/>
                <w:szCs w:val="18"/>
              </w:rPr>
            </w:pPr>
            <w:r w:rsidRPr="00ED4285">
              <w:rPr>
                <w:sz w:val="18"/>
                <w:szCs w:val="18"/>
              </w:rPr>
              <w:t>47.8</w:t>
            </w:r>
          </w:p>
        </w:tc>
        <w:tc>
          <w:tcPr>
            <w:tcW w:w="507" w:type="pct"/>
            <w:vAlign w:val="bottom"/>
          </w:tcPr>
          <w:p w:rsidR="00ED4285" w:rsidRPr="00ED4285" w:rsidRDefault="00ED4285" w:rsidP="00932CE7">
            <w:pPr>
              <w:pStyle w:val="TableBodyText"/>
              <w:rPr>
                <w:sz w:val="18"/>
                <w:szCs w:val="18"/>
              </w:rPr>
            </w:pPr>
            <w:r w:rsidRPr="00ED4285">
              <w:rPr>
                <w:sz w:val="18"/>
                <w:szCs w:val="18"/>
              </w:rPr>
              <w:t>48.9</w:t>
            </w:r>
          </w:p>
        </w:tc>
        <w:tc>
          <w:tcPr>
            <w:tcW w:w="505" w:type="pct"/>
            <w:vAlign w:val="bottom"/>
          </w:tcPr>
          <w:p w:rsidR="00ED4285" w:rsidRPr="00ED4285" w:rsidRDefault="00ED4285" w:rsidP="00932CE7">
            <w:pPr>
              <w:pStyle w:val="TableBodyText"/>
              <w:rPr>
                <w:sz w:val="18"/>
                <w:szCs w:val="18"/>
              </w:rPr>
            </w:pPr>
            <w:r w:rsidRPr="00ED4285">
              <w:rPr>
                <w:sz w:val="18"/>
                <w:szCs w:val="18"/>
              </w:rPr>
              <w:t>48.9</w:t>
            </w:r>
          </w:p>
        </w:tc>
      </w:tr>
      <w:tr w:rsidR="00ED4285" w:rsidRPr="006C5A80" w:rsidTr="00ED4285">
        <w:tc>
          <w:tcPr>
            <w:tcW w:w="1960" w:type="pct"/>
            <w:vAlign w:val="bottom"/>
          </w:tcPr>
          <w:p w:rsidR="00ED4285" w:rsidRPr="00ED4285" w:rsidRDefault="00ED4285" w:rsidP="00932CE7">
            <w:pPr>
              <w:pStyle w:val="TableBodyText"/>
              <w:jc w:val="left"/>
              <w:rPr>
                <w:sz w:val="18"/>
                <w:szCs w:val="18"/>
              </w:rPr>
            </w:pPr>
            <w:r w:rsidRPr="00ED4285">
              <w:rPr>
                <w:sz w:val="18"/>
                <w:szCs w:val="18"/>
              </w:rPr>
              <w:t>Other crop growing</w:t>
            </w:r>
          </w:p>
        </w:tc>
        <w:tc>
          <w:tcPr>
            <w:tcW w:w="507" w:type="pct"/>
            <w:vAlign w:val="bottom"/>
          </w:tcPr>
          <w:p w:rsidR="00ED4285" w:rsidRPr="00ED4285" w:rsidRDefault="00ED4285" w:rsidP="00932CE7">
            <w:pPr>
              <w:pStyle w:val="TableBodyText"/>
              <w:rPr>
                <w:sz w:val="18"/>
                <w:szCs w:val="18"/>
              </w:rPr>
            </w:pPr>
            <w:r w:rsidRPr="00ED4285">
              <w:rPr>
                <w:sz w:val="18"/>
                <w:szCs w:val="18"/>
              </w:rPr>
              <w:t>31.3</w:t>
            </w:r>
          </w:p>
        </w:tc>
        <w:tc>
          <w:tcPr>
            <w:tcW w:w="507" w:type="pct"/>
            <w:vAlign w:val="bottom"/>
          </w:tcPr>
          <w:p w:rsidR="00ED4285" w:rsidRPr="00ED4285" w:rsidRDefault="00ED4285" w:rsidP="00932CE7">
            <w:pPr>
              <w:pStyle w:val="TableBodyText"/>
              <w:rPr>
                <w:sz w:val="18"/>
                <w:szCs w:val="18"/>
              </w:rPr>
            </w:pPr>
            <w:r w:rsidRPr="00ED4285">
              <w:rPr>
                <w:sz w:val="18"/>
                <w:szCs w:val="18"/>
              </w:rPr>
              <w:t>23.3</w:t>
            </w:r>
          </w:p>
        </w:tc>
        <w:tc>
          <w:tcPr>
            <w:tcW w:w="507" w:type="pct"/>
            <w:vAlign w:val="bottom"/>
          </w:tcPr>
          <w:p w:rsidR="00ED4285" w:rsidRPr="00ED4285" w:rsidRDefault="00ED4285" w:rsidP="00932CE7">
            <w:pPr>
              <w:pStyle w:val="TableBodyText"/>
              <w:rPr>
                <w:sz w:val="18"/>
                <w:szCs w:val="18"/>
              </w:rPr>
            </w:pPr>
            <w:r w:rsidRPr="00ED4285">
              <w:rPr>
                <w:sz w:val="18"/>
                <w:szCs w:val="18"/>
              </w:rPr>
              <w:t>7.1</w:t>
            </w:r>
          </w:p>
        </w:tc>
        <w:tc>
          <w:tcPr>
            <w:tcW w:w="507" w:type="pct"/>
            <w:vAlign w:val="bottom"/>
          </w:tcPr>
          <w:p w:rsidR="00ED4285" w:rsidRPr="00ED4285" w:rsidRDefault="00ED4285" w:rsidP="00932CE7">
            <w:pPr>
              <w:pStyle w:val="TableBodyText"/>
              <w:rPr>
                <w:sz w:val="18"/>
                <w:szCs w:val="18"/>
              </w:rPr>
            </w:pPr>
            <w:r w:rsidRPr="00ED4285">
              <w:rPr>
                <w:sz w:val="18"/>
                <w:szCs w:val="18"/>
              </w:rPr>
              <w:t>7.5</w:t>
            </w:r>
          </w:p>
        </w:tc>
        <w:tc>
          <w:tcPr>
            <w:tcW w:w="507" w:type="pct"/>
            <w:shd w:val="clear" w:color="auto" w:fill="auto"/>
            <w:vAlign w:val="bottom"/>
          </w:tcPr>
          <w:p w:rsidR="00ED4285" w:rsidRPr="00ED4285" w:rsidRDefault="00ED4285" w:rsidP="00932CE7">
            <w:pPr>
              <w:pStyle w:val="TableBodyText"/>
              <w:rPr>
                <w:sz w:val="18"/>
                <w:szCs w:val="18"/>
              </w:rPr>
            </w:pPr>
            <w:r w:rsidRPr="00ED4285">
              <w:rPr>
                <w:sz w:val="18"/>
                <w:szCs w:val="18"/>
              </w:rPr>
              <w:t>7.7</w:t>
            </w:r>
          </w:p>
        </w:tc>
        <w:tc>
          <w:tcPr>
            <w:tcW w:w="505" w:type="pct"/>
            <w:shd w:val="clear" w:color="auto" w:fill="auto"/>
            <w:vAlign w:val="bottom"/>
          </w:tcPr>
          <w:p w:rsidR="00ED4285" w:rsidRPr="00ED4285" w:rsidRDefault="00ED4285" w:rsidP="00932CE7">
            <w:pPr>
              <w:pStyle w:val="TableBodyText"/>
              <w:rPr>
                <w:sz w:val="18"/>
                <w:szCs w:val="18"/>
              </w:rPr>
            </w:pPr>
            <w:r w:rsidRPr="00ED4285">
              <w:rPr>
                <w:sz w:val="18"/>
                <w:szCs w:val="18"/>
              </w:rPr>
              <w:t>7.7</w:t>
            </w:r>
          </w:p>
        </w:tc>
      </w:tr>
      <w:tr w:rsidR="00ED4285" w:rsidRPr="006C5A80" w:rsidTr="00ED4285">
        <w:tc>
          <w:tcPr>
            <w:tcW w:w="1960" w:type="pct"/>
            <w:vAlign w:val="bottom"/>
          </w:tcPr>
          <w:p w:rsidR="00ED4285" w:rsidRPr="00ED4285" w:rsidRDefault="00ED4285" w:rsidP="00932CE7">
            <w:pPr>
              <w:pStyle w:val="TableBodyText"/>
              <w:jc w:val="left"/>
              <w:rPr>
                <w:sz w:val="18"/>
                <w:szCs w:val="18"/>
              </w:rPr>
            </w:pPr>
            <w:r w:rsidRPr="00ED4285">
              <w:rPr>
                <w:sz w:val="18"/>
                <w:szCs w:val="18"/>
              </w:rPr>
              <w:t>Dairy cattle farming</w:t>
            </w:r>
          </w:p>
        </w:tc>
        <w:tc>
          <w:tcPr>
            <w:tcW w:w="507" w:type="pct"/>
            <w:vAlign w:val="bottom"/>
          </w:tcPr>
          <w:p w:rsidR="00ED4285" w:rsidRPr="00ED4285" w:rsidRDefault="00ED4285" w:rsidP="00932CE7">
            <w:pPr>
              <w:pStyle w:val="TableBodyText"/>
              <w:rPr>
                <w:sz w:val="18"/>
                <w:szCs w:val="18"/>
              </w:rPr>
            </w:pPr>
            <w:r w:rsidRPr="00ED4285">
              <w:rPr>
                <w:sz w:val="18"/>
                <w:szCs w:val="18"/>
              </w:rPr>
              <w:t>2.1</w:t>
            </w:r>
          </w:p>
        </w:tc>
        <w:tc>
          <w:tcPr>
            <w:tcW w:w="507" w:type="pct"/>
            <w:vAlign w:val="bottom"/>
          </w:tcPr>
          <w:p w:rsidR="00ED4285" w:rsidRPr="00ED4285" w:rsidRDefault="00ED4285" w:rsidP="00932CE7">
            <w:pPr>
              <w:pStyle w:val="TableBodyText"/>
              <w:rPr>
                <w:sz w:val="18"/>
                <w:szCs w:val="18"/>
              </w:rPr>
            </w:pPr>
            <w:r w:rsidRPr="00ED4285">
              <w:rPr>
                <w:sz w:val="18"/>
                <w:szCs w:val="18"/>
              </w:rPr>
              <w:t>2.3</w:t>
            </w:r>
          </w:p>
        </w:tc>
        <w:tc>
          <w:tcPr>
            <w:tcW w:w="507" w:type="pct"/>
            <w:vAlign w:val="bottom"/>
          </w:tcPr>
          <w:p w:rsidR="00ED4285" w:rsidRPr="00ED4285" w:rsidRDefault="00ED4285" w:rsidP="00932CE7">
            <w:pPr>
              <w:pStyle w:val="TableBodyText"/>
              <w:rPr>
                <w:sz w:val="18"/>
                <w:szCs w:val="18"/>
              </w:rPr>
            </w:pPr>
            <w:r w:rsidRPr="00ED4285">
              <w:rPr>
                <w:sz w:val="18"/>
                <w:szCs w:val="18"/>
              </w:rPr>
              <w:t>1.4</w:t>
            </w:r>
          </w:p>
        </w:tc>
        <w:tc>
          <w:tcPr>
            <w:tcW w:w="507" w:type="pct"/>
            <w:vAlign w:val="bottom"/>
          </w:tcPr>
          <w:p w:rsidR="00ED4285" w:rsidRPr="00ED4285" w:rsidRDefault="00ED4285" w:rsidP="00932CE7">
            <w:pPr>
              <w:pStyle w:val="TableBodyText"/>
              <w:rPr>
                <w:sz w:val="18"/>
                <w:szCs w:val="18"/>
              </w:rPr>
            </w:pPr>
            <w:r w:rsidRPr="00ED4285">
              <w:rPr>
                <w:sz w:val="18"/>
                <w:szCs w:val="18"/>
              </w:rPr>
              <w:t>1.4</w:t>
            </w:r>
          </w:p>
        </w:tc>
        <w:tc>
          <w:tcPr>
            <w:tcW w:w="507" w:type="pct"/>
            <w:shd w:val="clear" w:color="auto" w:fill="auto"/>
            <w:vAlign w:val="bottom"/>
          </w:tcPr>
          <w:p w:rsidR="00ED4285" w:rsidRPr="00ED4285" w:rsidRDefault="00ED4285" w:rsidP="00932CE7">
            <w:pPr>
              <w:pStyle w:val="TableBodyText"/>
              <w:rPr>
                <w:sz w:val="18"/>
                <w:szCs w:val="18"/>
              </w:rPr>
            </w:pPr>
            <w:r w:rsidRPr="00ED4285">
              <w:rPr>
                <w:sz w:val="18"/>
                <w:szCs w:val="18"/>
              </w:rPr>
              <w:t>1.5</w:t>
            </w:r>
          </w:p>
        </w:tc>
        <w:tc>
          <w:tcPr>
            <w:tcW w:w="505" w:type="pct"/>
            <w:shd w:val="clear" w:color="auto" w:fill="auto"/>
            <w:vAlign w:val="bottom"/>
          </w:tcPr>
          <w:p w:rsidR="00ED4285" w:rsidRPr="00ED4285" w:rsidRDefault="00ED4285" w:rsidP="00932CE7">
            <w:pPr>
              <w:pStyle w:val="TableBodyText"/>
              <w:rPr>
                <w:sz w:val="18"/>
                <w:szCs w:val="18"/>
              </w:rPr>
            </w:pPr>
            <w:r w:rsidRPr="00ED4285">
              <w:rPr>
                <w:sz w:val="18"/>
                <w:szCs w:val="18"/>
              </w:rPr>
              <w:t>1.5</w:t>
            </w:r>
          </w:p>
        </w:tc>
      </w:tr>
      <w:tr w:rsidR="00ED4285" w:rsidRPr="006C5A80" w:rsidTr="00ED4285">
        <w:tc>
          <w:tcPr>
            <w:tcW w:w="1960" w:type="pct"/>
            <w:vAlign w:val="bottom"/>
          </w:tcPr>
          <w:p w:rsidR="00ED4285" w:rsidRPr="00ED4285" w:rsidRDefault="00ED4285" w:rsidP="00932CE7">
            <w:pPr>
              <w:pStyle w:val="TableBodyText"/>
              <w:jc w:val="left"/>
              <w:rPr>
                <w:sz w:val="18"/>
                <w:szCs w:val="18"/>
              </w:rPr>
            </w:pPr>
            <w:r w:rsidRPr="00ED4285">
              <w:rPr>
                <w:sz w:val="18"/>
                <w:szCs w:val="18"/>
              </w:rPr>
              <w:t>Other livestock farming</w:t>
            </w:r>
          </w:p>
        </w:tc>
        <w:tc>
          <w:tcPr>
            <w:tcW w:w="507" w:type="pct"/>
            <w:vAlign w:val="bottom"/>
          </w:tcPr>
          <w:p w:rsidR="00ED4285" w:rsidRPr="00ED4285" w:rsidRDefault="00ED4285" w:rsidP="00932CE7">
            <w:pPr>
              <w:pStyle w:val="TableBodyText"/>
              <w:rPr>
                <w:sz w:val="18"/>
                <w:szCs w:val="18"/>
              </w:rPr>
            </w:pPr>
            <w:r w:rsidRPr="00ED4285">
              <w:rPr>
                <w:sz w:val="18"/>
                <w:szCs w:val="18"/>
              </w:rPr>
              <w:t>10.4</w:t>
            </w:r>
          </w:p>
        </w:tc>
        <w:tc>
          <w:tcPr>
            <w:tcW w:w="507" w:type="pct"/>
            <w:vAlign w:val="bottom"/>
          </w:tcPr>
          <w:p w:rsidR="00ED4285" w:rsidRPr="00ED4285" w:rsidRDefault="00ED4285" w:rsidP="00932CE7">
            <w:pPr>
              <w:pStyle w:val="TableBodyText"/>
              <w:rPr>
                <w:sz w:val="18"/>
                <w:szCs w:val="18"/>
              </w:rPr>
            </w:pPr>
            <w:r w:rsidRPr="00ED4285">
              <w:rPr>
                <w:sz w:val="18"/>
                <w:szCs w:val="18"/>
              </w:rPr>
              <w:t>10.0</w:t>
            </w:r>
          </w:p>
        </w:tc>
        <w:tc>
          <w:tcPr>
            <w:tcW w:w="507" w:type="pct"/>
            <w:vAlign w:val="bottom"/>
          </w:tcPr>
          <w:p w:rsidR="00ED4285" w:rsidRPr="00ED4285" w:rsidRDefault="00ED4285" w:rsidP="00932CE7">
            <w:pPr>
              <w:pStyle w:val="TableBodyText"/>
              <w:rPr>
                <w:sz w:val="18"/>
                <w:szCs w:val="18"/>
              </w:rPr>
            </w:pPr>
            <w:r w:rsidRPr="00ED4285">
              <w:rPr>
                <w:sz w:val="18"/>
                <w:szCs w:val="18"/>
              </w:rPr>
              <w:t>0.9</w:t>
            </w:r>
          </w:p>
        </w:tc>
        <w:tc>
          <w:tcPr>
            <w:tcW w:w="507" w:type="pct"/>
            <w:vAlign w:val="bottom"/>
          </w:tcPr>
          <w:p w:rsidR="00ED4285" w:rsidRPr="00ED4285" w:rsidRDefault="00ED4285" w:rsidP="00932CE7">
            <w:pPr>
              <w:pStyle w:val="TableBodyText"/>
              <w:rPr>
                <w:sz w:val="18"/>
                <w:szCs w:val="18"/>
              </w:rPr>
            </w:pPr>
            <w:r w:rsidRPr="00ED4285">
              <w:rPr>
                <w:sz w:val="18"/>
                <w:szCs w:val="18"/>
              </w:rPr>
              <w:t>1.0</w:t>
            </w:r>
          </w:p>
        </w:tc>
        <w:tc>
          <w:tcPr>
            <w:tcW w:w="507" w:type="pct"/>
            <w:shd w:val="clear" w:color="auto" w:fill="auto"/>
            <w:vAlign w:val="bottom"/>
          </w:tcPr>
          <w:p w:rsidR="00ED4285" w:rsidRPr="00ED4285" w:rsidRDefault="00ED4285" w:rsidP="00932CE7">
            <w:pPr>
              <w:pStyle w:val="TableBodyText"/>
              <w:rPr>
                <w:sz w:val="18"/>
                <w:szCs w:val="18"/>
              </w:rPr>
            </w:pPr>
            <w:r w:rsidRPr="00ED4285">
              <w:rPr>
                <w:sz w:val="18"/>
                <w:szCs w:val="18"/>
              </w:rPr>
              <w:t>1.0</w:t>
            </w:r>
          </w:p>
        </w:tc>
        <w:tc>
          <w:tcPr>
            <w:tcW w:w="505" w:type="pct"/>
            <w:shd w:val="clear" w:color="auto" w:fill="auto"/>
            <w:vAlign w:val="bottom"/>
          </w:tcPr>
          <w:p w:rsidR="00ED4285" w:rsidRPr="00ED4285" w:rsidRDefault="00ED4285" w:rsidP="00932CE7">
            <w:pPr>
              <w:pStyle w:val="TableBodyText"/>
              <w:rPr>
                <w:sz w:val="18"/>
                <w:szCs w:val="18"/>
              </w:rPr>
            </w:pPr>
            <w:r w:rsidRPr="00ED4285">
              <w:rPr>
                <w:sz w:val="18"/>
                <w:szCs w:val="18"/>
              </w:rPr>
              <w:t>1.0</w:t>
            </w:r>
          </w:p>
        </w:tc>
      </w:tr>
      <w:tr w:rsidR="00ED4285" w:rsidRPr="006C5A80" w:rsidTr="00ED4285">
        <w:tc>
          <w:tcPr>
            <w:tcW w:w="1960" w:type="pct"/>
            <w:vAlign w:val="bottom"/>
          </w:tcPr>
          <w:p w:rsidR="00ED4285" w:rsidRPr="00ED4285" w:rsidRDefault="00ED4285" w:rsidP="00932CE7">
            <w:pPr>
              <w:pStyle w:val="TableBodyText"/>
              <w:jc w:val="left"/>
              <w:rPr>
                <w:sz w:val="18"/>
                <w:szCs w:val="18"/>
              </w:rPr>
            </w:pPr>
            <w:r w:rsidRPr="00ED4285">
              <w:rPr>
                <w:sz w:val="18"/>
                <w:szCs w:val="18"/>
              </w:rPr>
              <w:t>Aquaculture and fishing</w:t>
            </w:r>
          </w:p>
        </w:tc>
        <w:tc>
          <w:tcPr>
            <w:tcW w:w="507" w:type="pct"/>
            <w:vAlign w:val="bottom"/>
          </w:tcPr>
          <w:p w:rsidR="00ED4285" w:rsidRPr="00ED4285" w:rsidRDefault="00ED4285" w:rsidP="00932CE7">
            <w:pPr>
              <w:pStyle w:val="TableBodyText"/>
              <w:rPr>
                <w:sz w:val="18"/>
                <w:szCs w:val="18"/>
              </w:rPr>
            </w:pPr>
            <w:r w:rsidRPr="00ED4285">
              <w:rPr>
                <w:sz w:val="18"/>
                <w:szCs w:val="18"/>
              </w:rPr>
              <w:t>9.2</w:t>
            </w:r>
          </w:p>
        </w:tc>
        <w:tc>
          <w:tcPr>
            <w:tcW w:w="507" w:type="pct"/>
            <w:vAlign w:val="bottom"/>
          </w:tcPr>
          <w:p w:rsidR="00ED4285" w:rsidRPr="00ED4285" w:rsidRDefault="00ED4285" w:rsidP="00932CE7">
            <w:pPr>
              <w:pStyle w:val="TableBodyText"/>
              <w:rPr>
                <w:sz w:val="18"/>
                <w:szCs w:val="18"/>
              </w:rPr>
            </w:pPr>
            <w:r w:rsidRPr="00ED4285">
              <w:rPr>
                <w:sz w:val="18"/>
                <w:szCs w:val="18"/>
              </w:rPr>
              <w:t>10.8</w:t>
            </w:r>
          </w:p>
        </w:tc>
        <w:tc>
          <w:tcPr>
            <w:tcW w:w="507" w:type="pct"/>
            <w:vAlign w:val="bottom"/>
          </w:tcPr>
          <w:p w:rsidR="00ED4285" w:rsidRPr="00ED4285" w:rsidRDefault="00ED4285" w:rsidP="00932CE7">
            <w:pPr>
              <w:pStyle w:val="TableBodyText"/>
              <w:rPr>
                <w:sz w:val="18"/>
                <w:szCs w:val="18"/>
              </w:rPr>
            </w:pPr>
            <w:r w:rsidRPr="00ED4285">
              <w:rPr>
                <w:sz w:val="18"/>
                <w:szCs w:val="18"/>
              </w:rPr>
              <w:t>15.9</w:t>
            </w:r>
          </w:p>
        </w:tc>
        <w:tc>
          <w:tcPr>
            <w:tcW w:w="507" w:type="pct"/>
            <w:vAlign w:val="bottom"/>
          </w:tcPr>
          <w:p w:rsidR="00ED4285" w:rsidRPr="00ED4285" w:rsidRDefault="00ED4285" w:rsidP="00932CE7">
            <w:pPr>
              <w:pStyle w:val="TableBodyText"/>
              <w:rPr>
                <w:sz w:val="18"/>
                <w:szCs w:val="18"/>
              </w:rPr>
            </w:pPr>
            <w:r w:rsidRPr="00ED4285">
              <w:rPr>
                <w:sz w:val="18"/>
                <w:szCs w:val="18"/>
              </w:rPr>
              <w:t>16.8</w:t>
            </w:r>
          </w:p>
        </w:tc>
        <w:tc>
          <w:tcPr>
            <w:tcW w:w="507" w:type="pct"/>
            <w:shd w:val="clear" w:color="auto" w:fill="auto"/>
            <w:vAlign w:val="bottom"/>
          </w:tcPr>
          <w:p w:rsidR="00ED4285" w:rsidRPr="00ED4285" w:rsidRDefault="00ED4285" w:rsidP="00932CE7">
            <w:pPr>
              <w:pStyle w:val="TableBodyText"/>
              <w:rPr>
                <w:sz w:val="18"/>
                <w:szCs w:val="18"/>
              </w:rPr>
            </w:pPr>
            <w:r w:rsidRPr="00ED4285">
              <w:rPr>
                <w:sz w:val="18"/>
                <w:szCs w:val="18"/>
              </w:rPr>
              <w:t>17.2</w:t>
            </w:r>
          </w:p>
        </w:tc>
        <w:tc>
          <w:tcPr>
            <w:tcW w:w="505" w:type="pct"/>
            <w:shd w:val="clear" w:color="auto" w:fill="auto"/>
            <w:vAlign w:val="bottom"/>
          </w:tcPr>
          <w:p w:rsidR="00ED4285" w:rsidRPr="00ED4285" w:rsidRDefault="00ED4285" w:rsidP="00932CE7">
            <w:pPr>
              <w:pStyle w:val="TableBodyText"/>
              <w:rPr>
                <w:sz w:val="18"/>
                <w:szCs w:val="18"/>
              </w:rPr>
            </w:pPr>
            <w:r w:rsidRPr="00ED4285">
              <w:rPr>
                <w:sz w:val="18"/>
                <w:szCs w:val="18"/>
              </w:rPr>
              <w:t>17.2</w:t>
            </w:r>
          </w:p>
        </w:tc>
      </w:tr>
      <w:tr w:rsidR="00ED4285" w:rsidRPr="006C5A80" w:rsidTr="00ED4285">
        <w:tc>
          <w:tcPr>
            <w:tcW w:w="1960" w:type="pct"/>
            <w:vAlign w:val="bottom"/>
          </w:tcPr>
          <w:p w:rsidR="00ED4285" w:rsidRPr="00ED4285" w:rsidRDefault="00ED4285" w:rsidP="00932CE7">
            <w:pPr>
              <w:pStyle w:val="TableBodyText"/>
              <w:jc w:val="left"/>
              <w:rPr>
                <w:sz w:val="18"/>
                <w:szCs w:val="18"/>
              </w:rPr>
            </w:pPr>
            <w:r w:rsidRPr="00ED4285">
              <w:rPr>
                <w:sz w:val="18"/>
                <w:szCs w:val="18"/>
              </w:rPr>
              <w:t>Forestry and logging</w:t>
            </w:r>
          </w:p>
        </w:tc>
        <w:tc>
          <w:tcPr>
            <w:tcW w:w="507" w:type="pct"/>
            <w:vAlign w:val="bottom"/>
          </w:tcPr>
          <w:p w:rsidR="00ED4285" w:rsidRPr="00ED4285" w:rsidRDefault="00ED4285" w:rsidP="00932CE7">
            <w:pPr>
              <w:pStyle w:val="TableBodyText"/>
              <w:rPr>
                <w:sz w:val="18"/>
                <w:szCs w:val="18"/>
              </w:rPr>
            </w:pPr>
            <w:r w:rsidRPr="00ED4285">
              <w:rPr>
                <w:sz w:val="18"/>
                <w:szCs w:val="18"/>
              </w:rPr>
              <w:t>4.6</w:t>
            </w:r>
          </w:p>
        </w:tc>
        <w:tc>
          <w:tcPr>
            <w:tcW w:w="507" w:type="pct"/>
            <w:vAlign w:val="bottom"/>
          </w:tcPr>
          <w:p w:rsidR="00ED4285" w:rsidRPr="00ED4285" w:rsidRDefault="00ED4285" w:rsidP="00932CE7">
            <w:pPr>
              <w:pStyle w:val="TableBodyText"/>
              <w:rPr>
                <w:sz w:val="18"/>
                <w:szCs w:val="18"/>
              </w:rPr>
            </w:pPr>
            <w:r w:rsidRPr="00ED4285">
              <w:rPr>
                <w:sz w:val="18"/>
                <w:szCs w:val="18"/>
              </w:rPr>
              <w:t>18.0</w:t>
            </w:r>
          </w:p>
        </w:tc>
        <w:tc>
          <w:tcPr>
            <w:tcW w:w="507" w:type="pct"/>
            <w:vAlign w:val="bottom"/>
          </w:tcPr>
          <w:p w:rsidR="00ED4285" w:rsidRPr="00ED4285" w:rsidRDefault="00ED4285" w:rsidP="00932CE7">
            <w:pPr>
              <w:pStyle w:val="TableBodyText"/>
              <w:rPr>
                <w:sz w:val="18"/>
                <w:szCs w:val="18"/>
              </w:rPr>
            </w:pPr>
            <w:r w:rsidRPr="00ED4285">
              <w:rPr>
                <w:sz w:val="18"/>
                <w:szCs w:val="18"/>
              </w:rPr>
              <w:t>6.3</w:t>
            </w:r>
          </w:p>
        </w:tc>
        <w:tc>
          <w:tcPr>
            <w:tcW w:w="507" w:type="pct"/>
            <w:vAlign w:val="bottom"/>
          </w:tcPr>
          <w:p w:rsidR="00ED4285" w:rsidRPr="00ED4285" w:rsidRDefault="00ED4285" w:rsidP="00932CE7">
            <w:pPr>
              <w:pStyle w:val="TableBodyText"/>
              <w:rPr>
                <w:sz w:val="18"/>
                <w:szCs w:val="18"/>
              </w:rPr>
            </w:pPr>
            <w:r w:rsidRPr="00ED4285">
              <w:rPr>
                <w:sz w:val="18"/>
                <w:szCs w:val="18"/>
              </w:rPr>
              <w:t>6.7</w:t>
            </w:r>
          </w:p>
        </w:tc>
        <w:tc>
          <w:tcPr>
            <w:tcW w:w="507" w:type="pct"/>
            <w:shd w:val="clear" w:color="auto" w:fill="auto"/>
            <w:vAlign w:val="bottom"/>
          </w:tcPr>
          <w:p w:rsidR="00ED4285" w:rsidRPr="00ED4285" w:rsidRDefault="00ED4285" w:rsidP="00932CE7">
            <w:pPr>
              <w:pStyle w:val="TableBodyText"/>
              <w:rPr>
                <w:sz w:val="18"/>
                <w:szCs w:val="18"/>
              </w:rPr>
            </w:pPr>
            <w:r w:rsidRPr="00ED4285">
              <w:rPr>
                <w:sz w:val="18"/>
                <w:szCs w:val="18"/>
              </w:rPr>
              <w:t>6.8</w:t>
            </w:r>
          </w:p>
        </w:tc>
        <w:tc>
          <w:tcPr>
            <w:tcW w:w="505" w:type="pct"/>
            <w:shd w:val="clear" w:color="auto" w:fill="auto"/>
            <w:vAlign w:val="bottom"/>
          </w:tcPr>
          <w:p w:rsidR="00ED4285" w:rsidRPr="00ED4285" w:rsidRDefault="00ED4285" w:rsidP="00932CE7">
            <w:pPr>
              <w:pStyle w:val="TableBodyText"/>
              <w:rPr>
                <w:sz w:val="18"/>
                <w:szCs w:val="18"/>
              </w:rPr>
            </w:pPr>
            <w:r w:rsidRPr="00ED4285">
              <w:rPr>
                <w:sz w:val="18"/>
                <w:szCs w:val="18"/>
              </w:rPr>
              <w:t>6.8</w:t>
            </w:r>
          </w:p>
        </w:tc>
      </w:tr>
      <w:tr w:rsidR="00ED4285" w:rsidRPr="006C5A80" w:rsidTr="00ED4285">
        <w:tc>
          <w:tcPr>
            <w:tcW w:w="1960" w:type="pct"/>
            <w:vAlign w:val="bottom"/>
          </w:tcPr>
          <w:p w:rsidR="00ED4285" w:rsidRPr="00ED4285" w:rsidRDefault="00ED4285" w:rsidP="00932CE7">
            <w:pPr>
              <w:pStyle w:val="TableBodyText"/>
              <w:jc w:val="left"/>
              <w:rPr>
                <w:sz w:val="18"/>
                <w:szCs w:val="18"/>
              </w:rPr>
            </w:pPr>
            <w:r w:rsidRPr="00ED4285">
              <w:rPr>
                <w:sz w:val="18"/>
                <w:szCs w:val="18"/>
              </w:rPr>
              <w:t>Unallocated primary production</w:t>
            </w:r>
          </w:p>
        </w:tc>
        <w:tc>
          <w:tcPr>
            <w:tcW w:w="507" w:type="pct"/>
            <w:vAlign w:val="bottom"/>
          </w:tcPr>
          <w:p w:rsidR="00ED4285" w:rsidRPr="00ED4285" w:rsidRDefault="00ED4285" w:rsidP="00932CE7">
            <w:pPr>
              <w:pStyle w:val="TableBodyText"/>
              <w:rPr>
                <w:sz w:val="18"/>
                <w:szCs w:val="18"/>
              </w:rPr>
            </w:pPr>
            <w:r w:rsidRPr="00ED4285">
              <w:rPr>
                <w:sz w:val="18"/>
                <w:szCs w:val="18"/>
              </w:rPr>
              <w:t>18.8</w:t>
            </w:r>
          </w:p>
        </w:tc>
        <w:tc>
          <w:tcPr>
            <w:tcW w:w="507" w:type="pct"/>
            <w:vAlign w:val="bottom"/>
          </w:tcPr>
          <w:p w:rsidR="00ED4285" w:rsidRPr="00ED4285" w:rsidRDefault="00ED4285" w:rsidP="00932CE7">
            <w:pPr>
              <w:pStyle w:val="TableBodyText"/>
              <w:rPr>
                <w:sz w:val="18"/>
                <w:szCs w:val="18"/>
              </w:rPr>
            </w:pPr>
            <w:r w:rsidRPr="00ED4285">
              <w:rPr>
                <w:sz w:val="18"/>
                <w:szCs w:val="18"/>
              </w:rPr>
              <w:t>17.5</w:t>
            </w:r>
          </w:p>
        </w:tc>
        <w:tc>
          <w:tcPr>
            <w:tcW w:w="507" w:type="pct"/>
            <w:vAlign w:val="bottom"/>
          </w:tcPr>
          <w:p w:rsidR="00ED4285" w:rsidRPr="00ED4285" w:rsidRDefault="00ED4285" w:rsidP="00932CE7">
            <w:pPr>
              <w:pStyle w:val="TableBodyText"/>
              <w:rPr>
                <w:sz w:val="18"/>
                <w:szCs w:val="18"/>
              </w:rPr>
            </w:pPr>
            <w:r w:rsidRPr="00ED4285">
              <w:rPr>
                <w:sz w:val="18"/>
                <w:szCs w:val="18"/>
              </w:rPr>
              <w:t>30.3</w:t>
            </w:r>
          </w:p>
        </w:tc>
        <w:tc>
          <w:tcPr>
            <w:tcW w:w="507" w:type="pct"/>
            <w:vAlign w:val="bottom"/>
          </w:tcPr>
          <w:p w:rsidR="00ED4285" w:rsidRPr="00ED4285" w:rsidRDefault="00ED4285" w:rsidP="00932CE7">
            <w:pPr>
              <w:pStyle w:val="TableBodyText"/>
              <w:rPr>
                <w:sz w:val="18"/>
                <w:szCs w:val="18"/>
              </w:rPr>
            </w:pPr>
            <w:r w:rsidRPr="00ED4285">
              <w:rPr>
                <w:sz w:val="18"/>
                <w:szCs w:val="18"/>
              </w:rPr>
              <w:t>31.9</w:t>
            </w:r>
          </w:p>
        </w:tc>
        <w:tc>
          <w:tcPr>
            <w:tcW w:w="507" w:type="pct"/>
            <w:shd w:val="clear" w:color="auto" w:fill="auto"/>
            <w:vAlign w:val="bottom"/>
          </w:tcPr>
          <w:p w:rsidR="00ED4285" w:rsidRPr="00ED4285" w:rsidRDefault="00ED4285" w:rsidP="00932CE7">
            <w:pPr>
              <w:pStyle w:val="TableBodyText"/>
              <w:rPr>
                <w:sz w:val="18"/>
                <w:szCs w:val="18"/>
              </w:rPr>
            </w:pPr>
            <w:r w:rsidRPr="00ED4285">
              <w:rPr>
                <w:sz w:val="18"/>
                <w:szCs w:val="18"/>
              </w:rPr>
              <w:t>32.7</w:t>
            </w:r>
          </w:p>
        </w:tc>
        <w:tc>
          <w:tcPr>
            <w:tcW w:w="505" w:type="pct"/>
            <w:shd w:val="clear" w:color="auto" w:fill="auto"/>
            <w:vAlign w:val="bottom"/>
          </w:tcPr>
          <w:p w:rsidR="00ED4285" w:rsidRPr="00ED4285" w:rsidRDefault="00ED4285" w:rsidP="00932CE7">
            <w:pPr>
              <w:pStyle w:val="TableBodyText"/>
              <w:rPr>
                <w:sz w:val="18"/>
                <w:szCs w:val="18"/>
              </w:rPr>
            </w:pPr>
            <w:r w:rsidRPr="00ED4285">
              <w:rPr>
                <w:sz w:val="18"/>
                <w:szCs w:val="18"/>
              </w:rPr>
              <w:t>32.7</w:t>
            </w:r>
          </w:p>
        </w:tc>
      </w:tr>
      <w:tr w:rsidR="00ED4285" w:rsidRPr="006C5A80" w:rsidTr="00ED4285">
        <w:tc>
          <w:tcPr>
            <w:tcW w:w="1960" w:type="pct"/>
            <w:vAlign w:val="bottom"/>
          </w:tcPr>
          <w:p w:rsidR="00ED4285" w:rsidRPr="00ED4285" w:rsidRDefault="00ED4285" w:rsidP="00932CE7">
            <w:pPr>
              <w:pStyle w:val="TableBodyText"/>
              <w:jc w:val="left"/>
              <w:rPr>
                <w:b/>
                <w:sz w:val="18"/>
                <w:szCs w:val="18"/>
              </w:rPr>
            </w:pPr>
            <w:r w:rsidRPr="00ED4285">
              <w:rPr>
                <w:b/>
                <w:sz w:val="18"/>
                <w:szCs w:val="18"/>
              </w:rPr>
              <w:t>Mining</w:t>
            </w:r>
          </w:p>
        </w:tc>
        <w:tc>
          <w:tcPr>
            <w:tcW w:w="507" w:type="pct"/>
            <w:vAlign w:val="bottom"/>
          </w:tcPr>
          <w:p w:rsidR="00ED4285" w:rsidRPr="00ED4285" w:rsidRDefault="00ED4285" w:rsidP="00932CE7">
            <w:pPr>
              <w:pStyle w:val="TableBodyText"/>
              <w:rPr>
                <w:b/>
                <w:sz w:val="18"/>
                <w:szCs w:val="18"/>
              </w:rPr>
            </w:pPr>
            <w:r w:rsidRPr="00ED4285">
              <w:rPr>
                <w:b/>
                <w:sz w:val="18"/>
                <w:szCs w:val="18"/>
              </w:rPr>
              <w:t>47.0</w:t>
            </w:r>
          </w:p>
        </w:tc>
        <w:tc>
          <w:tcPr>
            <w:tcW w:w="507" w:type="pct"/>
            <w:vAlign w:val="bottom"/>
          </w:tcPr>
          <w:p w:rsidR="00ED4285" w:rsidRPr="00ED4285" w:rsidRDefault="00ED4285" w:rsidP="00932CE7">
            <w:pPr>
              <w:pStyle w:val="TableBodyText"/>
              <w:rPr>
                <w:b/>
                <w:sz w:val="18"/>
                <w:szCs w:val="18"/>
              </w:rPr>
            </w:pPr>
            <w:r w:rsidRPr="00ED4285">
              <w:rPr>
                <w:b/>
                <w:sz w:val="18"/>
                <w:szCs w:val="18"/>
              </w:rPr>
              <w:t>47.6</w:t>
            </w:r>
          </w:p>
        </w:tc>
        <w:tc>
          <w:tcPr>
            <w:tcW w:w="507" w:type="pct"/>
            <w:vAlign w:val="bottom"/>
          </w:tcPr>
          <w:p w:rsidR="00ED4285" w:rsidRPr="00ED4285" w:rsidRDefault="00ED4285" w:rsidP="00932CE7">
            <w:pPr>
              <w:pStyle w:val="TableBodyText"/>
              <w:rPr>
                <w:b/>
                <w:sz w:val="18"/>
                <w:szCs w:val="18"/>
              </w:rPr>
            </w:pPr>
            <w:r w:rsidRPr="00ED4285">
              <w:rPr>
                <w:b/>
                <w:sz w:val="18"/>
                <w:szCs w:val="18"/>
              </w:rPr>
              <w:t>60.4</w:t>
            </w:r>
          </w:p>
        </w:tc>
        <w:tc>
          <w:tcPr>
            <w:tcW w:w="507" w:type="pct"/>
            <w:vAlign w:val="bottom"/>
          </w:tcPr>
          <w:p w:rsidR="00ED4285" w:rsidRPr="00ED4285" w:rsidRDefault="00ED4285" w:rsidP="00932CE7">
            <w:pPr>
              <w:pStyle w:val="TableBodyText"/>
              <w:rPr>
                <w:b/>
                <w:sz w:val="18"/>
                <w:szCs w:val="18"/>
              </w:rPr>
            </w:pPr>
            <w:r w:rsidRPr="00ED4285">
              <w:rPr>
                <w:b/>
                <w:sz w:val="18"/>
                <w:szCs w:val="18"/>
              </w:rPr>
              <w:t>63.8</w:t>
            </w:r>
          </w:p>
        </w:tc>
        <w:tc>
          <w:tcPr>
            <w:tcW w:w="507" w:type="pct"/>
            <w:shd w:val="clear" w:color="auto" w:fill="auto"/>
            <w:vAlign w:val="bottom"/>
          </w:tcPr>
          <w:p w:rsidR="00ED4285" w:rsidRPr="00ED4285" w:rsidRDefault="00ED4285" w:rsidP="00932CE7">
            <w:pPr>
              <w:pStyle w:val="TableBodyText"/>
              <w:rPr>
                <w:b/>
                <w:sz w:val="18"/>
                <w:szCs w:val="18"/>
              </w:rPr>
            </w:pPr>
            <w:r w:rsidRPr="00ED4285">
              <w:rPr>
                <w:b/>
                <w:sz w:val="18"/>
                <w:szCs w:val="18"/>
              </w:rPr>
              <w:t>65.2</w:t>
            </w:r>
          </w:p>
        </w:tc>
        <w:tc>
          <w:tcPr>
            <w:tcW w:w="505" w:type="pct"/>
            <w:shd w:val="clear" w:color="auto" w:fill="auto"/>
            <w:vAlign w:val="bottom"/>
          </w:tcPr>
          <w:p w:rsidR="00ED4285" w:rsidRPr="00ED4285" w:rsidRDefault="00ED4285" w:rsidP="00932CE7">
            <w:pPr>
              <w:pStyle w:val="TableBodyText"/>
              <w:rPr>
                <w:b/>
                <w:sz w:val="18"/>
                <w:szCs w:val="18"/>
              </w:rPr>
            </w:pPr>
            <w:r w:rsidRPr="00ED4285">
              <w:rPr>
                <w:b/>
                <w:sz w:val="18"/>
                <w:szCs w:val="18"/>
              </w:rPr>
              <w:t>65.2</w:t>
            </w:r>
          </w:p>
        </w:tc>
      </w:tr>
      <w:tr w:rsidR="00ED4285" w:rsidRPr="006C5A80" w:rsidTr="00ED4285">
        <w:tc>
          <w:tcPr>
            <w:tcW w:w="1960" w:type="pct"/>
            <w:vAlign w:val="bottom"/>
          </w:tcPr>
          <w:p w:rsidR="00ED4285" w:rsidRPr="00ED4285" w:rsidRDefault="00ED4285" w:rsidP="00932CE7">
            <w:pPr>
              <w:pStyle w:val="TableBodyText"/>
              <w:jc w:val="left"/>
              <w:rPr>
                <w:b/>
                <w:sz w:val="18"/>
                <w:szCs w:val="18"/>
              </w:rPr>
            </w:pPr>
            <w:r w:rsidRPr="00ED4285">
              <w:rPr>
                <w:b/>
                <w:sz w:val="18"/>
                <w:szCs w:val="18"/>
              </w:rPr>
              <w:t>Manufacturing</w:t>
            </w:r>
          </w:p>
        </w:tc>
        <w:tc>
          <w:tcPr>
            <w:tcW w:w="507" w:type="pct"/>
            <w:vAlign w:val="bottom"/>
          </w:tcPr>
          <w:p w:rsidR="00ED4285" w:rsidRPr="00ED4285" w:rsidRDefault="00ED4285" w:rsidP="00ED4285">
            <w:pPr>
              <w:pStyle w:val="TableBodyText"/>
              <w:rPr>
                <w:b/>
                <w:sz w:val="18"/>
                <w:szCs w:val="18"/>
              </w:rPr>
            </w:pPr>
            <w:r w:rsidRPr="00ED4285">
              <w:rPr>
                <w:b/>
                <w:sz w:val="18"/>
                <w:szCs w:val="18"/>
              </w:rPr>
              <w:t>117.1</w:t>
            </w:r>
          </w:p>
        </w:tc>
        <w:tc>
          <w:tcPr>
            <w:tcW w:w="507" w:type="pct"/>
            <w:vAlign w:val="bottom"/>
          </w:tcPr>
          <w:p w:rsidR="00ED4285" w:rsidRPr="00ED4285" w:rsidRDefault="00ED4285" w:rsidP="00ED4285">
            <w:pPr>
              <w:pStyle w:val="TableBodyText"/>
              <w:rPr>
                <w:b/>
                <w:sz w:val="18"/>
                <w:szCs w:val="18"/>
              </w:rPr>
            </w:pPr>
            <w:r w:rsidRPr="00ED4285">
              <w:rPr>
                <w:b/>
                <w:sz w:val="18"/>
                <w:szCs w:val="18"/>
              </w:rPr>
              <w:t>113.7</w:t>
            </w:r>
          </w:p>
        </w:tc>
        <w:tc>
          <w:tcPr>
            <w:tcW w:w="507" w:type="pct"/>
            <w:vAlign w:val="bottom"/>
          </w:tcPr>
          <w:p w:rsidR="00ED4285" w:rsidRPr="00ED4285" w:rsidRDefault="00ED4285" w:rsidP="00ED4285">
            <w:pPr>
              <w:pStyle w:val="TableBodyText"/>
              <w:rPr>
                <w:b/>
                <w:sz w:val="18"/>
                <w:szCs w:val="18"/>
              </w:rPr>
            </w:pPr>
            <w:r w:rsidRPr="00ED4285">
              <w:rPr>
                <w:b/>
                <w:sz w:val="18"/>
                <w:szCs w:val="18"/>
              </w:rPr>
              <w:t>93.6</w:t>
            </w:r>
          </w:p>
        </w:tc>
        <w:tc>
          <w:tcPr>
            <w:tcW w:w="507" w:type="pct"/>
            <w:vAlign w:val="bottom"/>
          </w:tcPr>
          <w:p w:rsidR="00ED4285" w:rsidRPr="00ED4285" w:rsidRDefault="00ED4285" w:rsidP="00ED4285">
            <w:pPr>
              <w:pStyle w:val="TableBodyText"/>
              <w:rPr>
                <w:b/>
                <w:sz w:val="18"/>
                <w:szCs w:val="18"/>
              </w:rPr>
            </w:pPr>
            <w:r w:rsidRPr="00ED4285">
              <w:rPr>
                <w:b/>
                <w:sz w:val="18"/>
                <w:szCs w:val="18"/>
              </w:rPr>
              <w:t>98.7</w:t>
            </w:r>
          </w:p>
        </w:tc>
        <w:tc>
          <w:tcPr>
            <w:tcW w:w="507" w:type="pct"/>
            <w:shd w:val="clear" w:color="auto" w:fill="auto"/>
            <w:vAlign w:val="bottom"/>
          </w:tcPr>
          <w:p w:rsidR="00ED4285" w:rsidRPr="00ED4285" w:rsidRDefault="00ED4285" w:rsidP="00ED4285">
            <w:pPr>
              <w:pStyle w:val="TableBodyText"/>
              <w:rPr>
                <w:b/>
                <w:sz w:val="18"/>
                <w:szCs w:val="18"/>
              </w:rPr>
            </w:pPr>
            <w:r w:rsidRPr="00ED4285">
              <w:rPr>
                <w:b/>
                <w:sz w:val="18"/>
                <w:szCs w:val="18"/>
              </w:rPr>
              <w:t>101.0</w:t>
            </w:r>
          </w:p>
        </w:tc>
        <w:tc>
          <w:tcPr>
            <w:tcW w:w="505" w:type="pct"/>
            <w:shd w:val="clear" w:color="auto" w:fill="auto"/>
            <w:vAlign w:val="bottom"/>
          </w:tcPr>
          <w:p w:rsidR="00ED4285" w:rsidRPr="00ED4285" w:rsidRDefault="00ED4285" w:rsidP="00ED4285">
            <w:pPr>
              <w:pStyle w:val="TableBodyText"/>
              <w:rPr>
                <w:b/>
                <w:sz w:val="18"/>
                <w:szCs w:val="18"/>
              </w:rPr>
            </w:pPr>
            <w:r w:rsidRPr="00ED4285">
              <w:rPr>
                <w:b/>
                <w:sz w:val="18"/>
                <w:szCs w:val="18"/>
              </w:rPr>
              <w:t>101.0</w:t>
            </w:r>
          </w:p>
        </w:tc>
      </w:tr>
      <w:tr w:rsidR="00ED4285" w:rsidRPr="006C5A80" w:rsidTr="00ED4285">
        <w:tc>
          <w:tcPr>
            <w:tcW w:w="1960" w:type="pct"/>
            <w:vAlign w:val="bottom"/>
          </w:tcPr>
          <w:p w:rsidR="00ED4285" w:rsidRPr="00ED4285" w:rsidRDefault="00ED4285" w:rsidP="00932CE7">
            <w:pPr>
              <w:pStyle w:val="TableBodyText"/>
              <w:jc w:val="left"/>
              <w:rPr>
                <w:sz w:val="18"/>
                <w:szCs w:val="18"/>
              </w:rPr>
            </w:pPr>
            <w:r w:rsidRPr="00ED4285">
              <w:rPr>
                <w:sz w:val="18"/>
                <w:szCs w:val="18"/>
              </w:rPr>
              <w:t>Food, beverages and tobacco</w:t>
            </w:r>
          </w:p>
        </w:tc>
        <w:tc>
          <w:tcPr>
            <w:tcW w:w="507" w:type="pct"/>
            <w:vAlign w:val="bottom"/>
          </w:tcPr>
          <w:p w:rsidR="00ED4285" w:rsidRPr="00ED4285" w:rsidRDefault="00ED4285" w:rsidP="00932CE7">
            <w:pPr>
              <w:pStyle w:val="TableBodyText"/>
              <w:rPr>
                <w:sz w:val="18"/>
                <w:szCs w:val="18"/>
              </w:rPr>
            </w:pPr>
            <w:r w:rsidRPr="00ED4285">
              <w:rPr>
                <w:sz w:val="18"/>
                <w:szCs w:val="18"/>
              </w:rPr>
              <w:t>10.3</w:t>
            </w:r>
          </w:p>
        </w:tc>
        <w:tc>
          <w:tcPr>
            <w:tcW w:w="507" w:type="pct"/>
            <w:vAlign w:val="bottom"/>
          </w:tcPr>
          <w:p w:rsidR="00ED4285" w:rsidRPr="00ED4285" w:rsidRDefault="00ED4285" w:rsidP="00932CE7">
            <w:pPr>
              <w:pStyle w:val="TableBodyText"/>
              <w:rPr>
                <w:sz w:val="18"/>
                <w:szCs w:val="18"/>
              </w:rPr>
            </w:pPr>
            <w:r w:rsidRPr="00ED4285">
              <w:rPr>
                <w:sz w:val="18"/>
                <w:szCs w:val="18"/>
              </w:rPr>
              <w:t>18.6</w:t>
            </w:r>
          </w:p>
        </w:tc>
        <w:tc>
          <w:tcPr>
            <w:tcW w:w="507" w:type="pct"/>
            <w:vAlign w:val="bottom"/>
          </w:tcPr>
          <w:p w:rsidR="00ED4285" w:rsidRPr="00ED4285" w:rsidRDefault="00ED4285" w:rsidP="00932CE7">
            <w:pPr>
              <w:pStyle w:val="TableBodyText"/>
              <w:rPr>
                <w:sz w:val="18"/>
                <w:szCs w:val="18"/>
              </w:rPr>
            </w:pPr>
            <w:r w:rsidRPr="00ED4285">
              <w:rPr>
                <w:sz w:val="18"/>
                <w:szCs w:val="18"/>
              </w:rPr>
              <w:t>18.2</w:t>
            </w:r>
          </w:p>
        </w:tc>
        <w:tc>
          <w:tcPr>
            <w:tcW w:w="507" w:type="pct"/>
            <w:vAlign w:val="bottom"/>
          </w:tcPr>
          <w:p w:rsidR="00ED4285" w:rsidRPr="00ED4285" w:rsidRDefault="00ED4285" w:rsidP="00932CE7">
            <w:pPr>
              <w:pStyle w:val="TableBodyText"/>
              <w:rPr>
                <w:sz w:val="18"/>
                <w:szCs w:val="18"/>
              </w:rPr>
            </w:pPr>
            <w:r w:rsidRPr="00ED4285">
              <w:rPr>
                <w:sz w:val="18"/>
                <w:szCs w:val="18"/>
              </w:rPr>
              <w:t>19.2</w:t>
            </w:r>
          </w:p>
        </w:tc>
        <w:tc>
          <w:tcPr>
            <w:tcW w:w="507" w:type="pct"/>
            <w:shd w:val="clear" w:color="auto" w:fill="auto"/>
            <w:vAlign w:val="bottom"/>
          </w:tcPr>
          <w:p w:rsidR="00ED4285" w:rsidRPr="00ED4285" w:rsidRDefault="00ED4285" w:rsidP="00932CE7">
            <w:pPr>
              <w:pStyle w:val="TableBodyText"/>
              <w:rPr>
                <w:sz w:val="18"/>
                <w:szCs w:val="18"/>
              </w:rPr>
            </w:pPr>
            <w:r w:rsidRPr="00ED4285">
              <w:rPr>
                <w:sz w:val="18"/>
                <w:szCs w:val="18"/>
              </w:rPr>
              <w:t>19.6</w:t>
            </w:r>
          </w:p>
        </w:tc>
        <w:tc>
          <w:tcPr>
            <w:tcW w:w="505" w:type="pct"/>
            <w:shd w:val="clear" w:color="auto" w:fill="auto"/>
            <w:vAlign w:val="bottom"/>
          </w:tcPr>
          <w:p w:rsidR="00ED4285" w:rsidRPr="00ED4285" w:rsidRDefault="00ED4285" w:rsidP="00932CE7">
            <w:pPr>
              <w:pStyle w:val="TableBodyText"/>
              <w:rPr>
                <w:sz w:val="18"/>
                <w:szCs w:val="18"/>
              </w:rPr>
            </w:pPr>
            <w:r w:rsidRPr="00ED4285">
              <w:rPr>
                <w:sz w:val="18"/>
                <w:szCs w:val="18"/>
              </w:rPr>
              <w:t>19.6</w:t>
            </w:r>
          </w:p>
        </w:tc>
      </w:tr>
      <w:tr w:rsidR="00ED4285" w:rsidRPr="006C5A80" w:rsidTr="00ED4285">
        <w:tc>
          <w:tcPr>
            <w:tcW w:w="1960" w:type="pct"/>
            <w:vAlign w:val="bottom"/>
          </w:tcPr>
          <w:p w:rsidR="00ED4285" w:rsidRPr="00ED4285" w:rsidRDefault="00ED4285" w:rsidP="00932CE7">
            <w:pPr>
              <w:pStyle w:val="TableBodyText"/>
              <w:jc w:val="left"/>
              <w:rPr>
                <w:sz w:val="18"/>
                <w:szCs w:val="18"/>
              </w:rPr>
            </w:pPr>
            <w:r w:rsidRPr="00ED4285">
              <w:rPr>
                <w:sz w:val="18"/>
                <w:szCs w:val="18"/>
              </w:rPr>
              <w:t>Textile, leather, clothing and footwear</w:t>
            </w:r>
          </w:p>
        </w:tc>
        <w:tc>
          <w:tcPr>
            <w:tcW w:w="507" w:type="pct"/>
            <w:vAlign w:val="bottom"/>
          </w:tcPr>
          <w:p w:rsidR="00ED4285" w:rsidRPr="00ED4285" w:rsidRDefault="00ED4285" w:rsidP="00932CE7">
            <w:pPr>
              <w:pStyle w:val="TableBodyText"/>
              <w:rPr>
                <w:sz w:val="18"/>
                <w:szCs w:val="18"/>
              </w:rPr>
            </w:pPr>
            <w:r w:rsidRPr="00ED4285">
              <w:rPr>
                <w:sz w:val="18"/>
                <w:szCs w:val="18"/>
              </w:rPr>
              <w:t>13.8</w:t>
            </w:r>
          </w:p>
        </w:tc>
        <w:tc>
          <w:tcPr>
            <w:tcW w:w="507" w:type="pct"/>
            <w:vAlign w:val="bottom"/>
          </w:tcPr>
          <w:p w:rsidR="00ED4285" w:rsidRPr="00ED4285" w:rsidRDefault="00ED4285" w:rsidP="00932CE7">
            <w:pPr>
              <w:pStyle w:val="TableBodyText"/>
              <w:rPr>
                <w:sz w:val="18"/>
                <w:szCs w:val="18"/>
              </w:rPr>
            </w:pPr>
            <w:r w:rsidRPr="00ED4285">
              <w:rPr>
                <w:sz w:val="18"/>
                <w:szCs w:val="18"/>
              </w:rPr>
              <w:t>9.8</w:t>
            </w:r>
          </w:p>
        </w:tc>
        <w:tc>
          <w:tcPr>
            <w:tcW w:w="507" w:type="pct"/>
            <w:vAlign w:val="bottom"/>
          </w:tcPr>
          <w:p w:rsidR="00ED4285" w:rsidRPr="00ED4285" w:rsidRDefault="00ED4285" w:rsidP="00932CE7">
            <w:pPr>
              <w:pStyle w:val="TableBodyText"/>
              <w:rPr>
                <w:sz w:val="18"/>
                <w:szCs w:val="18"/>
              </w:rPr>
            </w:pPr>
            <w:r w:rsidRPr="00ED4285">
              <w:rPr>
                <w:sz w:val="18"/>
                <w:szCs w:val="18"/>
              </w:rPr>
              <w:t>5.0</w:t>
            </w:r>
          </w:p>
        </w:tc>
        <w:tc>
          <w:tcPr>
            <w:tcW w:w="507" w:type="pct"/>
            <w:vAlign w:val="bottom"/>
          </w:tcPr>
          <w:p w:rsidR="00ED4285" w:rsidRPr="00ED4285" w:rsidRDefault="00ED4285" w:rsidP="00932CE7">
            <w:pPr>
              <w:pStyle w:val="TableBodyText"/>
              <w:rPr>
                <w:sz w:val="18"/>
                <w:szCs w:val="18"/>
              </w:rPr>
            </w:pPr>
            <w:r w:rsidRPr="00ED4285">
              <w:rPr>
                <w:sz w:val="18"/>
                <w:szCs w:val="18"/>
              </w:rPr>
              <w:t>5.3</w:t>
            </w:r>
          </w:p>
        </w:tc>
        <w:tc>
          <w:tcPr>
            <w:tcW w:w="507" w:type="pct"/>
            <w:shd w:val="clear" w:color="auto" w:fill="auto"/>
            <w:vAlign w:val="bottom"/>
          </w:tcPr>
          <w:p w:rsidR="00ED4285" w:rsidRPr="00ED4285" w:rsidRDefault="00ED4285" w:rsidP="00932CE7">
            <w:pPr>
              <w:pStyle w:val="TableBodyText"/>
              <w:rPr>
                <w:sz w:val="18"/>
                <w:szCs w:val="18"/>
              </w:rPr>
            </w:pPr>
            <w:r w:rsidRPr="00ED4285">
              <w:rPr>
                <w:sz w:val="18"/>
                <w:szCs w:val="18"/>
              </w:rPr>
              <w:t>5.4</w:t>
            </w:r>
          </w:p>
        </w:tc>
        <w:tc>
          <w:tcPr>
            <w:tcW w:w="505" w:type="pct"/>
            <w:shd w:val="clear" w:color="auto" w:fill="auto"/>
            <w:vAlign w:val="bottom"/>
          </w:tcPr>
          <w:p w:rsidR="00ED4285" w:rsidRPr="00ED4285" w:rsidRDefault="00ED4285" w:rsidP="00932CE7">
            <w:pPr>
              <w:pStyle w:val="TableBodyText"/>
              <w:rPr>
                <w:sz w:val="18"/>
                <w:szCs w:val="18"/>
              </w:rPr>
            </w:pPr>
            <w:r w:rsidRPr="00ED4285">
              <w:rPr>
                <w:sz w:val="18"/>
                <w:szCs w:val="18"/>
              </w:rPr>
              <w:t>5.4</w:t>
            </w:r>
          </w:p>
        </w:tc>
      </w:tr>
      <w:tr w:rsidR="00ED4285" w:rsidRPr="006C5A80" w:rsidTr="00ED4285">
        <w:tc>
          <w:tcPr>
            <w:tcW w:w="1960" w:type="pct"/>
            <w:vAlign w:val="bottom"/>
          </w:tcPr>
          <w:p w:rsidR="00ED4285" w:rsidRPr="00ED4285" w:rsidRDefault="00ED4285" w:rsidP="00932CE7">
            <w:pPr>
              <w:pStyle w:val="TableBodyText"/>
              <w:jc w:val="left"/>
              <w:rPr>
                <w:sz w:val="18"/>
                <w:szCs w:val="18"/>
              </w:rPr>
            </w:pPr>
            <w:r w:rsidRPr="00ED4285">
              <w:rPr>
                <w:sz w:val="18"/>
                <w:szCs w:val="18"/>
              </w:rPr>
              <w:t>Wood and paper products</w:t>
            </w:r>
          </w:p>
        </w:tc>
        <w:tc>
          <w:tcPr>
            <w:tcW w:w="507" w:type="pct"/>
            <w:vAlign w:val="bottom"/>
          </w:tcPr>
          <w:p w:rsidR="00ED4285" w:rsidRPr="00ED4285" w:rsidRDefault="00ED4285" w:rsidP="00932CE7">
            <w:pPr>
              <w:pStyle w:val="TableBodyText"/>
              <w:rPr>
                <w:sz w:val="18"/>
                <w:szCs w:val="18"/>
              </w:rPr>
            </w:pPr>
            <w:r w:rsidRPr="00ED4285">
              <w:rPr>
                <w:sz w:val="18"/>
                <w:szCs w:val="18"/>
              </w:rPr>
              <w:t>6.9</w:t>
            </w:r>
          </w:p>
        </w:tc>
        <w:tc>
          <w:tcPr>
            <w:tcW w:w="507" w:type="pct"/>
            <w:vAlign w:val="bottom"/>
          </w:tcPr>
          <w:p w:rsidR="00ED4285" w:rsidRPr="00ED4285" w:rsidRDefault="00ED4285" w:rsidP="00932CE7">
            <w:pPr>
              <w:pStyle w:val="TableBodyText"/>
              <w:rPr>
                <w:sz w:val="18"/>
                <w:szCs w:val="18"/>
              </w:rPr>
            </w:pPr>
            <w:r w:rsidRPr="00ED4285">
              <w:rPr>
                <w:sz w:val="18"/>
                <w:szCs w:val="18"/>
              </w:rPr>
              <w:t>0.4</w:t>
            </w:r>
          </w:p>
        </w:tc>
        <w:tc>
          <w:tcPr>
            <w:tcW w:w="507" w:type="pct"/>
            <w:vAlign w:val="bottom"/>
          </w:tcPr>
          <w:p w:rsidR="00ED4285" w:rsidRPr="00ED4285" w:rsidRDefault="00ED4285" w:rsidP="00932CE7">
            <w:pPr>
              <w:pStyle w:val="TableBodyText"/>
              <w:rPr>
                <w:sz w:val="18"/>
                <w:szCs w:val="18"/>
              </w:rPr>
            </w:pPr>
            <w:r w:rsidRPr="00ED4285">
              <w:rPr>
                <w:sz w:val="18"/>
                <w:szCs w:val="18"/>
              </w:rPr>
              <w:t>2.3</w:t>
            </w:r>
          </w:p>
        </w:tc>
        <w:tc>
          <w:tcPr>
            <w:tcW w:w="507" w:type="pct"/>
            <w:vAlign w:val="bottom"/>
          </w:tcPr>
          <w:p w:rsidR="00ED4285" w:rsidRPr="00ED4285" w:rsidRDefault="00ED4285" w:rsidP="00932CE7">
            <w:pPr>
              <w:pStyle w:val="TableBodyText"/>
              <w:rPr>
                <w:sz w:val="18"/>
                <w:szCs w:val="18"/>
              </w:rPr>
            </w:pPr>
            <w:r w:rsidRPr="00ED4285">
              <w:rPr>
                <w:sz w:val="18"/>
                <w:szCs w:val="18"/>
              </w:rPr>
              <w:t>2.4</w:t>
            </w:r>
          </w:p>
        </w:tc>
        <w:tc>
          <w:tcPr>
            <w:tcW w:w="507" w:type="pct"/>
            <w:shd w:val="clear" w:color="auto" w:fill="auto"/>
            <w:vAlign w:val="bottom"/>
          </w:tcPr>
          <w:p w:rsidR="00ED4285" w:rsidRPr="00ED4285" w:rsidRDefault="00ED4285" w:rsidP="00932CE7">
            <w:pPr>
              <w:pStyle w:val="TableBodyText"/>
              <w:rPr>
                <w:sz w:val="18"/>
                <w:szCs w:val="18"/>
              </w:rPr>
            </w:pPr>
            <w:r w:rsidRPr="00ED4285">
              <w:rPr>
                <w:sz w:val="18"/>
                <w:szCs w:val="18"/>
              </w:rPr>
              <w:t>2.4</w:t>
            </w:r>
          </w:p>
        </w:tc>
        <w:tc>
          <w:tcPr>
            <w:tcW w:w="505" w:type="pct"/>
            <w:shd w:val="clear" w:color="auto" w:fill="auto"/>
            <w:vAlign w:val="bottom"/>
          </w:tcPr>
          <w:p w:rsidR="00ED4285" w:rsidRPr="00ED4285" w:rsidRDefault="00ED4285" w:rsidP="00932CE7">
            <w:pPr>
              <w:pStyle w:val="TableBodyText"/>
              <w:rPr>
                <w:sz w:val="18"/>
                <w:szCs w:val="18"/>
              </w:rPr>
            </w:pPr>
            <w:r w:rsidRPr="00ED4285">
              <w:rPr>
                <w:sz w:val="18"/>
                <w:szCs w:val="18"/>
              </w:rPr>
              <w:t>2.4</w:t>
            </w:r>
          </w:p>
        </w:tc>
      </w:tr>
      <w:tr w:rsidR="00ED4285" w:rsidRPr="006C5A80" w:rsidTr="00ED4285">
        <w:tc>
          <w:tcPr>
            <w:tcW w:w="1960" w:type="pct"/>
            <w:vAlign w:val="bottom"/>
          </w:tcPr>
          <w:p w:rsidR="00ED4285" w:rsidRPr="00ED4285" w:rsidRDefault="00ED4285" w:rsidP="00932CE7">
            <w:pPr>
              <w:pStyle w:val="TableBodyText"/>
              <w:jc w:val="left"/>
              <w:rPr>
                <w:sz w:val="18"/>
                <w:szCs w:val="18"/>
              </w:rPr>
            </w:pPr>
            <w:r w:rsidRPr="00ED4285">
              <w:rPr>
                <w:sz w:val="18"/>
                <w:szCs w:val="18"/>
              </w:rPr>
              <w:t>Printing and recorded media</w:t>
            </w:r>
          </w:p>
        </w:tc>
        <w:tc>
          <w:tcPr>
            <w:tcW w:w="507" w:type="pct"/>
            <w:vAlign w:val="bottom"/>
          </w:tcPr>
          <w:p w:rsidR="00ED4285" w:rsidRPr="00ED4285" w:rsidRDefault="00ED4285" w:rsidP="00932CE7">
            <w:pPr>
              <w:pStyle w:val="TableBodyText"/>
              <w:rPr>
                <w:sz w:val="18"/>
                <w:szCs w:val="18"/>
              </w:rPr>
            </w:pPr>
            <w:r w:rsidRPr="00ED4285">
              <w:rPr>
                <w:sz w:val="18"/>
                <w:szCs w:val="18"/>
              </w:rPr>
              <w:t>2.2</w:t>
            </w:r>
          </w:p>
        </w:tc>
        <w:tc>
          <w:tcPr>
            <w:tcW w:w="507" w:type="pct"/>
            <w:vAlign w:val="bottom"/>
          </w:tcPr>
          <w:p w:rsidR="00ED4285" w:rsidRPr="00ED4285" w:rsidRDefault="00A77EBC" w:rsidP="00932CE7">
            <w:pPr>
              <w:pStyle w:val="TableBodyText"/>
              <w:rPr>
                <w:sz w:val="18"/>
                <w:szCs w:val="18"/>
              </w:rPr>
            </w:pPr>
            <w:r>
              <w:rPr>
                <w:sz w:val="18"/>
                <w:szCs w:val="18"/>
              </w:rPr>
              <w:noBreakHyphen/>
            </w:r>
          </w:p>
        </w:tc>
        <w:tc>
          <w:tcPr>
            <w:tcW w:w="507" w:type="pct"/>
            <w:vAlign w:val="bottom"/>
          </w:tcPr>
          <w:p w:rsidR="00ED4285" w:rsidRPr="00ED4285" w:rsidRDefault="00ED4285" w:rsidP="00932CE7">
            <w:pPr>
              <w:pStyle w:val="TableBodyText"/>
              <w:rPr>
                <w:sz w:val="18"/>
                <w:szCs w:val="18"/>
              </w:rPr>
            </w:pPr>
            <w:r w:rsidRPr="00ED4285">
              <w:rPr>
                <w:sz w:val="18"/>
                <w:szCs w:val="18"/>
              </w:rPr>
              <w:t>0.6</w:t>
            </w:r>
          </w:p>
        </w:tc>
        <w:tc>
          <w:tcPr>
            <w:tcW w:w="507" w:type="pct"/>
            <w:vAlign w:val="bottom"/>
          </w:tcPr>
          <w:p w:rsidR="00ED4285" w:rsidRPr="00ED4285" w:rsidRDefault="00ED4285" w:rsidP="00932CE7">
            <w:pPr>
              <w:pStyle w:val="TableBodyText"/>
              <w:rPr>
                <w:sz w:val="18"/>
                <w:szCs w:val="18"/>
              </w:rPr>
            </w:pPr>
            <w:r w:rsidRPr="00ED4285">
              <w:rPr>
                <w:sz w:val="18"/>
                <w:szCs w:val="18"/>
              </w:rPr>
              <w:t>0.7</w:t>
            </w:r>
          </w:p>
        </w:tc>
        <w:tc>
          <w:tcPr>
            <w:tcW w:w="507" w:type="pct"/>
            <w:shd w:val="clear" w:color="auto" w:fill="auto"/>
            <w:vAlign w:val="bottom"/>
          </w:tcPr>
          <w:p w:rsidR="00ED4285" w:rsidRPr="00ED4285" w:rsidRDefault="00ED4285" w:rsidP="00932CE7">
            <w:pPr>
              <w:pStyle w:val="TableBodyText"/>
              <w:rPr>
                <w:sz w:val="18"/>
                <w:szCs w:val="18"/>
              </w:rPr>
            </w:pPr>
            <w:r w:rsidRPr="00ED4285">
              <w:rPr>
                <w:sz w:val="18"/>
                <w:szCs w:val="18"/>
              </w:rPr>
              <w:t>0.7</w:t>
            </w:r>
          </w:p>
        </w:tc>
        <w:tc>
          <w:tcPr>
            <w:tcW w:w="505" w:type="pct"/>
            <w:shd w:val="clear" w:color="auto" w:fill="auto"/>
            <w:vAlign w:val="bottom"/>
          </w:tcPr>
          <w:p w:rsidR="00ED4285" w:rsidRPr="00ED4285" w:rsidRDefault="00ED4285" w:rsidP="00932CE7">
            <w:pPr>
              <w:pStyle w:val="TableBodyText"/>
              <w:rPr>
                <w:sz w:val="18"/>
                <w:szCs w:val="18"/>
              </w:rPr>
            </w:pPr>
            <w:r w:rsidRPr="00ED4285">
              <w:rPr>
                <w:sz w:val="18"/>
                <w:szCs w:val="18"/>
              </w:rPr>
              <w:t>0.7</w:t>
            </w:r>
          </w:p>
        </w:tc>
      </w:tr>
      <w:tr w:rsidR="00ED4285" w:rsidRPr="006C5A80" w:rsidTr="00ED4285">
        <w:tc>
          <w:tcPr>
            <w:tcW w:w="1960" w:type="pct"/>
            <w:vAlign w:val="bottom"/>
          </w:tcPr>
          <w:p w:rsidR="00ED4285" w:rsidRPr="00ED4285" w:rsidRDefault="00ED4285" w:rsidP="00932CE7">
            <w:pPr>
              <w:pStyle w:val="TableBodyText"/>
              <w:jc w:val="left"/>
              <w:rPr>
                <w:sz w:val="18"/>
                <w:szCs w:val="18"/>
              </w:rPr>
            </w:pPr>
            <w:r w:rsidRPr="00ED4285">
              <w:rPr>
                <w:sz w:val="18"/>
                <w:szCs w:val="18"/>
              </w:rPr>
              <w:t>Petroleum, coal, chemical and rubber products</w:t>
            </w:r>
          </w:p>
        </w:tc>
        <w:tc>
          <w:tcPr>
            <w:tcW w:w="507" w:type="pct"/>
            <w:vAlign w:val="bottom"/>
          </w:tcPr>
          <w:p w:rsidR="00ED4285" w:rsidRPr="00ED4285" w:rsidRDefault="00ED4285" w:rsidP="00932CE7">
            <w:pPr>
              <w:pStyle w:val="TableBodyText"/>
              <w:rPr>
                <w:sz w:val="18"/>
                <w:szCs w:val="18"/>
              </w:rPr>
            </w:pPr>
            <w:r w:rsidRPr="00ED4285">
              <w:rPr>
                <w:sz w:val="18"/>
                <w:szCs w:val="18"/>
              </w:rPr>
              <w:t>4.2</w:t>
            </w:r>
          </w:p>
        </w:tc>
        <w:tc>
          <w:tcPr>
            <w:tcW w:w="507" w:type="pct"/>
            <w:vAlign w:val="bottom"/>
          </w:tcPr>
          <w:p w:rsidR="00ED4285" w:rsidRPr="00ED4285" w:rsidRDefault="00ED4285" w:rsidP="00932CE7">
            <w:pPr>
              <w:pStyle w:val="TableBodyText"/>
              <w:rPr>
                <w:sz w:val="18"/>
                <w:szCs w:val="18"/>
              </w:rPr>
            </w:pPr>
            <w:r w:rsidRPr="00ED4285">
              <w:rPr>
                <w:sz w:val="18"/>
                <w:szCs w:val="18"/>
              </w:rPr>
              <w:t>3.8</w:t>
            </w:r>
          </w:p>
        </w:tc>
        <w:tc>
          <w:tcPr>
            <w:tcW w:w="507" w:type="pct"/>
            <w:vAlign w:val="bottom"/>
          </w:tcPr>
          <w:p w:rsidR="00ED4285" w:rsidRPr="00ED4285" w:rsidRDefault="00ED4285" w:rsidP="00932CE7">
            <w:pPr>
              <w:pStyle w:val="TableBodyText"/>
              <w:rPr>
                <w:sz w:val="18"/>
                <w:szCs w:val="18"/>
              </w:rPr>
            </w:pPr>
            <w:r w:rsidRPr="00ED4285">
              <w:rPr>
                <w:sz w:val="18"/>
                <w:szCs w:val="18"/>
              </w:rPr>
              <w:t>1.8</w:t>
            </w:r>
          </w:p>
        </w:tc>
        <w:tc>
          <w:tcPr>
            <w:tcW w:w="507" w:type="pct"/>
            <w:vAlign w:val="bottom"/>
          </w:tcPr>
          <w:p w:rsidR="00ED4285" w:rsidRPr="00ED4285" w:rsidRDefault="00ED4285" w:rsidP="00932CE7">
            <w:pPr>
              <w:pStyle w:val="TableBodyText"/>
              <w:rPr>
                <w:sz w:val="18"/>
                <w:szCs w:val="18"/>
              </w:rPr>
            </w:pPr>
            <w:r w:rsidRPr="00ED4285">
              <w:rPr>
                <w:sz w:val="18"/>
                <w:szCs w:val="18"/>
              </w:rPr>
              <w:t>1.9</w:t>
            </w:r>
          </w:p>
        </w:tc>
        <w:tc>
          <w:tcPr>
            <w:tcW w:w="507" w:type="pct"/>
            <w:shd w:val="clear" w:color="auto" w:fill="auto"/>
            <w:vAlign w:val="bottom"/>
          </w:tcPr>
          <w:p w:rsidR="00ED4285" w:rsidRPr="00ED4285" w:rsidRDefault="00ED4285" w:rsidP="00932CE7">
            <w:pPr>
              <w:pStyle w:val="TableBodyText"/>
              <w:rPr>
                <w:sz w:val="18"/>
                <w:szCs w:val="18"/>
              </w:rPr>
            </w:pPr>
            <w:r w:rsidRPr="00ED4285">
              <w:rPr>
                <w:sz w:val="18"/>
                <w:szCs w:val="18"/>
              </w:rPr>
              <w:t>1.9</w:t>
            </w:r>
          </w:p>
        </w:tc>
        <w:tc>
          <w:tcPr>
            <w:tcW w:w="505" w:type="pct"/>
            <w:shd w:val="clear" w:color="auto" w:fill="auto"/>
            <w:vAlign w:val="bottom"/>
          </w:tcPr>
          <w:p w:rsidR="00ED4285" w:rsidRPr="00ED4285" w:rsidRDefault="00ED4285" w:rsidP="00932CE7">
            <w:pPr>
              <w:pStyle w:val="TableBodyText"/>
              <w:rPr>
                <w:sz w:val="18"/>
                <w:szCs w:val="18"/>
              </w:rPr>
            </w:pPr>
            <w:r w:rsidRPr="00ED4285">
              <w:rPr>
                <w:sz w:val="18"/>
                <w:szCs w:val="18"/>
              </w:rPr>
              <w:t>1.9</w:t>
            </w:r>
          </w:p>
        </w:tc>
      </w:tr>
      <w:tr w:rsidR="00ED4285" w:rsidRPr="006C5A80" w:rsidTr="00ED4285">
        <w:tc>
          <w:tcPr>
            <w:tcW w:w="1960" w:type="pct"/>
            <w:vAlign w:val="bottom"/>
          </w:tcPr>
          <w:p w:rsidR="00ED4285" w:rsidRPr="00ED4285" w:rsidRDefault="00ED4285" w:rsidP="0050509C">
            <w:pPr>
              <w:pStyle w:val="TableBodyText"/>
              <w:jc w:val="left"/>
              <w:rPr>
                <w:sz w:val="18"/>
                <w:szCs w:val="18"/>
              </w:rPr>
            </w:pPr>
            <w:r w:rsidRPr="00ED4285">
              <w:rPr>
                <w:sz w:val="18"/>
                <w:szCs w:val="18"/>
              </w:rPr>
              <w:t>Non-</w:t>
            </w:r>
            <w:r w:rsidR="0050509C">
              <w:rPr>
                <w:sz w:val="18"/>
                <w:szCs w:val="18"/>
              </w:rPr>
              <w:t>m</w:t>
            </w:r>
            <w:r w:rsidR="0050509C" w:rsidRPr="00ED4285">
              <w:rPr>
                <w:sz w:val="18"/>
                <w:szCs w:val="18"/>
              </w:rPr>
              <w:t xml:space="preserve">etallic </w:t>
            </w:r>
            <w:r w:rsidRPr="00ED4285">
              <w:rPr>
                <w:sz w:val="18"/>
                <w:szCs w:val="18"/>
              </w:rPr>
              <w:t>mineral products</w:t>
            </w:r>
          </w:p>
        </w:tc>
        <w:tc>
          <w:tcPr>
            <w:tcW w:w="507" w:type="pct"/>
            <w:vAlign w:val="bottom"/>
          </w:tcPr>
          <w:p w:rsidR="00ED4285" w:rsidRPr="00ED4285" w:rsidRDefault="00ED4285" w:rsidP="00932CE7">
            <w:pPr>
              <w:pStyle w:val="TableBodyText"/>
              <w:rPr>
                <w:sz w:val="18"/>
                <w:szCs w:val="18"/>
              </w:rPr>
            </w:pPr>
            <w:r w:rsidRPr="00ED4285">
              <w:rPr>
                <w:sz w:val="18"/>
                <w:szCs w:val="18"/>
              </w:rPr>
              <w:t>2.5</w:t>
            </w:r>
          </w:p>
        </w:tc>
        <w:tc>
          <w:tcPr>
            <w:tcW w:w="507" w:type="pct"/>
            <w:vAlign w:val="bottom"/>
          </w:tcPr>
          <w:p w:rsidR="00ED4285" w:rsidRPr="00ED4285" w:rsidRDefault="00ED4285" w:rsidP="00932CE7">
            <w:pPr>
              <w:pStyle w:val="TableBodyText"/>
              <w:rPr>
                <w:sz w:val="18"/>
                <w:szCs w:val="18"/>
              </w:rPr>
            </w:pPr>
            <w:r w:rsidRPr="00ED4285">
              <w:rPr>
                <w:sz w:val="18"/>
                <w:szCs w:val="18"/>
              </w:rPr>
              <w:t>0.1</w:t>
            </w:r>
          </w:p>
        </w:tc>
        <w:tc>
          <w:tcPr>
            <w:tcW w:w="507" w:type="pct"/>
            <w:vAlign w:val="bottom"/>
          </w:tcPr>
          <w:p w:rsidR="00ED4285" w:rsidRPr="00ED4285" w:rsidRDefault="00ED4285" w:rsidP="00932CE7">
            <w:pPr>
              <w:pStyle w:val="TableBodyText"/>
              <w:rPr>
                <w:sz w:val="18"/>
                <w:szCs w:val="18"/>
              </w:rPr>
            </w:pPr>
            <w:r w:rsidRPr="00ED4285">
              <w:rPr>
                <w:sz w:val="18"/>
                <w:szCs w:val="18"/>
              </w:rPr>
              <w:t>0.4</w:t>
            </w:r>
          </w:p>
        </w:tc>
        <w:tc>
          <w:tcPr>
            <w:tcW w:w="507" w:type="pct"/>
            <w:vAlign w:val="bottom"/>
          </w:tcPr>
          <w:p w:rsidR="00ED4285" w:rsidRPr="00ED4285" w:rsidRDefault="00ED4285" w:rsidP="00932CE7">
            <w:pPr>
              <w:pStyle w:val="TableBodyText"/>
              <w:rPr>
                <w:sz w:val="18"/>
                <w:szCs w:val="18"/>
              </w:rPr>
            </w:pPr>
            <w:r w:rsidRPr="00ED4285">
              <w:rPr>
                <w:sz w:val="18"/>
                <w:szCs w:val="18"/>
              </w:rPr>
              <w:t>0.4</w:t>
            </w:r>
          </w:p>
        </w:tc>
        <w:tc>
          <w:tcPr>
            <w:tcW w:w="507" w:type="pct"/>
            <w:shd w:val="clear" w:color="auto" w:fill="auto"/>
            <w:vAlign w:val="bottom"/>
          </w:tcPr>
          <w:p w:rsidR="00ED4285" w:rsidRPr="00ED4285" w:rsidRDefault="00ED4285" w:rsidP="00932CE7">
            <w:pPr>
              <w:pStyle w:val="TableBodyText"/>
              <w:rPr>
                <w:sz w:val="18"/>
                <w:szCs w:val="18"/>
              </w:rPr>
            </w:pPr>
            <w:r w:rsidRPr="00ED4285">
              <w:rPr>
                <w:sz w:val="18"/>
                <w:szCs w:val="18"/>
              </w:rPr>
              <w:t>0.4</w:t>
            </w:r>
          </w:p>
        </w:tc>
        <w:tc>
          <w:tcPr>
            <w:tcW w:w="505" w:type="pct"/>
            <w:shd w:val="clear" w:color="auto" w:fill="auto"/>
            <w:vAlign w:val="bottom"/>
          </w:tcPr>
          <w:p w:rsidR="00ED4285" w:rsidRPr="00ED4285" w:rsidRDefault="00ED4285" w:rsidP="00932CE7">
            <w:pPr>
              <w:pStyle w:val="TableBodyText"/>
              <w:rPr>
                <w:sz w:val="18"/>
                <w:szCs w:val="18"/>
              </w:rPr>
            </w:pPr>
            <w:r w:rsidRPr="00ED4285">
              <w:rPr>
                <w:sz w:val="18"/>
                <w:szCs w:val="18"/>
              </w:rPr>
              <w:t>0.4</w:t>
            </w:r>
          </w:p>
        </w:tc>
      </w:tr>
      <w:tr w:rsidR="00ED4285" w:rsidRPr="006C5A80" w:rsidTr="00ED4285">
        <w:tc>
          <w:tcPr>
            <w:tcW w:w="1960" w:type="pct"/>
            <w:vAlign w:val="bottom"/>
          </w:tcPr>
          <w:p w:rsidR="00ED4285" w:rsidRPr="00ED4285" w:rsidRDefault="00ED4285" w:rsidP="00932CE7">
            <w:pPr>
              <w:pStyle w:val="TableBodyText"/>
              <w:jc w:val="left"/>
              <w:rPr>
                <w:sz w:val="18"/>
                <w:szCs w:val="18"/>
              </w:rPr>
            </w:pPr>
            <w:r w:rsidRPr="00ED4285">
              <w:rPr>
                <w:sz w:val="18"/>
                <w:szCs w:val="18"/>
              </w:rPr>
              <w:t>Metal and fabricated metal products</w:t>
            </w:r>
          </w:p>
        </w:tc>
        <w:tc>
          <w:tcPr>
            <w:tcW w:w="507" w:type="pct"/>
            <w:vAlign w:val="bottom"/>
          </w:tcPr>
          <w:p w:rsidR="00ED4285" w:rsidRPr="00ED4285" w:rsidRDefault="00ED4285" w:rsidP="00932CE7">
            <w:pPr>
              <w:pStyle w:val="TableBodyText"/>
              <w:rPr>
                <w:sz w:val="18"/>
                <w:szCs w:val="18"/>
              </w:rPr>
            </w:pPr>
            <w:r w:rsidRPr="00ED4285">
              <w:rPr>
                <w:sz w:val="18"/>
                <w:szCs w:val="18"/>
              </w:rPr>
              <w:t>47.1</w:t>
            </w:r>
          </w:p>
        </w:tc>
        <w:tc>
          <w:tcPr>
            <w:tcW w:w="507" w:type="pct"/>
            <w:vAlign w:val="bottom"/>
          </w:tcPr>
          <w:p w:rsidR="00ED4285" w:rsidRPr="00ED4285" w:rsidRDefault="00ED4285" w:rsidP="00932CE7">
            <w:pPr>
              <w:pStyle w:val="TableBodyText"/>
              <w:rPr>
                <w:sz w:val="18"/>
                <w:szCs w:val="18"/>
              </w:rPr>
            </w:pPr>
            <w:r w:rsidRPr="00ED4285">
              <w:rPr>
                <w:sz w:val="18"/>
                <w:szCs w:val="18"/>
              </w:rPr>
              <w:t>47.3</w:t>
            </w:r>
          </w:p>
        </w:tc>
        <w:tc>
          <w:tcPr>
            <w:tcW w:w="507" w:type="pct"/>
            <w:vAlign w:val="bottom"/>
          </w:tcPr>
          <w:p w:rsidR="00ED4285" w:rsidRPr="00ED4285" w:rsidRDefault="00ED4285" w:rsidP="00932CE7">
            <w:pPr>
              <w:pStyle w:val="TableBodyText"/>
              <w:rPr>
                <w:sz w:val="18"/>
                <w:szCs w:val="18"/>
              </w:rPr>
            </w:pPr>
            <w:r w:rsidRPr="00ED4285">
              <w:rPr>
                <w:sz w:val="18"/>
                <w:szCs w:val="18"/>
              </w:rPr>
              <w:t>27.1</w:t>
            </w:r>
          </w:p>
        </w:tc>
        <w:tc>
          <w:tcPr>
            <w:tcW w:w="507" w:type="pct"/>
            <w:vAlign w:val="bottom"/>
          </w:tcPr>
          <w:p w:rsidR="00ED4285" w:rsidRPr="00ED4285" w:rsidRDefault="00ED4285" w:rsidP="00932CE7">
            <w:pPr>
              <w:pStyle w:val="TableBodyText"/>
              <w:rPr>
                <w:sz w:val="18"/>
                <w:szCs w:val="18"/>
              </w:rPr>
            </w:pPr>
            <w:r w:rsidRPr="00ED4285">
              <w:rPr>
                <w:sz w:val="18"/>
                <w:szCs w:val="18"/>
              </w:rPr>
              <w:t>28.6</w:t>
            </w:r>
          </w:p>
        </w:tc>
        <w:tc>
          <w:tcPr>
            <w:tcW w:w="507" w:type="pct"/>
            <w:shd w:val="clear" w:color="auto" w:fill="auto"/>
            <w:vAlign w:val="bottom"/>
          </w:tcPr>
          <w:p w:rsidR="00ED4285" w:rsidRPr="00ED4285" w:rsidRDefault="00ED4285" w:rsidP="00932CE7">
            <w:pPr>
              <w:pStyle w:val="TableBodyText"/>
              <w:rPr>
                <w:sz w:val="18"/>
                <w:szCs w:val="18"/>
              </w:rPr>
            </w:pPr>
            <w:r w:rsidRPr="00ED4285">
              <w:rPr>
                <w:sz w:val="18"/>
                <w:szCs w:val="18"/>
              </w:rPr>
              <w:t>29.2</w:t>
            </w:r>
          </w:p>
        </w:tc>
        <w:tc>
          <w:tcPr>
            <w:tcW w:w="505" w:type="pct"/>
            <w:shd w:val="clear" w:color="auto" w:fill="auto"/>
            <w:vAlign w:val="bottom"/>
          </w:tcPr>
          <w:p w:rsidR="00ED4285" w:rsidRPr="00ED4285" w:rsidRDefault="00ED4285" w:rsidP="00932CE7">
            <w:pPr>
              <w:pStyle w:val="TableBodyText"/>
              <w:rPr>
                <w:sz w:val="18"/>
                <w:szCs w:val="18"/>
              </w:rPr>
            </w:pPr>
            <w:r w:rsidRPr="00ED4285">
              <w:rPr>
                <w:sz w:val="18"/>
                <w:szCs w:val="18"/>
              </w:rPr>
              <w:t>29.2</w:t>
            </w:r>
          </w:p>
        </w:tc>
      </w:tr>
      <w:tr w:rsidR="00ED4285" w:rsidRPr="006C5A80" w:rsidTr="00ED4285">
        <w:tc>
          <w:tcPr>
            <w:tcW w:w="1960" w:type="pct"/>
            <w:vAlign w:val="bottom"/>
          </w:tcPr>
          <w:p w:rsidR="00ED4285" w:rsidRPr="00ED4285" w:rsidRDefault="00ED4285" w:rsidP="00932CE7">
            <w:pPr>
              <w:pStyle w:val="TableBodyText"/>
              <w:jc w:val="left"/>
              <w:rPr>
                <w:sz w:val="18"/>
                <w:szCs w:val="18"/>
              </w:rPr>
            </w:pPr>
            <w:r w:rsidRPr="00ED4285">
              <w:rPr>
                <w:sz w:val="18"/>
                <w:szCs w:val="18"/>
              </w:rPr>
              <w:t>Motor vehicle and parts</w:t>
            </w:r>
          </w:p>
        </w:tc>
        <w:tc>
          <w:tcPr>
            <w:tcW w:w="507" w:type="pct"/>
            <w:vAlign w:val="bottom"/>
          </w:tcPr>
          <w:p w:rsidR="00ED4285" w:rsidRPr="00ED4285" w:rsidRDefault="00ED4285" w:rsidP="00932CE7">
            <w:pPr>
              <w:pStyle w:val="TableBodyText"/>
              <w:rPr>
                <w:sz w:val="18"/>
                <w:szCs w:val="18"/>
              </w:rPr>
            </w:pPr>
            <w:r w:rsidRPr="00ED4285">
              <w:rPr>
                <w:sz w:val="18"/>
                <w:szCs w:val="18"/>
              </w:rPr>
              <w:t>1.4</w:t>
            </w:r>
          </w:p>
        </w:tc>
        <w:tc>
          <w:tcPr>
            <w:tcW w:w="507" w:type="pct"/>
            <w:vAlign w:val="bottom"/>
          </w:tcPr>
          <w:p w:rsidR="00ED4285" w:rsidRPr="00ED4285" w:rsidRDefault="00ED4285" w:rsidP="00932CE7">
            <w:pPr>
              <w:pStyle w:val="TableBodyText"/>
              <w:rPr>
                <w:sz w:val="18"/>
                <w:szCs w:val="18"/>
              </w:rPr>
            </w:pPr>
            <w:r w:rsidRPr="00ED4285">
              <w:rPr>
                <w:sz w:val="18"/>
                <w:szCs w:val="18"/>
              </w:rPr>
              <w:t>1.1</w:t>
            </w:r>
          </w:p>
        </w:tc>
        <w:tc>
          <w:tcPr>
            <w:tcW w:w="507" w:type="pct"/>
            <w:vAlign w:val="bottom"/>
          </w:tcPr>
          <w:p w:rsidR="00ED4285" w:rsidRPr="00ED4285" w:rsidRDefault="00ED4285" w:rsidP="00932CE7">
            <w:pPr>
              <w:pStyle w:val="TableBodyText"/>
              <w:rPr>
                <w:sz w:val="18"/>
                <w:szCs w:val="18"/>
              </w:rPr>
            </w:pPr>
            <w:r w:rsidRPr="00ED4285">
              <w:rPr>
                <w:sz w:val="18"/>
                <w:szCs w:val="18"/>
              </w:rPr>
              <w:t>0.5</w:t>
            </w:r>
          </w:p>
        </w:tc>
        <w:tc>
          <w:tcPr>
            <w:tcW w:w="507" w:type="pct"/>
            <w:vAlign w:val="bottom"/>
          </w:tcPr>
          <w:p w:rsidR="00ED4285" w:rsidRPr="00ED4285" w:rsidRDefault="00ED4285" w:rsidP="00932CE7">
            <w:pPr>
              <w:pStyle w:val="TableBodyText"/>
              <w:rPr>
                <w:sz w:val="18"/>
                <w:szCs w:val="18"/>
              </w:rPr>
            </w:pPr>
            <w:r w:rsidRPr="00ED4285">
              <w:rPr>
                <w:sz w:val="18"/>
                <w:szCs w:val="18"/>
              </w:rPr>
              <w:t>0.6</w:t>
            </w:r>
          </w:p>
        </w:tc>
        <w:tc>
          <w:tcPr>
            <w:tcW w:w="507" w:type="pct"/>
            <w:shd w:val="clear" w:color="auto" w:fill="auto"/>
            <w:vAlign w:val="bottom"/>
          </w:tcPr>
          <w:p w:rsidR="00ED4285" w:rsidRPr="00ED4285" w:rsidRDefault="00ED4285" w:rsidP="00932CE7">
            <w:pPr>
              <w:pStyle w:val="TableBodyText"/>
              <w:rPr>
                <w:sz w:val="18"/>
                <w:szCs w:val="18"/>
              </w:rPr>
            </w:pPr>
            <w:r w:rsidRPr="00ED4285">
              <w:rPr>
                <w:sz w:val="18"/>
                <w:szCs w:val="18"/>
              </w:rPr>
              <w:t>0.6</w:t>
            </w:r>
          </w:p>
        </w:tc>
        <w:tc>
          <w:tcPr>
            <w:tcW w:w="505" w:type="pct"/>
            <w:shd w:val="clear" w:color="auto" w:fill="auto"/>
            <w:vAlign w:val="bottom"/>
          </w:tcPr>
          <w:p w:rsidR="00ED4285" w:rsidRPr="00ED4285" w:rsidRDefault="00ED4285" w:rsidP="00932CE7">
            <w:pPr>
              <w:pStyle w:val="TableBodyText"/>
              <w:rPr>
                <w:sz w:val="18"/>
                <w:szCs w:val="18"/>
              </w:rPr>
            </w:pPr>
            <w:r w:rsidRPr="00ED4285">
              <w:rPr>
                <w:sz w:val="18"/>
                <w:szCs w:val="18"/>
              </w:rPr>
              <w:t>0.6</w:t>
            </w:r>
          </w:p>
        </w:tc>
      </w:tr>
      <w:tr w:rsidR="00ED4285" w:rsidRPr="006C5A80" w:rsidTr="00ED4285">
        <w:tc>
          <w:tcPr>
            <w:tcW w:w="1960" w:type="pct"/>
            <w:vAlign w:val="bottom"/>
          </w:tcPr>
          <w:p w:rsidR="00ED4285" w:rsidRPr="00ED4285" w:rsidRDefault="00ED4285" w:rsidP="00932CE7">
            <w:pPr>
              <w:pStyle w:val="TableBodyText"/>
              <w:jc w:val="left"/>
              <w:rPr>
                <w:sz w:val="18"/>
                <w:szCs w:val="18"/>
              </w:rPr>
            </w:pPr>
            <w:r w:rsidRPr="00ED4285">
              <w:rPr>
                <w:sz w:val="18"/>
                <w:szCs w:val="18"/>
              </w:rPr>
              <w:t>Other transport equipment</w:t>
            </w:r>
          </w:p>
        </w:tc>
        <w:tc>
          <w:tcPr>
            <w:tcW w:w="507" w:type="pct"/>
            <w:vAlign w:val="bottom"/>
          </w:tcPr>
          <w:p w:rsidR="00ED4285" w:rsidRPr="00ED4285" w:rsidRDefault="00ED4285" w:rsidP="00932CE7">
            <w:pPr>
              <w:pStyle w:val="TableBodyText"/>
              <w:rPr>
                <w:sz w:val="18"/>
                <w:szCs w:val="18"/>
              </w:rPr>
            </w:pPr>
            <w:r w:rsidRPr="00ED4285">
              <w:rPr>
                <w:sz w:val="18"/>
                <w:szCs w:val="18"/>
              </w:rPr>
              <w:t>2.6</w:t>
            </w:r>
          </w:p>
        </w:tc>
        <w:tc>
          <w:tcPr>
            <w:tcW w:w="507" w:type="pct"/>
            <w:vAlign w:val="bottom"/>
          </w:tcPr>
          <w:p w:rsidR="00ED4285" w:rsidRPr="00ED4285" w:rsidRDefault="00ED4285" w:rsidP="00932CE7">
            <w:pPr>
              <w:pStyle w:val="TableBodyText"/>
              <w:rPr>
                <w:sz w:val="18"/>
                <w:szCs w:val="18"/>
              </w:rPr>
            </w:pPr>
            <w:r w:rsidRPr="00ED4285">
              <w:rPr>
                <w:sz w:val="18"/>
                <w:szCs w:val="18"/>
              </w:rPr>
              <w:t>2.6</w:t>
            </w:r>
          </w:p>
        </w:tc>
        <w:tc>
          <w:tcPr>
            <w:tcW w:w="507" w:type="pct"/>
            <w:vAlign w:val="bottom"/>
          </w:tcPr>
          <w:p w:rsidR="00ED4285" w:rsidRPr="00ED4285" w:rsidRDefault="00ED4285" w:rsidP="00932CE7">
            <w:pPr>
              <w:pStyle w:val="TableBodyText"/>
              <w:rPr>
                <w:sz w:val="18"/>
                <w:szCs w:val="18"/>
              </w:rPr>
            </w:pPr>
            <w:r w:rsidRPr="00ED4285">
              <w:rPr>
                <w:sz w:val="18"/>
                <w:szCs w:val="18"/>
              </w:rPr>
              <w:t>5.4</w:t>
            </w:r>
          </w:p>
        </w:tc>
        <w:tc>
          <w:tcPr>
            <w:tcW w:w="507" w:type="pct"/>
            <w:vAlign w:val="bottom"/>
          </w:tcPr>
          <w:p w:rsidR="00ED4285" w:rsidRPr="00ED4285" w:rsidRDefault="00ED4285" w:rsidP="00932CE7">
            <w:pPr>
              <w:pStyle w:val="TableBodyText"/>
              <w:rPr>
                <w:sz w:val="18"/>
                <w:szCs w:val="18"/>
              </w:rPr>
            </w:pPr>
            <w:r w:rsidRPr="00ED4285">
              <w:rPr>
                <w:sz w:val="18"/>
                <w:szCs w:val="18"/>
              </w:rPr>
              <w:t>5.6</w:t>
            </w:r>
          </w:p>
        </w:tc>
        <w:tc>
          <w:tcPr>
            <w:tcW w:w="507" w:type="pct"/>
            <w:shd w:val="clear" w:color="auto" w:fill="auto"/>
            <w:vAlign w:val="bottom"/>
          </w:tcPr>
          <w:p w:rsidR="00ED4285" w:rsidRPr="00ED4285" w:rsidRDefault="00ED4285" w:rsidP="00932CE7">
            <w:pPr>
              <w:pStyle w:val="TableBodyText"/>
              <w:rPr>
                <w:sz w:val="18"/>
                <w:szCs w:val="18"/>
              </w:rPr>
            </w:pPr>
            <w:r w:rsidRPr="00ED4285">
              <w:rPr>
                <w:sz w:val="18"/>
                <w:szCs w:val="18"/>
              </w:rPr>
              <w:t>5.8</w:t>
            </w:r>
          </w:p>
        </w:tc>
        <w:tc>
          <w:tcPr>
            <w:tcW w:w="505" w:type="pct"/>
            <w:shd w:val="clear" w:color="auto" w:fill="auto"/>
            <w:vAlign w:val="bottom"/>
          </w:tcPr>
          <w:p w:rsidR="00ED4285" w:rsidRPr="00ED4285" w:rsidRDefault="00ED4285" w:rsidP="00932CE7">
            <w:pPr>
              <w:pStyle w:val="TableBodyText"/>
              <w:rPr>
                <w:sz w:val="18"/>
                <w:szCs w:val="18"/>
              </w:rPr>
            </w:pPr>
            <w:r w:rsidRPr="00ED4285">
              <w:rPr>
                <w:sz w:val="18"/>
                <w:szCs w:val="18"/>
              </w:rPr>
              <w:t>5.8</w:t>
            </w:r>
          </w:p>
        </w:tc>
      </w:tr>
      <w:tr w:rsidR="00ED4285" w:rsidRPr="006C5A80" w:rsidTr="00ED4285">
        <w:tc>
          <w:tcPr>
            <w:tcW w:w="1960" w:type="pct"/>
            <w:vAlign w:val="bottom"/>
          </w:tcPr>
          <w:p w:rsidR="00ED4285" w:rsidRPr="00ED4285" w:rsidRDefault="00ED4285" w:rsidP="00932CE7">
            <w:pPr>
              <w:pStyle w:val="TableBodyText"/>
              <w:jc w:val="left"/>
              <w:rPr>
                <w:sz w:val="18"/>
                <w:szCs w:val="18"/>
              </w:rPr>
            </w:pPr>
            <w:r w:rsidRPr="00ED4285">
              <w:rPr>
                <w:sz w:val="18"/>
                <w:szCs w:val="18"/>
              </w:rPr>
              <w:t>Machinery and equipment manufacturing</w:t>
            </w:r>
          </w:p>
        </w:tc>
        <w:tc>
          <w:tcPr>
            <w:tcW w:w="507" w:type="pct"/>
            <w:vAlign w:val="bottom"/>
          </w:tcPr>
          <w:p w:rsidR="00ED4285" w:rsidRPr="00ED4285" w:rsidRDefault="00ED4285" w:rsidP="00932CE7">
            <w:pPr>
              <w:pStyle w:val="TableBodyText"/>
              <w:rPr>
                <w:sz w:val="18"/>
                <w:szCs w:val="18"/>
              </w:rPr>
            </w:pPr>
            <w:r w:rsidRPr="00ED4285">
              <w:rPr>
                <w:sz w:val="18"/>
                <w:szCs w:val="18"/>
              </w:rPr>
              <w:t>15.6</w:t>
            </w:r>
          </w:p>
        </w:tc>
        <w:tc>
          <w:tcPr>
            <w:tcW w:w="507" w:type="pct"/>
            <w:vAlign w:val="bottom"/>
          </w:tcPr>
          <w:p w:rsidR="00ED4285" w:rsidRPr="00ED4285" w:rsidRDefault="00ED4285" w:rsidP="00932CE7">
            <w:pPr>
              <w:pStyle w:val="TableBodyText"/>
              <w:rPr>
                <w:sz w:val="18"/>
                <w:szCs w:val="18"/>
              </w:rPr>
            </w:pPr>
            <w:r w:rsidRPr="00ED4285">
              <w:rPr>
                <w:sz w:val="18"/>
                <w:szCs w:val="18"/>
              </w:rPr>
              <w:t>13.9</w:t>
            </w:r>
          </w:p>
        </w:tc>
        <w:tc>
          <w:tcPr>
            <w:tcW w:w="507" w:type="pct"/>
            <w:vAlign w:val="bottom"/>
          </w:tcPr>
          <w:p w:rsidR="00ED4285" w:rsidRPr="00ED4285" w:rsidRDefault="00ED4285" w:rsidP="00932CE7">
            <w:pPr>
              <w:pStyle w:val="TableBodyText"/>
              <w:rPr>
                <w:sz w:val="18"/>
                <w:szCs w:val="18"/>
              </w:rPr>
            </w:pPr>
            <w:r w:rsidRPr="00ED4285">
              <w:rPr>
                <w:sz w:val="18"/>
                <w:szCs w:val="18"/>
              </w:rPr>
              <w:t>19.6</w:t>
            </w:r>
          </w:p>
        </w:tc>
        <w:tc>
          <w:tcPr>
            <w:tcW w:w="507" w:type="pct"/>
            <w:vAlign w:val="bottom"/>
          </w:tcPr>
          <w:p w:rsidR="00ED4285" w:rsidRPr="00ED4285" w:rsidRDefault="00ED4285" w:rsidP="00932CE7">
            <w:pPr>
              <w:pStyle w:val="TableBodyText"/>
              <w:rPr>
                <w:sz w:val="18"/>
                <w:szCs w:val="18"/>
              </w:rPr>
            </w:pPr>
            <w:r w:rsidRPr="00ED4285">
              <w:rPr>
                <w:sz w:val="18"/>
                <w:szCs w:val="18"/>
              </w:rPr>
              <w:t>20.6</w:t>
            </w:r>
          </w:p>
        </w:tc>
        <w:tc>
          <w:tcPr>
            <w:tcW w:w="507" w:type="pct"/>
            <w:shd w:val="clear" w:color="auto" w:fill="auto"/>
            <w:vAlign w:val="bottom"/>
          </w:tcPr>
          <w:p w:rsidR="00ED4285" w:rsidRPr="00ED4285" w:rsidRDefault="00ED4285" w:rsidP="00932CE7">
            <w:pPr>
              <w:pStyle w:val="TableBodyText"/>
              <w:rPr>
                <w:sz w:val="18"/>
                <w:szCs w:val="18"/>
              </w:rPr>
            </w:pPr>
            <w:r w:rsidRPr="00ED4285">
              <w:rPr>
                <w:sz w:val="18"/>
                <w:szCs w:val="18"/>
              </w:rPr>
              <w:t>21.1</w:t>
            </w:r>
          </w:p>
        </w:tc>
        <w:tc>
          <w:tcPr>
            <w:tcW w:w="505" w:type="pct"/>
            <w:shd w:val="clear" w:color="auto" w:fill="auto"/>
            <w:vAlign w:val="bottom"/>
          </w:tcPr>
          <w:p w:rsidR="00ED4285" w:rsidRPr="00ED4285" w:rsidRDefault="00ED4285" w:rsidP="00932CE7">
            <w:pPr>
              <w:pStyle w:val="TableBodyText"/>
              <w:rPr>
                <w:sz w:val="18"/>
                <w:szCs w:val="18"/>
              </w:rPr>
            </w:pPr>
            <w:r w:rsidRPr="00ED4285">
              <w:rPr>
                <w:sz w:val="18"/>
                <w:szCs w:val="18"/>
              </w:rPr>
              <w:t>21.1</w:t>
            </w:r>
          </w:p>
        </w:tc>
      </w:tr>
      <w:tr w:rsidR="00ED4285" w:rsidRPr="006C5A80" w:rsidTr="00ED4285">
        <w:tc>
          <w:tcPr>
            <w:tcW w:w="1960" w:type="pct"/>
            <w:vAlign w:val="bottom"/>
          </w:tcPr>
          <w:p w:rsidR="00ED4285" w:rsidRPr="00ED4285" w:rsidRDefault="00ED4285" w:rsidP="00932CE7">
            <w:pPr>
              <w:pStyle w:val="TableBodyText"/>
              <w:jc w:val="left"/>
              <w:rPr>
                <w:sz w:val="18"/>
                <w:szCs w:val="18"/>
              </w:rPr>
            </w:pPr>
            <w:r w:rsidRPr="00ED4285">
              <w:rPr>
                <w:sz w:val="18"/>
                <w:szCs w:val="18"/>
              </w:rPr>
              <w:t>Furniture and other manufacturing</w:t>
            </w:r>
          </w:p>
        </w:tc>
        <w:tc>
          <w:tcPr>
            <w:tcW w:w="507" w:type="pct"/>
            <w:vAlign w:val="bottom"/>
          </w:tcPr>
          <w:p w:rsidR="00ED4285" w:rsidRPr="00ED4285" w:rsidRDefault="00ED4285" w:rsidP="00932CE7">
            <w:pPr>
              <w:pStyle w:val="TableBodyText"/>
              <w:rPr>
                <w:sz w:val="18"/>
                <w:szCs w:val="18"/>
              </w:rPr>
            </w:pPr>
            <w:r w:rsidRPr="00ED4285">
              <w:rPr>
                <w:sz w:val="18"/>
                <w:szCs w:val="18"/>
              </w:rPr>
              <w:t>10.0</w:t>
            </w:r>
          </w:p>
        </w:tc>
        <w:tc>
          <w:tcPr>
            <w:tcW w:w="507" w:type="pct"/>
            <w:vAlign w:val="bottom"/>
          </w:tcPr>
          <w:p w:rsidR="00ED4285" w:rsidRPr="00ED4285" w:rsidRDefault="00ED4285" w:rsidP="00932CE7">
            <w:pPr>
              <w:pStyle w:val="TableBodyText"/>
              <w:rPr>
                <w:sz w:val="18"/>
                <w:szCs w:val="18"/>
              </w:rPr>
            </w:pPr>
            <w:r w:rsidRPr="00ED4285">
              <w:rPr>
                <w:sz w:val="18"/>
                <w:szCs w:val="18"/>
              </w:rPr>
              <w:t>15.7</w:t>
            </w:r>
          </w:p>
        </w:tc>
        <w:tc>
          <w:tcPr>
            <w:tcW w:w="507" w:type="pct"/>
            <w:vAlign w:val="bottom"/>
          </w:tcPr>
          <w:p w:rsidR="00ED4285" w:rsidRPr="00ED4285" w:rsidRDefault="00A77EBC" w:rsidP="00932CE7">
            <w:pPr>
              <w:pStyle w:val="TableBodyText"/>
              <w:rPr>
                <w:sz w:val="18"/>
                <w:szCs w:val="18"/>
              </w:rPr>
            </w:pPr>
            <w:r>
              <w:rPr>
                <w:sz w:val="18"/>
                <w:szCs w:val="18"/>
              </w:rPr>
              <w:noBreakHyphen/>
            </w:r>
          </w:p>
        </w:tc>
        <w:tc>
          <w:tcPr>
            <w:tcW w:w="507" w:type="pct"/>
            <w:vAlign w:val="bottom"/>
          </w:tcPr>
          <w:p w:rsidR="00ED4285" w:rsidRPr="00ED4285" w:rsidRDefault="00A77EBC" w:rsidP="00932CE7">
            <w:pPr>
              <w:pStyle w:val="TableBodyText"/>
              <w:rPr>
                <w:sz w:val="18"/>
                <w:szCs w:val="18"/>
              </w:rPr>
            </w:pPr>
            <w:r>
              <w:rPr>
                <w:sz w:val="18"/>
                <w:szCs w:val="18"/>
              </w:rPr>
              <w:noBreakHyphen/>
            </w:r>
          </w:p>
        </w:tc>
        <w:tc>
          <w:tcPr>
            <w:tcW w:w="507" w:type="pct"/>
            <w:shd w:val="clear" w:color="auto" w:fill="auto"/>
            <w:vAlign w:val="bottom"/>
          </w:tcPr>
          <w:p w:rsidR="00ED4285" w:rsidRPr="00ED4285" w:rsidRDefault="00A77EBC" w:rsidP="00932CE7">
            <w:pPr>
              <w:pStyle w:val="TableBodyText"/>
              <w:rPr>
                <w:sz w:val="18"/>
                <w:szCs w:val="18"/>
              </w:rPr>
            </w:pPr>
            <w:r>
              <w:rPr>
                <w:sz w:val="18"/>
                <w:szCs w:val="18"/>
              </w:rPr>
              <w:noBreakHyphen/>
            </w:r>
          </w:p>
        </w:tc>
        <w:tc>
          <w:tcPr>
            <w:tcW w:w="505" w:type="pct"/>
            <w:shd w:val="clear" w:color="auto" w:fill="auto"/>
            <w:vAlign w:val="bottom"/>
          </w:tcPr>
          <w:p w:rsidR="00ED4285" w:rsidRPr="00ED4285" w:rsidRDefault="00A77EBC" w:rsidP="00932CE7">
            <w:pPr>
              <w:pStyle w:val="TableBodyText"/>
              <w:rPr>
                <w:sz w:val="18"/>
                <w:szCs w:val="18"/>
              </w:rPr>
            </w:pPr>
            <w:r>
              <w:rPr>
                <w:sz w:val="18"/>
                <w:szCs w:val="18"/>
              </w:rPr>
              <w:noBreakHyphen/>
            </w:r>
          </w:p>
        </w:tc>
      </w:tr>
      <w:tr w:rsidR="00ED4285" w:rsidRPr="006C5A80" w:rsidTr="00ED4285">
        <w:tc>
          <w:tcPr>
            <w:tcW w:w="1960" w:type="pct"/>
            <w:vAlign w:val="bottom"/>
          </w:tcPr>
          <w:p w:rsidR="00ED4285" w:rsidRPr="00ED4285" w:rsidRDefault="00ED4285" w:rsidP="00932CE7">
            <w:pPr>
              <w:pStyle w:val="TableBodyText"/>
              <w:jc w:val="left"/>
              <w:rPr>
                <w:sz w:val="18"/>
                <w:szCs w:val="18"/>
              </w:rPr>
            </w:pPr>
            <w:r w:rsidRPr="00ED4285">
              <w:rPr>
                <w:sz w:val="18"/>
                <w:szCs w:val="18"/>
              </w:rPr>
              <w:t>Unallocated manufacturing</w:t>
            </w:r>
          </w:p>
        </w:tc>
        <w:tc>
          <w:tcPr>
            <w:tcW w:w="507" w:type="pct"/>
            <w:vAlign w:val="bottom"/>
          </w:tcPr>
          <w:p w:rsidR="00ED4285" w:rsidRPr="00ED4285" w:rsidRDefault="00ED4285" w:rsidP="00932CE7">
            <w:pPr>
              <w:pStyle w:val="TableBodyText"/>
              <w:rPr>
                <w:sz w:val="18"/>
                <w:szCs w:val="18"/>
              </w:rPr>
            </w:pPr>
            <w:r w:rsidRPr="00ED4285">
              <w:rPr>
                <w:sz w:val="18"/>
                <w:szCs w:val="18"/>
              </w:rPr>
              <w:t>0.4</w:t>
            </w:r>
          </w:p>
        </w:tc>
        <w:tc>
          <w:tcPr>
            <w:tcW w:w="507" w:type="pct"/>
            <w:vAlign w:val="bottom"/>
          </w:tcPr>
          <w:p w:rsidR="00ED4285" w:rsidRPr="00ED4285" w:rsidRDefault="00ED4285" w:rsidP="00932CE7">
            <w:pPr>
              <w:pStyle w:val="TableBodyText"/>
              <w:rPr>
                <w:sz w:val="18"/>
                <w:szCs w:val="18"/>
              </w:rPr>
            </w:pPr>
            <w:r w:rsidRPr="00ED4285">
              <w:rPr>
                <w:sz w:val="18"/>
                <w:szCs w:val="18"/>
              </w:rPr>
              <w:t>0.3</w:t>
            </w:r>
          </w:p>
        </w:tc>
        <w:tc>
          <w:tcPr>
            <w:tcW w:w="507" w:type="pct"/>
            <w:vAlign w:val="bottom"/>
          </w:tcPr>
          <w:p w:rsidR="00ED4285" w:rsidRPr="00ED4285" w:rsidRDefault="00ED4285" w:rsidP="00932CE7">
            <w:pPr>
              <w:pStyle w:val="TableBodyText"/>
              <w:rPr>
                <w:sz w:val="18"/>
                <w:szCs w:val="18"/>
              </w:rPr>
            </w:pPr>
            <w:r w:rsidRPr="00ED4285">
              <w:rPr>
                <w:sz w:val="18"/>
                <w:szCs w:val="18"/>
              </w:rPr>
              <w:t>12.8</w:t>
            </w:r>
          </w:p>
        </w:tc>
        <w:tc>
          <w:tcPr>
            <w:tcW w:w="507" w:type="pct"/>
            <w:vAlign w:val="bottom"/>
          </w:tcPr>
          <w:p w:rsidR="00ED4285" w:rsidRPr="00ED4285" w:rsidRDefault="00ED4285" w:rsidP="00932CE7">
            <w:pPr>
              <w:pStyle w:val="TableBodyText"/>
              <w:rPr>
                <w:sz w:val="18"/>
                <w:szCs w:val="18"/>
              </w:rPr>
            </w:pPr>
            <w:r w:rsidRPr="00ED4285">
              <w:rPr>
                <w:sz w:val="18"/>
                <w:szCs w:val="18"/>
              </w:rPr>
              <w:t>13.5</w:t>
            </w:r>
          </w:p>
        </w:tc>
        <w:tc>
          <w:tcPr>
            <w:tcW w:w="507" w:type="pct"/>
            <w:shd w:val="clear" w:color="auto" w:fill="auto"/>
            <w:vAlign w:val="bottom"/>
          </w:tcPr>
          <w:p w:rsidR="00ED4285" w:rsidRPr="00ED4285" w:rsidRDefault="00ED4285" w:rsidP="00932CE7">
            <w:pPr>
              <w:pStyle w:val="TableBodyText"/>
              <w:rPr>
                <w:sz w:val="18"/>
                <w:szCs w:val="18"/>
              </w:rPr>
            </w:pPr>
            <w:r w:rsidRPr="00ED4285">
              <w:rPr>
                <w:sz w:val="18"/>
                <w:szCs w:val="18"/>
              </w:rPr>
              <w:t>13.8</w:t>
            </w:r>
          </w:p>
        </w:tc>
        <w:tc>
          <w:tcPr>
            <w:tcW w:w="505" w:type="pct"/>
            <w:shd w:val="clear" w:color="auto" w:fill="auto"/>
            <w:vAlign w:val="bottom"/>
          </w:tcPr>
          <w:p w:rsidR="00ED4285" w:rsidRPr="00ED4285" w:rsidRDefault="00ED4285" w:rsidP="00932CE7">
            <w:pPr>
              <w:pStyle w:val="TableBodyText"/>
              <w:rPr>
                <w:sz w:val="18"/>
                <w:szCs w:val="18"/>
              </w:rPr>
            </w:pPr>
            <w:r w:rsidRPr="00ED4285">
              <w:rPr>
                <w:sz w:val="18"/>
                <w:szCs w:val="18"/>
              </w:rPr>
              <w:t>13.8</w:t>
            </w:r>
          </w:p>
        </w:tc>
      </w:tr>
      <w:tr w:rsidR="00ED4285" w:rsidRPr="006C5A80" w:rsidTr="00ED4285">
        <w:tc>
          <w:tcPr>
            <w:tcW w:w="1960" w:type="pct"/>
            <w:vAlign w:val="bottom"/>
          </w:tcPr>
          <w:p w:rsidR="00ED4285" w:rsidRPr="00ED4285" w:rsidRDefault="00ED4285" w:rsidP="00932CE7">
            <w:pPr>
              <w:pStyle w:val="TableBodyText"/>
              <w:jc w:val="left"/>
              <w:rPr>
                <w:b/>
                <w:sz w:val="18"/>
                <w:szCs w:val="18"/>
              </w:rPr>
            </w:pPr>
            <w:r w:rsidRPr="00ED4285">
              <w:rPr>
                <w:b/>
                <w:sz w:val="18"/>
                <w:szCs w:val="18"/>
              </w:rPr>
              <w:t>Services</w:t>
            </w:r>
          </w:p>
        </w:tc>
        <w:tc>
          <w:tcPr>
            <w:tcW w:w="507" w:type="pct"/>
            <w:vAlign w:val="bottom"/>
          </w:tcPr>
          <w:p w:rsidR="00ED4285" w:rsidRPr="00ED4285" w:rsidRDefault="00ED4285" w:rsidP="00ED4285">
            <w:pPr>
              <w:pStyle w:val="TableBodyText"/>
              <w:rPr>
                <w:b/>
                <w:sz w:val="18"/>
                <w:szCs w:val="18"/>
              </w:rPr>
            </w:pPr>
            <w:r w:rsidRPr="00ED4285">
              <w:rPr>
                <w:b/>
                <w:sz w:val="18"/>
                <w:szCs w:val="18"/>
              </w:rPr>
              <w:t>130.0</w:t>
            </w:r>
          </w:p>
        </w:tc>
        <w:tc>
          <w:tcPr>
            <w:tcW w:w="507" w:type="pct"/>
            <w:vAlign w:val="bottom"/>
          </w:tcPr>
          <w:p w:rsidR="00ED4285" w:rsidRPr="00ED4285" w:rsidRDefault="00ED4285" w:rsidP="00ED4285">
            <w:pPr>
              <w:pStyle w:val="TableBodyText"/>
              <w:rPr>
                <w:b/>
                <w:sz w:val="18"/>
                <w:szCs w:val="18"/>
              </w:rPr>
            </w:pPr>
            <w:r w:rsidRPr="00ED4285">
              <w:rPr>
                <w:b/>
                <w:sz w:val="18"/>
                <w:szCs w:val="18"/>
              </w:rPr>
              <w:t>144.7</w:t>
            </w:r>
          </w:p>
        </w:tc>
        <w:tc>
          <w:tcPr>
            <w:tcW w:w="507" w:type="pct"/>
            <w:vAlign w:val="bottom"/>
          </w:tcPr>
          <w:p w:rsidR="00ED4285" w:rsidRPr="00ED4285" w:rsidRDefault="00ED4285" w:rsidP="00ED4285">
            <w:pPr>
              <w:pStyle w:val="TableBodyText"/>
              <w:rPr>
                <w:b/>
                <w:sz w:val="18"/>
                <w:szCs w:val="18"/>
              </w:rPr>
            </w:pPr>
            <w:r w:rsidRPr="00ED4285">
              <w:rPr>
                <w:b/>
                <w:sz w:val="18"/>
                <w:szCs w:val="18"/>
              </w:rPr>
              <w:t>123.6</w:t>
            </w:r>
          </w:p>
        </w:tc>
        <w:tc>
          <w:tcPr>
            <w:tcW w:w="507" w:type="pct"/>
            <w:vAlign w:val="bottom"/>
          </w:tcPr>
          <w:p w:rsidR="00ED4285" w:rsidRPr="00ED4285" w:rsidRDefault="00ED4285" w:rsidP="00ED4285">
            <w:pPr>
              <w:pStyle w:val="TableBodyText"/>
              <w:rPr>
                <w:b/>
                <w:sz w:val="18"/>
                <w:szCs w:val="18"/>
              </w:rPr>
            </w:pPr>
            <w:r w:rsidRPr="00ED4285">
              <w:rPr>
                <w:b/>
                <w:sz w:val="18"/>
                <w:szCs w:val="18"/>
              </w:rPr>
              <w:t>130.4</w:t>
            </w:r>
          </w:p>
        </w:tc>
        <w:tc>
          <w:tcPr>
            <w:tcW w:w="507" w:type="pct"/>
            <w:shd w:val="clear" w:color="auto" w:fill="auto"/>
            <w:vAlign w:val="bottom"/>
          </w:tcPr>
          <w:p w:rsidR="00ED4285" w:rsidRPr="00ED4285" w:rsidRDefault="00ED4285" w:rsidP="00ED4285">
            <w:pPr>
              <w:pStyle w:val="TableBodyText"/>
              <w:rPr>
                <w:b/>
                <w:sz w:val="18"/>
                <w:szCs w:val="18"/>
              </w:rPr>
            </w:pPr>
            <w:r w:rsidRPr="00ED4285">
              <w:rPr>
                <w:b/>
                <w:sz w:val="18"/>
                <w:szCs w:val="18"/>
              </w:rPr>
              <w:t>133.4</w:t>
            </w:r>
          </w:p>
        </w:tc>
        <w:tc>
          <w:tcPr>
            <w:tcW w:w="505" w:type="pct"/>
            <w:shd w:val="clear" w:color="auto" w:fill="auto"/>
            <w:vAlign w:val="bottom"/>
          </w:tcPr>
          <w:p w:rsidR="00ED4285" w:rsidRPr="00ED4285" w:rsidRDefault="00ED4285" w:rsidP="00ED4285">
            <w:pPr>
              <w:pStyle w:val="TableBodyText"/>
              <w:rPr>
                <w:b/>
                <w:sz w:val="18"/>
                <w:szCs w:val="18"/>
              </w:rPr>
            </w:pPr>
            <w:r w:rsidRPr="00ED4285">
              <w:rPr>
                <w:b/>
                <w:sz w:val="18"/>
                <w:szCs w:val="18"/>
              </w:rPr>
              <w:t>133.4</w:t>
            </w:r>
          </w:p>
        </w:tc>
      </w:tr>
      <w:tr w:rsidR="00ED4285" w:rsidRPr="006C5A80" w:rsidTr="00ED4285">
        <w:tc>
          <w:tcPr>
            <w:tcW w:w="1960" w:type="pct"/>
            <w:vAlign w:val="bottom"/>
          </w:tcPr>
          <w:p w:rsidR="00ED4285" w:rsidRPr="00ED4285" w:rsidRDefault="00ED4285" w:rsidP="00932CE7">
            <w:pPr>
              <w:pStyle w:val="TableBodyText"/>
              <w:jc w:val="left"/>
              <w:rPr>
                <w:sz w:val="18"/>
                <w:szCs w:val="18"/>
              </w:rPr>
            </w:pPr>
            <w:r w:rsidRPr="00ED4285">
              <w:rPr>
                <w:sz w:val="18"/>
                <w:szCs w:val="18"/>
              </w:rPr>
              <w:t>Electricity, gas, water and waste services</w:t>
            </w:r>
          </w:p>
        </w:tc>
        <w:tc>
          <w:tcPr>
            <w:tcW w:w="507" w:type="pct"/>
            <w:vAlign w:val="bottom"/>
          </w:tcPr>
          <w:p w:rsidR="00ED4285" w:rsidRPr="00ED4285" w:rsidRDefault="00ED4285" w:rsidP="00932CE7">
            <w:pPr>
              <w:pStyle w:val="TableBodyText"/>
              <w:rPr>
                <w:sz w:val="18"/>
                <w:szCs w:val="18"/>
              </w:rPr>
            </w:pPr>
            <w:r w:rsidRPr="00ED4285">
              <w:rPr>
                <w:sz w:val="18"/>
                <w:szCs w:val="18"/>
              </w:rPr>
              <w:t>19.8</w:t>
            </w:r>
          </w:p>
        </w:tc>
        <w:tc>
          <w:tcPr>
            <w:tcW w:w="507" w:type="pct"/>
            <w:vAlign w:val="bottom"/>
          </w:tcPr>
          <w:p w:rsidR="00ED4285" w:rsidRPr="00ED4285" w:rsidRDefault="00ED4285" w:rsidP="00932CE7">
            <w:pPr>
              <w:pStyle w:val="TableBodyText"/>
              <w:rPr>
                <w:sz w:val="18"/>
                <w:szCs w:val="18"/>
              </w:rPr>
            </w:pPr>
            <w:r w:rsidRPr="00ED4285">
              <w:rPr>
                <w:sz w:val="18"/>
                <w:szCs w:val="18"/>
              </w:rPr>
              <w:t>28.0</w:t>
            </w:r>
          </w:p>
        </w:tc>
        <w:tc>
          <w:tcPr>
            <w:tcW w:w="507" w:type="pct"/>
            <w:vAlign w:val="bottom"/>
          </w:tcPr>
          <w:p w:rsidR="00ED4285" w:rsidRPr="00ED4285" w:rsidRDefault="00ED4285" w:rsidP="00932CE7">
            <w:pPr>
              <w:pStyle w:val="TableBodyText"/>
              <w:rPr>
                <w:sz w:val="18"/>
                <w:szCs w:val="18"/>
              </w:rPr>
            </w:pPr>
            <w:r w:rsidRPr="00ED4285">
              <w:rPr>
                <w:sz w:val="18"/>
                <w:szCs w:val="18"/>
              </w:rPr>
              <w:t>22.3</w:t>
            </w:r>
          </w:p>
        </w:tc>
        <w:tc>
          <w:tcPr>
            <w:tcW w:w="507" w:type="pct"/>
            <w:vAlign w:val="bottom"/>
          </w:tcPr>
          <w:p w:rsidR="00ED4285" w:rsidRPr="00ED4285" w:rsidRDefault="00ED4285" w:rsidP="00932CE7">
            <w:pPr>
              <w:pStyle w:val="TableBodyText"/>
              <w:rPr>
                <w:sz w:val="18"/>
                <w:szCs w:val="18"/>
              </w:rPr>
            </w:pPr>
            <w:r w:rsidRPr="00ED4285">
              <w:rPr>
                <w:sz w:val="18"/>
                <w:szCs w:val="18"/>
              </w:rPr>
              <w:t>23.6</w:t>
            </w:r>
          </w:p>
        </w:tc>
        <w:tc>
          <w:tcPr>
            <w:tcW w:w="507" w:type="pct"/>
            <w:shd w:val="clear" w:color="auto" w:fill="auto"/>
            <w:vAlign w:val="bottom"/>
          </w:tcPr>
          <w:p w:rsidR="00ED4285" w:rsidRPr="00ED4285" w:rsidRDefault="00ED4285" w:rsidP="00932CE7">
            <w:pPr>
              <w:pStyle w:val="TableBodyText"/>
              <w:rPr>
                <w:sz w:val="18"/>
                <w:szCs w:val="18"/>
              </w:rPr>
            </w:pPr>
            <w:r w:rsidRPr="00ED4285">
              <w:rPr>
                <w:sz w:val="18"/>
                <w:szCs w:val="18"/>
              </w:rPr>
              <w:t>24.1</w:t>
            </w:r>
          </w:p>
        </w:tc>
        <w:tc>
          <w:tcPr>
            <w:tcW w:w="505" w:type="pct"/>
            <w:shd w:val="clear" w:color="auto" w:fill="auto"/>
            <w:vAlign w:val="bottom"/>
          </w:tcPr>
          <w:p w:rsidR="00ED4285" w:rsidRPr="00ED4285" w:rsidRDefault="00ED4285" w:rsidP="00932CE7">
            <w:pPr>
              <w:pStyle w:val="TableBodyText"/>
              <w:rPr>
                <w:sz w:val="18"/>
                <w:szCs w:val="18"/>
              </w:rPr>
            </w:pPr>
            <w:r w:rsidRPr="00ED4285">
              <w:rPr>
                <w:sz w:val="18"/>
                <w:szCs w:val="18"/>
              </w:rPr>
              <w:t>24.1</w:t>
            </w:r>
          </w:p>
        </w:tc>
      </w:tr>
      <w:tr w:rsidR="00ED4285" w:rsidRPr="006C5A80" w:rsidTr="00ED4285">
        <w:tc>
          <w:tcPr>
            <w:tcW w:w="1960" w:type="pct"/>
            <w:vAlign w:val="bottom"/>
          </w:tcPr>
          <w:p w:rsidR="00ED4285" w:rsidRPr="00ED4285" w:rsidRDefault="00ED4285" w:rsidP="00932CE7">
            <w:pPr>
              <w:pStyle w:val="TableBodyText"/>
              <w:jc w:val="left"/>
              <w:rPr>
                <w:sz w:val="18"/>
                <w:szCs w:val="18"/>
              </w:rPr>
            </w:pPr>
            <w:r w:rsidRPr="00ED4285">
              <w:rPr>
                <w:sz w:val="18"/>
                <w:szCs w:val="18"/>
              </w:rPr>
              <w:t>Construction</w:t>
            </w:r>
          </w:p>
        </w:tc>
        <w:tc>
          <w:tcPr>
            <w:tcW w:w="507" w:type="pct"/>
            <w:vAlign w:val="bottom"/>
          </w:tcPr>
          <w:p w:rsidR="00ED4285" w:rsidRPr="00ED4285" w:rsidRDefault="00ED4285" w:rsidP="00932CE7">
            <w:pPr>
              <w:pStyle w:val="TableBodyText"/>
              <w:rPr>
                <w:sz w:val="18"/>
                <w:szCs w:val="18"/>
              </w:rPr>
            </w:pPr>
            <w:r w:rsidRPr="00ED4285">
              <w:rPr>
                <w:sz w:val="18"/>
                <w:szCs w:val="18"/>
              </w:rPr>
              <w:t>3.4</w:t>
            </w:r>
          </w:p>
        </w:tc>
        <w:tc>
          <w:tcPr>
            <w:tcW w:w="507" w:type="pct"/>
            <w:vAlign w:val="bottom"/>
          </w:tcPr>
          <w:p w:rsidR="00ED4285" w:rsidRPr="00ED4285" w:rsidRDefault="00ED4285" w:rsidP="00932CE7">
            <w:pPr>
              <w:pStyle w:val="TableBodyText"/>
              <w:rPr>
                <w:sz w:val="18"/>
                <w:szCs w:val="18"/>
              </w:rPr>
            </w:pPr>
            <w:r w:rsidRPr="00ED4285">
              <w:rPr>
                <w:sz w:val="18"/>
                <w:szCs w:val="18"/>
              </w:rPr>
              <w:t>1.4</w:t>
            </w:r>
          </w:p>
        </w:tc>
        <w:tc>
          <w:tcPr>
            <w:tcW w:w="507" w:type="pct"/>
            <w:vAlign w:val="bottom"/>
          </w:tcPr>
          <w:p w:rsidR="00ED4285" w:rsidRPr="00ED4285" w:rsidRDefault="00ED4285" w:rsidP="00932CE7">
            <w:pPr>
              <w:pStyle w:val="TableBodyText"/>
              <w:rPr>
                <w:sz w:val="18"/>
                <w:szCs w:val="18"/>
              </w:rPr>
            </w:pPr>
            <w:r w:rsidRPr="00ED4285">
              <w:rPr>
                <w:sz w:val="18"/>
                <w:szCs w:val="18"/>
              </w:rPr>
              <w:t>1.3</w:t>
            </w:r>
          </w:p>
        </w:tc>
        <w:tc>
          <w:tcPr>
            <w:tcW w:w="507" w:type="pct"/>
            <w:vAlign w:val="bottom"/>
          </w:tcPr>
          <w:p w:rsidR="00ED4285" w:rsidRPr="00ED4285" w:rsidRDefault="00ED4285" w:rsidP="00932CE7">
            <w:pPr>
              <w:pStyle w:val="TableBodyText"/>
              <w:rPr>
                <w:sz w:val="18"/>
                <w:szCs w:val="18"/>
              </w:rPr>
            </w:pPr>
            <w:r w:rsidRPr="00ED4285">
              <w:rPr>
                <w:sz w:val="18"/>
                <w:szCs w:val="18"/>
              </w:rPr>
              <w:t>1.3</w:t>
            </w:r>
          </w:p>
        </w:tc>
        <w:tc>
          <w:tcPr>
            <w:tcW w:w="507" w:type="pct"/>
            <w:shd w:val="clear" w:color="auto" w:fill="auto"/>
            <w:vAlign w:val="bottom"/>
          </w:tcPr>
          <w:p w:rsidR="00ED4285" w:rsidRPr="00ED4285" w:rsidRDefault="00ED4285" w:rsidP="00932CE7">
            <w:pPr>
              <w:pStyle w:val="TableBodyText"/>
              <w:rPr>
                <w:sz w:val="18"/>
                <w:szCs w:val="18"/>
              </w:rPr>
            </w:pPr>
            <w:r w:rsidRPr="00ED4285">
              <w:rPr>
                <w:sz w:val="18"/>
                <w:szCs w:val="18"/>
              </w:rPr>
              <w:t>1.4</w:t>
            </w:r>
          </w:p>
        </w:tc>
        <w:tc>
          <w:tcPr>
            <w:tcW w:w="505" w:type="pct"/>
            <w:shd w:val="clear" w:color="auto" w:fill="auto"/>
            <w:vAlign w:val="bottom"/>
          </w:tcPr>
          <w:p w:rsidR="00ED4285" w:rsidRPr="00ED4285" w:rsidRDefault="00ED4285" w:rsidP="00932CE7">
            <w:pPr>
              <w:pStyle w:val="TableBodyText"/>
              <w:rPr>
                <w:sz w:val="18"/>
                <w:szCs w:val="18"/>
              </w:rPr>
            </w:pPr>
            <w:r w:rsidRPr="00ED4285">
              <w:rPr>
                <w:sz w:val="18"/>
                <w:szCs w:val="18"/>
              </w:rPr>
              <w:t>1.4</w:t>
            </w:r>
          </w:p>
        </w:tc>
      </w:tr>
      <w:tr w:rsidR="00ED4285" w:rsidRPr="006C5A80" w:rsidTr="00ED4285">
        <w:tc>
          <w:tcPr>
            <w:tcW w:w="1960" w:type="pct"/>
            <w:vAlign w:val="bottom"/>
          </w:tcPr>
          <w:p w:rsidR="00ED4285" w:rsidRPr="00ED4285" w:rsidRDefault="00ED4285" w:rsidP="00932CE7">
            <w:pPr>
              <w:pStyle w:val="TableBodyText"/>
              <w:jc w:val="left"/>
              <w:rPr>
                <w:sz w:val="18"/>
                <w:szCs w:val="18"/>
              </w:rPr>
            </w:pPr>
            <w:r w:rsidRPr="00ED4285">
              <w:rPr>
                <w:sz w:val="18"/>
                <w:szCs w:val="18"/>
              </w:rPr>
              <w:t>Accommodation and food services</w:t>
            </w:r>
          </w:p>
        </w:tc>
        <w:tc>
          <w:tcPr>
            <w:tcW w:w="507" w:type="pct"/>
            <w:vAlign w:val="bottom"/>
          </w:tcPr>
          <w:p w:rsidR="00ED4285" w:rsidRPr="00ED4285" w:rsidRDefault="00B85A5A" w:rsidP="00932CE7">
            <w:pPr>
              <w:pStyle w:val="TableBodyText"/>
              <w:rPr>
                <w:sz w:val="18"/>
                <w:szCs w:val="18"/>
              </w:rPr>
            </w:pPr>
            <w:r>
              <w:rPr>
                <w:sz w:val="18"/>
                <w:szCs w:val="18"/>
              </w:rPr>
              <w:t>&lt;</w:t>
            </w:r>
            <w:r w:rsidR="00ED4285" w:rsidRPr="00ED4285">
              <w:rPr>
                <w:sz w:val="18"/>
                <w:szCs w:val="18"/>
              </w:rPr>
              <w:t>0.1</w:t>
            </w:r>
          </w:p>
        </w:tc>
        <w:tc>
          <w:tcPr>
            <w:tcW w:w="507" w:type="pct"/>
            <w:vAlign w:val="bottom"/>
          </w:tcPr>
          <w:p w:rsidR="00ED4285" w:rsidRPr="00ED4285" w:rsidRDefault="00A77EBC" w:rsidP="00932CE7">
            <w:pPr>
              <w:pStyle w:val="TableBodyText"/>
              <w:rPr>
                <w:sz w:val="18"/>
                <w:szCs w:val="18"/>
              </w:rPr>
            </w:pPr>
            <w:r>
              <w:rPr>
                <w:sz w:val="18"/>
                <w:szCs w:val="18"/>
              </w:rPr>
              <w:noBreakHyphen/>
            </w:r>
          </w:p>
        </w:tc>
        <w:tc>
          <w:tcPr>
            <w:tcW w:w="507" w:type="pct"/>
            <w:vAlign w:val="bottom"/>
          </w:tcPr>
          <w:p w:rsidR="00ED4285" w:rsidRPr="00ED4285" w:rsidRDefault="00A77EBC" w:rsidP="00932CE7">
            <w:pPr>
              <w:pStyle w:val="TableBodyText"/>
              <w:rPr>
                <w:sz w:val="18"/>
                <w:szCs w:val="18"/>
              </w:rPr>
            </w:pPr>
            <w:r>
              <w:rPr>
                <w:sz w:val="18"/>
                <w:szCs w:val="18"/>
              </w:rPr>
              <w:noBreakHyphen/>
            </w:r>
          </w:p>
        </w:tc>
        <w:tc>
          <w:tcPr>
            <w:tcW w:w="507" w:type="pct"/>
            <w:vAlign w:val="bottom"/>
          </w:tcPr>
          <w:p w:rsidR="00ED4285" w:rsidRPr="00ED4285" w:rsidRDefault="00A77EBC" w:rsidP="00932CE7">
            <w:pPr>
              <w:pStyle w:val="TableBodyText"/>
              <w:rPr>
                <w:sz w:val="18"/>
                <w:szCs w:val="18"/>
              </w:rPr>
            </w:pPr>
            <w:r>
              <w:rPr>
                <w:sz w:val="18"/>
                <w:szCs w:val="18"/>
              </w:rPr>
              <w:noBreakHyphen/>
            </w:r>
          </w:p>
        </w:tc>
        <w:tc>
          <w:tcPr>
            <w:tcW w:w="507" w:type="pct"/>
            <w:shd w:val="clear" w:color="auto" w:fill="auto"/>
            <w:vAlign w:val="bottom"/>
          </w:tcPr>
          <w:p w:rsidR="00ED4285" w:rsidRPr="00ED4285" w:rsidRDefault="00A77EBC" w:rsidP="00932CE7">
            <w:pPr>
              <w:pStyle w:val="TableBodyText"/>
              <w:rPr>
                <w:sz w:val="18"/>
                <w:szCs w:val="18"/>
              </w:rPr>
            </w:pPr>
            <w:r>
              <w:rPr>
                <w:sz w:val="18"/>
                <w:szCs w:val="18"/>
              </w:rPr>
              <w:noBreakHyphen/>
            </w:r>
          </w:p>
        </w:tc>
        <w:tc>
          <w:tcPr>
            <w:tcW w:w="505" w:type="pct"/>
            <w:shd w:val="clear" w:color="auto" w:fill="auto"/>
            <w:vAlign w:val="bottom"/>
          </w:tcPr>
          <w:p w:rsidR="00ED4285" w:rsidRPr="00ED4285" w:rsidRDefault="00A77EBC" w:rsidP="00932CE7">
            <w:pPr>
              <w:pStyle w:val="TableBodyText"/>
              <w:rPr>
                <w:sz w:val="18"/>
                <w:szCs w:val="18"/>
              </w:rPr>
            </w:pPr>
            <w:r>
              <w:rPr>
                <w:sz w:val="18"/>
                <w:szCs w:val="18"/>
              </w:rPr>
              <w:noBreakHyphen/>
            </w:r>
          </w:p>
        </w:tc>
      </w:tr>
      <w:tr w:rsidR="00ED4285" w:rsidRPr="006C5A80" w:rsidTr="00ED4285">
        <w:tc>
          <w:tcPr>
            <w:tcW w:w="1960" w:type="pct"/>
            <w:vAlign w:val="bottom"/>
          </w:tcPr>
          <w:p w:rsidR="00ED4285" w:rsidRPr="00ED4285" w:rsidRDefault="00ED4285" w:rsidP="00932CE7">
            <w:pPr>
              <w:pStyle w:val="TableBodyText"/>
              <w:jc w:val="left"/>
              <w:rPr>
                <w:sz w:val="18"/>
                <w:szCs w:val="18"/>
              </w:rPr>
            </w:pPr>
            <w:r w:rsidRPr="00ED4285">
              <w:rPr>
                <w:sz w:val="18"/>
                <w:szCs w:val="18"/>
              </w:rPr>
              <w:t>Transport, postal and warehousing</w:t>
            </w:r>
          </w:p>
        </w:tc>
        <w:tc>
          <w:tcPr>
            <w:tcW w:w="507" w:type="pct"/>
            <w:vAlign w:val="bottom"/>
          </w:tcPr>
          <w:p w:rsidR="00ED4285" w:rsidRPr="00ED4285" w:rsidRDefault="00ED4285" w:rsidP="00932CE7">
            <w:pPr>
              <w:pStyle w:val="TableBodyText"/>
              <w:rPr>
                <w:sz w:val="18"/>
                <w:szCs w:val="18"/>
              </w:rPr>
            </w:pPr>
            <w:r w:rsidRPr="00ED4285">
              <w:rPr>
                <w:sz w:val="18"/>
                <w:szCs w:val="18"/>
              </w:rPr>
              <w:t>3.3</w:t>
            </w:r>
          </w:p>
        </w:tc>
        <w:tc>
          <w:tcPr>
            <w:tcW w:w="507" w:type="pct"/>
            <w:vAlign w:val="bottom"/>
          </w:tcPr>
          <w:p w:rsidR="00ED4285" w:rsidRPr="00ED4285" w:rsidRDefault="00ED4285" w:rsidP="00932CE7">
            <w:pPr>
              <w:pStyle w:val="TableBodyText"/>
              <w:rPr>
                <w:sz w:val="18"/>
                <w:szCs w:val="18"/>
              </w:rPr>
            </w:pPr>
            <w:r w:rsidRPr="00ED4285">
              <w:rPr>
                <w:sz w:val="18"/>
                <w:szCs w:val="18"/>
              </w:rPr>
              <w:t>2.7</w:t>
            </w:r>
          </w:p>
        </w:tc>
        <w:tc>
          <w:tcPr>
            <w:tcW w:w="507" w:type="pct"/>
            <w:vAlign w:val="bottom"/>
          </w:tcPr>
          <w:p w:rsidR="00ED4285" w:rsidRPr="00ED4285" w:rsidRDefault="00ED4285" w:rsidP="00932CE7">
            <w:pPr>
              <w:pStyle w:val="TableBodyText"/>
              <w:rPr>
                <w:sz w:val="18"/>
                <w:szCs w:val="18"/>
              </w:rPr>
            </w:pPr>
            <w:r w:rsidRPr="00ED4285">
              <w:rPr>
                <w:sz w:val="18"/>
                <w:szCs w:val="18"/>
              </w:rPr>
              <w:t>1.1</w:t>
            </w:r>
          </w:p>
        </w:tc>
        <w:tc>
          <w:tcPr>
            <w:tcW w:w="507" w:type="pct"/>
            <w:vAlign w:val="bottom"/>
          </w:tcPr>
          <w:p w:rsidR="00ED4285" w:rsidRPr="00ED4285" w:rsidRDefault="00ED4285" w:rsidP="00932CE7">
            <w:pPr>
              <w:pStyle w:val="TableBodyText"/>
              <w:rPr>
                <w:sz w:val="18"/>
                <w:szCs w:val="18"/>
              </w:rPr>
            </w:pPr>
            <w:r w:rsidRPr="00ED4285">
              <w:rPr>
                <w:sz w:val="18"/>
                <w:szCs w:val="18"/>
              </w:rPr>
              <w:t>1.2</w:t>
            </w:r>
          </w:p>
        </w:tc>
        <w:tc>
          <w:tcPr>
            <w:tcW w:w="507" w:type="pct"/>
            <w:shd w:val="clear" w:color="auto" w:fill="auto"/>
            <w:vAlign w:val="bottom"/>
          </w:tcPr>
          <w:p w:rsidR="00ED4285" w:rsidRPr="00ED4285" w:rsidRDefault="00ED4285" w:rsidP="00932CE7">
            <w:pPr>
              <w:pStyle w:val="TableBodyText"/>
              <w:rPr>
                <w:sz w:val="18"/>
                <w:szCs w:val="18"/>
              </w:rPr>
            </w:pPr>
            <w:r w:rsidRPr="00ED4285">
              <w:rPr>
                <w:sz w:val="18"/>
                <w:szCs w:val="18"/>
              </w:rPr>
              <w:t>1.2</w:t>
            </w:r>
          </w:p>
        </w:tc>
        <w:tc>
          <w:tcPr>
            <w:tcW w:w="505" w:type="pct"/>
            <w:shd w:val="clear" w:color="auto" w:fill="auto"/>
            <w:vAlign w:val="bottom"/>
          </w:tcPr>
          <w:p w:rsidR="00ED4285" w:rsidRPr="00ED4285" w:rsidRDefault="00ED4285" w:rsidP="00932CE7">
            <w:pPr>
              <w:pStyle w:val="TableBodyText"/>
              <w:rPr>
                <w:sz w:val="18"/>
                <w:szCs w:val="18"/>
              </w:rPr>
            </w:pPr>
            <w:r w:rsidRPr="00ED4285">
              <w:rPr>
                <w:sz w:val="18"/>
                <w:szCs w:val="18"/>
              </w:rPr>
              <w:t>1.2</w:t>
            </w:r>
          </w:p>
        </w:tc>
      </w:tr>
      <w:tr w:rsidR="00ED4285" w:rsidRPr="006C5A80" w:rsidTr="00ED4285">
        <w:tc>
          <w:tcPr>
            <w:tcW w:w="1960" w:type="pct"/>
            <w:vAlign w:val="bottom"/>
          </w:tcPr>
          <w:p w:rsidR="00ED4285" w:rsidRPr="00ED4285" w:rsidRDefault="00ED4285" w:rsidP="00932CE7">
            <w:pPr>
              <w:pStyle w:val="TableBodyText"/>
              <w:jc w:val="left"/>
              <w:rPr>
                <w:sz w:val="18"/>
                <w:szCs w:val="18"/>
              </w:rPr>
            </w:pPr>
            <w:r w:rsidRPr="00ED4285">
              <w:rPr>
                <w:sz w:val="18"/>
                <w:szCs w:val="18"/>
              </w:rPr>
              <w:t>Information, media and telecommunications</w:t>
            </w:r>
          </w:p>
        </w:tc>
        <w:tc>
          <w:tcPr>
            <w:tcW w:w="507" w:type="pct"/>
            <w:vAlign w:val="bottom"/>
          </w:tcPr>
          <w:p w:rsidR="00ED4285" w:rsidRPr="00ED4285" w:rsidRDefault="00ED4285" w:rsidP="00932CE7">
            <w:pPr>
              <w:pStyle w:val="TableBodyText"/>
              <w:rPr>
                <w:sz w:val="18"/>
                <w:szCs w:val="18"/>
              </w:rPr>
            </w:pPr>
            <w:r w:rsidRPr="00ED4285">
              <w:rPr>
                <w:sz w:val="18"/>
                <w:szCs w:val="18"/>
              </w:rPr>
              <w:t>32.8</w:t>
            </w:r>
          </w:p>
        </w:tc>
        <w:tc>
          <w:tcPr>
            <w:tcW w:w="507" w:type="pct"/>
            <w:vAlign w:val="bottom"/>
          </w:tcPr>
          <w:p w:rsidR="00ED4285" w:rsidRPr="00ED4285" w:rsidRDefault="00ED4285" w:rsidP="00932CE7">
            <w:pPr>
              <w:pStyle w:val="TableBodyText"/>
              <w:rPr>
                <w:sz w:val="18"/>
                <w:szCs w:val="18"/>
              </w:rPr>
            </w:pPr>
            <w:r w:rsidRPr="00ED4285">
              <w:rPr>
                <w:sz w:val="18"/>
                <w:szCs w:val="18"/>
              </w:rPr>
              <w:t>35.7</w:t>
            </w:r>
          </w:p>
        </w:tc>
        <w:tc>
          <w:tcPr>
            <w:tcW w:w="507" w:type="pct"/>
            <w:vAlign w:val="bottom"/>
          </w:tcPr>
          <w:p w:rsidR="00ED4285" w:rsidRPr="00ED4285" w:rsidRDefault="00ED4285" w:rsidP="00932CE7">
            <w:pPr>
              <w:pStyle w:val="TableBodyText"/>
              <w:rPr>
                <w:sz w:val="18"/>
                <w:szCs w:val="18"/>
              </w:rPr>
            </w:pPr>
            <w:r w:rsidRPr="00ED4285">
              <w:rPr>
                <w:sz w:val="18"/>
                <w:szCs w:val="18"/>
              </w:rPr>
              <w:t>18.2</w:t>
            </w:r>
          </w:p>
        </w:tc>
        <w:tc>
          <w:tcPr>
            <w:tcW w:w="507" w:type="pct"/>
            <w:vAlign w:val="bottom"/>
          </w:tcPr>
          <w:p w:rsidR="00ED4285" w:rsidRPr="00ED4285" w:rsidRDefault="00ED4285" w:rsidP="00932CE7">
            <w:pPr>
              <w:pStyle w:val="TableBodyText"/>
              <w:rPr>
                <w:sz w:val="18"/>
                <w:szCs w:val="18"/>
              </w:rPr>
            </w:pPr>
            <w:r w:rsidRPr="00ED4285">
              <w:rPr>
                <w:sz w:val="18"/>
                <w:szCs w:val="18"/>
              </w:rPr>
              <w:t>19.2</w:t>
            </w:r>
          </w:p>
        </w:tc>
        <w:tc>
          <w:tcPr>
            <w:tcW w:w="507" w:type="pct"/>
            <w:shd w:val="clear" w:color="auto" w:fill="auto"/>
            <w:vAlign w:val="bottom"/>
          </w:tcPr>
          <w:p w:rsidR="00ED4285" w:rsidRPr="00ED4285" w:rsidRDefault="00ED4285" w:rsidP="00932CE7">
            <w:pPr>
              <w:pStyle w:val="TableBodyText"/>
              <w:rPr>
                <w:sz w:val="18"/>
                <w:szCs w:val="18"/>
              </w:rPr>
            </w:pPr>
            <w:r w:rsidRPr="00ED4285">
              <w:rPr>
                <w:sz w:val="18"/>
                <w:szCs w:val="18"/>
              </w:rPr>
              <w:t>19.6</w:t>
            </w:r>
          </w:p>
        </w:tc>
        <w:tc>
          <w:tcPr>
            <w:tcW w:w="505" w:type="pct"/>
            <w:shd w:val="clear" w:color="auto" w:fill="auto"/>
            <w:vAlign w:val="bottom"/>
          </w:tcPr>
          <w:p w:rsidR="00ED4285" w:rsidRPr="00ED4285" w:rsidRDefault="00ED4285" w:rsidP="00932CE7">
            <w:pPr>
              <w:pStyle w:val="TableBodyText"/>
              <w:rPr>
                <w:sz w:val="18"/>
                <w:szCs w:val="18"/>
              </w:rPr>
            </w:pPr>
            <w:r w:rsidRPr="00ED4285">
              <w:rPr>
                <w:sz w:val="18"/>
                <w:szCs w:val="18"/>
              </w:rPr>
              <w:t>19.6</w:t>
            </w:r>
          </w:p>
        </w:tc>
      </w:tr>
      <w:tr w:rsidR="00ED4285" w:rsidRPr="006C5A80" w:rsidTr="00ED4285">
        <w:tc>
          <w:tcPr>
            <w:tcW w:w="1960" w:type="pct"/>
            <w:vAlign w:val="bottom"/>
          </w:tcPr>
          <w:p w:rsidR="00ED4285" w:rsidRPr="00ED4285" w:rsidRDefault="00ED4285" w:rsidP="00932CE7">
            <w:pPr>
              <w:pStyle w:val="TableBodyText"/>
              <w:jc w:val="left"/>
              <w:rPr>
                <w:sz w:val="18"/>
                <w:szCs w:val="18"/>
              </w:rPr>
            </w:pPr>
            <w:r w:rsidRPr="00ED4285">
              <w:rPr>
                <w:sz w:val="18"/>
                <w:szCs w:val="18"/>
              </w:rPr>
              <w:t>Financial and insurance services</w:t>
            </w:r>
          </w:p>
        </w:tc>
        <w:tc>
          <w:tcPr>
            <w:tcW w:w="507" w:type="pct"/>
            <w:vAlign w:val="bottom"/>
          </w:tcPr>
          <w:p w:rsidR="00ED4285" w:rsidRPr="00ED4285" w:rsidRDefault="00ED4285" w:rsidP="00932CE7">
            <w:pPr>
              <w:pStyle w:val="TableBodyText"/>
              <w:rPr>
                <w:sz w:val="18"/>
                <w:szCs w:val="18"/>
              </w:rPr>
            </w:pPr>
            <w:r w:rsidRPr="00ED4285">
              <w:rPr>
                <w:sz w:val="18"/>
                <w:szCs w:val="18"/>
              </w:rPr>
              <w:t>1.2</w:t>
            </w:r>
          </w:p>
        </w:tc>
        <w:tc>
          <w:tcPr>
            <w:tcW w:w="507" w:type="pct"/>
            <w:vAlign w:val="bottom"/>
          </w:tcPr>
          <w:p w:rsidR="00ED4285" w:rsidRPr="00ED4285" w:rsidRDefault="00ED4285" w:rsidP="00932CE7">
            <w:pPr>
              <w:pStyle w:val="TableBodyText"/>
              <w:rPr>
                <w:sz w:val="18"/>
                <w:szCs w:val="18"/>
              </w:rPr>
            </w:pPr>
            <w:r w:rsidRPr="00ED4285">
              <w:rPr>
                <w:sz w:val="18"/>
                <w:szCs w:val="18"/>
              </w:rPr>
              <w:t>0.8</w:t>
            </w:r>
          </w:p>
        </w:tc>
        <w:tc>
          <w:tcPr>
            <w:tcW w:w="507" w:type="pct"/>
            <w:vAlign w:val="bottom"/>
          </w:tcPr>
          <w:p w:rsidR="00ED4285" w:rsidRPr="00ED4285" w:rsidRDefault="00ED4285" w:rsidP="00932CE7">
            <w:pPr>
              <w:pStyle w:val="TableBodyText"/>
              <w:rPr>
                <w:sz w:val="18"/>
                <w:szCs w:val="18"/>
              </w:rPr>
            </w:pPr>
            <w:r w:rsidRPr="00ED4285">
              <w:rPr>
                <w:sz w:val="18"/>
                <w:szCs w:val="18"/>
              </w:rPr>
              <w:t>0.7</w:t>
            </w:r>
          </w:p>
        </w:tc>
        <w:tc>
          <w:tcPr>
            <w:tcW w:w="507" w:type="pct"/>
            <w:vAlign w:val="bottom"/>
          </w:tcPr>
          <w:p w:rsidR="00ED4285" w:rsidRPr="00ED4285" w:rsidRDefault="00ED4285" w:rsidP="00932CE7">
            <w:pPr>
              <w:pStyle w:val="TableBodyText"/>
              <w:rPr>
                <w:sz w:val="18"/>
                <w:szCs w:val="18"/>
              </w:rPr>
            </w:pPr>
            <w:r w:rsidRPr="00ED4285">
              <w:rPr>
                <w:sz w:val="18"/>
                <w:szCs w:val="18"/>
              </w:rPr>
              <w:t>0.7</w:t>
            </w:r>
          </w:p>
        </w:tc>
        <w:tc>
          <w:tcPr>
            <w:tcW w:w="507" w:type="pct"/>
            <w:shd w:val="clear" w:color="auto" w:fill="auto"/>
            <w:vAlign w:val="bottom"/>
          </w:tcPr>
          <w:p w:rsidR="00ED4285" w:rsidRPr="00ED4285" w:rsidRDefault="00ED4285" w:rsidP="00932CE7">
            <w:pPr>
              <w:pStyle w:val="TableBodyText"/>
              <w:rPr>
                <w:sz w:val="18"/>
                <w:szCs w:val="18"/>
              </w:rPr>
            </w:pPr>
            <w:r w:rsidRPr="00ED4285">
              <w:rPr>
                <w:sz w:val="18"/>
                <w:szCs w:val="18"/>
              </w:rPr>
              <w:t>0.7</w:t>
            </w:r>
          </w:p>
        </w:tc>
        <w:tc>
          <w:tcPr>
            <w:tcW w:w="505" w:type="pct"/>
            <w:shd w:val="clear" w:color="auto" w:fill="auto"/>
            <w:vAlign w:val="bottom"/>
          </w:tcPr>
          <w:p w:rsidR="00ED4285" w:rsidRPr="00ED4285" w:rsidRDefault="00ED4285" w:rsidP="00932CE7">
            <w:pPr>
              <w:pStyle w:val="TableBodyText"/>
              <w:rPr>
                <w:sz w:val="18"/>
                <w:szCs w:val="18"/>
              </w:rPr>
            </w:pPr>
            <w:r w:rsidRPr="00ED4285">
              <w:rPr>
                <w:sz w:val="18"/>
                <w:szCs w:val="18"/>
              </w:rPr>
              <w:t>0.7</w:t>
            </w:r>
          </w:p>
        </w:tc>
      </w:tr>
      <w:tr w:rsidR="00ED4285" w:rsidRPr="006C5A80" w:rsidTr="00ED4285">
        <w:tc>
          <w:tcPr>
            <w:tcW w:w="1960" w:type="pct"/>
            <w:vAlign w:val="bottom"/>
          </w:tcPr>
          <w:p w:rsidR="00ED4285" w:rsidRPr="00ED4285" w:rsidRDefault="00ED4285" w:rsidP="00932CE7">
            <w:pPr>
              <w:pStyle w:val="TableBodyText"/>
              <w:jc w:val="left"/>
              <w:rPr>
                <w:sz w:val="18"/>
                <w:szCs w:val="18"/>
              </w:rPr>
            </w:pPr>
            <w:r w:rsidRPr="00ED4285">
              <w:rPr>
                <w:sz w:val="18"/>
                <w:szCs w:val="18"/>
              </w:rPr>
              <w:t>Property, professional and administrative services</w:t>
            </w:r>
          </w:p>
        </w:tc>
        <w:tc>
          <w:tcPr>
            <w:tcW w:w="507" w:type="pct"/>
            <w:vAlign w:val="bottom"/>
          </w:tcPr>
          <w:p w:rsidR="00ED4285" w:rsidRPr="00ED4285" w:rsidRDefault="00ED4285" w:rsidP="00932CE7">
            <w:pPr>
              <w:pStyle w:val="TableBodyText"/>
              <w:rPr>
                <w:sz w:val="18"/>
                <w:szCs w:val="18"/>
              </w:rPr>
            </w:pPr>
            <w:r w:rsidRPr="00ED4285">
              <w:rPr>
                <w:sz w:val="18"/>
                <w:szCs w:val="18"/>
              </w:rPr>
              <w:t>7.5</w:t>
            </w:r>
          </w:p>
        </w:tc>
        <w:tc>
          <w:tcPr>
            <w:tcW w:w="507" w:type="pct"/>
            <w:vAlign w:val="bottom"/>
          </w:tcPr>
          <w:p w:rsidR="00ED4285" w:rsidRPr="00ED4285" w:rsidRDefault="00ED4285" w:rsidP="00932CE7">
            <w:pPr>
              <w:pStyle w:val="TableBodyText"/>
              <w:rPr>
                <w:sz w:val="18"/>
                <w:szCs w:val="18"/>
              </w:rPr>
            </w:pPr>
            <w:r w:rsidRPr="00ED4285">
              <w:rPr>
                <w:sz w:val="18"/>
                <w:szCs w:val="18"/>
              </w:rPr>
              <w:t>6.2</w:t>
            </w:r>
          </w:p>
        </w:tc>
        <w:tc>
          <w:tcPr>
            <w:tcW w:w="507" w:type="pct"/>
            <w:vAlign w:val="bottom"/>
          </w:tcPr>
          <w:p w:rsidR="00ED4285" w:rsidRPr="00ED4285" w:rsidRDefault="00ED4285" w:rsidP="00932CE7">
            <w:pPr>
              <w:pStyle w:val="TableBodyText"/>
              <w:rPr>
                <w:sz w:val="18"/>
                <w:szCs w:val="18"/>
              </w:rPr>
            </w:pPr>
            <w:r w:rsidRPr="00ED4285">
              <w:rPr>
                <w:sz w:val="18"/>
                <w:szCs w:val="18"/>
              </w:rPr>
              <w:t>2.0</w:t>
            </w:r>
          </w:p>
        </w:tc>
        <w:tc>
          <w:tcPr>
            <w:tcW w:w="507" w:type="pct"/>
            <w:vAlign w:val="bottom"/>
          </w:tcPr>
          <w:p w:rsidR="00ED4285" w:rsidRPr="00ED4285" w:rsidRDefault="00ED4285" w:rsidP="00932CE7">
            <w:pPr>
              <w:pStyle w:val="TableBodyText"/>
              <w:rPr>
                <w:sz w:val="18"/>
                <w:szCs w:val="18"/>
              </w:rPr>
            </w:pPr>
            <w:r w:rsidRPr="00ED4285">
              <w:rPr>
                <w:sz w:val="18"/>
                <w:szCs w:val="18"/>
              </w:rPr>
              <w:t>2.2</w:t>
            </w:r>
          </w:p>
        </w:tc>
        <w:tc>
          <w:tcPr>
            <w:tcW w:w="507" w:type="pct"/>
            <w:shd w:val="clear" w:color="auto" w:fill="auto"/>
            <w:vAlign w:val="bottom"/>
          </w:tcPr>
          <w:p w:rsidR="00ED4285" w:rsidRPr="00ED4285" w:rsidRDefault="00ED4285" w:rsidP="00932CE7">
            <w:pPr>
              <w:pStyle w:val="TableBodyText"/>
              <w:rPr>
                <w:sz w:val="18"/>
                <w:szCs w:val="18"/>
              </w:rPr>
            </w:pPr>
            <w:r w:rsidRPr="00ED4285">
              <w:rPr>
                <w:sz w:val="18"/>
                <w:szCs w:val="18"/>
              </w:rPr>
              <w:t>2.2</w:t>
            </w:r>
          </w:p>
        </w:tc>
        <w:tc>
          <w:tcPr>
            <w:tcW w:w="505" w:type="pct"/>
            <w:shd w:val="clear" w:color="auto" w:fill="auto"/>
            <w:vAlign w:val="bottom"/>
          </w:tcPr>
          <w:p w:rsidR="00ED4285" w:rsidRPr="00ED4285" w:rsidRDefault="00ED4285" w:rsidP="00932CE7">
            <w:pPr>
              <w:pStyle w:val="TableBodyText"/>
              <w:rPr>
                <w:sz w:val="18"/>
                <w:szCs w:val="18"/>
              </w:rPr>
            </w:pPr>
            <w:r w:rsidRPr="00ED4285">
              <w:rPr>
                <w:sz w:val="18"/>
                <w:szCs w:val="18"/>
              </w:rPr>
              <w:t>2.2</w:t>
            </w:r>
          </w:p>
        </w:tc>
      </w:tr>
      <w:tr w:rsidR="00ED4285" w:rsidRPr="006C5A80" w:rsidTr="00ED4285">
        <w:tc>
          <w:tcPr>
            <w:tcW w:w="1960" w:type="pct"/>
            <w:vAlign w:val="bottom"/>
          </w:tcPr>
          <w:p w:rsidR="00ED4285" w:rsidRPr="00ED4285" w:rsidRDefault="00ED4285" w:rsidP="00932CE7">
            <w:pPr>
              <w:pStyle w:val="TableBodyText"/>
              <w:jc w:val="left"/>
              <w:rPr>
                <w:sz w:val="18"/>
                <w:szCs w:val="18"/>
              </w:rPr>
            </w:pPr>
            <w:r w:rsidRPr="00ED4285">
              <w:rPr>
                <w:sz w:val="18"/>
                <w:szCs w:val="18"/>
              </w:rPr>
              <w:t>Public administration and safety</w:t>
            </w:r>
          </w:p>
        </w:tc>
        <w:tc>
          <w:tcPr>
            <w:tcW w:w="507" w:type="pct"/>
            <w:vAlign w:val="bottom"/>
          </w:tcPr>
          <w:p w:rsidR="00ED4285" w:rsidRPr="00ED4285" w:rsidRDefault="00ED4285" w:rsidP="00932CE7">
            <w:pPr>
              <w:pStyle w:val="TableBodyText"/>
              <w:rPr>
                <w:sz w:val="18"/>
                <w:szCs w:val="18"/>
              </w:rPr>
            </w:pPr>
            <w:r w:rsidRPr="00ED4285">
              <w:rPr>
                <w:sz w:val="18"/>
                <w:szCs w:val="18"/>
              </w:rPr>
              <w:t>13.8</w:t>
            </w:r>
          </w:p>
        </w:tc>
        <w:tc>
          <w:tcPr>
            <w:tcW w:w="507" w:type="pct"/>
            <w:vAlign w:val="bottom"/>
          </w:tcPr>
          <w:p w:rsidR="00ED4285" w:rsidRPr="00ED4285" w:rsidRDefault="00ED4285" w:rsidP="00932CE7">
            <w:pPr>
              <w:pStyle w:val="TableBodyText"/>
              <w:rPr>
                <w:sz w:val="18"/>
                <w:szCs w:val="18"/>
              </w:rPr>
            </w:pPr>
            <w:r w:rsidRPr="00ED4285">
              <w:rPr>
                <w:sz w:val="18"/>
                <w:szCs w:val="18"/>
              </w:rPr>
              <w:t>12.7</w:t>
            </w:r>
          </w:p>
        </w:tc>
        <w:tc>
          <w:tcPr>
            <w:tcW w:w="507" w:type="pct"/>
            <w:vAlign w:val="bottom"/>
          </w:tcPr>
          <w:p w:rsidR="00ED4285" w:rsidRPr="00ED4285" w:rsidRDefault="00ED4285" w:rsidP="00932CE7">
            <w:pPr>
              <w:pStyle w:val="TableBodyText"/>
              <w:rPr>
                <w:sz w:val="18"/>
                <w:szCs w:val="18"/>
              </w:rPr>
            </w:pPr>
            <w:r w:rsidRPr="00ED4285">
              <w:rPr>
                <w:sz w:val="18"/>
                <w:szCs w:val="18"/>
              </w:rPr>
              <w:t>25.8</w:t>
            </w:r>
          </w:p>
        </w:tc>
        <w:tc>
          <w:tcPr>
            <w:tcW w:w="507" w:type="pct"/>
            <w:vAlign w:val="bottom"/>
          </w:tcPr>
          <w:p w:rsidR="00ED4285" w:rsidRPr="00ED4285" w:rsidRDefault="00ED4285" w:rsidP="00932CE7">
            <w:pPr>
              <w:pStyle w:val="TableBodyText"/>
              <w:rPr>
                <w:sz w:val="18"/>
                <w:szCs w:val="18"/>
              </w:rPr>
            </w:pPr>
            <w:r w:rsidRPr="00ED4285">
              <w:rPr>
                <w:sz w:val="18"/>
                <w:szCs w:val="18"/>
              </w:rPr>
              <w:t>27.3</w:t>
            </w:r>
          </w:p>
        </w:tc>
        <w:tc>
          <w:tcPr>
            <w:tcW w:w="507" w:type="pct"/>
            <w:shd w:val="clear" w:color="auto" w:fill="auto"/>
            <w:vAlign w:val="bottom"/>
          </w:tcPr>
          <w:p w:rsidR="00ED4285" w:rsidRPr="00ED4285" w:rsidRDefault="00ED4285" w:rsidP="00932CE7">
            <w:pPr>
              <w:pStyle w:val="TableBodyText"/>
              <w:rPr>
                <w:sz w:val="18"/>
                <w:szCs w:val="18"/>
              </w:rPr>
            </w:pPr>
            <w:r w:rsidRPr="00ED4285">
              <w:rPr>
                <w:sz w:val="18"/>
                <w:szCs w:val="18"/>
              </w:rPr>
              <w:t>27.9</w:t>
            </w:r>
          </w:p>
        </w:tc>
        <w:tc>
          <w:tcPr>
            <w:tcW w:w="505" w:type="pct"/>
            <w:shd w:val="clear" w:color="auto" w:fill="auto"/>
            <w:vAlign w:val="bottom"/>
          </w:tcPr>
          <w:p w:rsidR="00ED4285" w:rsidRPr="00ED4285" w:rsidRDefault="00ED4285" w:rsidP="00932CE7">
            <w:pPr>
              <w:pStyle w:val="TableBodyText"/>
              <w:rPr>
                <w:sz w:val="18"/>
                <w:szCs w:val="18"/>
              </w:rPr>
            </w:pPr>
            <w:r w:rsidRPr="00ED4285">
              <w:rPr>
                <w:sz w:val="18"/>
                <w:szCs w:val="18"/>
              </w:rPr>
              <w:t>27.9</w:t>
            </w:r>
          </w:p>
        </w:tc>
      </w:tr>
      <w:tr w:rsidR="00ED4285" w:rsidRPr="006C5A80" w:rsidTr="00ED4285">
        <w:tc>
          <w:tcPr>
            <w:tcW w:w="1960" w:type="pct"/>
            <w:vAlign w:val="bottom"/>
          </w:tcPr>
          <w:p w:rsidR="00ED4285" w:rsidRPr="00ED4285" w:rsidRDefault="00ED4285" w:rsidP="00932CE7">
            <w:pPr>
              <w:pStyle w:val="TableBodyText"/>
              <w:jc w:val="left"/>
              <w:rPr>
                <w:sz w:val="18"/>
                <w:szCs w:val="18"/>
              </w:rPr>
            </w:pPr>
            <w:r w:rsidRPr="00ED4285">
              <w:rPr>
                <w:sz w:val="18"/>
                <w:szCs w:val="18"/>
              </w:rPr>
              <w:t>Education and training</w:t>
            </w:r>
          </w:p>
        </w:tc>
        <w:tc>
          <w:tcPr>
            <w:tcW w:w="507" w:type="pct"/>
            <w:vAlign w:val="bottom"/>
          </w:tcPr>
          <w:p w:rsidR="00ED4285" w:rsidRPr="00ED4285" w:rsidRDefault="00ED4285" w:rsidP="00932CE7">
            <w:pPr>
              <w:pStyle w:val="TableBodyText"/>
              <w:rPr>
                <w:sz w:val="18"/>
                <w:szCs w:val="18"/>
              </w:rPr>
            </w:pPr>
            <w:r w:rsidRPr="00ED4285">
              <w:rPr>
                <w:sz w:val="18"/>
                <w:szCs w:val="18"/>
              </w:rPr>
              <w:t>2.0</w:t>
            </w:r>
          </w:p>
        </w:tc>
        <w:tc>
          <w:tcPr>
            <w:tcW w:w="507" w:type="pct"/>
            <w:vAlign w:val="bottom"/>
          </w:tcPr>
          <w:p w:rsidR="00ED4285" w:rsidRPr="00ED4285" w:rsidRDefault="00ED4285" w:rsidP="00932CE7">
            <w:pPr>
              <w:pStyle w:val="TableBodyText"/>
              <w:rPr>
                <w:sz w:val="18"/>
                <w:szCs w:val="18"/>
              </w:rPr>
            </w:pPr>
            <w:r w:rsidRPr="00ED4285">
              <w:rPr>
                <w:sz w:val="18"/>
                <w:szCs w:val="18"/>
              </w:rPr>
              <w:t>1.1</w:t>
            </w:r>
          </w:p>
        </w:tc>
        <w:tc>
          <w:tcPr>
            <w:tcW w:w="507" w:type="pct"/>
            <w:vAlign w:val="bottom"/>
          </w:tcPr>
          <w:p w:rsidR="00ED4285" w:rsidRPr="00ED4285" w:rsidRDefault="00ED4285" w:rsidP="00932CE7">
            <w:pPr>
              <w:pStyle w:val="TableBodyText"/>
              <w:rPr>
                <w:sz w:val="18"/>
                <w:szCs w:val="18"/>
              </w:rPr>
            </w:pPr>
            <w:r w:rsidRPr="00ED4285">
              <w:rPr>
                <w:sz w:val="18"/>
                <w:szCs w:val="18"/>
              </w:rPr>
              <w:t>0.7</w:t>
            </w:r>
          </w:p>
        </w:tc>
        <w:tc>
          <w:tcPr>
            <w:tcW w:w="507" w:type="pct"/>
            <w:vAlign w:val="bottom"/>
          </w:tcPr>
          <w:p w:rsidR="00ED4285" w:rsidRPr="00ED4285" w:rsidRDefault="00ED4285" w:rsidP="00932CE7">
            <w:pPr>
              <w:pStyle w:val="TableBodyText"/>
              <w:rPr>
                <w:sz w:val="18"/>
                <w:szCs w:val="18"/>
              </w:rPr>
            </w:pPr>
            <w:r w:rsidRPr="00ED4285">
              <w:rPr>
                <w:sz w:val="18"/>
                <w:szCs w:val="18"/>
              </w:rPr>
              <w:t>0.7</w:t>
            </w:r>
          </w:p>
        </w:tc>
        <w:tc>
          <w:tcPr>
            <w:tcW w:w="507" w:type="pct"/>
            <w:shd w:val="clear" w:color="auto" w:fill="auto"/>
            <w:vAlign w:val="bottom"/>
          </w:tcPr>
          <w:p w:rsidR="00ED4285" w:rsidRPr="00ED4285" w:rsidRDefault="00ED4285" w:rsidP="00932CE7">
            <w:pPr>
              <w:pStyle w:val="TableBodyText"/>
              <w:rPr>
                <w:sz w:val="18"/>
                <w:szCs w:val="18"/>
              </w:rPr>
            </w:pPr>
            <w:r w:rsidRPr="00ED4285">
              <w:rPr>
                <w:sz w:val="18"/>
                <w:szCs w:val="18"/>
              </w:rPr>
              <w:t>0.7</w:t>
            </w:r>
          </w:p>
        </w:tc>
        <w:tc>
          <w:tcPr>
            <w:tcW w:w="505" w:type="pct"/>
            <w:shd w:val="clear" w:color="auto" w:fill="auto"/>
            <w:vAlign w:val="bottom"/>
          </w:tcPr>
          <w:p w:rsidR="00ED4285" w:rsidRPr="00ED4285" w:rsidRDefault="00ED4285" w:rsidP="00932CE7">
            <w:pPr>
              <w:pStyle w:val="TableBodyText"/>
              <w:rPr>
                <w:sz w:val="18"/>
                <w:szCs w:val="18"/>
              </w:rPr>
            </w:pPr>
            <w:r w:rsidRPr="00ED4285">
              <w:rPr>
                <w:sz w:val="18"/>
                <w:szCs w:val="18"/>
              </w:rPr>
              <w:t>0.7</w:t>
            </w:r>
          </w:p>
        </w:tc>
      </w:tr>
      <w:tr w:rsidR="00ED4285" w:rsidRPr="006C5A80" w:rsidTr="00ED4285">
        <w:tc>
          <w:tcPr>
            <w:tcW w:w="1960" w:type="pct"/>
            <w:vAlign w:val="bottom"/>
          </w:tcPr>
          <w:p w:rsidR="00ED4285" w:rsidRPr="00ED4285" w:rsidRDefault="00ED4285" w:rsidP="00932CE7">
            <w:pPr>
              <w:pStyle w:val="TableBodyText"/>
              <w:jc w:val="left"/>
              <w:rPr>
                <w:sz w:val="18"/>
                <w:szCs w:val="18"/>
              </w:rPr>
            </w:pPr>
            <w:r w:rsidRPr="00ED4285">
              <w:rPr>
                <w:sz w:val="18"/>
                <w:szCs w:val="18"/>
              </w:rPr>
              <w:t>Health care and social assistance</w:t>
            </w:r>
          </w:p>
        </w:tc>
        <w:tc>
          <w:tcPr>
            <w:tcW w:w="507" w:type="pct"/>
            <w:vAlign w:val="bottom"/>
          </w:tcPr>
          <w:p w:rsidR="00ED4285" w:rsidRPr="00ED4285" w:rsidRDefault="00ED4285" w:rsidP="00932CE7">
            <w:pPr>
              <w:pStyle w:val="TableBodyText"/>
              <w:rPr>
                <w:sz w:val="18"/>
                <w:szCs w:val="18"/>
              </w:rPr>
            </w:pPr>
            <w:r w:rsidRPr="00ED4285">
              <w:rPr>
                <w:sz w:val="18"/>
                <w:szCs w:val="18"/>
              </w:rPr>
              <w:t>41.1</w:t>
            </w:r>
          </w:p>
        </w:tc>
        <w:tc>
          <w:tcPr>
            <w:tcW w:w="507" w:type="pct"/>
            <w:vAlign w:val="bottom"/>
          </w:tcPr>
          <w:p w:rsidR="00ED4285" w:rsidRPr="00ED4285" w:rsidRDefault="00ED4285" w:rsidP="00932CE7">
            <w:pPr>
              <w:pStyle w:val="TableBodyText"/>
              <w:rPr>
                <w:sz w:val="18"/>
                <w:szCs w:val="18"/>
              </w:rPr>
            </w:pPr>
            <w:r w:rsidRPr="00ED4285">
              <w:rPr>
                <w:sz w:val="18"/>
                <w:szCs w:val="18"/>
              </w:rPr>
              <w:t>50.3</w:t>
            </w:r>
          </w:p>
        </w:tc>
        <w:tc>
          <w:tcPr>
            <w:tcW w:w="507" w:type="pct"/>
            <w:vAlign w:val="bottom"/>
          </w:tcPr>
          <w:p w:rsidR="00ED4285" w:rsidRPr="00ED4285" w:rsidRDefault="00ED4285" w:rsidP="00932CE7">
            <w:pPr>
              <w:pStyle w:val="TableBodyText"/>
              <w:rPr>
                <w:sz w:val="18"/>
                <w:szCs w:val="18"/>
              </w:rPr>
            </w:pPr>
            <w:r w:rsidRPr="00ED4285">
              <w:rPr>
                <w:sz w:val="18"/>
                <w:szCs w:val="18"/>
              </w:rPr>
              <w:t>47.6</w:t>
            </w:r>
          </w:p>
        </w:tc>
        <w:tc>
          <w:tcPr>
            <w:tcW w:w="507" w:type="pct"/>
            <w:vAlign w:val="bottom"/>
          </w:tcPr>
          <w:p w:rsidR="00ED4285" w:rsidRPr="00ED4285" w:rsidRDefault="00ED4285" w:rsidP="00932CE7">
            <w:pPr>
              <w:pStyle w:val="TableBodyText"/>
              <w:rPr>
                <w:sz w:val="18"/>
                <w:szCs w:val="18"/>
              </w:rPr>
            </w:pPr>
            <w:r w:rsidRPr="00ED4285">
              <w:rPr>
                <w:sz w:val="18"/>
                <w:szCs w:val="18"/>
              </w:rPr>
              <w:t>50.2</w:t>
            </w:r>
          </w:p>
        </w:tc>
        <w:tc>
          <w:tcPr>
            <w:tcW w:w="507" w:type="pct"/>
            <w:shd w:val="clear" w:color="auto" w:fill="auto"/>
            <w:vAlign w:val="bottom"/>
          </w:tcPr>
          <w:p w:rsidR="00ED4285" w:rsidRPr="00ED4285" w:rsidRDefault="00ED4285" w:rsidP="00932CE7">
            <w:pPr>
              <w:pStyle w:val="TableBodyText"/>
              <w:rPr>
                <w:sz w:val="18"/>
                <w:szCs w:val="18"/>
              </w:rPr>
            </w:pPr>
            <w:r w:rsidRPr="00ED4285">
              <w:rPr>
                <w:sz w:val="18"/>
                <w:szCs w:val="18"/>
              </w:rPr>
              <w:t>51.4</w:t>
            </w:r>
          </w:p>
        </w:tc>
        <w:tc>
          <w:tcPr>
            <w:tcW w:w="505" w:type="pct"/>
            <w:shd w:val="clear" w:color="auto" w:fill="auto"/>
            <w:vAlign w:val="bottom"/>
          </w:tcPr>
          <w:p w:rsidR="00ED4285" w:rsidRPr="00ED4285" w:rsidRDefault="00ED4285" w:rsidP="00932CE7">
            <w:pPr>
              <w:pStyle w:val="TableBodyText"/>
              <w:rPr>
                <w:sz w:val="18"/>
                <w:szCs w:val="18"/>
              </w:rPr>
            </w:pPr>
            <w:r w:rsidRPr="00ED4285">
              <w:rPr>
                <w:sz w:val="18"/>
                <w:szCs w:val="18"/>
              </w:rPr>
              <w:t>51.4</w:t>
            </w:r>
          </w:p>
        </w:tc>
      </w:tr>
      <w:tr w:rsidR="00ED4285" w:rsidRPr="006C5A80" w:rsidTr="00ED4285">
        <w:tc>
          <w:tcPr>
            <w:tcW w:w="1960" w:type="pct"/>
            <w:vAlign w:val="bottom"/>
          </w:tcPr>
          <w:p w:rsidR="00ED4285" w:rsidRPr="00ED4285" w:rsidRDefault="00ED4285" w:rsidP="00932CE7">
            <w:pPr>
              <w:pStyle w:val="TableBodyText"/>
              <w:jc w:val="left"/>
              <w:rPr>
                <w:sz w:val="18"/>
                <w:szCs w:val="18"/>
              </w:rPr>
            </w:pPr>
            <w:r w:rsidRPr="00ED4285">
              <w:rPr>
                <w:sz w:val="18"/>
                <w:szCs w:val="18"/>
              </w:rPr>
              <w:t>Arts and recreation services</w:t>
            </w:r>
          </w:p>
        </w:tc>
        <w:tc>
          <w:tcPr>
            <w:tcW w:w="507" w:type="pct"/>
            <w:vAlign w:val="bottom"/>
          </w:tcPr>
          <w:p w:rsidR="00ED4285" w:rsidRPr="00ED4285" w:rsidRDefault="00ED4285" w:rsidP="00932CE7">
            <w:pPr>
              <w:pStyle w:val="TableBodyText"/>
              <w:rPr>
                <w:sz w:val="18"/>
                <w:szCs w:val="18"/>
              </w:rPr>
            </w:pPr>
            <w:r w:rsidRPr="00ED4285">
              <w:rPr>
                <w:sz w:val="18"/>
                <w:szCs w:val="18"/>
              </w:rPr>
              <w:t>0.5</w:t>
            </w:r>
          </w:p>
        </w:tc>
        <w:tc>
          <w:tcPr>
            <w:tcW w:w="507" w:type="pct"/>
            <w:vAlign w:val="bottom"/>
          </w:tcPr>
          <w:p w:rsidR="00ED4285" w:rsidRPr="00ED4285" w:rsidRDefault="00ED4285" w:rsidP="00932CE7">
            <w:pPr>
              <w:pStyle w:val="TableBodyText"/>
              <w:rPr>
                <w:sz w:val="18"/>
                <w:szCs w:val="18"/>
              </w:rPr>
            </w:pPr>
            <w:r w:rsidRPr="00ED4285">
              <w:rPr>
                <w:sz w:val="18"/>
                <w:szCs w:val="18"/>
              </w:rPr>
              <w:t>0.8</w:t>
            </w:r>
          </w:p>
        </w:tc>
        <w:tc>
          <w:tcPr>
            <w:tcW w:w="507" w:type="pct"/>
            <w:vAlign w:val="bottom"/>
          </w:tcPr>
          <w:p w:rsidR="00ED4285" w:rsidRPr="00ED4285" w:rsidRDefault="00ED4285" w:rsidP="00932CE7">
            <w:pPr>
              <w:pStyle w:val="TableBodyText"/>
              <w:rPr>
                <w:sz w:val="18"/>
                <w:szCs w:val="18"/>
              </w:rPr>
            </w:pPr>
            <w:r w:rsidRPr="00ED4285">
              <w:rPr>
                <w:sz w:val="18"/>
                <w:szCs w:val="18"/>
              </w:rPr>
              <w:t>1.5</w:t>
            </w:r>
          </w:p>
        </w:tc>
        <w:tc>
          <w:tcPr>
            <w:tcW w:w="507" w:type="pct"/>
            <w:vAlign w:val="bottom"/>
          </w:tcPr>
          <w:p w:rsidR="00ED4285" w:rsidRPr="00ED4285" w:rsidRDefault="00ED4285" w:rsidP="00932CE7">
            <w:pPr>
              <w:pStyle w:val="TableBodyText"/>
              <w:rPr>
                <w:sz w:val="18"/>
                <w:szCs w:val="18"/>
              </w:rPr>
            </w:pPr>
            <w:r w:rsidRPr="00ED4285">
              <w:rPr>
                <w:sz w:val="18"/>
                <w:szCs w:val="18"/>
              </w:rPr>
              <w:t>1.6</w:t>
            </w:r>
          </w:p>
        </w:tc>
        <w:tc>
          <w:tcPr>
            <w:tcW w:w="507" w:type="pct"/>
            <w:shd w:val="clear" w:color="auto" w:fill="auto"/>
            <w:vAlign w:val="bottom"/>
          </w:tcPr>
          <w:p w:rsidR="00ED4285" w:rsidRPr="00ED4285" w:rsidRDefault="00ED4285" w:rsidP="00932CE7">
            <w:pPr>
              <w:pStyle w:val="TableBodyText"/>
              <w:rPr>
                <w:sz w:val="18"/>
                <w:szCs w:val="18"/>
              </w:rPr>
            </w:pPr>
            <w:r w:rsidRPr="00ED4285">
              <w:rPr>
                <w:sz w:val="18"/>
                <w:szCs w:val="18"/>
              </w:rPr>
              <w:t>1.6</w:t>
            </w:r>
          </w:p>
        </w:tc>
        <w:tc>
          <w:tcPr>
            <w:tcW w:w="505" w:type="pct"/>
            <w:shd w:val="clear" w:color="auto" w:fill="auto"/>
            <w:vAlign w:val="bottom"/>
          </w:tcPr>
          <w:p w:rsidR="00ED4285" w:rsidRPr="00ED4285" w:rsidRDefault="00ED4285" w:rsidP="00932CE7">
            <w:pPr>
              <w:pStyle w:val="TableBodyText"/>
              <w:rPr>
                <w:sz w:val="18"/>
                <w:szCs w:val="18"/>
              </w:rPr>
            </w:pPr>
            <w:r w:rsidRPr="00ED4285">
              <w:rPr>
                <w:sz w:val="18"/>
                <w:szCs w:val="18"/>
              </w:rPr>
              <w:t>1.6</w:t>
            </w:r>
          </w:p>
        </w:tc>
      </w:tr>
      <w:tr w:rsidR="00ED4285" w:rsidRPr="006C5A80" w:rsidTr="00ED4285">
        <w:tc>
          <w:tcPr>
            <w:tcW w:w="1960" w:type="pct"/>
            <w:vAlign w:val="bottom"/>
          </w:tcPr>
          <w:p w:rsidR="00ED4285" w:rsidRPr="00ED4285" w:rsidRDefault="00ED4285" w:rsidP="00932CE7">
            <w:pPr>
              <w:pStyle w:val="TableBodyText"/>
              <w:jc w:val="left"/>
              <w:rPr>
                <w:sz w:val="18"/>
                <w:szCs w:val="18"/>
              </w:rPr>
            </w:pPr>
            <w:r w:rsidRPr="00ED4285">
              <w:rPr>
                <w:sz w:val="18"/>
                <w:szCs w:val="18"/>
              </w:rPr>
              <w:t>Other services</w:t>
            </w:r>
          </w:p>
        </w:tc>
        <w:tc>
          <w:tcPr>
            <w:tcW w:w="507" w:type="pct"/>
            <w:vAlign w:val="bottom"/>
          </w:tcPr>
          <w:p w:rsidR="00ED4285" w:rsidRPr="00ED4285" w:rsidRDefault="00ED4285" w:rsidP="00932CE7">
            <w:pPr>
              <w:pStyle w:val="TableBodyText"/>
              <w:rPr>
                <w:sz w:val="18"/>
                <w:szCs w:val="18"/>
              </w:rPr>
            </w:pPr>
            <w:r w:rsidRPr="00ED4285">
              <w:rPr>
                <w:sz w:val="18"/>
                <w:szCs w:val="18"/>
              </w:rPr>
              <w:t>1.2</w:t>
            </w:r>
          </w:p>
        </w:tc>
        <w:tc>
          <w:tcPr>
            <w:tcW w:w="507" w:type="pct"/>
            <w:vAlign w:val="bottom"/>
          </w:tcPr>
          <w:p w:rsidR="00ED4285" w:rsidRPr="00ED4285" w:rsidRDefault="00ED4285" w:rsidP="00932CE7">
            <w:pPr>
              <w:pStyle w:val="TableBodyText"/>
              <w:rPr>
                <w:sz w:val="18"/>
                <w:szCs w:val="18"/>
              </w:rPr>
            </w:pPr>
            <w:r w:rsidRPr="00ED4285">
              <w:rPr>
                <w:sz w:val="18"/>
                <w:szCs w:val="18"/>
              </w:rPr>
              <w:t>1.3</w:t>
            </w:r>
          </w:p>
        </w:tc>
        <w:tc>
          <w:tcPr>
            <w:tcW w:w="507" w:type="pct"/>
            <w:vAlign w:val="bottom"/>
          </w:tcPr>
          <w:p w:rsidR="00ED4285" w:rsidRPr="00ED4285" w:rsidRDefault="00B85A5A" w:rsidP="00932CE7">
            <w:pPr>
              <w:pStyle w:val="TableBodyText"/>
              <w:rPr>
                <w:sz w:val="18"/>
                <w:szCs w:val="18"/>
              </w:rPr>
            </w:pPr>
            <w:r>
              <w:rPr>
                <w:sz w:val="18"/>
                <w:szCs w:val="18"/>
              </w:rPr>
              <w:t>&lt;0.1</w:t>
            </w:r>
          </w:p>
        </w:tc>
        <w:tc>
          <w:tcPr>
            <w:tcW w:w="507" w:type="pct"/>
            <w:vAlign w:val="bottom"/>
          </w:tcPr>
          <w:p w:rsidR="00ED4285" w:rsidRPr="00ED4285" w:rsidRDefault="00B85A5A" w:rsidP="00932CE7">
            <w:pPr>
              <w:pStyle w:val="TableBodyText"/>
              <w:rPr>
                <w:sz w:val="18"/>
                <w:szCs w:val="18"/>
              </w:rPr>
            </w:pPr>
            <w:r>
              <w:rPr>
                <w:sz w:val="18"/>
                <w:szCs w:val="18"/>
              </w:rPr>
              <w:t>&lt;0.1</w:t>
            </w:r>
          </w:p>
        </w:tc>
        <w:tc>
          <w:tcPr>
            <w:tcW w:w="507" w:type="pct"/>
            <w:shd w:val="clear" w:color="auto" w:fill="auto"/>
            <w:vAlign w:val="bottom"/>
          </w:tcPr>
          <w:p w:rsidR="00ED4285" w:rsidRPr="00ED4285" w:rsidRDefault="00B85A5A" w:rsidP="00932CE7">
            <w:pPr>
              <w:pStyle w:val="TableBodyText"/>
              <w:rPr>
                <w:sz w:val="18"/>
                <w:szCs w:val="18"/>
              </w:rPr>
            </w:pPr>
            <w:r>
              <w:rPr>
                <w:sz w:val="18"/>
                <w:szCs w:val="18"/>
              </w:rPr>
              <w:t>&lt;0.1</w:t>
            </w:r>
          </w:p>
        </w:tc>
        <w:tc>
          <w:tcPr>
            <w:tcW w:w="505" w:type="pct"/>
            <w:shd w:val="clear" w:color="auto" w:fill="auto"/>
            <w:vAlign w:val="bottom"/>
          </w:tcPr>
          <w:p w:rsidR="00ED4285" w:rsidRPr="00ED4285" w:rsidRDefault="00B85A5A" w:rsidP="00932CE7">
            <w:pPr>
              <w:pStyle w:val="TableBodyText"/>
              <w:rPr>
                <w:sz w:val="18"/>
                <w:szCs w:val="18"/>
              </w:rPr>
            </w:pPr>
            <w:r>
              <w:rPr>
                <w:sz w:val="18"/>
                <w:szCs w:val="18"/>
              </w:rPr>
              <w:t>&lt;0.1</w:t>
            </w:r>
          </w:p>
        </w:tc>
      </w:tr>
      <w:tr w:rsidR="00ED4285" w:rsidRPr="006C5A80" w:rsidTr="00ED4285">
        <w:tc>
          <w:tcPr>
            <w:tcW w:w="1960" w:type="pct"/>
            <w:vAlign w:val="bottom"/>
          </w:tcPr>
          <w:p w:rsidR="00ED4285" w:rsidRPr="00ED4285" w:rsidRDefault="00ED4285" w:rsidP="00932CE7">
            <w:pPr>
              <w:pStyle w:val="TableBodyText"/>
              <w:jc w:val="left"/>
              <w:rPr>
                <w:sz w:val="18"/>
                <w:szCs w:val="18"/>
              </w:rPr>
            </w:pPr>
            <w:r w:rsidRPr="00ED4285">
              <w:rPr>
                <w:sz w:val="18"/>
                <w:szCs w:val="18"/>
              </w:rPr>
              <w:t>Unallocated services</w:t>
            </w:r>
          </w:p>
        </w:tc>
        <w:tc>
          <w:tcPr>
            <w:tcW w:w="507" w:type="pct"/>
            <w:vAlign w:val="bottom"/>
          </w:tcPr>
          <w:p w:rsidR="00ED4285" w:rsidRPr="00ED4285" w:rsidRDefault="00ED4285" w:rsidP="00932CE7">
            <w:pPr>
              <w:pStyle w:val="TableBodyText"/>
              <w:rPr>
                <w:sz w:val="18"/>
                <w:szCs w:val="18"/>
              </w:rPr>
            </w:pPr>
            <w:r w:rsidRPr="00ED4285">
              <w:rPr>
                <w:sz w:val="18"/>
                <w:szCs w:val="18"/>
              </w:rPr>
              <w:t>3.3</w:t>
            </w:r>
          </w:p>
        </w:tc>
        <w:tc>
          <w:tcPr>
            <w:tcW w:w="507" w:type="pct"/>
            <w:vAlign w:val="bottom"/>
          </w:tcPr>
          <w:p w:rsidR="00ED4285" w:rsidRPr="00ED4285" w:rsidRDefault="00ED4285" w:rsidP="00932CE7">
            <w:pPr>
              <w:pStyle w:val="TableBodyText"/>
              <w:rPr>
                <w:sz w:val="18"/>
                <w:szCs w:val="18"/>
              </w:rPr>
            </w:pPr>
            <w:r w:rsidRPr="00ED4285">
              <w:rPr>
                <w:sz w:val="18"/>
                <w:szCs w:val="18"/>
              </w:rPr>
              <w:t>3.7</w:t>
            </w:r>
          </w:p>
        </w:tc>
        <w:tc>
          <w:tcPr>
            <w:tcW w:w="507" w:type="pct"/>
            <w:vAlign w:val="bottom"/>
          </w:tcPr>
          <w:p w:rsidR="00ED4285" w:rsidRPr="00ED4285" w:rsidRDefault="00ED4285" w:rsidP="00932CE7">
            <w:pPr>
              <w:pStyle w:val="TableBodyText"/>
              <w:rPr>
                <w:sz w:val="18"/>
                <w:szCs w:val="18"/>
              </w:rPr>
            </w:pPr>
            <w:r w:rsidRPr="00ED4285">
              <w:rPr>
                <w:sz w:val="18"/>
                <w:szCs w:val="18"/>
              </w:rPr>
              <w:t>2.4</w:t>
            </w:r>
          </w:p>
        </w:tc>
        <w:tc>
          <w:tcPr>
            <w:tcW w:w="507" w:type="pct"/>
            <w:vAlign w:val="bottom"/>
          </w:tcPr>
          <w:p w:rsidR="00ED4285" w:rsidRPr="00ED4285" w:rsidRDefault="00ED4285" w:rsidP="00932CE7">
            <w:pPr>
              <w:pStyle w:val="TableBodyText"/>
              <w:rPr>
                <w:sz w:val="18"/>
                <w:szCs w:val="18"/>
              </w:rPr>
            </w:pPr>
            <w:r w:rsidRPr="00ED4285">
              <w:rPr>
                <w:sz w:val="18"/>
                <w:szCs w:val="18"/>
              </w:rPr>
              <w:t>2.5</w:t>
            </w:r>
          </w:p>
        </w:tc>
        <w:tc>
          <w:tcPr>
            <w:tcW w:w="507" w:type="pct"/>
            <w:shd w:val="clear" w:color="auto" w:fill="auto"/>
            <w:vAlign w:val="bottom"/>
          </w:tcPr>
          <w:p w:rsidR="00ED4285" w:rsidRPr="00ED4285" w:rsidRDefault="00ED4285" w:rsidP="00932CE7">
            <w:pPr>
              <w:pStyle w:val="TableBodyText"/>
              <w:rPr>
                <w:sz w:val="18"/>
                <w:szCs w:val="18"/>
              </w:rPr>
            </w:pPr>
            <w:r w:rsidRPr="00ED4285">
              <w:rPr>
                <w:sz w:val="18"/>
                <w:szCs w:val="18"/>
              </w:rPr>
              <w:t>2.6</w:t>
            </w:r>
          </w:p>
        </w:tc>
        <w:tc>
          <w:tcPr>
            <w:tcW w:w="505" w:type="pct"/>
            <w:shd w:val="clear" w:color="auto" w:fill="auto"/>
            <w:vAlign w:val="bottom"/>
          </w:tcPr>
          <w:p w:rsidR="00ED4285" w:rsidRPr="00ED4285" w:rsidRDefault="00ED4285" w:rsidP="00932CE7">
            <w:pPr>
              <w:pStyle w:val="TableBodyText"/>
              <w:rPr>
                <w:sz w:val="18"/>
                <w:szCs w:val="18"/>
              </w:rPr>
            </w:pPr>
            <w:r w:rsidRPr="00ED4285">
              <w:rPr>
                <w:sz w:val="18"/>
                <w:szCs w:val="18"/>
              </w:rPr>
              <w:t>2.6</w:t>
            </w:r>
          </w:p>
        </w:tc>
      </w:tr>
      <w:tr w:rsidR="00ED4285" w:rsidRPr="006C5A80" w:rsidTr="00ED4285">
        <w:tc>
          <w:tcPr>
            <w:tcW w:w="1960" w:type="pct"/>
            <w:tcBorders>
              <w:bottom w:val="single" w:sz="4" w:space="0" w:color="auto"/>
            </w:tcBorders>
            <w:vAlign w:val="bottom"/>
          </w:tcPr>
          <w:p w:rsidR="00ED4285" w:rsidRPr="00ED4285" w:rsidRDefault="00ED4285" w:rsidP="00932CE7">
            <w:pPr>
              <w:pStyle w:val="TableBodyText"/>
              <w:jc w:val="left"/>
              <w:rPr>
                <w:b/>
                <w:bCs/>
                <w:sz w:val="18"/>
                <w:szCs w:val="18"/>
              </w:rPr>
            </w:pPr>
            <w:r w:rsidRPr="00ED4285">
              <w:rPr>
                <w:b/>
                <w:bCs/>
                <w:sz w:val="18"/>
                <w:szCs w:val="18"/>
              </w:rPr>
              <w:t>Total</w:t>
            </w:r>
          </w:p>
        </w:tc>
        <w:tc>
          <w:tcPr>
            <w:tcW w:w="507" w:type="pct"/>
            <w:tcBorders>
              <w:bottom w:val="single" w:sz="4" w:space="0" w:color="auto"/>
            </w:tcBorders>
            <w:vAlign w:val="bottom"/>
          </w:tcPr>
          <w:p w:rsidR="00ED4285" w:rsidRPr="00ED4285" w:rsidRDefault="00ED4285" w:rsidP="00932CE7">
            <w:pPr>
              <w:pStyle w:val="TableBodyText"/>
              <w:rPr>
                <w:b/>
                <w:bCs/>
                <w:sz w:val="18"/>
                <w:szCs w:val="18"/>
              </w:rPr>
            </w:pPr>
            <w:r w:rsidRPr="00ED4285">
              <w:rPr>
                <w:b/>
                <w:bCs/>
                <w:sz w:val="18"/>
                <w:szCs w:val="18"/>
              </w:rPr>
              <w:t>423.3</w:t>
            </w:r>
          </w:p>
        </w:tc>
        <w:tc>
          <w:tcPr>
            <w:tcW w:w="507" w:type="pct"/>
            <w:tcBorders>
              <w:bottom w:val="single" w:sz="4" w:space="0" w:color="auto"/>
            </w:tcBorders>
            <w:vAlign w:val="bottom"/>
          </w:tcPr>
          <w:p w:rsidR="00ED4285" w:rsidRPr="00ED4285" w:rsidRDefault="00ED4285" w:rsidP="00932CE7">
            <w:pPr>
              <w:pStyle w:val="TableBodyText"/>
              <w:rPr>
                <w:b/>
                <w:bCs/>
                <w:sz w:val="18"/>
                <w:szCs w:val="18"/>
              </w:rPr>
            </w:pPr>
            <w:r w:rsidRPr="00ED4285">
              <w:rPr>
                <w:b/>
                <w:bCs/>
                <w:sz w:val="18"/>
                <w:szCs w:val="18"/>
              </w:rPr>
              <w:t>431.4</w:t>
            </w:r>
          </w:p>
        </w:tc>
        <w:tc>
          <w:tcPr>
            <w:tcW w:w="507" w:type="pct"/>
            <w:tcBorders>
              <w:bottom w:val="single" w:sz="4" w:space="0" w:color="auto"/>
            </w:tcBorders>
            <w:vAlign w:val="bottom"/>
          </w:tcPr>
          <w:p w:rsidR="00ED4285" w:rsidRPr="00ED4285" w:rsidRDefault="00ED4285" w:rsidP="00932CE7">
            <w:pPr>
              <w:pStyle w:val="TableBodyText"/>
              <w:rPr>
                <w:b/>
                <w:bCs/>
                <w:sz w:val="18"/>
                <w:szCs w:val="18"/>
              </w:rPr>
            </w:pPr>
            <w:r w:rsidRPr="00ED4285">
              <w:rPr>
                <w:b/>
                <w:bCs/>
                <w:sz w:val="18"/>
                <w:szCs w:val="18"/>
              </w:rPr>
              <w:t>393.0</w:t>
            </w:r>
          </w:p>
        </w:tc>
        <w:tc>
          <w:tcPr>
            <w:tcW w:w="507" w:type="pct"/>
            <w:tcBorders>
              <w:bottom w:val="single" w:sz="4" w:space="0" w:color="auto"/>
            </w:tcBorders>
            <w:vAlign w:val="bottom"/>
          </w:tcPr>
          <w:p w:rsidR="00ED4285" w:rsidRPr="00ED4285" w:rsidRDefault="00ED4285" w:rsidP="00932CE7">
            <w:pPr>
              <w:pStyle w:val="TableBodyText"/>
              <w:rPr>
                <w:b/>
                <w:bCs/>
                <w:sz w:val="18"/>
                <w:szCs w:val="18"/>
              </w:rPr>
            </w:pPr>
            <w:r w:rsidRPr="00ED4285">
              <w:rPr>
                <w:b/>
                <w:bCs/>
                <w:sz w:val="18"/>
                <w:szCs w:val="18"/>
              </w:rPr>
              <w:t>414.6</w:t>
            </w:r>
          </w:p>
        </w:tc>
        <w:tc>
          <w:tcPr>
            <w:tcW w:w="507" w:type="pct"/>
            <w:tcBorders>
              <w:bottom w:val="single" w:sz="4" w:space="0" w:color="auto"/>
            </w:tcBorders>
            <w:shd w:val="clear" w:color="auto" w:fill="auto"/>
            <w:vAlign w:val="bottom"/>
          </w:tcPr>
          <w:p w:rsidR="00ED4285" w:rsidRPr="00ED4285" w:rsidRDefault="00ED4285" w:rsidP="00932CE7">
            <w:pPr>
              <w:pStyle w:val="TableBodyText"/>
              <w:rPr>
                <w:b/>
                <w:bCs/>
                <w:sz w:val="18"/>
                <w:szCs w:val="18"/>
              </w:rPr>
            </w:pPr>
            <w:r w:rsidRPr="00ED4285">
              <w:rPr>
                <w:b/>
                <w:bCs/>
                <w:sz w:val="18"/>
                <w:szCs w:val="18"/>
              </w:rPr>
              <w:t>424.0</w:t>
            </w:r>
          </w:p>
        </w:tc>
        <w:tc>
          <w:tcPr>
            <w:tcW w:w="505" w:type="pct"/>
            <w:tcBorders>
              <w:bottom w:val="single" w:sz="4" w:space="0" w:color="auto"/>
            </w:tcBorders>
            <w:shd w:val="clear" w:color="auto" w:fill="auto"/>
            <w:vAlign w:val="bottom"/>
          </w:tcPr>
          <w:p w:rsidR="00ED4285" w:rsidRPr="00ED4285" w:rsidRDefault="00ED4285" w:rsidP="00932CE7">
            <w:pPr>
              <w:pStyle w:val="TableBodyText"/>
              <w:rPr>
                <w:b/>
                <w:bCs/>
                <w:sz w:val="18"/>
                <w:szCs w:val="18"/>
              </w:rPr>
            </w:pPr>
            <w:r w:rsidRPr="00ED4285">
              <w:rPr>
                <w:b/>
                <w:bCs/>
                <w:sz w:val="18"/>
                <w:szCs w:val="18"/>
              </w:rPr>
              <w:t>424.0</w:t>
            </w:r>
          </w:p>
        </w:tc>
      </w:tr>
    </w:tbl>
    <w:p w:rsidR="005E65D2" w:rsidRDefault="005056C8" w:rsidP="005056C8">
      <w:pPr>
        <w:pStyle w:val="Source"/>
        <w:spacing w:after="0"/>
        <w:rPr>
          <w:i/>
        </w:rPr>
      </w:pPr>
      <w:r>
        <w:t xml:space="preserve">– </w:t>
      </w:r>
      <w:r w:rsidR="00C46403">
        <w:t>Nil</w:t>
      </w:r>
      <w:r>
        <w:t>.</w:t>
      </w:r>
    </w:p>
    <w:p w:rsidR="009F43C1" w:rsidRDefault="00AA1B21" w:rsidP="009F43C1">
      <w:pPr>
        <w:pStyle w:val="Source"/>
      </w:pPr>
      <w:r>
        <w:rPr>
          <w:i/>
        </w:rPr>
        <w:t>Source</w:t>
      </w:r>
      <w:r w:rsidR="004F5883">
        <w:rPr>
          <w:i/>
        </w:rPr>
        <w:t>s</w:t>
      </w:r>
      <w:r w:rsidR="009F43C1">
        <w:t xml:space="preserve">: </w:t>
      </w:r>
      <w:r w:rsidR="00593188" w:rsidRPr="00593188">
        <w:t>Commission estimates based on</w:t>
      </w:r>
      <w:r w:rsidR="001E5BF4">
        <w:t xml:space="preserve"> </w:t>
      </w:r>
      <w:r w:rsidR="00593188">
        <w:t>DI</w:t>
      </w:r>
      <w:r w:rsidR="00925AC5">
        <w:t>ISR Portfolio Budget Statements 2010</w:t>
      </w:r>
      <w:r w:rsidR="0069692A">
        <w:noBreakHyphen/>
      </w:r>
      <w:r w:rsidR="00925AC5">
        <w:t>11</w:t>
      </w:r>
      <w:r w:rsidR="00593188" w:rsidRPr="00593188">
        <w:t xml:space="preserve">; </w:t>
      </w:r>
      <w:r w:rsidR="00925AC5">
        <w:t xml:space="preserve">CSIRO Annual Report </w:t>
      </w:r>
      <w:r w:rsidR="00734336">
        <w:t>2009</w:t>
      </w:r>
      <w:r w:rsidR="00DD3B0A">
        <w:noBreakHyphen/>
      </w:r>
      <w:r w:rsidR="00734336">
        <w:t>10 (and earlier years)</w:t>
      </w:r>
      <w:r w:rsidR="0036660B">
        <w:t xml:space="preserve">; </w:t>
      </w:r>
      <w:r w:rsidR="00593188" w:rsidRPr="00593188">
        <w:t xml:space="preserve">Industry classification derived from detailed </w:t>
      </w:r>
      <w:r w:rsidR="00593188">
        <w:t>CSIRO</w:t>
      </w:r>
      <w:r w:rsidR="00593188" w:rsidRPr="00593188">
        <w:t xml:space="preserve"> data by </w:t>
      </w:r>
      <w:r w:rsidR="00BE0E9E">
        <w:t xml:space="preserve">ANZSIC </w:t>
      </w:r>
      <w:r w:rsidR="00593188">
        <w:t>S</w:t>
      </w:r>
      <w:r w:rsidR="00BE0E9E">
        <w:t xml:space="preserve">ocioeconomic </w:t>
      </w:r>
      <w:r w:rsidR="00593188">
        <w:t>O</w:t>
      </w:r>
      <w:r w:rsidR="00BE0E9E">
        <w:t>bjective codes</w:t>
      </w:r>
      <w:r w:rsidR="009F43C1">
        <w:t>.</w:t>
      </w:r>
    </w:p>
    <w:p w:rsidR="00EB2D57" w:rsidRDefault="00FA09C3" w:rsidP="00EB2D57">
      <w:pPr>
        <w:pStyle w:val="Heading2"/>
      </w:pPr>
      <w:r>
        <w:lastRenderedPageBreak/>
        <w:t>A.</w:t>
      </w:r>
      <w:r>
        <w:rPr>
          <w:noProof/>
        </w:rPr>
        <w:t>7</w:t>
      </w:r>
      <w:r w:rsidR="00EB2D57">
        <w:tab/>
        <w:t>Automotive Transformation Scheme</w:t>
      </w:r>
    </w:p>
    <w:p w:rsidR="00EB2D57" w:rsidRPr="007935A8" w:rsidRDefault="00EB2D57" w:rsidP="00EB2D57">
      <w:pPr>
        <w:pStyle w:val="BodyText"/>
      </w:pPr>
      <w:r>
        <w:t>Commencing on 1 January 2011 under a New Car Plan for a Greener Future, the Automotive Transformation Scheme (ATS) replaced the Automotive Competitiveness and Investment Scheme</w:t>
      </w:r>
      <w:r w:rsidR="00963EB6">
        <w:t>. The ATS</w:t>
      </w:r>
      <w:r>
        <w:t xml:space="preserve"> aims to encourage competitive investment and innovation in the Australian automotive industry and to place the industry on a sustainable footing (</w:t>
      </w:r>
      <w:r w:rsidRPr="006D248C">
        <w:t>DIISR 2011</w:t>
      </w:r>
      <w:r>
        <w:t>). This is to be achieved in a way that improves environmental outcomes and promotes the development of workforce skills (</w:t>
      </w:r>
      <w:r w:rsidRPr="006D248C">
        <w:t>DIISR 2012</w:t>
      </w:r>
      <w:r>
        <w:t>).</w:t>
      </w:r>
    </w:p>
    <w:p w:rsidR="00EB2D57" w:rsidRDefault="00EB2D57" w:rsidP="00EB2D57">
      <w:pPr>
        <w:pStyle w:val="BodyText"/>
      </w:pPr>
      <w:r>
        <w:t xml:space="preserve">The ATS is classified to the </w:t>
      </w:r>
      <w:r w:rsidRPr="00FF4899">
        <w:rPr>
          <w:i/>
        </w:rPr>
        <w:t xml:space="preserve">Motor vehicle </w:t>
      </w:r>
      <w:r>
        <w:rPr>
          <w:i/>
        </w:rPr>
        <w:t>and</w:t>
      </w:r>
      <w:r w:rsidRPr="00FF4899">
        <w:rPr>
          <w:i/>
        </w:rPr>
        <w:t xml:space="preserve"> parts</w:t>
      </w:r>
      <w:r>
        <w:t xml:space="preserve"> industry grouping in the Commission’s ANZSIC-based classification (table A.</w:t>
      </w:r>
      <w:r w:rsidR="00110755">
        <w:t>7</w:t>
      </w:r>
      <w:r>
        <w:t>).</w:t>
      </w:r>
    </w:p>
    <w:p w:rsidR="00EB2D57" w:rsidRDefault="00EB2D57" w:rsidP="00EB2D57">
      <w:pPr>
        <w:pStyle w:val="TableTitle"/>
      </w:pPr>
      <w:r>
        <w:rPr>
          <w:b w:val="0"/>
        </w:rPr>
        <w:t xml:space="preserve">Table </w:t>
      </w:r>
      <w:r w:rsidR="00FA09C3">
        <w:rPr>
          <w:b w:val="0"/>
        </w:rPr>
        <w:t>A.</w:t>
      </w:r>
      <w:r w:rsidR="00FA09C3">
        <w:rPr>
          <w:b w:val="0"/>
          <w:noProof/>
        </w:rPr>
        <w:t>7</w:t>
      </w:r>
      <w:r>
        <w:tab/>
        <w:t>Allocation of Automotive Transformation Scheme</w:t>
      </w:r>
      <w:r w:rsidR="006873B2">
        <w:t xml:space="preserve"> to industry,</w:t>
      </w:r>
      <w:r>
        <w:t xml:space="preserve"> 2006</w:t>
      </w:r>
      <w:r>
        <w:noBreakHyphen/>
        <w:t>07 to 2011</w:t>
      </w:r>
      <w:r>
        <w:noBreakHyphen/>
        <w:t>12</w:t>
      </w:r>
    </w:p>
    <w:p w:rsidR="00EB2D57" w:rsidRDefault="00EB2D57" w:rsidP="00EB2D57">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EB2D57" w:rsidRPr="00AF699A" w:rsidTr="008B63A3">
        <w:tc>
          <w:tcPr>
            <w:tcW w:w="1960" w:type="pct"/>
            <w:tcBorders>
              <w:top w:val="single" w:sz="6" w:space="0" w:color="auto"/>
              <w:bottom w:val="single" w:sz="6" w:space="0" w:color="auto"/>
            </w:tcBorders>
          </w:tcPr>
          <w:p w:rsidR="00EB2D57" w:rsidRPr="00AF699A" w:rsidRDefault="00EB2D57" w:rsidP="008B63A3">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EB2D57" w:rsidRPr="00AF699A" w:rsidRDefault="00EB2D57" w:rsidP="008B63A3">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EB2D57" w:rsidRPr="00AF699A" w:rsidRDefault="00EB2D57" w:rsidP="008B63A3">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EB2D57" w:rsidRPr="00AF699A" w:rsidRDefault="00EB2D57" w:rsidP="008B63A3">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EB2D57" w:rsidRPr="00AF699A" w:rsidRDefault="00EB2D57" w:rsidP="008B63A3">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EB2D57" w:rsidRPr="00AF699A" w:rsidRDefault="00EB2D57" w:rsidP="008B63A3">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EB2D57" w:rsidRPr="00AF699A" w:rsidRDefault="00EB2D57" w:rsidP="008B63A3">
            <w:pPr>
              <w:pStyle w:val="TableColumnHeading"/>
              <w:ind w:right="28"/>
              <w:rPr>
                <w:rFonts w:cs="Arial"/>
                <w:sz w:val="18"/>
                <w:szCs w:val="18"/>
              </w:rPr>
            </w:pPr>
            <w:r w:rsidRPr="00AF699A">
              <w:rPr>
                <w:rFonts w:cs="Arial"/>
                <w:sz w:val="18"/>
                <w:szCs w:val="18"/>
              </w:rPr>
              <w:t>2011-12</w:t>
            </w:r>
          </w:p>
        </w:tc>
      </w:tr>
      <w:tr w:rsidR="00EB2D57" w:rsidRPr="006C5A80" w:rsidTr="008B63A3">
        <w:tc>
          <w:tcPr>
            <w:tcW w:w="1960" w:type="pct"/>
            <w:tcBorders>
              <w:bottom w:val="single" w:sz="4" w:space="0" w:color="auto"/>
            </w:tcBorders>
            <w:vAlign w:val="bottom"/>
          </w:tcPr>
          <w:p w:rsidR="00EB2D57" w:rsidRPr="00C944BA" w:rsidRDefault="00EB2D57" w:rsidP="008B63A3">
            <w:pPr>
              <w:pStyle w:val="TableBodyText"/>
              <w:jc w:val="left"/>
            </w:pPr>
            <w:r>
              <w:t>Motor vehicle and parts</w:t>
            </w:r>
          </w:p>
        </w:tc>
        <w:tc>
          <w:tcPr>
            <w:tcW w:w="507" w:type="pct"/>
            <w:tcBorders>
              <w:bottom w:val="single" w:sz="4" w:space="0" w:color="auto"/>
            </w:tcBorders>
            <w:vAlign w:val="bottom"/>
          </w:tcPr>
          <w:p w:rsidR="00EB2D57" w:rsidRPr="00F567A8" w:rsidRDefault="00EB2D57" w:rsidP="008B63A3">
            <w:pPr>
              <w:pStyle w:val="TableBodyText"/>
            </w:pPr>
            <w:r>
              <w:noBreakHyphen/>
            </w:r>
          </w:p>
        </w:tc>
        <w:tc>
          <w:tcPr>
            <w:tcW w:w="507" w:type="pct"/>
            <w:tcBorders>
              <w:bottom w:val="single" w:sz="4" w:space="0" w:color="auto"/>
            </w:tcBorders>
            <w:vAlign w:val="bottom"/>
          </w:tcPr>
          <w:p w:rsidR="00EB2D57" w:rsidRPr="00F567A8" w:rsidRDefault="00EB2D57" w:rsidP="008B63A3">
            <w:pPr>
              <w:pStyle w:val="TableBodyText"/>
            </w:pPr>
            <w:r>
              <w:noBreakHyphen/>
            </w:r>
          </w:p>
        </w:tc>
        <w:tc>
          <w:tcPr>
            <w:tcW w:w="507" w:type="pct"/>
            <w:tcBorders>
              <w:bottom w:val="single" w:sz="4" w:space="0" w:color="auto"/>
            </w:tcBorders>
            <w:vAlign w:val="bottom"/>
          </w:tcPr>
          <w:p w:rsidR="00EB2D57" w:rsidRPr="00F567A8" w:rsidRDefault="00EB2D57" w:rsidP="008B63A3">
            <w:pPr>
              <w:pStyle w:val="TableBodyText"/>
            </w:pPr>
            <w:r>
              <w:noBreakHyphen/>
            </w:r>
          </w:p>
        </w:tc>
        <w:tc>
          <w:tcPr>
            <w:tcW w:w="507" w:type="pct"/>
            <w:tcBorders>
              <w:bottom w:val="single" w:sz="4" w:space="0" w:color="auto"/>
            </w:tcBorders>
            <w:vAlign w:val="bottom"/>
          </w:tcPr>
          <w:p w:rsidR="00EB2D57" w:rsidRPr="00F567A8" w:rsidRDefault="00EB2D57" w:rsidP="008B63A3">
            <w:pPr>
              <w:pStyle w:val="TableBodyText"/>
            </w:pPr>
            <w:r>
              <w:noBreakHyphen/>
            </w:r>
          </w:p>
        </w:tc>
        <w:tc>
          <w:tcPr>
            <w:tcW w:w="507" w:type="pct"/>
            <w:tcBorders>
              <w:bottom w:val="single" w:sz="4" w:space="0" w:color="auto"/>
            </w:tcBorders>
            <w:shd w:val="clear" w:color="auto" w:fill="auto"/>
            <w:vAlign w:val="bottom"/>
          </w:tcPr>
          <w:p w:rsidR="00EB2D57" w:rsidRPr="00F567A8" w:rsidRDefault="00EB2D57" w:rsidP="008B63A3">
            <w:pPr>
              <w:pStyle w:val="TableBodyText"/>
            </w:pPr>
            <w:r>
              <w:t>93.3</w:t>
            </w:r>
          </w:p>
        </w:tc>
        <w:tc>
          <w:tcPr>
            <w:tcW w:w="505" w:type="pct"/>
            <w:tcBorders>
              <w:bottom w:val="single" w:sz="4" w:space="0" w:color="auto"/>
            </w:tcBorders>
            <w:shd w:val="clear" w:color="auto" w:fill="auto"/>
            <w:vAlign w:val="bottom"/>
          </w:tcPr>
          <w:p w:rsidR="00EB2D57" w:rsidRPr="00F567A8" w:rsidRDefault="00EB2D57" w:rsidP="008B63A3">
            <w:pPr>
              <w:pStyle w:val="TableBodyText"/>
            </w:pPr>
            <w:r>
              <w:t>381.0</w:t>
            </w:r>
          </w:p>
        </w:tc>
      </w:tr>
    </w:tbl>
    <w:p w:rsidR="00EB2D57" w:rsidRPr="00F60026" w:rsidRDefault="00EB2D57" w:rsidP="00EB2D57">
      <w:pPr>
        <w:pStyle w:val="Source"/>
        <w:spacing w:after="0"/>
        <w:rPr>
          <w:i/>
        </w:rPr>
      </w:pPr>
      <w:r w:rsidRPr="00A2379F">
        <w:noBreakHyphen/>
        <w:t xml:space="preserve"> </w:t>
      </w:r>
      <w:r>
        <w:t>Nil</w:t>
      </w:r>
      <w:r w:rsidRPr="00A2379F">
        <w:t>.</w:t>
      </w:r>
    </w:p>
    <w:p w:rsidR="00EB2D57" w:rsidRDefault="00EB2D57" w:rsidP="00EB2D57">
      <w:pPr>
        <w:pStyle w:val="Source"/>
      </w:pPr>
      <w:r>
        <w:rPr>
          <w:i/>
        </w:rPr>
        <w:t>Sources</w:t>
      </w:r>
      <w:r>
        <w:t>: Commission estimates based on DIISR</w:t>
      </w:r>
      <w:r w:rsidRPr="004C2899">
        <w:t xml:space="preserve"> Annual Report 201</w:t>
      </w:r>
      <w:r>
        <w:t>0</w:t>
      </w:r>
      <w:r>
        <w:noBreakHyphen/>
      </w:r>
      <w:r w:rsidRPr="004C2899">
        <w:t>1</w:t>
      </w:r>
      <w:r>
        <w:t>1; and detailed DIISR data by ANZSIC industry.</w:t>
      </w:r>
    </w:p>
    <w:p w:rsidR="00F620F0" w:rsidRDefault="00FA09C3" w:rsidP="00F620F0">
      <w:pPr>
        <w:pStyle w:val="Heading2"/>
      </w:pPr>
      <w:r>
        <w:t>A.</w:t>
      </w:r>
      <w:r>
        <w:rPr>
          <w:noProof/>
        </w:rPr>
        <w:t>8</w:t>
      </w:r>
      <w:r w:rsidR="00F620F0">
        <w:tab/>
        <w:t>Premium R&amp;D tax concession</w:t>
      </w:r>
    </w:p>
    <w:p w:rsidR="00F620F0" w:rsidRDefault="00F620F0" w:rsidP="00F620F0">
      <w:pPr>
        <w:pStyle w:val="BodyText"/>
      </w:pPr>
      <w:r>
        <w:t>The premium R&amp;D tax concession was announced as part of the Australian Government’s 2001 Statement, Backing Australia’s Ability. Under the concession, a 175 per cent tax concession is available for certain labour related components of ‘incremental’</w:t>
      </w:r>
      <w:r>
        <w:rPr>
          <w:rStyle w:val="FootnoteReference"/>
        </w:rPr>
        <w:footnoteReference w:id="1"/>
      </w:r>
      <w:r>
        <w:t xml:space="preserve"> </w:t>
      </w:r>
      <w:r w:rsidR="00963EB6">
        <w:t xml:space="preserve">R&amp;D </w:t>
      </w:r>
      <w:r>
        <w:t xml:space="preserve">expenditure (excluding such expenditures as plant, core technology, interest and items excluded from the 125 per cent R&amp;D tax concession) </w:t>
      </w:r>
      <w:r w:rsidRPr="00DD3B0A">
        <w:t>(</w:t>
      </w:r>
      <w:r w:rsidRPr="006D248C">
        <w:t>Tax Expenditure Statement, Australian Government 2013, Item B 102</w:t>
      </w:r>
      <w:r w:rsidRPr="00DD3B0A">
        <w:t>)</w:t>
      </w:r>
      <w:r>
        <w:t>.</w:t>
      </w:r>
    </w:p>
    <w:p w:rsidR="00F620F0" w:rsidRDefault="00F620F0" w:rsidP="00F620F0">
      <w:pPr>
        <w:pStyle w:val="BodyText"/>
      </w:pPr>
      <w:r>
        <w:t xml:space="preserve">For the </w:t>
      </w:r>
      <w:r w:rsidR="00963EB6">
        <w:t xml:space="preserve">premium </w:t>
      </w:r>
      <w:r>
        <w:t>R&amp;D tax concession, the detailed ATO claims data by ANZSIC industry reveal a very high share of claims by the finance and insurance industry grouping compared with ABS data on R&amp;D undertaken by firms. The concentration of claims in the finance industries reflect legal structures for the financing of R&amp;D, such as syndication, rather than the actual industry in which the R&amp;D is conducted. Accordingly, for the finance industry</w:t>
      </w:r>
      <w:r w:rsidR="003160DB">
        <w:t>,</w:t>
      </w:r>
      <w:r>
        <w:t xml:space="preserve"> the share of business expenditure on R&amp;D</w:t>
      </w:r>
      <w:r w:rsidR="003160DB">
        <w:t xml:space="preserve"> from the ABS data </w:t>
      </w:r>
      <w:r>
        <w:t>has been</w:t>
      </w:r>
      <w:r w:rsidR="003160DB">
        <w:t xml:space="preserve"> used</w:t>
      </w:r>
      <w:r>
        <w:t xml:space="preserve">. The difference between the ATO and ABS shares </w:t>
      </w:r>
      <w:r>
        <w:lastRenderedPageBreak/>
        <w:t xml:space="preserve">for the finance industry has then been re-allocated across all other remaining industries (based on the ATO shares). These adjusted industry shares </w:t>
      </w:r>
      <w:r w:rsidR="00963EB6">
        <w:t>have then been</w:t>
      </w:r>
      <w:r>
        <w:t xml:space="preserve"> used to allocate TES estimates of total revenue forgone for the concession (table A.</w:t>
      </w:r>
      <w:r w:rsidR="00876917">
        <w:t>8</w:t>
      </w:r>
      <w:r>
        <w:t>).</w:t>
      </w:r>
    </w:p>
    <w:p w:rsidR="00F620F0" w:rsidRDefault="00F620F0" w:rsidP="00F620F0">
      <w:pPr>
        <w:pStyle w:val="TableTitle"/>
      </w:pPr>
      <w:r>
        <w:rPr>
          <w:b w:val="0"/>
        </w:rPr>
        <w:t xml:space="preserve">Table </w:t>
      </w:r>
      <w:r w:rsidR="00FA09C3">
        <w:rPr>
          <w:b w:val="0"/>
        </w:rPr>
        <w:t>A.</w:t>
      </w:r>
      <w:r w:rsidR="00FA09C3">
        <w:rPr>
          <w:b w:val="0"/>
          <w:noProof/>
        </w:rPr>
        <w:t>8</w:t>
      </w:r>
      <w:r>
        <w:tab/>
        <w:t>Allocation of</w:t>
      </w:r>
      <w:r w:rsidR="006873B2">
        <w:t xml:space="preserve"> </w:t>
      </w:r>
      <w:r w:rsidR="00A65855">
        <w:t xml:space="preserve">premium </w:t>
      </w:r>
      <w:r w:rsidR="006873B2">
        <w:t>R&amp;D tax concession to</w:t>
      </w:r>
      <w:r>
        <w:t xml:space="preserve"> industry, 2006</w:t>
      </w:r>
      <w:r>
        <w:noBreakHyphen/>
        <w:t>07 to 2011</w:t>
      </w:r>
      <w:r>
        <w:noBreakHyphen/>
        <w:t>12</w:t>
      </w:r>
    </w:p>
    <w:p w:rsidR="00F620F0" w:rsidRDefault="00F620F0" w:rsidP="00F620F0">
      <w:pPr>
        <w:pStyle w:val="Subtitle"/>
      </w:pPr>
      <w:r>
        <w:t>$ million (nominal)</w:t>
      </w:r>
    </w:p>
    <w:tbl>
      <w:tblPr>
        <w:tblW w:w="5000" w:type="pct"/>
        <w:tblCellMar>
          <w:left w:w="0" w:type="dxa"/>
          <w:right w:w="0" w:type="dxa"/>
        </w:tblCellMar>
        <w:tblLook w:val="0000" w:firstRow="0" w:lastRow="0" w:firstColumn="0" w:lastColumn="0" w:noHBand="0" w:noVBand="0"/>
      </w:tblPr>
      <w:tblGrid>
        <w:gridCol w:w="3445"/>
        <w:gridCol w:w="891"/>
        <w:gridCol w:w="891"/>
        <w:gridCol w:w="891"/>
        <w:gridCol w:w="891"/>
        <w:gridCol w:w="891"/>
        <w:gridCol w:w="889"/>
      </w:tblGrid>
      <w:tr w:rsidR="00F620F0" w:rsidRPr="00AF699A" w:rsidTr="008B63A3">
        <w:tc>
          <w:tcPr>
            <w:tcW w:w="1959" w:type="pct"/>
            <w:tcBorders>
              <w:top w:val="single" w:sz="6" w:space="0" w:color="auto"/>
              <w:bottom w:val="single" w:sz="6" w:space="0" w:color="auto"/>
            </w:tcBorders>
          </w:tcPr>
          <w:p w:rsidR="00F620F0" w:rsidRPr="00AF699A" w:rsidRDefault="00F620F0" w:rsidP="008B63A3">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F620F0" w:rsidRPr="00AF699A" w:rsidRDefault="00F620F0" w:rsidP="008B63A3">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F620F0" w:rsidRPr="00AF699A" w:rsidRDefault="00F620F0" w:rsidP="008B63A3">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F620F0" w:rsidRPr="00AF699A" w:rsidRDefault="00F620F0" w:rsidP="008B63A3">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F620F0" w:rsidRPr="00AF699A" w:rsidRDefault="00F620F0" w:rsidP="008B63A3">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F620F0" w:rsidRPr="00AF699A" w:rsidRDefault="00F620F0" w:rsidP="008B63A3">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F620F0" w:rsidRPr="00AF699A" w:rsidRDefault="00F620F0" w:rsidP="008B63A3">
            <w:pPr>
              <w:pStyle w:val="TableColumnHeading"/>
              <w:ind w:right="28"/>
              <w:rPr>
                <w:rFonts w:cs="Arial"/>
                <w:sz w:val="18"/>
                <w:szCs w:val="18"/>
              </w:rPr>
            </w:pPr>
            <w:r w:rsidRPr="00AF699A">
              <w:rPr>
                <w:rFonts w:cs="Arial"/>
                <w:sz w:val="18"/>
                <w:szCs w:val="18"/>
              </w:rPr>
              <w:t>2011-12</w:t>
            </w:r>
          </w:p>
        </w:tc>
      </w:tr>
      <w:tr w:rsidR="00F620F0" w:rsidRPr="006C5A80" w:rsidTr="008B63A3">
        <w:tc>
          <w:tcPr>
            <w:tcW w:w="1959" w:type="pct"/>
            <w:tcBorders>
              <w:top w:val="single" w:sz="6" w:space="0" w:color="auto"/>
            </w:tcBorders>
            <w:vAlign w:val="bottom"/>
          </w:tcPr>
          <w:p w:rsidR="00F620F0" w:rsidRPr="00682BD4" w:rsidRDefault="00F620F0" w:rsidP="008B63A3">
            <w:pPr>
              <w:pStyle w:val="TableBodyText"/>
              <w:jc w:val="left"/>
              <w:rPr>
                <w:b/>
                <w:sz w:val="18"/>
                <w:szCs w:val="18"/>
              </w:rPr>
            </w:pPr>
            <w:r w:rsidRPr="00682BD4">
              <w:rPr>
                <w:b/>
                <w:sz w:val="18"/>
                <w:szCs w:val="18"/>
              </w:rPr>
              <w:t>Primary production</w:t>
            </w:r>
          </w:p>
        </w:tc>
        <w:tc>
          <w:tcPr>
            <w:tcW w:w="507" w:type="pct"/>
            <w:tcBorders>
              <w:top w:val="single" w:sz="6" w:space="0" w:color="auto"/>
            </w:tcBorders>
            <w:vAlign w:val="bottom"/>
          </w:tcPr>
          <w:p w:rsidR="00F620F0" w:rsidRPr="00682BD4" w:rsidRDefault="00F620F0" w:rsidP="008B63A3">
            <w:pPr>
              <w:pStyle w:val="TableBodyText"/>
              <w:rPr>
                <w:b/>
                <w:sz w:val="18"/>
                <w:szCs w:val="18"/>
              </w:rPr>
            </w:pPr>
            <w:r w:rsidRPr="00682BD4">
              <w:rPr>
                <w:b/>
                <w:sz w:val="18"/>
                <w:szCs w:val="18"/>
              </w:rPr>
              <w:t>0.1</w:t>
            </w:r>
          </w:p>
        </w:tc>
        <w:tc>
          <w:tcPr>
            <w:tcW w:w="507" w:type="pct"/>
            <w:tcBorders>
              <w:top w:val="single" w:sz="6" w:space="0" w:color="auto"/>
            </w:tcBorders>
            <w:vAlign w:val="bottom"/>
          </w:tcPr>
          <w:p w:rsidR="00F620F0" w:rsidRPr="00682BD4" w:rsidRDefault="00F620F0" w:rsidP="008B63A3">
            <w:pPr>
              <w:pStyle w:val="TableBodyText"/>
              <w:rPr>
                <w:b/>
                <w:sz w:val="18"/>
                <w:szCs w:val="18"/>
              </w:rPr>
            </w:pPr>
            <w:r w:rsidRPr="00682BD4">
              <w:rPr>
                <w:b/>
                <w:sz w:val="18"/>
                <w:szCs w:val="18"/>
              </w:rPr>
              <w:t>0.1</w:t>
            </w:r>
          </w:p>
        </w:tc>
        <w:tc>
          <w:tcPr>
            <w:tcW w:w="507" w:type="pct"/>
            <w:tcBorders>
              <w:top w:val="single" w:sz="6" w:space="0" w:color="auto"/>
            </w:tcBorders>
            <w:vAlign w:val="bottom"/>
          </w:tcPr>
          <w:p w:rsidR="00F620F0" w:rsidRPr="00682BD4" w:rsidRDefault="00F620F0" w:rsidP="008B63A3">
            <w:pPr>
              <w:pStyle w:val="TableBodyText"/>
              <w:rPr>
                <w:b/>
                <w:sz w:val="18"/>
                <w:szCs w:val="18"/>
              </w:rPr>
            </w:pPr>
            <w:r w:rsidRPr="00682BD4">
              <w:rPr>
                <w:b/>
                <w:sz w:val="18"/>
                <w:szCs w:val="18"/>
              </w:rPr>
              <w:t>0.2</w:t>
            </w:r>
          </w:p>
        </w:tc>
        <w:tc>
          <w:tcPr>
            <w:tcW w:w="507" w:type="pct"/>
            <w:tcBorders>
              <w:top w:val="single" w:sz="6" w:space="0" w:color="auto"/>
            </w:tcBorders>
            <w:vAlign w:val="bottom"/>
          </w:tcPr>
          <w:p w:rsidR="00F620F0" w:rsidRPr="00682BD4" w:rsidRDefault="00F620F0" w:rsidP="008B63A3">
            <w:pPr>
              <w:pStyle w:val="TableBodyText"/>
              <w:rPr>
                <w:b/>
                <w:sz w:val="18"/>
                <w:szCs w:val="18"/>
              </w:rPr>
            </w:pPr>
            <w:r w:rsidRPr="00682BD4">
              <w:rPr>
                <w:b/>
                <w:sz w:val="18"/>
                <w:szCs w:val="18"/>
              </w:rPr>
              <w:t>0.5</w:t>
            </w:r>
          </w:p>
        </w:tc>
        <w:tc>
          <w:tcPr>
            <w:tcW w:w="507" w:type="pct"/>
            <w:tcBorders>
              <w:top w:val="single" w:sz="6" w:space="0" w:color="auto"/>
            </w:tcBorders>
            <w:vAlign w:val="bottom"/>
          </w:tcPr>
          <w:p w:rsidR="00F620F0" w:rsidRPr="00682BD4" w:rsidRDefault="00F620F0" w:rsidP="008B63A3">
            <w:pPr>
              <w:pStyle w:val="TableBodyText"/>
              <w:rPr>
                <w:b/>
                <w:sz w:val="18"/>
                <w:szCs w:val="18"/>
              </w:rPr>
            </w:pPr>
            <w:r w:rsidRPr="00682BD4">
              <w:rPr>
                <w:b/>
                <w:sz w:val="18"/>
                <w:szCs w:val="18"/>
              </w:rPr>
              <w:t>0.4</w:t>
            </w:r>
          </w:p>
        </w:tc>
        <w:tc>
          <w:tcPr>
            <w:tcW w:w="507" w:type="pct"/>
            <w:tcBorders>
              <w:top w:val="single" w:sz="6" w:space="0" w:color="auto"/>
            </w:tcBorders>
            <w:vAlign w:val="bottom"/>
          </w:tcPr>
          <w:p w:rsidR="00F620F0" w:rsidRPr="00682BD4" w:rsidRDefault="00F620F0" w:rsidP="008B63A3">
            <w:pPr>
              <w:pStyle w:val="TableBodyText"/>
              <w:rPr>
                <w:b/>
                <w:sz w:val="18"/>
                <w:szCs w:val="18"/>
              </w:rPr>
            </w:pPr>
            <w:r w:rsidRPr="00682BD4">
              <w:rPr>
                <w:b/>
                <w:sz w:val="18"/>
                <w:szCs w:val="18"/>
              </w:rPr>
              <w:t>0.4</w:t>
            </w:r>
          </w:p>
        </w:tc>
      </w:tr>
      <w:tr w:rsidR="00F620F0" w:rsidRPr="006C5A80" w:rsidTr="008B63A3">
        <w:tc>
          <w:tcPr>
            <w:tcW w:w="1959" w:type="pct"/>
            <w:vAlign w:val="bottom"/>
          </w:tcPr>
          <w:p w:rsidR="00F620F0" w:rsidRPr="00682BD4" w:rsidRDefault="00F620F0" w:rsidP="008B63A3">
            <w:pPr>
              <w:pStyle w:val="TableBodyText"/>
              <w:jc w:val="left"/>
              <w:rPr>
                <w:sz w:val="18"/>
                <w:szCs w:val="18"/>
              </w:rPr>
            </w:pPr>
            <w:r w:rsidRPr="00682BD4">
              <w:rPr>
                <w:sz w:val="18"/>
                <w:szCs w:val="18"/>
              </w:rPr>
              <w:t>Horticulture and fruit growing</w:t>
            </w:r>
          </w:p>
        </w:tc>
        <w:tc>
          <w:tcPr>
            <w:tcW w:w="507" w:type="pct"/>
            <w:vAlign w:val="bottom"/>
          </w:tcPr>
          <w:p w:rsidR="00F620F0" w:rsidRPr="00682BD4" w:rsidRDefault="00F620F0" w:rsidP="008B63A3">
            <w:pPr>
              <w:pStyle w:val="TableBodyText"/>
              <w:rPr>
                <w:sz w:val="18"/>
                <w:szCs w:val="18"/>
              </w:rPr>
            </w:pPr>
            <w:r>
              <w:rPr>
                <w:sz w:val="18"/>
                <w:szCs w:val="18"/>
              </w:rPr>
              <w:noBreakHyphen/>
            </w:r>
          </w:p>
        </w:tc>
        <w:tc>
          <w:tcPr>
            <w:tcW w:w="507" w:type="pct"/>
            <w:vAlign w:val="bottom"/>
          </w:tcPr>
          <w:p w:rsidR="00F620F0" w:rsidRPr="00682BD4" w:rsidRDefault="00F620F0" w:rsidP="008B63A3">
            <w:pPr>
              <w:pStyle w:val="TableBodyText"/>
              <w:rPr>
                <w:sz w:val="18"/>
                <w:szCs w:val="18"/>
              </w:rPr>
            </w:pPr>
            <w:r>
              <w:rPr>
                <w:sz w:val="18"/>
                <w:szCs w:val="18"/>
              </w:rPr>
              <w:noBreakHyphen/>
            </w:r>
          </w:p>
        </w:tc>
        <w:tc>
          <w:tcPr>
            <w:tcW w:w="507" w:type="pct"/>
            <w:vAlign w:val="bottom"/>
          </w:tcPr>
          <w:p w:rsidR="00F620F0" w:rsidRPr="00682BD4" w:rsidRDefault="00F620F0" w:rsidP="008B63A3">
            <w:pPr>
              <w:pStyle w:val="TableBodyText"/>
              <w:rPr>
                <w:sz w:val="18"/>
                <w:szCs w:val="18"/>
              </w:rPr>
            </w:pPr>
            <w:r>
              <w:rPr>
                <w:sz w:val="18"/>
                <w:szCs w:val="18"/>
              </w:rPr>
              <w:t>&lt;</w:t>
            </w:r>
            <w:r w:rsidRPr="00682BD4">
              <w:rPr>
                <w:sz w:val="18"/>
                <w:szCs w:val="18"/>
              </w:rPr>
              <w:t>0.1</w:t>
            </w:r>
          </w:p>
        </w:tc>
        <w:tc>
          <w:tcPr>
            <w:tcW w:w="507" w:type="pct"/>
            <w:vAlign w:val="bottom"/>
          </w:tcPr>
          <w:p w:rsidR="00F620F0" w:rsidRPr="00682BD4" w:rsidRDefault="00F620F0" w:rsidP="008B63A3">
            <w:pPr>
              <w:pStyle w:val="TableBodyText"/>
              <w:rPr>
                <w:sz w:val="18"/>
                <w:szCs w:val="18"/>
              </w:rPr>
            </w:pPr>
            <w:r w:rsidRPr="00682BD4">
              <w:rPr>
                <w:sz w:val="18"/>
                <w:szCs w:val="18"/>
              </w:rPr>
              <w:t>0.1</w:t>
            </w:r>
          </w:p>
        </w:tc>
        <w:tc>
          <w:tcPr>
            <w:tcW w:w="507" w:type="pct"/>
            <w:vAlign w:val="bottom"/>
          </w:tcPr>
          <w:p w:rsidR="00F620F0" w:rsidRPr="00682BD4" w:rsidRDefault="00F620F0" w:rsidP="008B63A3">
            <w:pPr>
              <w:pStyle w:val="TableBodyText"/>
              <w:rPr>
                <w:sz w:val="18"/>
                <w:szCs w:val="18"/>
              </w:rPr>
            </w:pPr>
            <w:r w:rsidRPr="00682BD4">
              <w:rPr>
                <w:sz w:val="18"/>
                <w:szCs w:val="18"/>
              </w:rPr>
              <w:t>0.1</w:t>
            </w:r>
          </w:p>
        </w:tc>
        <w:tc>
          <w:tcPr>
            <w:tcW w:w="507" w:type="pct"/>
            <w:vAlign w:val="bottom"/>
          </w:tcPr>
          <w:p w:rsidR="00F620F0" w:rsidRPr="00682BD4" w:rsidRDefault="00F620F0" w:rsidP="008B63A3">
            <w:pPr>
              <w:pStyle w:val="TableBodyText"/>
              <w:rPr>
                <w:sz w:val="18"/>
                <w:szCs w:val="18"/>
              </w:rPr>
            </w:pPr>
            <w:r w:rsidRPr="00682BD4">
              <w:rPr>
                <w:sz w:val="18"/>
                <w:szCs w:val="18"/>
              </w:rPr>
              <w:t>0.1</w:t>
            </w:r>
          </w:p>
        </w:tc>
      </w:tr>
      <w:tr w:rsidR="00F620F0" w:rsidRPr="006C5A80" w:rsidTr="008B63A3">
        <w:tc>
          <w:tcPr>
            <w:tcW w:w="1959" w:type="pct"/>
            <w:vAlign w:val="bottom"/>
          </w:tcPr>
          <w:p w:rsidR="00F620F0" w:rsidRPr="00682BD4" w:rsidRDefault="00F620F0" w:rsidP="008B63A3">
            <w:pPr>
              <w:pStyle w:val="TableBodyText"/>
              <w:jc w:val="left"/>
              <w:rPr>
                <w:sz w:val="18"/>
                <w:szCs w:val="18"/>
              </w:rPr>
            </w:pPr>
            <w:r w:rsidRPr="00682BD4">
              <w:rPr>
                <w:sz w:val="18"/>
                <w:szCs w:val="18"/>
              </w:rPr>
              <w:t>Aquaculture and fishing</w:t>
            </w:r>
          </w:p>
        </w:tc>
        <w:tc>
          <w:tcPr>
            <w:tcW w:w="507" w:type="pct"/>
            <w:vAlign w:val="bottom"/>
          </w:tcPr>
          <w:p w:rsidR="00F620F0" w:rsidRPr="00682BD4" w:rsidRDefault="00F620F0" w:rsidP="008B63A3">
            <w:pPr>
              <w:pStyle w:val="TableBodyText"/>
              <w:rPr>
                <w:sz w:val="18"/>
                <w:szCs w:val="18"/>
              </w:rPr>
            </w:pPr>
            <w:r w:rsidRPr="00682BD4">
              <w:rPr>
                <w:sz w:val="18"/>
                <w:szCs w:val="18"/>
              </w:rPr>
              <w:t>0.1</w:t>
            </w:r>
          </w:p>
        </w:tc>
        <w:tc>
          <w:tcPr>
            <w:tcW w:w="507" w:type="pct"/>
            <w:vAlign w:val="bottom"/>
          </w:tcPr>
          <w:p w:rsidR="00F620F0" w:rsidRPr="00682BD4" w:rsidRDefault="00F620F0" w:rsidP="008B63A3">
            <w:pPr>
              <w:pStyle w:val="TableBodyText"/>
              <w:rPr>
                <w:sz w:val="18"/>
                <w:szCs w:val="18"/>
              </w:rPr>
            </w:pPr>
            <w:r w:rsidRPr="00682BD4">
              <w:rPr>
                <w:sz w:val="18"/>
                <w:szCs w:val="18"/>
              </w:rPr>
              <w:t>0.1</w:t>
            </w:r>
          </w:p>
        </w:tc>
        <w:tc>
          <w:tcPr>
            <w:tcW w:w="507" w:type="pct"/>
            <w:vAlign w:val="bottom"/>
          </w:tcPr>
          <w:p w:rsidR="00F620F0" w:rsidRPr="00682BD4" w:rsidRDefault="00F620F0" w:rsidP="008B63A3">
            <w:pPr>
              <w:pStyle w:val="TableBodyText"/>
              <w:rPr>
                <w:sz w:val="18"/>
                <w:szCs w:val="18"/>
              </w:rPr>
            </w:pPr>
            <w:r>
              <w:rPr>
                <w:sz w:val="18"/>
                <w:szCs w:val="18"/>
              </w:rPr>
              <w:t>&lt;</w:t>
            </w:r>
            <w:r w:rsidRPr="00682BD4">
              <w:rPr>
                <w:sz w:val="18"/>
                <w:szCs w:val="18"/>
              </w:rPr>
              <w:t>0.1</w:t>
            </w:r>
          </w:p>
        </w:tc>
        <w:tc>
          <w:tcPr>
            <w:tcW w:w="507" w:type="pct"/>
            <w:vAlign w:val="bottom"/>
          </w:tcPr>
          <w:p w:rsidR="00F620F0" w:rsidRPr="00682BD4" w:rsidRDefault="00F620F0" w:rsidP="008B63A3">
            <w:pPr>
              <w:pStyle w:val="TableBodyText"/>
              <w:rPr>
                <w:sz w:val="18"/>
                <w:szCs w:val="18"/>
              </w:rPr>
            </w:pPr>
            <w:r w:rsidRPr="00682BD4">
              <w:rPr>
                <w:sz w:val="18"/>
                <w:szCs w:val="18"/>
              </w:rPr>
              <w:t>0.3</w:t>
            </w:r>
          </w:p>
        </w:tc>
        <w:tc>
          <w:tcPr>
            <w:tcW w:w="507" w:type="pct"/>
            <w:vAlign w:val="bottom"/>
          </w:tcPr>
          <w:p w:rsidR="00F620F0" w:rsidRPr="00682BD4" w:rsidRDefault="00F620F0" w:rsidP="008B63A3">
            <w:pPr>
              <w:pStyle w:val="TableBodyText"/>
              <w:rPr>
                <w:sz w:val="18"/>
                <w:szCs w:val="18"/>
              </w:rPr>
            </w:pPr>
            <w:r w:rsidRPr="00682BD4">
              <w:rPr>
                <w:sz w:val="18"/>
                <w:szCs w:val="18"/>
              </w:rPr>
              <w:t>0.3</w:t>
            </w:r>
          </w:p>
        </w:tc>
        <w:tc>
          <w:tcPr>
            <w:tcW w:w="507" w:type="pct"/>
            <w:vAlign w:val="bottom"/>
          </w:tcPr>
          <w:p w:rsidR="00F620F0" w:rsidRPr="00682BD4" w:rsidRDefault="00F620F0" w:rsidP="008B63A3">
            <w:pPr>
              <w:pStyle w:val="TableBodyText"/>
              <w:rPr>
                <w:sz w:val="18"/>
                <w:szCs w:val="18"/>
              </w:rPr>
            </w:pPr>
            <w:r w:rsidRPr="00682BD4">
              <w:rPr>
                <w:sz w:val="18"/>
                <w:szCs w:val="18"/>
              </w:rPr>
              <w:t>0.3</w:t>
            </w:r>
          </w:p>
        </w:tc>
      </w:tr>
      <w:tr w:rsidR="00F620F0" w:rsidRPr="00411B63" w:rsidTr="008B63A3">
        <w:tc>
          <w:tcPr>
            <w:tcW w:w="1959" w:type="pct"/>
            <w:vAlign w:val="bottom"/>
          </w:tcPr>
          <w:p w:rsidR="00F620F0" w:rsidRPr="00411B63" w:rsidRDefault="00F620F0" w:rsidP="008B63A3">
            <w:pPr>
              <w:pStyle w:val="TableBodyText"/>
              <w:jc w:val="left"/>
              <w:rPr>
                <w:b/>
                <w:sz w:val="18"/>
                <w:szCs w:val="18"/>
              </w:rPr>
            </w:pPr>
            <w:r w:rsidRPr="00411B63">
              <w:rPr>
                <w:b/>
                <w:sz w:val="18"/>
                <w:szCs w:val="18"/>
              </w:rPr>
              <w:t>Mining</w:t>
            </w:r>
          </w:p>
        </w:tc>
        <w:tc>
          <w:tcPr>
            <w:tcW w:w="507" w:type="pct"/>
            <w:vAlign w:val="bottom"/>
          </w:tcPr>
          <w:p w:rsidR="00F620F0" w:rsidRPr="00411B63" w:rsidRDefault="00F620F0" w:rsidP="008B63A3">
            <w:pPr>
              <w:pStyle w:val="TableBodyText"/>
              <w:rPr>
                <w:b/>
                <w:sz w:val="18"/>
                <w:szCs w:val="18"/>
              </w:rPr>
            </w:pPr>
            <w:r w:rsidRPr="00411B63">
              <w:rPr>
                <w:b/>
                <w:sz w:val="18"/>
                <w:szCs w:val="18"/>
              </w:rPr>
              <w:t>85.7</w:t>
            </w:r>
          </w:p>
        </w:tc>
        <w:tc>
          <w:tcPr>
            <w:tcW w:w="507" w:type="pct"/>
            <w:vAlign w:val="bottom"/>
          </w:tcPr>
          <w:p w:rsidR="00F620F0" w:rsidRPr="00411B63" w:rsidRDefault="00F620F0" w:rsidP="008B63A3">
            <w:pPr>
              <w:pStyle w:val="TableBodyText"/>
              <w:rPr>
                <w:b/>
                <w:sz w:val="18"/>
                <w:szCs w:val="18"/>
              </w:rPr>
            </w:pPr>
            <w:r w:rsidRPr="00411B63">
              <w:rPr>
                <w:b/>
                <w:sz w:val="18"/>
                <w:szCs w:val="18"/>
              </w:rPr>
              <w:t>121.0</w:t>
            </w:r>
          </w:p>
        </w:tc>
        <w:tc>
          <w:tcPr>
            <w:tcW w:w="507" w:type="pct"/>
            <w:vAlign w:val="bottom"/>
          </w:tcPr>
          <w:p w:rsidR="00F620F0" w:rsidRPr="00411B63" w:rsidRDefault="00F620F0" w:rsidP="008B63A3">
            <w:pPr>
              <w:pStyle w:val="TableBodyText"/>
              <w:rPr>
                <w:b/>
                <w:sz w:val="18"/>
                <w:szCs w:val="18"/>
              </w:rPr>
            </w:pPr>
            <w:r w:rsidRPr="00411B63">
              <w:rPr>
                <w:b/>
                <w:sz w:val="18"/>
                <w:szCs w:val="18"/>
              </w:rPr>
              <w:t>111.4</w:t>
            </w:r>
          </w:p>
        </w:tc>
        <w:tc>
          <w:tcPr>
            <w:tcW w:w="507" w:type="pct"/>
            <w:vAlign w:val="bottom"/>
          </w:tcPr>
          <w:p w:rsidR="00F620F0" w:rsidRPr="00411B63" w:rsidRDefault="00F620F0" w:rsidP="008B63A3">
            <w:pPr>
              <w:pStyle w:val="TableBodyText"/>
              <w:rPr>
                <w:b/>
                <w:sz w:val="18"/>
                <w:szCs w:val="18"/>
              </w:rPr>
            </w:pPr>
            <w:r w:rsidRPr="00411B63">
              <w:rPr>
                <w:b/>
                <w:sz w:val="18"/>
                <w:szCs w:val="18"/>
              </w:rPr>
              <w:t>119.5</w:t>
            </w:r>
          </w:p>
        </w:tc>
        <w:tc>
          <w:tcPr>
            <w:tcW w:w="507" w:type="pct"/>
            <w:shd w:val="clear" w:color="auto" w:fill="auto"/>
            <w:vAlign w:val="bottom"/>
          </w:tcPr>
          <w:p w:rsidR="00F620F0" w:rsidRPr="00411B63" w:rsidRDefault="00F620F0" w:rsidP="008B63A3">
            <w:pPr>
              <w:pStyle w:val="TableBodyText"/>
              <w:rPr>
                <w:b/>
                <w:sz w:val="18"/>
                <w:szCs w:val="18"/>
              </w:rPr>
            </w:pPr>
            <w:r w:rsidRPr="00411B63">
              <w:rPr>
                <w:b/>
                <w:sz w:val="18"/>
                <w:szCs w:val="18"/>
              </w:rPr>
              <w:t>103.9</w:t>
            </w:r>
          </w:p>
        </w:tc>
        <w:tc>
          <w:tcPr>
            <w:tcW w:w="507" w:type="pct"/>
            <w:shd w:val="clear" w:color="auto" w:fill="auto"/>
            <w:vAlign w:val="bottom"/>
          </w:tcPr>
          <w:p w:rsidR="00F620F0" w:rsidRPr="00411B63" w:rsidRDefault="00F620F0" w:rsidP="008B63A3">
            <w:pPr>
              <w:pStyle w:val="TableBodyText"/>
              <w:rPr>
                <w:b/>
                <w:sz w:val="18"/>
                <w:szCs w:val="18"/>
              </w:rPr>
            </w:pPr>
            <w:r w:rsidRPr="00411B63">
              <w:rPr>
                <w:b/>
                <w:sz w:val="18"/>
                <w:szCs w:val="18"/>
              </w:rPr>
              <w:t>97.0</w:t>
            </w:r>
          </w:p>
        </w:tc>
      </w:tr>
      <w:tr w:rsidR="00F620F0" w:rsidRPr="006C5A80" w:rsidTr="008B63A3">
        <w:tc>
          <w:tcPr>
            <w:tcW w:w="1959" w:type="pct"/>
            <w:vAlign w:val="bottom"/>
          </w:tcPr>
          <w:p w:rsidR="00F620F0" w:rsidRPr="00682BD4" w:rsidRDefault="00F620F0" w:rsidP="008B63A3">
            <w:pPr>
              <w:pStyle w:val="TableBodyText"/>
              <w:jc w:val="left"/>
              <w:rPr>
                <w:b/>
                <w:sz w:val="18"/>
                <w:szCs w:val="18"/>
              </w:rPr>
            </w:pPr>
            <w:r w:rsidRPr="00682BD4">
              <w:rPr>
                <w:b/>
                <w:sz w:val="18"/>
                <w:szCs w:val="18"/>
              </w:rPr>
              <w:t>Manufacturing</w:t>
            </w:r>
          </w:p>
        </w:tc>
        <w:tc>
          <w:tcPr>
            <w:tcW w:w="507" w:type="pct"/>
            <w:vAlign w:val="bottom"/>
          </w:tcPr>
          <w:p w:rsidR="00F620F0" w:rsidRPr="00682BD4" w:rsidRDefault="00F620F0" w:rsidP="008B63A3">
            <w:pPr>
              <w:pStyle w:val="TableBodyText"/>
              <w:rPr>
                <w:b/>
                <w:sz w:val="18"/>
                <w:szCs w:val="18"/>
              </w:rPr>
            </w:pPr>
            <w:r w:rsidRPr="00682BD4">
              <w:rPr>
                <w:b/>
                <w:sz w:val="18"/>
                <w:szCs w:val="18"/>
              </w:rPr>
              <w:t>65.9</w:t>
            </w:r>
          </w:p>
        </w:tc>
        <w:tc>
          <w:tcPr>
            <w:tcW w:w="507" w:type="pct"/>
            <w:vAlign w:val="bottom"/>
          </w:tcPr>
          <w:p w:rsidR="00F620F0" w:rsidRPr="00682BD4" w:rsidRDefault="00F620F0" w:rsidP="008B63A3">
            <w:pPr>
              <w:pStyle w:val="TableBodyText"/>
              <w:rPr>
                <w:b/>
                <w:sz w:val="18"/>
                <w:szCs w:val="18"/>
              </w:rPr>
            </w:pPr>
            <w:r w:rsidRPr="00682BD4">
              <w:rPr>
                <w:b/>
                <w:sz w:val="18"/>
                <w:szCs w:val="18"/>
              </w:rPr>
              <w:t>60.8</w:t>
            </w:r>
          </w:p>
        </w:tc>
        <w:tc>
          <w:tcPr>
            <w:tcW w:w="507" w:type="pct"/>
            <w:vAlign w:val="bottom"/>
          </w:tcPr>
          <w:p w:rsidR="00F620F0" w:rsidRPr="00682BD4" w:rsidRDefault="00F620F0" w:rsidP="008B63A3">
            <w:pPr>
              <w:pStyle w:val="TableBodyText"/>
              <w:rPr>
                <w:b/>
                <w:sz w:val="18"/>
                <w:szCs w:val="18"/>
              </w:rPr>
            </w:pPr>
            <w:r w:rsidRPr="00682BD4">
              <w:rPr>
                <w:b/>
                <w:sz w:val="18"/>
                <w:szCs w:val="18"/>
              </w:rPr>
              <w:t>55.9</w:t>
            </w:r>
          </w:p>
        </w:tc>
        <w:tc>
          <w:tcPr>
            <w:tcW w:w="507" w:type="pct"/>
            <w:vAlign w:val="bottom"/>
          </w:tcPr>
          <w:p w:rsidR="00F620F0" w:rsidRPr="00682BD4" w:rsidRDefault="00F620F0" w:rsidP="008B63A3">
            <w:pPr>
              <w:pStyle w:val="TableBodyText"/>
              <w:rPr>
                <w:b/>
                <w:sz w:val="18"/>
                <w:szCs w:val="18"/>
              </w:rPr>
            </w:pPr>
            <w:r w:rsidRPr="00682BD4">
              <w:rPr>
                <w:b/>
                <w:sz w:val="18"/>
                <w:szCs w:val="18"/>
              </w:rPr>
              <w:t>67.5</w:t>
            </w:r>
          </w:p>
        </w:tc>
        <w:tc>
          <w:tcPr>
            <w:tcW w:w="507" w:type="pct"/>
            <w:shd w:val="clear" w:color="auto" w:fill="auto"/>
            <w:vAlign w:val="bottom"/>
          </w:tcPr>
          <w:p w:rsidR="00F620F0" w:rsidRPr="00682BD4" w:rsidRDefault="00F620F0" w:rsidP="008B63A3">
            <w:pPr>
              <w:pStyle w:val="TableBodyText"/>
              <w:rPr>
                <w:b/>
                <w:sz w:val="18"/>
                <w:szCs w:val="18"/>
              </w:rPr>
            </w:pPr>
            <w:r w:rsidRPr="00682BD4">
              <w:rPr>
                <w:b/>
                <w:sz w:val="18"/>
                <w:szCs w:val="18"/>
              </w:rPr>
              <w:t>58.7</w:t>
            </w:r>
          </w:p>
        </w:tc>
        <w:tc>
          <w:tcPr>
            <w:tcW w:w="507" w:type="pct"/>
            <w:shd w:val="clear" w:color="auto" w:fill="auto"/>
            <w:vAlign w:val="bottom"/>
          </w:tcPr>
          <w:p w:rsidR="00F620F0" w:rsidRPr="00682BD4" w:rsidRDefault="00F620F0" w:rsidP="008B63A3">
            <w:pPr>
              <w:pStyle w:val="TableBodyText"/>
              <w:rPr>
                <w:b/>
                <w:sz w:val="18"/>
                <w:szCs w:val="18"/>
              </w:rPr>
            </w:pPr>
            <w:r w:rsidRPr="00682BD4">
              <w:rPr>
                <w:b/>
                <w:sz w:val="18"/>
                <w:szCs w:val="18"/>
              </w:rPr>
              <w:t>54.8</w:t>
            </w:r>
          </w:p>
        </w:tc>
      </w:tr>
      <w:tr w:rsidR="00F620F0" w:rsidRPr="006C5A80" w:rsidTr="008B63A3">
        <w:tc>
          <w:tcPr>
            <w:tcW w:w="1959" w:type="pct"/>
            <w:vAlign w:val="bottom"/>
          </w:tcPr>
          <w:p w:rsidR="00F620F0" w:rsidRPr="00682BD4" w:rsidRDefault="00F620F0" w:rsidP="008B63A3">
            <w:pPr>
              <w:pStyle w:val="TableBodyText"/>
              <w:jc w:val="left"/>
              <w:rPr>
                <w:sz w:val="18"/>
                <w:szCs w:val="18"/>
              </w:rPr>
            </w:pPr>
            <w:r w:rsidRPr="00682BD4">
              <w:rPr>
                <w:sz w:val="18"/>
                <w:szCs w:val="18"/>
              </w:rPr>
              <w:t>Food, beverages and tobacco</w:t>
            </w:r>
          </w:p>
        </w:tc>
        <w:tc>
          <w:tcPr>
            <w:tcW w:w="507" w:type="pct"/>
            <w:vAlign w:val="bottom"/>
          </w:tcPr>
          <w:p w:rsidR="00F620F0" w:rsidRPr="00682BD4" w:rsidRDefault="00F620F0" w:rsidP="008B63A3">
            <w:pPr>
              <w:pStyle w:val="TableBodyText"/>
              <w:rPr>
                <w:sz w:val="18"/>
                <w:szCs w:val="18"/>
              </w:rPr>
            </w:pPr>
            <w:r w:rsidRPr="00682BD4">
              <w:rPr>
                <w:sz w:val="18"/>
                <w:szCs w:val="18"/>
              </w:rPr>
              <w:t>2.8</w:t>
            </w:r>
          </w:p>
        </w:tc>
        <w:tc>
          <w:tcPr>
            <w:tcW w:w="507" w:type="pct"/>
            <w:vAlign w:val="bottom"/>
          </w:tcPr>
          <w:p w:rsidR="00F620F0" w:rsidRPr="00682BD4" w:rsidRDefault="00F620F0" w:rsidP="008B63A3">
            <w:pPr>
              <w:pStyle w:val="TableBodyText"/>
              <w:rPr>
                <w:sz w:val="18"/>
                <w:szCs w:val="18"/>
              </w:rPr>
            </w:pPr>
            <w:r w:rsidRPr="00682BD4">
              <w:rPr>
                <w:sz w:val="18"/>
                <w:szCs w:val="18"/>
              </w:rPr>
              <w:t>5.4</w:t>
            </w:r>
          </w:p>
        </w:tc>
        <w:tc>
          <w:tcPr>
            <w:tcW w:w="507" w:type="pct"/>
            <w:vAlign w:val="bottom"/>
          </w:tcPr>
          <w:p w:rsidR="00F620F0" w:rsidRPr="00682BD4" w:rsidRDefault="00F620F0" w:rsidP="008B63A3">
            <w:pPr>
              <w:pStyle w:val="TableBodyText"/>
              <w:rPr>
                <w:sz w:val="18"/>
                <w:szCs w:val="18"/>
              </w:rPr>
            </w:pPr>
            <w:r w:rsidRPr="00682BD4">
              <w:rPr>
                <w:sz w:val="18"/>
                <w:szCs w:val="18"/>
              </w:rPr>
              <w:t>13.9</w:t>
            </w:r>
          </w:p>
        </w:tc>
        <w:tc>
          <w:tcPr>
            <w:tcW w:w="507" w:type="pct"/>
            <w:vAlign w:val="bottom"/>
          </w:tcPr>
          <w:p w:rsidR="00F620F0" w:rsidRPr="00682BD4" w:rsidRDefault="00F620F0" w:rsidP="008B63A3">
            <w:pPr>
              <w:pStyle w:val="TableBodyText"/>
              <w:rPr>
                <w:sz w:val="18"/>
                <w:szCs w:val="18"/>
              </w:rPr>
            </w:pPr>
            <w:r w:rsidRPr="00682BD4">
              <w:rPr>
                <w:sz w:val="18"/>
                <w:szCs w:val="18"/>
              </w:rPr>
              <w:t>18.6</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16.1</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15.1</w:t>
            </w:r>
          </w:p>
        </w:tc>
      </w:tr>
      <w:tr w:rsidR="00F620F0" w:rsidRPr="006C5A80" w:rsidTr="008B63A3">
        <w:tc>
          <w:tcPr>
            <w:tcW w:w="1959" w:type="pct"/>
            <w:vAlign w:val="bottom"/>
          </w:tcPr>
          <w:p w:rsidR="00F620F0" w:rsidRPr="00682BD4" w:rsidRDefault="00F620F0" w:rsidP="008B63A3">
            <w:pPr>
              <w:pStyle w:val="TableBodyText"/>
              <w:jc w:val="left"/>
              <w:rPr>
                <w:sz w:val="18"/>
                <w:szCs w:val="18"/>
              </w:rPr>
            </w:pPr>
            <w:r w:rsidRPr="00682BD4">
              <w:rPr>
                <w:sz w:val="18"/>
                <w:szCs w:val="18"/>
              </w:rPr>
              <w:t>Textile, leather, clothing and footwear</w:t>
            </w:r>
          </w:p>
        </w:tc>
        <w:tc>
          <w:tcPr>
            <w:tcW w:w="507" w:type="pct"/>
            <w:vAlign w:val="bottom"/>
          </w:tcPr>
          <w:p w:rsidR="00F620F0" w:rsidRPr="00682BD4" w:rsidRDefault="00F620F0" w:rsidP="008B63A3">
            <w:pPr>
              <w:pStyle w:val="TableBodyText"/>
              <w:rPr>
                <w:sz w:val="18"/>
                <w:szCs w:val="18"/>
              </w:rPr>
            </w:pPr>
            <w:r>
              <w:rPr>
                <w:sz w:val="18"/>
                <w:szCs w:val="18"/>
              </w:rPr>
              <w:t>&lt;</w:t>
            </w:r>
            <w:r w:rsidRPr="00682BD4">
              <w:rPr>
                <w:sz w:val="18"/>
                <w:szCs w:val="18"/>
              </w:rPr>
              <w:t>0.1</w:t>
            </w:r>
          </w:p>
        </w:tc>
        <w:tc>
          <w:tcPr>
            <w:tcW w:w="507" w:type="pct"/>
            <w:vAlign w:val="bottom"/>
          </w:tcPr>
          <w:p w:rsidR="00F620F0" w:rsidRPr="00682BD4" w:rsidRDefault="00F620F0" w:rsidP="008B63A3">
            <w:pPr>
              <w:pStyle w:val="TableBodyText"/>
              <w:rPr>
                <w:sz w:val="18"/>
                <w:szCs w:val="18"/>
              </w:rPr>
            </w:pPr>
            <w:r>
              <w:rPr>
                <w:sz w:val="18"/>
                <w:szCs w:val="18"/>
              </w:rPr>
              <w:t>&lt;</w:t>
            </w:r>
            <w:r w:rsidRPr="00682BD4">
              <w:rPr>
                <w:sz w:val="18"/>
                <w:szCs w:val="18"/>
              </w:rPr>
              <w:t>0.1</w:t>
            </w:r>
          </w:p>
        </w:tc>
        <w:tc>
          <w:tcPr>
            <w:tcW w:w="507" w:type="pct"/>
            <w:vAlign w:val="bottom"/>
          </w:tcPr>
          <w:p w:rsidR="00F620F0" w:rsidRPr="00682BD4" w:rsidRDefault="00F620F0" w:rsidP="008B63A3">
            <w:pPr>
              <w:pStyle w:val="TableBodyText"/>
              <w:rPr>
                <w:sz w:val="18"/>
                <w:szCs w:val="18"/>
              </w:rPr>
            </w:pPr>
            <w:r w:rsidRPr="00682BD4">
              <w:rPr>
                <w:sz w:val="18"/>
                <w:szCs w:val="18"/>
              </w:rPr>
              <w:t>0.4</w:t>
            </w:r>
          </w:p>
        </w:tc>
        <w:tc>
          <w:tcPr>
            <w:tcW w:w="507" w:type="pct"/>
            <w:vAlign w:val="bottom"/>
          </w:tcPr>
          <w:p w:rsidR="00F620F0" w:rsidRPr="00682BD4" w:rsidRDefault="00F620F0" w:rsidP="008B63A3">
            <w:pPr>
              <w:pStyle w:val="TableBodyText"/>
              <w:rPr>
                <w:sz w:val="18"/>
                <w:szCs w:val="18"/>
              </w:rPr>
            </w:pPr>
            <w:r w:rsidRPr="00682BD4">
              <w:rPr>
                <w:sz w:val="18"/>
                <w:szCs w:val="18"/>
              </w:rPr>
              <w:t>0.4</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0.4</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0.3</w:t>
            </w:r>
          </w:p>
        </w:tc>
      </w:tr>
      <w:tr w:rsidR="00F620F0" w:rsidRPr="006C5A80" w:rsidTr="008B63A3">
        <w:tc>
          <w:tcPr>
            <w:tcW w:w="1959" w:type="pct"/>
            <w:vAlign w:val="bottom"/>
          </w:tcPr>
          <w:p w:rsidR="00F620F0" w:rsidRPr="00682BD4" w:rsidRDefault="00F620F0" w:rsidP="008B63A3">
            <w:pPr>
              <w:pStyle w:val="TableBodyText"/>
              <w:jc w:val="left"/>
              <w:rPr>
                <w:sz w:val="18"/>
                <w:szCs w:val="18"/>
              </w:rPr>
            </w:pPr>
            <w:r w:rsidRPr="00682BD4">
              <w:rPr>
                <w:sz w:val="18"/>
                <w:szCs w:val="18"/>
              </w:rPr>
              <w:t>Wood and paper products</w:t>
            </w:r>
          </w:p>
        </w:tc>
        <w:tc>
          <w:tcPr>
            <w:tcW w:w="507" w:type="pct"/>
            <w:vAlign w:val="bottom"/>
          </w:tcPr>
          <w:p w:rsidR="00F620F0" w:rsidRPr="00682BD4" w:rsidRDefault="00F620F0" w:rsidP="008B63A3">
            <w:pPr>
              <w:pStyle w:val="TableBodyText"/>
              <w:rPr>
                <w:sz w:val="18"/>
                <w:szCs w:val="18"/>
              </w:rPr>
            </w:pPr>
            <w:r w:rsidRPr="00682BD4">
              <w:rPr>
                <w:sz w:val="18"/>
                <w:szCs w:val="18"/>
              </w:rPr>
              <w:t>2.5</w:t>
            </w:r>
          </w:p>
        </w:tc>
        <w:tc>
          <w:tcPr>
            <w:tcW w:w="507" w:type="pct"/>
            <w:vAlign w:val="bottom"/>
          </w:tcPr>
          <w:p w:rsidR="00F620F0" w:rsidRPr="00682BD4" w:rsidRDefault="00F620F0" w:rsidP="008B63A3">
            <w:pPr>
              <w:pStyle w:val="TableBodyText"/>
              <w:rPr>
                <w:sz w:val="18"/>
                <w:szCs w:val="18"/>
              </w:rPr>
            </w:pPr>
            <w:r w:rsidRPr="00682BD4">
              <w:rPr>
                <w:sz w:val="18"/>
                <w:szCs w:val="18"/>
              </w:rPr>
              <w:t>1.3</w:t>
            </w:r>
          </w:p>
        </w:tc>
        <w:tc>
          <w:tcPr>
            <w:tcW w:w="507" w:type="pct"/>
            <w:vAlign w:val="bottom"/>
          </w:tcPr>
          <w:p w:rsidR="00F620F0" w:rsidRPr="00682BD4" w:rsidRDefault="00F620F0" w:rsidP="008B63A3">
            <w:pPr>
              <w:pStyle w:val="TableBodyText"/>
              <w:rPr>
                <w:sz w:val="18"/>
                <w:szCs w:val="18"/>
              </w:rPr>
            </w:pPr>
            <w:r w:rsidRPr="00682BD4">
              <w:rPr>
                <w:sz w:val="18"/>
                <w:szCs w:val="18"/>
              </w:rPr>
              <w:t>0.3</w:t>
            </w:r>
          </w:p>
        </w:tc>
        <w:tc>
          <w:tcPr>
            <w:tcW w:w="507" w:type="pct"/>
            <w:vAlign w:val="bottom"/>
          </w:tcPr>
          <w:p w:rsidR="00F620F0" w:rsidRPr="00682BD4" w:rsidRDefault="00F620F0" w:rsidP="008B63A3">
            <w:pPr>
              <w:pStyle w:val="TableBodyText"/>
              <w:rPr>
                <w:sz w:val="18"/>
                <w:szCs w:val="18"/>
              </w:rPr>
            </w:pPr>
            <w:r>
              <w:rPr>
                <w:sz w:val="18"/>
                <w:szCs w:val="18"/>
              </w:rPr>
              <w:noBreakHyphen/>
            </w:r>
          </w:p>
        </w:tc>
        <w:tc>
          <w:tcPr>
            <w:tcW w:w="507" w:type="pct"/>
            <w:shd w:val="clear" w:color="auto" w:fill="auto"/>
            <w:vAlign w:val="bottom"/>
          </w:tcPr>
          <w:p w:rsidR="00F620F0" w:rsidRPr="00682BD4" w:rsidRDefault="00F620F0" w:rsidP="008B63A3">
            <w:pPr>
              <w:pStyle w:val="TableBodyText"/>
              <w:rPr>
                <w:sz w:val="18"/>
                <w:szCs w:val="18"/>
              </w:rPr>
            </w:pPr>
            <w:r>
              <w:rPr>
                <w:sz w:val="18"/>
                <w:szCs w:val="18"/>
              </w:rPr>
              <w:noBreakHyphen/>
            </w:r>
          </w:p>
        </w:tc>
        <w:tc>
          <w:tcPr>
            <w:tcW w:w="507" w:type="pct"/>
            <w:shd w:val="clear" w:color="auto" w:fill="auto"/>
            <w:vAlign w:val="bottom"/>
          </w:tcPr>
          <w:p w:rsidR="00F620F0" w:rsidRPr="00682BD4" w:rsidRDefault="00F620F0" w:rsidP="008B63A3">
            <w:pPr>
              <w:pStyle w:val="TableBodyText"/>
              <w:rPr>
                <w:sz w:val="18"/>
                <w:szCs w:val="18"/>
              </w:rPr>
            </w:pPr>
            <w:r>
              <w:rPr>
                <w:sz w:val="18"/>
                <w:szCs w:val="18"/>
              </w:rPr>
              <w:noBreakHyphen/>
            </w:r>
          </w:p>
        </w:tc>
      </w:tr>
      <w:tr w:rsidR="00F620F0" w:rsidRPr="006C5A80" w:rsidTr="008B63A3">
        <w:tc>
          <w:tcPr>
            <w:tcW w:w="1959" w:type="pct"/>
            <w:vAlign w:val="bottom"/>
          </w:tcPr>
          <w:p w:rsidR="00F620F0" w:rsidRPr="00682BD4" w:rsidRDefault="00F620F0" w:rsidP="008B63A3">
            <w:pPr>
              <w:pStyle w:val="TableBodyText"/>
              <w:jc w:val="left"/>
              <w:rPr>
                <w:sz w:val="18"/>
                <w:szCs w:val="18"/>
              </w:rPr>
            </w:pPr>
            <w:r w:rsidRPr="00682BD4">
              <w:rPr>
                <w:sz w:val="18"/>
                <w:szCs w:val="18"/>
              </w:rPr>
              <w:t>Printing and recorded media</w:t>
            </w:r>
          </w:p>
        </w:tc>
        <w:tc>
          <w:tcPr>
            <w:tcW w:w="507" w:type="pct"/>
            <w:vAlign w:val="bottom"/>
          </w:tcPr>
          <w:p w:rsidR="00F620F0" w:rsidRPr="00682BD4" w:rsidRDefault="00F620F0" w:rsidP="008B63A3">
            <w:pPr>
              <w:pStyle w:val="TableBodyText"/>
              <w:rPr>
                <w:sz w:val="18"/>
                <w:szCs w:val="18"/>
              </w:rPr>
            </w:pPr>
            <w:r w:rsidRPr="00682BD4">
              <w:rPr>
                <w:sz w:val="18"/>
                <w:szCs w:val="18"/>
              </w:rPr>
              <w:t>0.4</w:t>
            </w:r>
          </w:p>
        </w:tc>
        <w:tc>
          <w:tcPr>
            <w:tcW w:w="507" w:type="pct"/>
            <w:vAlign w:val="bottom"/>
          </w:tcPr>
          <w:p w:rsidR="00F620F0" w:rsidRPr="00682BD4" w:rsidRDefault="00F620F0" w:rsidP="008B63A3">
            <w:pPr>
              <w:pStyle w:val="TableBodyText"/>
              <w:rPr>
                <w:sz w:val="18"/>
                <w:szCs w:val="18"/>
              </w:rPr>
            </w:pPr>
            <w:r w:rsidRPr="00682BD4">
              <w:rPr>
                <w:sz w:val="18"/>
                <w:szCs w:val="18"/>
              </w:rPr>
              <w:t>0.6</w:t>
            </w:r>
          </w:p>
        </w:tc>
        <w:tc>
          <w:tcPr>
            <w:tcW w:w="507" w:type="pct"/>
            <w:vAlign w:val="bottom"/>
          </w:tcPr>
          <w:p w:rsidR="00F620F0" w:rsidRPr="00682BD4" w:rsidRDefault="00F620F0" w:rsidP="008B63A3">
            <w:pPr>
              <w:pStyle w:val="TableBodyText"/>
              <w:rPr>
                <w:sz w:val="18"/>
                <w:szCs w:val="18"/>
              </w:rPr>
            </w:pPr>
            <w:r w:rsidRPr="00682BD4">
              <w:rPr>
                <w:sz w:val="18"/>
                <w:szCs w:val="18"/>
              </w:rPr>
              <w:t>0.2</w:t>
            </w:r>
          </w:p>
        </w:tc>
        <w:tc>
          <w:tcPr>
            <w:tcW w:w="507" w:type="pct"/>
            <w:vAlign w:val="bottom"/>
          </w:tcPr>
          <w:p w:rsidR="00F620F0" w:rsidRPr="00682BD4" w:rsidRDefault="00F620F0" w:rsidP="008B63A3">
            <w:pPr>
              <w:pStyle w:val="TableBodyText"/>
              <w:rPr>
                <w:sz w:val="18"/>
                <w:szCs w:val="18"/>
              </w:rPr>
            </w:pPr>
            <w:r>
              <w:rPr>
                <w:sz w:val="18"/>
                <w:szCs w:val="18"/>
              </w:rPr>
              <w:noBreakHyphen/>
            </w:r>
          </w:p>
        </w:tc>
        <w:tc>
          <w:tcPr>
            <w:tcW w:w="507" w:type="pct"/>
            <w:shd w:val="clear" w:color="auto" w:fill="auto"/>
            <w:vAlign w:val="bottom"/>
          </w:tcPr>
          <w:p w:rsidR="00F620F0" w:rsidRPr="00682BD4" w:rsidRDefault="00F620F0" w:rsidP="008B63A3">
            <w:pPr>
              <w:pStyle w:val="TableBodyText"/>
              <w:rPr>
                <w:sz w:val="18"/>
                <w:szCs w:val="18"/>
              </w:rPr>
            </w:pPr>
            <w:r>
              <w:rPr>
                <w:sz w:val="18"/>
                <w:szCs w:val="18"/>
              </w:rPr>
              <w:noBreakHyphen/>
            </w:r>
          </w:p>
        </w:tc>
        <w:tc>
          <w:tcPr>
            <w:tcW w:w="507" w:type="pct"/>
            <w:shd w:val="clear" w:color="auto" w:fill="auto"/>
            <w:vAlign w:val="bottom"/>
          </w:tcPr>
          <w:p w:rsidR="00F620F0" w:rsidRPr="00682BD4" w:rsidRDefault="00F620F0" w:rsidP="008B63A3">
            <w:pPr>
              <w:pStyle w:val="TableBodyText"/>
              <w:rPr>
                <w:sz w:val="18"/>
                <w:szCs w:val="18"/>
              </w:rPr>
            </w:pPr>
            <w:r>
              <w:rPr>
                <w:sz w:val="18"/>
                <w:szCs w:val="18"/>
              </w:rPr>
              <w:noBreakHyphen/>
            </w:r>
          </w:p>
        </w:tc>
      </w:tr>
      <w:tr w:rsidR="00F620F0" w:rsidRPr="006C5A80" w:rsidTr="008B63A3">
        <w:tc>
          <w:tcPr>
            <w:tcW w:w="1959" w:type="pct"/>
            <w:vAlign w:val="bottom"/>
          </w:tcPr>
          <w:p w:rsidR="00F620F0" w:rsidRPr="00682BD4" w:rsidRDefault="00F620F0" w:rsidP="008B63A3">
            <w:pPr>
              <w:pStyle w:val="TableBodyText"/>
              <w:jc w:val="left"/>
              <w:rPr>
                <w:sz w:val="18"/>
                <w:szCs w:val="18"/>
              </w:rPr>
            </w:pPr>
            <w:r w:rsidRPr="00682BD4">
              <w:rPr>
                <w:sz w:val="18"/>
                <w:szCs w:val="18"/>
              </w:rPr>
              <w:t>Petroleum, coal, chemical and rubber products</w:t>
            </w:r>
          </w:p>
        </w:tc>
        <w:tc>
          <w:tcPr>
            <w:tcW w:w="507" w:type="pct"/>
            <w:vAlign w:val="bottom"/>
          </w:tcPr>
          <w:p w:rsidR="00F620F0" w:rsidRPr="00682BD4" w:rsidRDefault="00F620F0" w:rsidP="008B63A3">
            <w:pPr>
              <w:pStyle w:val="TableBodyText"/>
              <w:rPr>
                <w:sz w:val="18"/>
                <w:szCs w:val="18"/>
              </w:rPr>
            </w:pPr>
            <w:r w:rsidRPr="00682BD4">
              <w:rPr>
                <w:sz w:val="18"/>
                <w:szCs w:val="18"/>
              </w:rPr>
              <w:t>12.4</w:t>
            </w:r>
          </w:p>
        </w:tc>
        <w:tc>
          <w:tcPr>
            <w:tcW w:w="507" w:type="pct"/>
            <w:vAlign w:val="bottom"/>
          </w:tcPr>
          <w:p w:rsidR="00F620F0" w:rsidRPr="00682BD4" w:rsidRDefault="00F620F0" w:rsidP="008B63A3">
            <w:pPr>
              <w:pStyle w:val="TableBodyText"/>
              <w:rPr>
                <w:sz w:val="18"/>
                <w:szCs w:val="18"/>
              </w:rPr>
            </w:pPr>
            <w:r w:rsidRPr="00682BD4">
              <w:rPr>
                <w:sz w:val="18"/>
                <w:szCs w:val="18"/>
              </w:rPr>
              <w:t>11.6</w:t>
            </w:r>
          </w:p>
        </w:tc>
        <w:tc>
          <w:tcPr>
            <w:tcW w:w="507" w:type="pct"/>
            <w:vAlign w:val="bottom"/>
          </w:tcPr>
          <w:p w:rsidR="00F620F0" w:rsidRPr="00682BD4" w:rsidRDefault="00F620F0" w:rsidP="008B63A3">
            <w:pPr>
              <w:pStyle w:val="TableBodyText"/>
              <w:rPr>
                <w:sz w:val="18"/>
                <w:szCs w:val="18"/>
              </w:rPr>
            </w:pPr>
            <w:r w:rsidRPr="00682BD4">
              <w:rPr>
                <w:sz w:val="18"/>
                <w:szCs w:val="18"/>
              </w:rPr>
              <w:t>9.9</w:t>
            </w:r>
          </w:p>
        </w:tc>
        <w:tc>
          <w:tcPr>
            <w:tcW w:w="507" w:type="pct"/>
            <w:vAlign w:val="bottom"/>
          </w:tcPr>
          <w:p w:rsidR="00F620F0" w:rsidRPr="00682BD4" w:rsidRDefault="00F620F0" w:rsidP="008B63A3">
            <w:pPr>
              <w:pStyle w:val="TableBodyText"/>
              <w:rPr>
                <w:sz w:val="18"/>
                <w:szCs w:val="18"/>
              </w:rPr>
            </w:pPr>
            <w:r w:rsidRPr="00682BD4">
              <w:rPr>
                <w:sz w:val="18"/>
                <w:szCs w:val="18"/>
              </w:rPr>
              <w:t>12.1</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10.5</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9.8</w:t>
            </w:r>
          </w:p>
        </w:tc>
      </w:tr>
      <w:tr w:rsidR="00F620F0" w:rsidRPr="006C5A80" w:rsidTr="008B63A3">
        <w:tc>
          <w:tcPr>
            <w:tcW w:w="1959" w:type="pct"/>
            <w:vAlign w:val="bottom"/>
          </w:tcPr>
          <w:p w:rsidR="00F620F0" w:rsidRPr="00682BD4" w:rsidRDefault="00F620F0" w:rsidP="00821748">
            <w:pPr>
              <w:pStyle w:val="TableBodyText"/>
              <w:jc w:val="left"/>
              <w:rPr>
                <w:sz w:val="18"/>
                <w:szCs w:val="18"/>
              </w:rPr>
            </w:pPr>
            <w:r w:rsidRPr="00682BD4">
              <w:rPr>
                <w:sz w:val="18"/>
                <w:szCs w:val="18"/>
              </w:rPr>
              <w:t>Non-</w:t>
            </w:r>
            <w:r w:rsidR="00821748">
              <w:rPr>
                <w:sz w:val="18"/>
                <w:szCs w:val="18"/>
              </w:rPr>
              <w:t>m</w:t>
            </w:r>
            <w:r w:rsidRPr="00682BD4">
              <w:rPr>
                <w:sz w:val="18"/>
                <w:szCs w:val="18"/>
              </w:rPr>
              <w:t>etallic mineral products</w:t>
            </w:r>
          </w:p>
        </w:tc>
        <w:tc>
          <w:tcPr>
            <w:tcW w:w="507" w:type="pct"/>
            <w:vAlign w:val="bottom"/>
          </w:tcPr>
          <w:p w:rsidR="00F620F0" w:rsidRPr="00682BD4" w:rsidRDefault="00F620F0" w:rsidP="008B63A3">
            <w:pPr>
              <w:pStyle w:val="TableBodyText"/>
              <w:rPr>
                <w:sz w:val="18"/>
                <w:szCs w:val="18"/>
              </w:rPr>
            </w:pPr>
            <w:r w:rsidRPr="00682BD4">
              <w:rPr>
                <w:sz w:val="18"/>
                <w:szCs w:val="18"/>
              </w:rPr>
              <w:t>2.2</w:t>
            </w:r>
          </w:p>
        </w:tc>
        <w:tc>
          <w:tcPr>
            <w:tcW w:w="507" w:type="pct"/>
            <w:vAlign w:val="bottom"/>
          </w:tcPr>
          <w:p w:rsidR="00F620F0" w:rsidRPr="00682BD4" w:rsidRDefault="00F620F0" w:rsidP="008B63A3">
            <w:pPr>
              <w:pStyle w:val="TableBodyText"/>
              <w:rPr>
                <w:sz w:val="18"/>
                <w:szCs w:val="18"/>
              </w:rPr>
            </w:pPr>
            <w:r w:rsidRPr="00682BD4">
              <w:rPr>
                <w:sz w:val="18"/>
                <w:szCs w:val="18"/>
              </w:rPr>
              <w:t>6.6</w:t>
            </w:r>
          </w:p>
        </w:tc>
        <w:tc>
          <w:tcPr>
            <w:tcW w:w="507" w:type="pct"/>
            <w:vAlign w:val="bottom"/>
          </w:tcPr>
          <w:p w:rsidR="00F620F0" w:rsidRPr="00682BD4" w:rsidRDefault="00F620F0" w:rsidP="008B63A3">
            <w:pPr>
              <w:pStyle w:val="TableBodyText"/>
              <w:rPr>
                <w:sz w:val="18"/>
                <w:szCs w:val="18"/>
              </w:rPr>
            </w:pPr>
            <w:r w:rsidRPr="00682BD4">
              <w:rPr>
                <w:sz w:val="18"/>
                <w:szCs w:val="18"/>
              </w:rPr>
              <w:t>1.3</w:t>
            </w:r>
          </w:p>
        </w:tc>
        <w:tc>
          <w:tcPr>
            <w:tcW w:w="507" w:type="pct"/>
            <w:vAlign w:val="bottom"/>
          </w:tcPr>
          <w:p w:rsidR="00F620F0" w:rsidRPr="00682BD4" w:rsidRDefault="00F620F0" w:rsidP="008B63A3">
            <w:pPr>
              <w:pStyle w:val="TableBodyText"/>
              <w:rPr>
                <w:sz w:val="18"/>
                <w:szCs w:val="18"/>
              </w:rPr>
            </w:pPr>
            <w:r w:rsidRPr="00682BD4">
              <w:rPr>
                <w:sz w:val="18"/>
                <w:szCs w:val="18"/>
              </w:rPr>
              <w:t>2.2</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1.9</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1.8</w:t>
            </w:r>
          </w:p>
        </w:tc>
      </w:tr>
      <w:tr w:rsidR="00F620F0" w:rsidRPr="006C5A80" w:rsidTr="008B63A3">
        <w:tc>
          <w:tcPr>
            <w:tcW w:w="1959" w:type="pct"/>
            <w:vAlign w:val="bottom"/>
          </w:tcPr>
          <w:p w:rsidR="00F620F0" w:rsidRPr="00682BD4" w:rsidRDefault="00F620F0" w:rsidP="008B63A3">
            <w:pPr>
              <w:pStyle w:val="TableBodyText"/>
              <w:jc w:val="left"/>
              <w:rPr>
                <w:sz w:val="18"/>
                <w:szCs w:val="18"/>
              </w:rPr>
            </w:pPr>
            <w:r w:rsidRPr="00682BD4">
              <w:rPr>
                <w:sz w:val="18"/>
                <w:szCs w:val="18"/>
              </w:rPr>
              <w:t>Metal and fabricated metal products</w:t>
            </w:r>
          </w:p>
        </w:tc>
        <w:tc>
          <w:tcPr>
            <w:tcW w:w="507" w:type="pct"/>
            <w:vAlign w:val="bottom"/>
          </w:tcPr>
          <w:p w:rsidR="00F620F0" w:rsidRPr="00682BD4" w:rsidRDefault="00F620F0" w:rsidP="008B63A3">
            <w:pPr>
              <w:pStyle w:val="TableBodyText"/>
              <w:rPr>
                <w:sz w:val="18"/>
                <w:szCs w:val="18"/>
              </w:rPr>
            </w:pPr>
            <w:r w:rsidRPr="00682BD4">
              <w:rPr>
                <w:sz w:val="18"/>
                <w:szCs w:val="18"/>
              </w:rPr>
              <w:t>28.5</w:t>
            </w:r>
          </w:p>
        </w:tc>
        <w:tc>
          <w:tcPr>
            <w:tcW w:w="507" w:type="pct"/>
            <w:vAlign w:val="bottom"/>
          </w:tcPr>
          <w:p w:rsidR="00F620F0" w:rsidRPr="00682BD4" w:rsidRDefault="00F620F0" w:rsidP="008B63A3">
            <w:pPr>
              <w:pStyle w:val="TableBodyText"/>
              <w:rPr>
                <w:sz w:val="18"/>
                <w:szCs w:val="18"/>
              </w:rPr>
            </w:pPr>
            <w:r w:rsidRPr="00682BD4">
              <w:rPr>
                <w:sz w:val="18"/>
                <w:szCs w:val="18"/>
              </w:rPr>
              <w:t>11.9</w:t>
            </w:r>
          </w:p>
        </w:tc>
        <w:tc>
          <w:tcPr>
            <w:tcW w:w="507" w:type="pct"/>
            <w:vAlign w:val="bottom"/>
          </w:tcPr>
          <w:p w:rsidR="00F620F0" w:rsidRPr="00682BD4" w:rsidRDefault="00F620F0" w:rsidP="008B63A3">
            <w:pPr>
              <w:pStyle w:val="TableBodyText"/>
              <w:rPr>
                <w:sz w:val="18"/>
                <w:szCs w:val="18"/>
              </w:rPr>
            </w:pPr>
            <w:r w:rsidRPr="00682BD4">
              <w:rPr>
                <w:sz w:val="18"/>
                <w:szCs w:val="18"/>
              </w:rPr>
              <w:t>13.9</w:t>
            </w:r>
          </w:p>
        </w:tc>
        <w:tc>
          <w:tcPr>
            <w:tcW w:w="507" w:type="pct"/>
            <w:vAlign w:val="bottom"/>
          </w:tcPr>
          <w:p w:rsidR="00F620F0" w:rsidRPr="00682BD4" w:rsidRDefault="00F620F0" w:rsidP="008B63A3">
            <w:pPr>
              <w:pStyle w:val="TableBodyText"/>
              <w:rPr>
                <w:sz w:val="18"/>
                <w:szCs w:val="18"/>
              </w:rPr>
            </w:pPr>
            <w:r w:rsidRPr="00682BD4">
              <w:rPr>
                <w:sz w:val="18"/>
                <w:szCs w:val="18"/>
              </w:rPr>
              <w:t>7.2</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6.2</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5.8</w:t>
            </w:r>
          </w:p>
        </w:tc>
      </w:tr>
      <w:tr w:rsidR="00F620F0" w:rsidRPr="006C5A80" w:rsidTr="008B63A3">
        <w:tc>
          <w:tcPr>
            <w:tcW w:w="1959" w:type="pct"/>
            <w:vAlign w:val="bottom"/>
          </w:tcPr>
          <w:p w:rsidR="00F620F0" w:rsidRPr="00682BD4" w:rsidRDefault="00F620F0" w:rsidP="008B63A3">
            <w:pPr>
              <w:pStyle w:val="TableBodyText"/>
              <w:jc w:val="left"/>
              <w:rPr>
                <w:sz w:val="18"/>
                <w:szCs w:val="18"/>
              </w:rPr>
            </w:pPr>
            <w:r w:rsidRPr="00682BD4">
              <w:rPr>
                <w:sz w:val="18"/>
                <w:szCs w:val="18"/>
              </w:rPr>
              <w:t>Motor vehicle and parts</w:t>
            </w:r>
          </w:p>
        </w:tc>
        <w:tc>
          <w:tcPr>
            <w:tcW w:w="507" w:type="pct"/>
            <w:vAlign w:val="bottom"/>
          </w:tcPr>
          <w:p w:rsidR="00F620F0" w:rsidRPr="00682BD4" w:rsidRDefault="00F620F0" w:rsidP="008B63A3">
            <w:pPr>
              <w:pStyle w:val="TableBodyText"/>
              <w:rPr>
                <w:sz w:val="18"/>
                <w:szCs w:val="18"/>
              </w:rPr>
            </w:pPr>
            <w:r w:rsidRPr="00682BD4">
              <w:rPr>
                <w:sz w:val="18"/>
                <w:szCs w:val="18"/>
              </w:rPr>
              <w:t>4.3</w:t>
            </w:r>
          </w:p>
        </w:tc>
        <w:tc>
          <w:tcPr>
            <w:tcW w:w="507" w:type="pct"/>
            <w:vAlign w:val="bottom"/>
          </w:tcPr>
          <w:p w:rsidR="00F620F0" w:rsidRPr="00682BD4" w:rsidRDefault="00F620F0" w:rsidP="008B63A3">
            <w:pPr>
              <w:pStyle w:val="TableBodyText"/>
              <w:rPr>
                <w:sz w:val="18"/>
                <w:szCs w:val="18"/>
              </w:rPr>
            </w:pPr>
            <w:r w:rsidRPr="00682BD4">
              <w:rPr>
                <w:sz w:val="18"/>
                <w:szCs w:val="18"/>
              </w:rPr>
              <w:t>0.8</w:t>
            </w:r>
          </w:p>
        </w:tc>
        <w:tc>
          <w:tcPr>
            <w:tcW w:w="507" w:type="pct"/>
            <w:vAlign w:val="bottom"/>
          </w:tcPr>
          <w:p w:rsidR="00F620F0" w:rsidRPr="00682BD4" w:rsidRDefault="00F620F0" w:rsidP="008B63A3">
            <w:pPr>
              <w:pStyle w:val="TableBodyText"/>
              <w:rPr>
                <w:sz w:val="18"/>
                <w:szCs w:val="18"/>
              </w:rPr>
            </w:pPr>
            <w:r w:rsidRPr="00682BD4">
              <w:rPr>
                <w:sz w:val="18"/>
                <w:szCs w:val="18"/>
              </w:rPr>
              <w:t>0.7</w:t>
            </w:r>
          </w:p>
        </w:tc>
        <w:tc>
          <w:tcPr>
            <w:tcW w:w="507" w:type="pct"/>
            <w:vAlign w:val="bottom"/>
          </w:tcPr>
          <w:p w:rsidR="00F620F0" w:rsidRPr="00682BD4" w:rsidRDefault="00F620F0" w:rsidP="008B63A3">
            <w:pPr>
              <w:pStyle w:val="TableBodyText"/>
              <w:rPr>
                <w:sz w:val="18"/>
                <w:szCs w:val="18"/>
              </w:rPr>
            </w:pPr>
            <w:r w:rsidRPr="00682BD4">
              <w:rPr>
                <w:sz w:val="18"/>
                <w:szCs w:val="18"/>
              </w:rPr>
              <w:t>4.3</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3.8</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3.5</w:t>
            </w:r>
          </w:p>
        </w:tc>
      </w:tr>
      <w:tr w:rsidR="00F620F0" w:rsidRPr="006C5A80" w:rsidTr="008B63A3">
        <w:tc>
          <w:tcPr>
            <w:tcW w:w="1959" w:type="pct"/>
            <w:vAlign w:val="bottom"/>
          </w:tcPr>
          <w:p w:rsidR="00F620F0" w:rsidRPr="00682BD4" w:rsidRDefault="00F620F0" w:rsidP="008B63A3">
            <w:pPr>
              <w:pStyle w:val="TableBodyText"/>
              <w:jc w:val="left"/>
              <w:rPr>
                <w:sz w:val="18"/>
                <w:szCs w:val="18"/>
              </w:rPr>
            </w:pPr>
            <w:r w:rsidRPr="00682BD4">
              <w:rPr>
                <w:sz w:val="18"/>
                <w:szCs w:val="18"/>
              </w:rPr>
              <w:t>Other transport equipment</w:t>
            </w:r>
          </w:p>
        </w:tc>
        <w:tc>
          <w:tcPr>
            <w:tcW w:w="507" w:type="pct"/>
            <w:vAlign w:val="bottom"/>
          </w:tcPr>
          <w:p w:rsidR="00F620F0" w:rsidRPr="00682BD4" w:rsidRDefault="00F620F0" w:rsidP="008B63A3">
            <w:pPr>
              <w:pStyle w:val="TableBodyText"/>
              <w:rPr>
                <w:sz w:val="18"/>
                <w:szCs w:val="18"/>
              </w:rPr>
            </w:pPr>
            <w:r w:rsidRPr="00682BD4">
              <w:rPr>
                <w:sz w:val="18"/>
                <w:szCs w:val="18"/>
              </w:rPr>
              <w:t>3.5</w:t>
            </w:r>
          </w:p>
        </w:tc>
        <w:tc>
          <w:tcPr>
            <w:tcW w:w="507" w:type="pct"/>
            <w:vAlign w:val="bottom"/>
          </w:tcPr>
          <w:p w:rsidR="00F620F0" w:rsidRPr="00682BD4" w:rsidRDefault="00F620F0" w:rsidP="008B63A3">
            <w:pPr>
              <w:pStyle w:val="TableBodyText"/>
              <w:rPr>
                <w:sz w:val="18"/>
                <w:szCs w:val="18"/>
              </w:rPr>
            </w:pPr>
            <w:r w:rsidRPr="00682BD4">
              <w:rPr>
                <w:sz w:val="18"/>
                <w:szCs w:val="18"/>
              </w:rPr>
              <w:t>3.3</w:t>
            </w:r>
          </w:p>
        </w:tc>
        <w:tc>
          <w:tcPr>
            <w:tcW w:w="507" w:type="pct"/>
            <w:vAlign w:val="bottom"/>
          </w:tcPr>
          <w:p w:rsidR="00F620F0" w:rsidRPr="00682BD4" w:rsidRDefault="00F620F0" w:rsidP="008B63A3">
            <w:pPr>
              <w:pStyle w:val="TableBodyText"/>
              <w:rPr>
                <w:sz w:val="18"/>
                <w:szCs w:val="18"/>
              </w:rPr>
            </w:pPr>
            <w:r w:rsidRPr="00682BD4">
              <w:rPr>
                <w:sz w:val="18"/>
                <w:szCs w:val="18"/>
              </w:rPr>
              <w:t>1.1</w:t>
            </w:r>
          </w:p>
        </w:tc>
        <w:tc>
          <w:tcPr>
            <w:tcW w:w="507" w:type="pct"/>
            <w:vAlign w:val="bottom"/>
          </w:tcPr>
          <w:p w:rsidR="00F620F0" w:rsidRPr="00682BD4" w:rsidRDefault="00F620F0" w:rsidP="008B63A3">
            <w:pPr>
              <w:pStyle w:val="TableBodyText"/>
              <w:rPr>
                <w:sz w:val="18"/>
                <w:szCs w:val="18"/>
              </w:rPr>
            </w:pPr>
            <w:r w:rsidRPr="00682BD4">
              <w:rPr>
                <w:sz w:val="18"/>
                <w:szCs w:val="18"/>
              </w:rPr>
              <w:t>0.8</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0.7</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0.6</w:t>
            </w:r>
          </w:p>
        </w:tc>
      </w:tr>
      <w:tr w:rsidR="00F620F0" w:rsidRPr="006C5A80" w:rsidTr="008B63A3">
        <w:tc>
          <w:tcPr>
            <w:tcW w:w="1959" w:type="pct"/>
            <w:vAlign w:val="bottom"/>
          </w:tcPr>
          <w:p w:rsidR="00F620F0" w:rsidRPr="00682BD4" w:rsidRDefault="00F620F0" w:rsidP="008B63A3">
            <w:pPr>
              <w:pStyle w:val="TableBodyText"/>
              <w:jc w:val="left"/>
              <w:rPr>
                <w:sz w:val="18"/>
                <w:szCs w:val="18"/>
              </w:rPr>
            </w:pPr>
            <w:r w:rsidRPr="00682BD4">
              <w:rPr>
                <w:sz w:val="18"/>
                <w:szCs w:val="18"/>
              </w:rPr>
              <w:t>Machinery and equipment manufacturing</w:t>
            </w:r>
          </w:p>
        </w:tc>
        <w:tc>
          <w:tcPr>
            <w:tcW w:w="507" w:type="pct"/>
            <w:vAlign w:val="bottom"/>
          </w:tcPr>
          <w:p w:rsidR="00F620F0" w:rsidRPr="00682BD4" w:rsidRDefault="00F620F0" w:rsidP="008B63A3">
            <w:pPr>
              <w:pStyle w:val="TableBodyText"/>
              <w:rPr>
                <w:sz w:val="18"/>
                <w:szCs w:val="18"/>
              </w:rPr>
            </w:pPr>
            <w:r w:rsidRPr="00682BD4">
              <w:rPr>
                <w:sz w:val="18"/>
                <w:szCs w:val="18"/>
              </w:rPr>
              <w:t>9.1</w:t>
            </w:r>
          </w:p>
        </w:tc>
        <w:tc>
          <w:tcPr>
            <w:tcW w:w="507" w:type="pct"/>
            <w:vAlign w:val="bottom"/>
          </w:tcPr>
          <w:p w:rsidR="00F620F0" w:rsidRPr="00682BD4" w:rsidRDefault="00F620F0" w:rsidP="008B63A3">
            <w:pPr>
              <w:pStyle w:val="TableBodyText"/>
              <w:rPr>
                <w:sz w:val="18"/>
                <w:szCs w:val="18"/>
              </w:rPr>
            </w:pPr>
            <w:r w:rsidRPr="00682BD4">
              <w:rPr>
                <w:sz w:val="18"/>
                <w:szCs w:val="18"/>
              </w:rPr>
              <w:t>19.1</w:t>
            </w:r>
          </w:p>
        </w:tc>
        <w:tc>
          <w:tcPr>
            <w:tcW w:w="507" w:type="pct"/>
            <w:vAlign w:val="bottom"/>
          </w:tcPr>
          <w:p w:rsidR="00F620F0" w:rsidRPr="00682BD4" w:rsidRDefault="00F620F0" w:rsidP="008B63A3">
            <w:pPr>
              <w:pStyle w:val="TableBodyText"/>
              <w:rPr>
                <w:sz w:val="18"/>
                <w:szCs w:val="18"/>
              </w:rPr>
            </w:pPr>
            <w:r w:rsidRPr="00682BD4">
              <w:rPr>
                <w:sz w:val="18"/>
                <w:szCs w:val="18"/>
              </w:rPr>
              <w:t>13.8</w:t>
            </w:r>
          </w:p>
        </w:tc>
        <w:tc>
          <w:tcPr>
            <w:tcW w:w="507" w:type="pct"/>
            <w:vAlign w:val="bottom"/>
          </w:tcPr>
          <w:p w:rsidR="00F620F0" w:rsidRPr="00682BD4" w:rsidRDefault="00F620F0" w:rsidP="008B63A3">
            <w:pPr>
              <w:pStyle w:val="TableBodyText"/>
              <w:rPr>
                <w:sz w:val="18"/>
                <w:szCs w:val="18"/>
              </w:rPr>
            </w:pPr>
            <w:r w:rsidRPr="00682BD4">
              <w:rPr>
                <w:sz w:val="18"/>
                <w:szCs w:val="18"/>
              </w:rPr>
              <w:t>20.5</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17.9</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16.7</w:t>
            </w:r>
          </w:p>
        </w:tc>
      </w:tr>
      <w:tr w:rsidR="00F620F0" w:rsidRPr="006C5A80" w:rsidTr="008B63A3">
        <w:tc>
          <w:tcPr>
            <w:tcW w:w="1959" w:type="pct"/>
            <w:vAlign w:val="bottom"/>
          </w:tcPr>
          <w:p w:rsidR="00F620F0" w:rsidRPr="00682BD4" w:rsidRDefault="00F620F0" w:rsidP="008B63A3">
            <w:pPr>
              <w:pStyle w:val="TableBodyText"/>
              <w:jc w:val="left"/>
              <w:rPr>
                <w:sz w:val="18"/>
                <w:szCs w:val="18"/>
              </w:rPr>
            </w:pPr>
            <w:r w:rsidRPr="00682BD4">
              <w:rPr>
                <w:sz w:val="18"/>
                <w:szCs w:val="18"/>
              </w:rPr>
              <w:t>Furniture and other manufacturing</w:t>
            </w:r>
          </w:p>
        </w:tc>
        <w:tc>
          <w:tcPr>
            <w:tcW w:w="507" w:type="pct"/>
            <w:vAlign w:val="bottom"/>
          </w:tcPr>
          <w:p w:rsidR="00F620F0" w:rsidRPr="00682BD4" w:rsidRDefault="00F620F0" w:rsidP="008B63A3">
            <w:pPr>
              <w:pStyle w:val="TableBodyText"/>
              <w:rPr>
                <w:sz w:val="18"/>
                <w:szCs w:val="18"/>
              </w:rPr>
            </w:pPr>
            <w:r w:rsidRPr="00682BD4">
              <w:rPr>
                <w:sz w:val="18"/>
                <w:szCs w:val="18"/>
              </w:rPr>
              <w:t>0.1</w:t>
            </w:r>
          </w:p>
        </w:tc>
        <w:tc>
          <w:tcPr>
            <w:tcW w:w="507" w:type="pct"/>
            <w:vAlign w:val="bottom"/>
          </w:tcPr>
          <w:p w:rsidR="00F620F0" w:rsidRPr="00682BD4" w:rsidRDefault="00F620F0" w:rsidP="008B63A3">
            <w:pPr>
              <w:pStyle w:val="TableBodyText"/>
              <w:rPr>
                <w:sz w:val="18"/>
                <w:szCs w:val="18"/>
              </w:rPr>
            </w:pPr>
            <w:r w:rsidRPr="00682BD4">
              <w:rPr>
                <w:sz w:val="18"/>
                <w:szCs w:val="18"/>
              </w:rPr>
              <w:t>0.2</w:t>
            </w:r>
          </w:p>
        </w:tc>
        <w:tc>
          <w:tcPr>
            <w:tcW w:w="507" w:type="pct"/>
            <w:vAlign w:val="bottom"/>
          </w:tcPr>
          <w:p w:rsidR="00F620F0" w:rsidRPr="00682BD4" w:rsidRDefault="00F620F0" w:rsidP="008B63A3">
            <w:pPr>
              <w:pStyle w:val="TableBodyText"/>
              <w:rPr>
                <w:sz w:val="18"/>
                <w:szCs w:val="18"/>
              </w:rPr>
            </w:pPr>
            <w:r w:rsidRPr="00682BD4">
              <w:rPr>
                <w:sz w:val="18"/>
                <w:szCs w:val="18"/>
              </w:rPr>
              <w:t>0.4</w:t>
            </w:r>
          </w:p>
        </w:tc>
        <w:tc>
          <w:tcPr>
            <w:tcW w:w="507" w:type="pct"/>
            <w:vAlign w:val="bottom"/>
          </w:tcPr>
          <w:p w:rsidR="00F620F0" w:rsidRPr="00682BD4" w:rsidRDefault="00F620F0" w:rsidP="008B63A3">
            <w:pPr>
              <w:pStyle w:val="TableBodyText"/>
              <w:rPr>
                <w:sz w:val="18"/>
                <w:szCs w:val="18"/>
              </w:rPr>
            </w:pPr>
            <w:r w:rsidRPr="00682BD4">
              <w:rPr>
                <w:sz w:val="18"/>
                <w:szCs w:val="18"/>
              </w:rPr>
              <w:t>1.4</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1.2</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1.1</w:t>
            </w:r>
          </w:p>
        </w:tc>
      </w:tr>
      <w:tr w:rsidR="00F620F0" w:rsidRPr="006C5A80" w:rsidTr="008B63A3">
        <w:tc>
          <w:tcPr>
            <w:tcW w:w="1959" w:type="pct"/>
            <w:vAlign w:val="bottom"/>
          </w:tcPr>
          <w:p w:rsidR="00F620F0" w:rsidRPr="00682BD4" w:rsidRDefault="00F620F0" w:rsidP="008B63A3">
            <w:pPr>
              <w:pStyle w:val="TableBodyText"/>
              <w:jc w:val="left"/>
              <w:rPr>
                <w:b/>
                <w:sz w:val="18"/>
                <w:szCs w:val="18"/>
              </w:rPr>
            </w:pPr>
            <w:r w:rsidRPr="00682BD4">
              <w:rPr>
                <w:b/>
                <w:sz w:val="18"/>
                <w:szCs w:val="18"/>
              </w:rPr>
              <w:t>Services</w:t>
            </w:r>
          </w:p>
        </w:tc>
        <w:tc>
          <w:tcPr>
            <w:tcW w:w="507" w:type="pct"/>
            <w:vAlign w:val="bottom"/>
          </w:tcPr>
          <w:p w:rsidR="00F620F0" w:rsidRPr="00682BD4" w:rsidRDefault="00F620F0" w:rsidP="008B63A3">
            <w:pPr>
              <w:pStyle w:val="TableBodyText"/>
              <w:rPr>
                <w:b/>
                <w:sz w:val="18"/>
                <w:szCs w:val="18"/>
              </w:rPr>
            </w:pPr>
            <w:r w:rsidRPr="00682BD4">
              <w:rPr>
                <w:b/>
                <w:sz w:val="18"/>
                <w:szCs w:val="18"/>
              </w:rPr>
              <w:t>72.8</w:t>
            </w:r>
          </w:p>
        </w:tc>
        <w:tc>
          <w:tcPr>
            <w:tcW w:w="507" w:type="pct"/>
            <w:vAlign w:val="bottom"/>
          </w:tcPr>
          <w:p w:rsidR="00F620F0" w:rsidRPr="00682BD4" w:rsidRDefault="00F620F0" w:rsidP="008B63A3">
            <w:pPr>
              <w:pStyle w:val="TableBodyText"/>
              <w:rPr>
                <w:b/>
                <w:sz w:val="18"/>
                <w:szCs w:val="18"/>
              </w:rPr>
            </w:pPr>
            <w:r w:rsidRPr="00682BD4">
              <w:rPr>
                <w:b/>
                <w:sz w:val="18"/>
                <w:szCs w:val="18"/>
              </w:rPr>
              <w:t>106.7</w:t>
            </w:r>
          </w:p>
        </w:tc>
        <w:tc>
          <w:tcPr>
            <w:tcW w:w="507" w:type="pct"/>
            <w:vAlign w:val="bottom"/>
          </w:tcPr>
          <w:p w:rsidR="00F620F0" w:rsidRPr="00682BD4" w:rsidRDefault="00F620F0" w:rsidP="008B63A3">
            <w:pPr>
              <w:pStyle w:val="TableBodyText"/>
              <w:rPr>
                <w:b/>
                <w:sz w:val="18"/>
                <w:szCs w:val="18"/>
              </w:rPr>
            </w:pPr>
            <w:r w:rsidRPr="00682BD4">
              <w:rPr>
                <w:b/>
                <w:sz w:val="18"/>
                <w:szCs w:val="18"/>
              </w:rPr>
              <w:t>159.9</w:t>
            </w:r>
          </w:p>
        </w:tc>
        <w:tc>
          <w:tcPr>
            <w:tcW w:w="507" w:type="pct"/>
            <w:vAlign w:val="bottom"/>
          </w:tcPr>
          <w:p w:rsidR="00F620F0" w:rsidRPr="00682BD4" w:rsidRDefault="00F620F0" w:rsidP="008B63A3">
            <w:pPr>
              <w:pStyle w:val="TableBodyText"/>
              <w:rPr>
                <w:b/>
                <w:sz w:val="18"/>
                <w:szCs w:val="18"/>
              </w:rPr>
            </w:pPr>
            <w:r w:rsidRPr="00682BD4">
              <w:rPr>
                <w:b/>
                <w:sz w:val="18"/>
                <w:szCs w:val="18"/>
              </w:rPr>
              <w:t>269.0</w:t>
            </w:r>
          </w:p>
        </w:tc>
        <w:tc>
          <w:tcPr>
            <w:tcW w:w="507" w:type="pct"/>
            <w:shd w:val="clear" w:color="auto" w:fill="auto"/>
            <w:vAlign w:val="bottom"/>
          </w:tcPr>
          <w:p w:rsidR="00F620F0" w:rsidRPr="00682BD4" w:rsidRDefault="00F620F0" w:rsidP="008B63A3">
            <w:pPr>
              <w:pStyle w:val="TableBodyText"/>
              <w:rPr>
                <w:b/>
                <w:sz w:val="18"/>
                <w:szCs w:val="18"/>
              </w:rPr>
            </w:pPr>
            <w:r w:rsidRPr="00682BD4">
              <w:rPr>
                <w:b/>
                <w:sz w:val="18"/>
                <w:szCs w:val="18"/>
              </w:rPr>
              <w:t>233.9</w:t>
            </w:r>
          </w:p>
        </w:tc>
        <w:tc>
          <w:tcPr>
            <w:tcW w:w="507" w:type="pct"/>
            <w:shd w:val="clear" w:color="auto" w:fill="auto"/>
            <w:vAlign w:val="bottom"/>
          </w:tcPr>
          <w:p w:rsidR="00F620F0" w:rsidRPr="00682BD4" w:rsidRDefault="00F620F0" w:rsidP="008B63A3">
            <w:pPr>
              <w:pStyle w:val="TableBodyText"/>
              <w:rPr>
                <w:b/>
                <w:sz w:val="18"/>
                <w:szCs w:val="18"/>
              </w:rPr>
            </w:pPr>
            <w:r w:rsidRPr="00682BD4">
              <w:rPr>
                <w:b/>
                <w:sz w:val="18"/>
                <w:szCs w:val="18"/>
              </w:rPr>
              <w:t>214.9</w:t>
            </w:r>
          </w:p>
        </w:tc>
      </w:tr>
      <w:tr w:rsidR="00F620F0" w:rsidRPr="006C5A80" w:rsidTr="008B63A3">
        <w:tc>
          <w:tcPr>
            <w:tcW w:w="1959" w:type="pct"/>
            <w:vAlign w:val="bottom"/>
          </w:tcPr>
          <w:p w:rsidR="00F620F0" w:rsidRPr="00682BD4" w:rsidRDefault="00F620F0" w:rsidP="008B63A3">
            <w:pPr>
              <w:pStyle w:val="TableBodyText"/>
              <w:jc w:val="left"/>
              <w:rPr>
                <w:sz w:val="18"/>
                <w:szCs w:val="18"/>
              </w:rPr>
            </w:pPr>
            <w:r w:rsidRPr="00682BD4">
              <w:rPr>
                <w:sz w:val="18"/>
                <w:szCs w:val="18"/>
              </w:rPr>
              <w:t>Electricity, gas, water and waste services</w:t>
            </w:r>
          </w:p>
        </w:tc>
        <w:tc>
          <w:tcPr>
            <w:tcW w:w="507" w:type="pct"/>
            <w:vAlign w:val="bottom"/>
          </w:tcPr>
          <w:p w:rsidR="00F620F0" w:rsidRPr="00682BD4" w:rsidRDefault="00F620F0" w:rsidP="008B63A3">
            <w:pPr>
              <w:pStyle w:val="TableBodyText"/>
              <w:rPr>
                <w:sz w:val="18"/>
                <w:szCs w:val="18"/>
              </w:rPr>
            </w:pPr>
            <w:r w:rsidRPr="00682BD4">
              <w:rPr>
                <w:sz w:val="18"/>
                <w:szCs w:val="18"/>
              </w:rPr>
              <w:t>2.0</w:t>
            </w:r>
          </w:p>
        </w:tc>
        <w:tc>
          <w:tcPr>
            <w:tcW w:w="507" w:type="pct"/>
            <w:vAlign w:val="bottom"/>
          </w:tcPr>
          <w:p w:rsidR="00F620F0" w:rsidRPr="00682BD4" w:rsidRDefault="00F620F0" w:rsidP="008B63A3">
            <w:pPr>
              <w:pStyle w:val="TableBodyText"/>
              <w:rPr>
                <w:sz w:val="18"/>
                <w:szCs w:val="18"/>
              </w:rPr>
            </w:pPr>
            <w:r w:rsidRPr="00682BD4">
              <w:rPr>
                <w:sz w:val="18"/>
                <w:szCs w:val="18"/>
              </w:rPr>
              <w:t>6.9</w:t>
            </w:r>
          </w:p>
        </w:tc>
        <w:tc>
          <w:tcPr>
            <w:tcW w:w="507" w:type="pct"/>
            <w:vAlign w:val="bottom"/>
          </w:tcPr>
          <w:p w:rsidR="00F620F0" w:rsidRPr="00682BD4" w:rsidRDefault="00F620F0" w:rsidP="008B63A3">
            <w:pPr>
              <w:pStyle w:val="TableBodyText"/>
              <w:rPr>
                <w:sz w:val="18"/>
                <w:szCs w:val="18"/>
              </w:rPr>
            </w:pPr>
            <w:r w:rsidRPr="00682BD4">
              <w:rPr>
                <w:sz w:val="18"/>
                <w:szCs w:val="18"/>
              </w:rPr>
              <w:t>3.8</w:t>
            </w:r>
          </w:p>
        </w:tc>
        <w:tc>
          <w:tcPr>
            <w:tcW w:w="507" w:type="pct"/>
            <w:vAlign w:val="bottom"/>
          </w:tcPr>
          <w:p w:rsidR="00F620F0" w:rsidRPr="00682BD4" w:rsidRDefault="00F620F0" w:rsidP="008B63A3">
            <w:pPr>
              <w:pStyle w:val="TableBodyText"/>
              <w:rPr>
                <w:sz w:val="18"/>
                <w:szCs w:val="18"/>
              </w:rPr>
            </w:pPr>
            <w:r w:rsidRPr="00682BD4">
              <w:rPr>
                <w:sz w:val="18"/>
                <w:szCs w:val="18"/>
              </w:rPr>
              <w:t>9.7</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8.4</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7.8</w:t>
            </w:r>
          </w:p>
        </w:tc>
      </w:tr>
      <w:tr w:rsidR="00F620F0" w:rsidRPr="006C5A80" w:rsidTr="008B63A3">
        <w:tc>
          <w:tcPr>
            <w:tcW w:w="1959" w:type="pct"/>
            <w:vAlign w:val="bottom"/>
          </w:tcPr>
          <w:p w:rsidR="00F620F0" w:rsidRPr="00682BD4" w:rsidRDefault="00F620F0" w:rsidP="008B63A3">
            <w:pPr>
              <w:pStyle w:val="TableBodyText"/>
              <w:jc w:val="left"/>
              <w:rPr>
                <w:sz w:val="18"/>
                <w:szCs w:val="18"/>
              </w:rPr>
            </w:pPr>
            <w:r w:rsidRPr="00682BD4">
              <w:rPr>
                <w:sz w:val="18"/>
                <w:szCs w:val="18"/>
              </w:rPr>
              <w:t>Construction</w:t>
            </w:r>
          </w:p>
        </w:tc>
        <w:tc>
          <w:tcPr>
            <w:tcW w:w="507" w:type="pct"/>
            <w:vAlign w:val="bottom"/>
          </w:tcPr>
          <w:p w:rsidR="00F620F0" w:rsidRPr="00682BD4" w:rsidRDefault="00F620F0" w:rsidP="008B63A3">
            <w:pPr>
              <w:pStyle w:val="TableBodyText"/>
              <w:rPr>
                <w:sz w:val="18"/>
                <w:szCs w:val="18"/>
              </w:rPr>
            </w:pPr>
            <w:r w:rsidRPr="00682BD4">
              <w:rPr>
                <w:sz w:val="18"/>
                <w:szCs w:val="18"/>
              </w:rPr>
              <w:t>1.4</w:t>
            </w:r>
          </w:p>
        </w:tc>
        <w:tc>
          <w:tcPr>
            <w:tcW w:w="507" w:type="pct"/>
            <w:vAlign w:val="bottom"/>
          </w:tcPr>
          <w:p w:rsidR="00F620F0" w:rsidRPr="00682BD4" w:rsidRDefault="00F620F0" w:rsidP="008B63A3">
            <w:pPr>
              <w:pStyle w:val="TableBodyText"/>
              <w:rPr>
                <w:sz w:val="18"/>
                <w:szCs w:val="18"/>
              </w:rPr>
            </w:pPr>
            <w:r w:rsidRPr="00682BD4">
              <w:rPr>
                <w:sz w:val="18"/>
                <w:szCs w:val="18"/>
              </w:rPr>
              <w:t>4.3</w:t>
            </w:r>
          </w:p>
        </w:tc>
        <w:tc>
          <w:tcPr>
            <w:tcW w:w="507" w:type="pct"/>
            <w:vAlign w:val="bottom"/>
          </w:tcPr>
          <w:p w:rsidR="00F620F0" w:rsidRPr="00682BD4" w:rsidRDefault="00F620F0" w:rsidP="008B63A3">
            <w:pPr>
              <w:pStyle w:val="TableBodyText"/>
              <w:rPr>
                <w:sz w:val="18"/>
                <w:szCs w:val="18"/>
              </w:rPr>
            </w:pPr>
            <w:r w:rsidRPr="00682BD4">
              <w:rPr>
                <w:sz w:val="18"/>
                <w:szCs w:val="18"/>
              </w:rPr>
              <w:t>5.9</w:t>
            </w:r>
          </w:p>
        </w:tc>
        <w:tc>
          <w:tcPr>
            <w:tcW w:w="507" w:type="pct"/>
            <w:vAlign w:val="bottom"/>
          </w:tcPr>
          <w:p w:rsidR="00F620F0" w:rsidRPr="00682BD4" w:rsidRDefault="00F620F0" w:rsidP="008B63A3">
            <w:pPr>
              <w:pStyle w:val="TableBodyText"/>
              <w:rPr>
                <w:sz w:val="18"/>
                <w:szCs w:val="18"/>
              </w:rPr>
            </w:pPr>
            <w:r w:rsidRPr="00682BD4">
              <w:rPr>
                <w:sz w:val="18"/>
                <w:szCs w:val="18"/>
              </w:rPr>
              <w:t>11.5</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10.0</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9.4</w:t>
            </w:r>
          </w:p>
        </w:tc>
      </w:tr>
      <w:tr w:rsidR="00F620F0" w:rsidRPr="006C5A80" w:rsidTr="008B63A3">
        <w:tc>
          <w:tcPr>
            <w:tcW w:w="1959" w:type="pct"/>
            <w:vAlign w:val="bottom"/>
          </w:tcPr>
          <w:p w:rsidR="00F620F0" w:rsidRPr="00682BD4" w:rsidRDefault="00F620F0" w:rsidP="008B63A3">
            <w:pPr>
              <w:pStyle w:val="TableBodyText"/>
              <w:jc w:val="left"/>
              <w:rPr>
                <w:sz w:val="18"/>
                <w:szCs w:val="18"/>
              </w:rPr>
            </w:pPr>
            <w:r w:rsidRPr="00682BD4">
              <w:rPr>
                <w:sz w:val="18"/>
                <w:szCs w:val="18"/>
              </w:rPr>
              <w:t>Wholesale trade</w:t>
            </w:r>
          </w:p>
        </w:tc>
        <w:tc>
          <w:tcPr>
            <w:tcW w:w="507" w:type="pct"/>
            <w:vAlign w:val="bottom"/>
          </w:tcPr>
          <w:p w:rsidR="00F620F0" w:rsidRPr="00682BD4" w:rsidRDefault="00F620F0" w:rsidP="008B63A3">
            <w:pPr>
              <w:pStyle w:val="TableBodyText"/>
              <w:rPr>
                <w:sz w:val="18"/>
                <w:szCs w:val="18"/>
              </w:rPr>
            </w:pPr>
            <w:r w:rsidRPr="00682BD4">
              <w:rPr>
                <w:sz w:val="18"/>
                <w:szCs w:val="18"/>
              </w:rPr>
              <w:t>9.9</w:t>
            </w:r>
          </w:p>
        </w:tc>
        <w:tc>
          <w:tcPr>
            <w:tcW w:w="507" w:type="pct"/>
            <w:vAlign w:val="bottom"/>
          </w:tcPr>
          <w:p w:rsidR="00F620F0" w:rsidRPr="00682BD4" w:rsidRDefault="00F620F0" w:rsidP="008B63A3">
            <w:pPr>
              <w:pStyle w:val="TableBodyText"/>
              <w:rPr>
                <w:sz w:val="18"/>
                <w:szCs w:val="18"/>
              </w:rPr>
            </w:pPr>
            <w:r w:rsidRPr="00682BD4">
              <w:rPr>
                <w:sz w:val="18"/>
                <w:szCs w:val="18"/>
              </w:rPr>
              <w:t>17.0</w:t>
            </w:r>
          </w:p>
        </w:tc>
        <w:tc>
          <w:tcPr>
            <w:tcW w:w="507" w:type="pct"/>
            <w:vAlign w:val="bottom"/>
          </w:tcPr>
          <w:p w:rsidR="00F620F0" w:rsidRPr="00682BD4" w:rsidRDefault="00F620F0" w:rsidP="008B63A3">
            <w:pPr>
              <w:pStyle w:val="TableBodyText"/>
              <w:rPr>
                <w:sz w:val="18"/>
                <w:szCs w:val="18"/>
              </w:rPr>
            </w:pPr>
            <w:r w:rsidRPr="00682BD4">
              <w:rPr>
                <w:sz w:val="18"/>
                <w:szCs w:val="18"/>
              </w:rPr>
              <w:t>27.7</w:t>
            </w:r>
          </w:p>
        </w:tc>
        <w:tc>
          <w:tcPr>
            <w:tcW w:w="507" w:type="pct"/>
            <w:vAlign w:val="bottom"/>
          </w:tcPr>
          <w:p w:rsidR="00F620F0" w:rsidRPr="00682BD4" w:rsidRDefault="00F620F0" w:rsidP="008B63A3">
            <w:pPr>
              <w:pStyle w:val="TableBodyText"/>
              <w:rPr>
                <w:sz w:val="18"/>
                <w:szCs w:val="18"/>
              </w:rPr>
            </w:pPr>
            <w:r w:rsidRPr="00682BD4">
              <w:rPr>
                <w:sz w:val="18"/>
                <w:szCs w:val="18"/>
              </w:rPr>
              <w:t>58.8</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51.1</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47.8</w:t>
            </w:r>
          </w:p>
        </w:tc>
      </w:tr>
      <w:tr w:rsidR="00F620F0" w:rsidRPr="006C5A80" w:rsidTr="008B63A3">
        <w:tc>
          <w:tcPr>
            <w:tcW w:w="1959" w:type="pct"/>
            <w:vAlign w:val="bottom"/>
          </w:tcPr>
          <w:p w:rsidR="00F620F0" w:rsidRPr="00682BD4" w:rsidRDefault="00F620F0" w:rsidP="008B63A3">
            <w:pPr>
              <w:pStyle w:val="TableBodyText"/>
              <w:jc w:val="left"/>
              <w:rPr>
                <w:sz w:val="18"/>
                <w:szCs w:val="18"/>
              </w:rPr>
            </w:pPr>
            <w:r w:rsidRPr="00682BD4">
              <w:rPr>
                <w:sz w:val="18"/>
                <w:szCs w:val="18"/>
              </w:rPr>
              <w:t>Retail trade</w:t>
            </w:r>
          </w:p>
        </w:tc>
        <w:tc>
          <w:tcPr>
            <w:tcW w:w="507" w:type="pct"/>
            <w:vAlign w:val="bottom"/>
          </w:tcPr>
          <w:p w:rsidR="00F620F0" w:rsidRPr="00682BD4" w:rsidRDefault="00F620F0" w:rsidP="008B63A3">
            <w:pPr>
              <w:pStyle w:val="TableBodyText"/>
              <w:rPr>
                <w:sz w:val="18"/>
                <w:szCs w:val="18"/>
              </w:rPr>
            </w:pPr>
            <w:r w:rsidRPr="00682BD4">
              <w:rPr>
                <w:sz w:val="18"/>
                <w:szCs w:val="18"/>
              </w:rPr>
              <w:t>2.4</w:t>
            </w:r>
          </w:p>
        </w:tc>
        <w:tc>
          <w:tcPr>
            <w:tcW w:w="507" w:type="pct"/>
            <w:vAlign w:val="bottom"/>
          </w:tcPr>
          <w:p w:rsidR="00F620F0" w:rsidRPr="00682BD4" w:rsidRDefault="00F620F0" w:rsidP="008B63A3">
            <w:pPr>
              <w:pStyle w:val="TableBodyText"/>
              <w:rPr>
                <w:sz w:val="18"/>
                <w:szCs w:val="18"/>
              </w:rPr>
            </w:pPr>
            <w:r w:rsidRPr="00682BD4">
              <w:rPr>
                <w:sz w:val="18"/>
                <w:szCs w:val="18"/>
              </w:rPr>
              <w:t>1.9</w:t>
            </w:r>
          </w:p>
        </w:tc>
        <w:tc>
          <w:tcPr>
            <w:tcW w:w="507" w:type="pct"/>
            <w:vAlign w:val="bottom"/>
          </w:tcPr>
          <w:p w:rsidR="00F620F0" w:rsidRPr="00682BD4" w:rsidRDefault="00F620F0" w:rsidP="008B63A3">
            <w:pPr>
              <w:pStyle w:val="TableBodyText"/>
              <w:rPr>
                <w:sz w:val="18"/>
                <w:szCs w:val="18"/>
              </w:rPr>
            </w:pPr>
            <w:r w:rsidRPr="00682BD4">
              <w:rPr>
                <w:sz w:val="18"/>
                <w:szCs w:val="18"/>
              </w:rPr>
              <w:t>0.7</w:t>
            </w:r>
          </w:p>
        </w:tc>
        <w:tc>
          <w:tcPr>
            <w:tcW w:w="507" w:type="pct"/>
            <w:vAlign w:val="bottom"/>
          </w:tcPr>
          <w:p w:rsidR="00F620F0" w:rsidRPr="00682BD4" w:rsidRDefault="00F620F0" w:rsidP="008B63A3">
            <w:pPr>
              <w:pStyle w:val="TableBodyText"/>
              <w:rPr>
                <w:sz w:val="18"/>
                <w:szCs w:val="18"/>
              </w:rPr>
            </w:pPr>
            <w:r w:rsidRPr="00682BD4">
              <w:rPr>
                <w:sz w:val="18"/>
                <w:szCs w:val="18"/>
              </w:rPr>
              <w:t>1.7</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1.5</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1.4</w:t>
            </w:r>
          </w:p>
        </w:tc>
      </w:tr>
      <w:tr w:rsidR="00F620F0" w:rsidRPr="006C5A80" w:rsidTr="008B63A3">
        <w:tc>
          <w:tcPr>
            <w:tcW w:w="1959" w:type="pct"/>
            <w:vAlign w:val="bottom"/>
          </w:tcPr>
          <w:p w:rsidR="00F620F0" w:rsidRPr="00682BD4" w:rsidRDefault="00F620F0" w:rsidP="008B63A3">
            <w:pPr>
              <w:pStyle w:val="TableBodyText"/>
              <w:jc w:val="left"/>
              <w:rPr>
                <w:sz w:val="18"/>
                <w:szCs w:val="18"/>
              </w:rPr>
            </w:pPr>
            <w:r w:rsidRPr="00682BD4">
              <w:rPr>
                <w:sz w:val="18"/>
                <w:szCs w:val="18"/>
              </w:rPr>
              <w:t>Transport, postal and warehousing</w:t>
            </w:r>
          </w:p>
        </w:tc>
        <w:tc>
          <w:tcPr>
            <w:tcW w:w="507" w:type="pct"/>
            <w:vAlign w:val="bottom"/>
          </w:tcPr>
          <w:p w:rsidR="00F620F0" w:rsidRPr="00682BD4" w:rsidRDefault="00F620F0" w:rsidP="008B63A3">
            <w:pPr>
              <w:pStyle w:val="TableBodyText"/>
              <w:rPr>
                <w:sz w:val="18"/>
                <w:szCs w:val="18"/>
              </w:rPr>
            </w:pPr>
            <w:r w:rsidRPr="00682BD4">
              <w:rPr>
                <w:sz w:val="18"/>
                <w:szCs w:val="18"/>
              </w:rPr>
              <w:t>4.8</w:t>
            </w:r>
          </w:p>
        </w:tc>
        <w:tc>
          <w:tcPr>
            <w:tcW w:w="507" w:type="pct"/>
            <w:vAlign w:val="bottom"/>
          </w:tcPr>
          <w:p w:rsidR="00F620F0" w:rsidRPr="00682BD4" w:rsidRDefault="00F620F0" w:rsidP="008B63A3">
            <w:pPr>
              <w:pStyle w:val="TableBodyText"/>
              <w:rPr>
                <w:sz w:val="18"/>
                <w:szCs w:val="18"/>
              </w:rPr>
            </w:pPr>
            <w:r w:rsidRPr="00682BD4">
              <w:rPr>
                <w:sz w:val="18"/>
                <w:szCs w:val="18"/>
              </w:rPr>
              <w:t>4.8</w:t>
            </w:r>
          </w:p>
        </w:tc>
        <w:tc>
          <w:tcPr>
            <w:tcW w:w="507" w:type="pct"/>
            <w:vAlign w:val="bottom"/>
          </w:tcPr>
          <w:p w:rsidR="00F620F0" w:rsidRPr="00682BD4" w:rsidRDefault="00F620F0" w:rsidP="008B63A3">
            <w:pPr>
              <w:pStyle w:val="TableBodyText"/>
              <w:rPr>
                <w:sz w:val="18"/>
                <w:szCs w:val="18"/>
              </w:rPr>
            </w:pPr>
            <w:r w:rsidRPr="00682BD4">
              <w:rPr>
                <w:sz w:val="18"/>
                <w:szCs w:val="18"/>
              </w:rPr>
              <w:t>6.2</w:t>
            </w:r>
          </w:p>
        </w:tc>
        <w:tc>
          <w:tcPr>
            <w:tcW w:w="507" w:type="pct"/>
            <w:vAlign w:val="bottom"/>
          </w:tcPr>
          <w:p w:rsidR="00F620F0" w:rsidRPr="00682BD4" w:rsidRDefault="00F620F0" w:rsidP="008B63A3">
            <w:pPr>
              <w:pStyle w:val="TableBodyText"/>
              <w:rPr>
                <w:sz w:val="18"/>
                <w:szCs w:val="18"/>
              </w:rPr>
            </w:pPr>
            <w:r w:rsidRPr="00682BD4">
              <w:rPr>
                <w:sz w:val="18"/>
                <w:szCs w:val="18"/>
              </w:rPr>
              <w:t>14.1</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12.2</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11.4</w:t>
            </w:r>
          </w:p>
        </w:tc>
      </w:tr>
      <w:tr w:rsidR="00F620F0" w:rsidRPr="006C5A80" w:rsidTr="008B63A3">
        <w:tc>
          <w:tcPr>
            <w:tcW w:w="1959" w:type="pct"/>
            <w:vAlign w:val="bottom"/>
          </w:tcPr>
          <w:p w:rsidR="00F620F0" w:rsidRPr="00682BD4" w:rsidRDefault="00F620F0" w:rsidP="008B63A3">
            <w:pPr>
              <w:pStyle w:val="TableBodyText"/>
              <w:jc w:val="left"/>
              <w:rPr>
                <w:sz w:val="18"/>
                <w:szCs w:val="18"/>
              </w:rPr>
            </w:pPr>
            <w:r w:rsidRPr="00682BD4">
              <w:rPr>
                <w:sz w:val="18"/>
                <w:szCs w:val="18"/>
              </w:rPr>
              <w:t>Information, media and telecommunications</w:t>
            </w:r>
          </w:p>
        </w:tc>
        <w:tc>
          <w:tcPr>
            <w:tcW w:w="507" w:type="pct"/>
            <w:vAlign w:val="bottom"/>
          </w:tcPr>
          <w:p w:rsidR="00F620F0" w:rsidRPr="00682BD4" w:rsidRDefault="00F620F0" w:rsidP="008B63A3">
            <w:pPr>
              <w:pStyle w:val="TableBodyText"/>
              <w:rPr>
                <w:sz w:val="18"/>
                <w:szCs w:val="18"/>
              </w:rPr>
            </w:pPr>
            <w:r w:rsidRPr="00682BD4">
              <w:rPr>
                <w:sz w:val="18"/>
                <w:szCs w:val="18"/>
              </w:rPr>
              <w:t>2.0</w:t>
            </w:r>
          </w:p>
        </w:tc>
        <w:tc>
          <w:tcPr>
            <w:tcW w:w="507" w:type="pct"/>
            <w:vAlign w:val="bottom"/>
          </w:tcPr>
          <w:p w:rsidR="00F620F0" w:rsidRPr="00682BD4" w:rsidRDefault="00F620F0" w:rsidP="008B63A3">
            <w:pPr>
              <w:pStyle w:val="TableBodyText"/>
              <w:rPr>
                <w:sz w:val="18"/>
                <w:szCs w:val="18"/>
              </w:rPr>
            </w:pPr>
            <w:r w:rsidRPr="00682BD4">
              <w:rPr>
                <w:sz w:val="18"/>
                <w:szCs w:val="18"/>
              </w:rPr>
              <w:t>1.9</w:t>
            </w:r>
          </w:p>
        </w:tc>
        <w:tc>
          <w:tcPr>
            <w:tcW w:w="507" w:type="pct"/>
            <w:vAlign w:val="bottom"/>
          </w:tcPr>
          <w:p w:rsidR="00F620F0" w:rsidRPr="00682BD4" w:rsidRDefault="00F620F0" w:rsidP="008B63A3">
            <w:pPr>
              <w:pStyle w:val="TableBodyText"/>
              <w:rPr>
                <w:sz w:val="18"/>
                <w:szCs w:val="18"/>
              </w:rPr>
            </w:pPr>
            <w:r w:rsidRPr="00682BD4">
              <w:rPr>
                <w:sz w:val="18"/>
                <w:szCs w:val="18"/>
              </w:rPr>
              <w:t>2.2</w:t>
            </w:r>
          </w:p>
        </w:tc>
        <w:tc>
          <w:tcPr>
            <w:tcW w:w="507" w:type="pct"/>
            <w:vAlign w:val="bottom"/>
          </w:tcPr>
          <w:p w:rsidR="00F620F0" w:rsidRPr="00682BD4" w:rsidRDefault="00F620F0" w:rsidP="008B63A3">
            <w:pPr>
              <w:pStyle w:val="TableBodyText"/>
              <w:rPr>
                <w:sz w:val="18"/>
                <w:szCs w:val="18"/>
              </w:rPr>
            </w:pPr>
            <w:r w:rsidRPr="00682BD4">
              <w:rPr>
                <w:sz w:val="18"/>
                <w:szCs w:val="18"/>
              </w:rPr>
              <w:t>5.7</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5.0</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4.6</w:t>
            </w:r>
          </w:p>
        </w:tc>
      </w:tr>
      <w:tr w:rsidR="00F620F0" w:rsidRPr="006C5A80" w:rsidTr="008B63A3">
        <w:tc>
          <w:tcPr>
            <w:tcW w:w="1959" w:type="pct"/>
            <w:vAlign w:val="bottom"/>
          </w:tcPr>
          <w:p w:rsidR="00F620F0" w:rsidRPr="00682BD4" w:rsidRDefault="00F620F0" w:rsidP="008B63A3">
            <w:pPr>
              <w:pStyle w:val="TableBodyText"/>
              <w:jc w:val="left"/>
              <w:rPr>
                <w:sz w:val="18"/>
                <w:szCs w:val="18"/>
              </w:rPr>
            </w:pPr>
            <w:r w:rsidRPr="00682BD4">
              <w:rPr>
                <w:sz w:val="18"/>
                <w:szCs w:val="18"/>
              </w:rPr>
              <w:t>Financial and insurance services</w:t>
            </w:r>
          </w:p>
        </w:tc>
        <w:tc>
          <w:tcPr>
            <w:tcW w:w="507" w:type="pct"/>
            <w:vAlign w:val="bottom"/>
          </w:tcPr>
          <w:p w:rsidR="00F620F0" w:rsidRPr="00682BD4" w:rsidRDefault="00F620F0" w:rsidP="008B63A3">
            <w:pPr>
              <w:pStyle w:val="TableBodyText"/>
              <w:rPr>
                <w:sz w:val="18"/>
                <w:szCs w:val="18"/>
              </w:rPr>
            </w:pPr>
            <w:r w:rsidRPr="00682BD4">
              <w:rPr>
                <w:sz w:val="18"/>
                <w:szCs w:val="18"/>
              </w:rPr>
              <w:t>19.7</w:t>
            </w:r>
          </w:p>
        </w:tc>
        <w:tc>
          <w:tcPr>
            <w:tcW w:w="507" w:type="pct"/>
            <w:vAlign w:val="bottom"/>
          </w:tcPr>
          <w:p w:rsidR="00F620F0" w:rsidRPr="00682BD4" w:rsidRDefault="00F620F0" w:rsidP="008B63A3">
            <w:pPr>
              <w:pStyle w:val="TableBodyText"/>
              <w:rPr>
                <w:sz w:val="18"/>
                <w:szCs w:val="18"/>
              </w:rPr>
            </w:pPr>
            <w:r w:rsidRPr="00682BD4">
              <w:rPr>
                <w:sz w:val="18"/>
                <w:szCs w:val="18"/>
              </w:rPr>
              <w:t>28.1</w:t>
            </w:r>
          </w:p>
        </w:tc>
        <w:tc>
          <w:tcPr>
            <w:tcW w:w="507" w:type="pct"/>
            <w:vAlign w:val="bottom"/>
          </w:tcPr>
          <w:p w:rsidR="00F620F0" w:rsidRPr="00682BD4" w:rsidRDefault="00F620F0" w:rsidP="008B63A3">
            <w:pPr>
              <w:pStyle w:val="TableBodyText"/>
              <w:rPr>
                <w:sz w:val="18"/>
                <w:szCs w:val="18"/>
              </w:rPr>
            </w:pPr>
            <w:r w:rsidRPr="00682BD4">
              <w:rPr>
                <w:sz w:val="18"/>
                <w:szCs w:val="18"/>
              </w:rPr>
              <w:t>68.1</w:t>
            </w:r>
          </w:p>
        </w:tc>
        <w:tc>
          <w:tcPr>
            <w:tcW w:w="507" w:type="pct"/>
            <w:vAlign w:val="bottom"/>
          </w:tcPr>
          <w:p w:rsidR="00F620F0" w:rsidRPr="00682BD4" w:rsidRDefault="00F620F0" w:rsidP="008B63A3">
            <w:pPr>
              <w:pStyle w:val="TableBodyText"/>
              <w:rPr>
                <w:sz w:val="18"/>
                <w:szCs w:val="18"/>
              </w:rPr>
            </w:pPr>
            <w:r w:rsidRPr="00682BD4">
              <w:rPr>
                <w:sz w:val="18"/>
                <w:szCs w:val="18"/>
              </w:rPr>
              <w:t>74.5</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64.8</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56.9</w:t>
            </w:r>
          </w:p>
        </w:tc>
      </w:tr>
      <w:tr w:rsidR="00F620F0" w:rsidRPr="006C5A80" w:rsidTr="008B63A3">
        <w:tc>
          <w:tcPr>
            <w:tcW w:w="1959" w:type="pct"/>
            <w:vAlign w:val="bottom"/>
          </w:tcPr>
          <w:p w:rsidR="00F620F0" w:rsidRPr="00682BD4" w:rsidRDefault="00F620F0" w:rsidP="008B63A3">
            <w:pPr>
              <w:pStyle w:val="TableBodyText"/>
              <w:jc w:val="left"/>
              <w:rPr>
                <w:sz w:val="18"/>
                <w:szCs w:val="18"/>
              </w:rPr>
            </w:pPr>
            <w:r w:rsidRPr="00682BD4">
              <w:rPr>
                <w:sz w:val="18"/>
                <w:szCs w:val="18"/>
              </w:rPr>
              <w:t>Property, professional and administrative services</w:t>
            </w:r>
          </w:p>
        </w:tc>
        <w:tc>
          <w:tcPr>
            <w:tcW w:w="507" w:type="pct"/>
            <w:vAlign w:val="bottom"/>
          </w:tcPr>
          <w:p w:rsidR="00F620F0" w:rsidRPr="00682BD4" w:rsidRDefault="00F620F0" w:rsidP="008B63A3">
            <w:pPr>
              <w:pStyle w:val="TableBodyText"/>
              <w:rPr>
                <w:sz w:val="18"/>
                <w:szCs w:val="18"/>
              </w:rPr>
            </w:pPr>
            <w:r w:rsidRPr="00682BD4">
              <w:rPr>
                <w:sz w:val="18"/>
                <w:szCs w:val="18"/>
              </w:rPr>
              <w:t>29.1</w:t>
            </w:r>
          </w:p>
        </w:tc>
        <w:tc>
          <w:tcPr>
            <w:tcW w:w="507" w:type="pct"/>
            <w:vAlign w:val="bottom"/>
          </w:tcPr>
          <w:p w:rsidR="00F620F0" w:rsidRPr="00682BD4" w:rsidRDefault="00F620F0" w:rsidP="008B63A3">
            <w:pPr>
              <w:pStyle w:val="TableBodyText"/>
              <w:rPr>
                <w:sz w:val="18"/>
                <w:szCs w:val="18"/>
              </w:rPr>
            </w:pPr>
            <w:r w:rsidRPr="00682BD4">
              <w:rPr>
                <w:sz w:val="18"/>
                <w:szCs w:val="18"/>
              </w:rPr>
              <w:t>38.9</w:t>
            </w:r>
          </w:p>
        </w:tc>
        <w:tc>
          <w:tcPr>
            <w:tcW w:w="507" w:type="pct"/>
            <w:vAlign w:val="bottom"/>
          </w:tcPr>
          <w:p w:rsidR="00F620F0" w:rsidRPr="00682BD4" w:rsidRDefault="00F620F0" w:rsidP="008B63A3">
            <w:pPr>
              <w:pStyle w:val="TableBodyText"/>
              <w:rPr>
                <w:sz w:val="18"/>
                <w:szCs w:val="18"/>
              </w:rPr>
            </w:pPr>
            <w:r w:rsidRPr="00682BD4">
              <w:rPr>
                <w:sz w:val="18"/>
                <w:szCs w:val="18"/>
              </w:rPr>
              <w:t>43.3</w:t>
            </w:r>
          </w:p>
        </w:tc>
        <w:tc>
          <w:tcPr>
            <w:tcW w:w="507" w:type="pct"/>
            <w:vAlign w:val="bottom"/>
          </w:tcPr>
          <w:p w:rsidR="00F620F0" w:rsidRPr="00682BD4" w:rsidRDefault="00F620F0" w:rsidP="008B63A3">
            <w:pPr>
              <w:pStyle w:val="TableBodyText"/>
              <w:rPr>
                <w:sz w:val="18"/>
                <w:szCs w:val="18"/>
              </w:rPr>
            </w:pPr>
            <w:r w:rsidRPr="00682BD4">
              <w:rPr>
                <w:sz w:val="18"/>
                <w:szCs w:val="18"/>
              </w:rPr>
              <w:t>88.5</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76.9</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72.3</w:t>
            </w:r>
          </w:p>
        </w:tc>
      </w:tr>
      <w:tr w:rsidR="00F620F0" w:rsidRPr="006C5A80" w:rsidTr="008B63A3">
        <w:tc>
          <w:tcPr>
            <w:tcW w:w="1959" w:type="pct"/>
            <w:vAlign w:val="bottom"/>
          </w:tcPr>
          <w:p w:rsidR="00F620F0" w:rsidRPr="00682BD4" w:rsidRDefault="00F620F0" w:rsidP="008B63A3">
            <w:pPr>
              <w:pStyle w:val="TableBodyText"/>
              <w:jc w:val="left"/>
              <w:rPr>
                <w:sz w:val="18"/>
                <w:szCs w:val="18"/>
              </w:rPr>
            </w:pPr>
            <w:r w:rsidRPr="00682BD4">
              <w:rPr>
                <w:sz w:val="18"/>
                <w:szCs w:val="18"/>
              </w:rPr>
              <w:t>Public administration and safety</w:t>
            </w:r>
          </w:p>
        </w:tc>
        <w:tc>
          <w:tcPr>
            <w:tcW w:w="507" w:type="pct"/>
            <w:vAlign w:val="bottom"/>
          </w:tcPr>
          <w:p w:rsidR="00F620F0" w:rsidRPr="00682BD4" w:rsidRDefault="00F620F0" w:rsidP="008B63A3">
            <w:pPr>
              <w:pStyle w:val="TableBodyText"/>
              <w:rPr>
                <w:sz w:val="18"/>
                <w:szCs w:val="18"/>
              </w:rPr>
            </w:pPr>
            <w:r>
              <w:rPr>
                <w:sz w:val="18"/>
                <w:szCs w:val="18"/>
              </w:rPr>
              <w:noBreakHyphen/>
            </w:r>
          </w:p>
        </w:tc>
        <w:tc>
          <w:tcPr>
            <w:tcW w:w="507" w:type="pct"/>
            <w:vAlign w:val="bottom"/>
          </w:tcPr>
          <w:p w:rsidR="00F620F0" w:rsidRPr="00682BD4" w:rsidRDefault="00F620F0" w:rsidP="008B63A3">
            <w:pPr>
              <w:pStyle w:val="TableBodyText"/>
              <w:rPr>
                <w:sz w:val="18"/>
                <w:szCs w:val="18"/>
              </w:rPr>
            </w:pPr>
            <w:r>
              <w:rPr>
                <w:sz w:val="18"/>
                <w:szCs w:val="18"/>
              </w:rPr>
              <w:noBreakHyphen/>
            </w:r>
          </w:p>
        </w:tc>
        <w:tc>
          <w:tcPr>
            <w:tcW w:w="507" w:type="pct"/>
            <w:vAlign w:val="bottom"/>
          </w:tcPr>
          <w:p w:rsidR="00F620F0" w:rsidRPr="00682BD4" w:rsidRDefault="00F620F0" w:rsidP="008B63A3">
            <w:pPr>
              <w:pStyle w:val="TableBodyText"/>
              <w:rPr>
                <w:sz w:val="18"/>
                <w:szCs w:val="18"/>
              </w:rPr>
            </w:pPr>
            <w:r>
              <w:rPr>
                <w:sz w:val="18"/>
                <w:szCs w:val="18"/>
              </w:rPr>
              <w:noBreakHyphen/>
            </w:r>
          </w:p>
        </w:tc>
        <w:tc>
          <w:tcPr>
            <w:tcW w:w="507" w:type="pct"/>
            <w:vAlign w:val="bottom"/>
          </w:tcPr>
          <w:p w:rsidR="00F620F0" w:rsidRPr="00682BD4" w:rsidRDefault="00F620F0" w:rsidP="008B63A3">
            <w:pPr>
              <w:pStyle w:val="TableBodyText"/>
              <w:rPr>
                <w:sz w:val="18"/>
                <w:szCs w:val="18"/>
              </w:rPr>
            </w:pPr>
            <w:r w:rsidRPr="00682BD4">
              <w:rPr>
                <w:sz w:val="18"/>
                <w:szCs w:val="18"/>
              </w:rPr>
              <w:t>0.5</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0.5</w:t>
            </w:r>
          </w:p>
        </w:tc>
        <w:tc>
          <w:tcPr>
            <w:tcW w:w="507" w:type="pct"/>
            <w:shd w:val="clear" w:color="auto" w:fill="auto"/>
            <w:vAlign w:val="bottom"/>
          </w:tcPr>
          <w:p w:rsidR="00F620F0" w:rsidRPr="00682BD4" w:rsidRDefault="00F620F0" w:rsidP="008B63A3">
            <w:pPr>
              <w:pStyle w:val="TableBodyText"/>
              <w:rPr>
                <w:sz w:val="18"/>
                <w:szCs w:val="18"/>
              </w:rPr>
            </w:pPr>
            <w:r>
              <w:rPr>
                <w:sz w:val="18"/>
                <w:szCs w:val="18"/>
              </w:rPr>
              <w:noBreakHyphen/>
            </w:r>
          </w:p>
        </w:tc>
      </w:tr>
      <w:tr w:rsidR="00F620F0" w:rsidRPr="006C5A80" w:rsidTr="008B63A3">
        <w:tc>
          <w:tcPr>
            <w:tcW w:w="1959" w:type="pct"/>
            <w:vAlign w:val="bottom"/>
          </w:tcPr>
          <w:p w:rsidR="00F620F0" w:rsidRPr="00682BD4" w:rsidRDefault="00F620F0" w:rsidP="008B63A3">
            <w:pPr>
              <w:pStyle w:val="TableBodyText"/>
              <w:jc w:val="left"/>
              <w:rPr>
                <w:sz w:val="18"/>
                <w:szCs w:val="18"/>
              </w:rPr>
            </w:pPr>
            <w:r w:rsidRPr="00682BD4">
              <w:rPr>
                <w:sz w:val="18"/>
                <w:szCs w:val="18"/>
              </w:rPr>
              <w:t>Education and training</w:t>
            </w:r>
          </w:p>
        </w:tc>
        <w:tc>
          <w:tcPr>
            <w:tcW w:w="507" w:type="pct"/>
            <w:vAlign w:val="bottom"/>
          </w:tcPr>
          <w:p w:rsidR="00F620F0" w:rsidRPr="00682BD4" w:rsidRDefault="00F620F0" w:rsidP="008B63A3">
            <w:pPr>
              <w:pStyle w:val="TableBodyText"/>
              <w:rPr>
                <w:sz w:val="18"/>
                <w:szCs w:val="18"/>
              </w:rPr>
            </w:pPr>
            <w:r>
              <w:rPr>
                <w:sz w:val="18"/>
                <w:szCs w:val="18"/>
              </w:rPr>
              <w:t>&lt;</w:t>
            </w:r>
            <w:r w:rsidRPr="00682BD4">
              <w:rPr>
                <w:sz w:val="18"/>
                <w:szCs w:val="18"/>
              </w:rPr>
              <w:t>0.1</w:t>
            </w:r>
          </w:p>
        </w:tc>
        <w:tc>
          <w:tcPr>
            <w:tcW w:w="507" w:type="pct"/>
            <w:vAlign w:val="bottom"/>
          </w:tcPr>
          <w:p w:rsidR="00F620F0" w:rsidRPr="00682BD4" w:rsidRDefault="00F620F0" w:rsidP="008B63A3">
            <w:pPr>
              <w:pStyle w:val="TableBodyText"/>
              <w:rPr>
                <w:sz w:val="18"/>
                <w:szCs w:val="18"/>
              </w:rPr>
            </w:pPr>
            <w:r w:rsidRPr="00682BD4">
              <w:rPr>
                <w:sz w:val="18"/>
                <w:szCs w:val="18"/>
              </w:rPr>
              <w:t>0.5</w:t>
            </w:r>
          </w:p>
        </w:tc>
        <w:tc>
          <w:tcPr>
            <w:tcW w:w="507" w:type="pct"/>
            <w:vAlign w:val="bottom"/>
          </w:tcPr>
          <w:p w:rsidR="00F620F0" w:rsidRPr="00682BD4" w:rsidRDefault="00F620F0" w:rsidP="008B63A3">
            <w:pPr>
              <w:pStyle w:val="TableBodyText"/>
              <w:rPr>
                <w:sz w:val="18"/>
                <w:szCs w:val="18"/>
              </w:rPr>
            </w:pPr>
            <w:r>
              <w:rPr>
                <w:sz w:val="18"/>
                <w:szCs w:val="18"/>
              </w:rPr>
              <w:t>&lt;</w:t>
            </w:r>
            <w:r w:rsidRPr="00682BD4">
              <w:rPr>
                <w:sz w:val="18"/>
                <w:szCs w:val="18"/>
              </w:rPr>
              <w:t>0.1</w:t>
            </w:r>
          </w:p>
        </w:tc>
        <w:tc>
          <w:tcPr>
            <w:tcW w:w="507" w:type="pct"/>
            <w:vAlign w:val="bottom"/>
          </w:tcPr>
          <w:p w:rsidR="00F620F0" w:rsidRPr="00682BD4" w:rsidRDefault="00F620F0" w:rsidP="008B63A3">
            <w:pPr>
              <w:pStyle w:val="TableBodyText"/>
              <w:rPr>
                <w:sz w:val="18"/>
                <w:szCs w:val="18"/>
              </w:rPr>
            </w:pPr>
            <w:r w:rsidRPr="00682BD4">
              <w:rPr>
                <w:sz w:val="18"/>
                <w:szCs w:val="18"/>
              </w:rPr>
              <w:t>0.2</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0.1</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0.1</w:t>
            </w:r>
          </w:p>
        </w:tc>
      </w:tr>
      <w:tr w:rsidR="00F620F0" w:rsidRPr="006C5A80" w:rsidTr="008B63A3">
        <w:tc>
          <w:tcPr>
            <w:tcW w:w="1959" w:type="pct"/>
            <w:vAlign w:val="bottom"/>
          </w:tcPr>
          <w:p w:rsidR="00F620F0" w:rsidRPr="00682BD4" w:rsidRDefault="00F620F0" w:rsidP="008B63A3">
            <w:pPr>
              <w:pStyle w:val="TableBodyText"/>
              <w:jc w:val="left"/>
              <w:rPr>
                <w:sz w:val="18"/>
                <w:szCs w:val="18"/>
              </w:rPr>
            </w:pPr>
            <w:r w:rsidRPr="00682BD4">
              <w:rPr>
                <w:sz w:val="18"/>
                <w:szCs w:val="18"/>
              </w:rPr>
              <w:t>Health care and social assistance</w:t>
            </w:r>
          </w:p>
        </w:tc>
        <w:tc>
          <w:tcPr>
            <w:tcW w:w="507" w:type="pct"/>
            <w:vAlign w:val="bottom"/>
          </w:tcPr>
          <w:p w:rsidR="00F620F0" w:rsidRPr="00682BD4" w:rsidRDefault="00F620F0" w:rsidP="008B63A3">
            <w:pPr>
              <w:pStyle w:val="TableBodyText"/>
              <w:rPr>
                <w:sz w:val="18"/>
                <w:szCs w:val="18"/>
              </w:rPr>
            </w:pPr>
            <w:r w:rsidRPr="00682BD4">
              <w:rPr>
                <w:sz w:val="18"/>
                <w:szCs w:val="18"/>
              </w:rPr>
              <w:t>0.5</w:t>
            </w:r>
          </w:p>
        </w:tc>
        <w:tc>
          <w:tcPr>
            <w:tcW w:w="507" w:type="pct"/>
            <w:vAlign w:val="bottom"/>
          </w:tcPr>
          <w:p w:rsidR="00F620F0" w:rsidRPr="00682BD4" w:rsidRDefault="00F620F0" w:rsidP="008B63A3">
            <w:pPr>
              <w:pStyle w:val="TableBodyText"/>
              <w:rPr>
                <w:sz w:val="18"/>
                <w:szCs w:val="18"/>
              </w:rPr>
            </w:pPr>
            <w:r w:rsidRPr="00682BD4">
              <w:rPr>
                <w:sz w:val="18"/>
                <w:szCs w:val="18"/>
              </w:rPr>
              <w:t>0.5</w:t>
            </w:r>
          </w:p>
        </w:tc>
        <w:tc>
          <w:tcPr>
            <w:tcW w:w="507" w:type="pct"/>
            <w:vAlign w:val="bottom"/>
          </w:tcPr>
          <w:p w:rsidR="00F620F0" w:rsidRPr="00682BD4" w:rsidRDefault="00F620F0" w:rsidP="008B63A3">
            <w:pPr>
              <w:pStyle w:val="TableBodyText"/>
              <w:rPr>
                <w:sz w:val="18"/>
                <w:szCs w:val="18"/>
              </w:rPr>
            </w:pPr>
            <w:r w:rsidRPr="00682BD4">
              <w:rPr>
                <w:sz w:val="18"/>
                <w:szCs w:val="18"/>
              </w:rPr>
              <w:t>0.6</w:t>
            </w:r>
          </w:p>
        </w:tc>
        <w:tc>
          <w:tcPr>
            <w:tcW w:w="507" w:type="pct"/>
            <w:vAlign w:val="bottom"/>
          </w:tcPr>
          <w:p w:rsidR="00F620F0" w:rsidRPr="00682BD4" w:rsidRDefault="00F620F0" w:rsidP="008B63A3">
            <w:pPr>
              <w:pStyle w:val="TableBodyText"/>
              <w:rPr>
                <w:sz w:val="18"/>
                <w:szCs w:val="18"/>
              </w:rPr>
            </w:pPr>
            <w:r w:rsidRPr="00682BD4">
              <w:rPr>
                <w:sz w:val="18"/>
                <w:szCs w:val="18"/>
              </w:rPr>
              <w:t>1.5</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1.3</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1.2</w:t>
            </w:r>
          </w:p>
        </w:tc>
      </w:tr>
      <w:tr w:rsidR="00F620F0" w:rsidRPr="006C5A80" w:rsidTr="008B63A3">
        <w:tc>
          <w:tcPr>
            <w:tcW w:w="1959" w:type="pct"/>
            <w:vAlign w:val="bottom"/>
          </w:tcPr>
          <w:p w:rsidR="00F620F0" w:rsidRPr="00682BD4" w:rsidRDefault="00F620F0" w:rsidP="008B63A3">
            <w:pPr>
              <w:pStyle w:val="TableBodyText"/>
              <w:jc w:val="left"/>
              <w:rPr>
                <w:sz w:val="18"/>
                <w:szCs w:val="18"/>
              </w:rPr>
            </w:pPr>
            <w:r w:rsidRPr="00682BD4">
              <w:rPr>
                <w:sz w:val="18"/>
                <w:szCs w:val="18"/>
              </w:rPr>
              <w:t>Arts and recreation services</w:t>
            </w:r>
          </w:p>
        </w:tc>
        <w:tc>
          <w:tcPr>
            <w:tcW w:w="507" w:type="pct"/>
            <w:vAlign w:val="bottom"/>
          </w:tcPr>
          <w:p w:rsidR="00F620F0" w:rsidRPr="00682BD4" w:rsidRDefault="00F620F0" w:rsidP="008B63A3">
            <w:pPr>
              <w:pStyle w:val="TableBodyText"/>
              <w:rPr>
                <w:sz w:val="18"/>
                <w:szCs w:val="18"/>
              </w:rPr>
            </w:pPr>
            <w:r>
              <w:rPr>
                <w:sz w:val="18"/>
                <w:szCs w:val="18"/>
              </w:rPr>
              <w:noBreakHyphen/>
            </w:r>
          </w:p>
        </w:tc>
        <w:tc>
          <w:tcPr>
            <w:tcW w:w="507" w:type="pct"/>
            <w:vAlign w:val="bottom"/>
          </w:tcPr>
          <w:p w:rsidR="00F620F0" w:rsidRPr="00682BD4" w:rsidRDefault="00F620F0" w:rsidP="008B63A3">
            <w:pPr>
              <w:pStyle w:val="TableBodyText"/>
              <w:rPr>
                <w:sz w:val="18"/>
                <w:szCs w:val="18"/>
              </w:rPr>
            </w:pPr>
            <w:r>
              <w:rPr>
                <w:sz w:val="18"/>
                <w:szCs w:val="18"/>
              </w:rPr>
              <w:noBreakHyphen/>
            </w:r>
          </w:p>
        </w:tc>
        <w:tc>
          <w:tcPr>
            <w:tcW w:w="507" w:type="pct"/>
            <w:vAlign w:val="bottom"/>
          </w:tcPr>
          <w:p w:rsidR="00F620F0" w:rsidRPr="00682BD4" w:rsidRDefault="00F620F0" w:rsidP="008B63A3">
            <w:pPr>
              <w:pStyle w:val="TableBodyText"/>
              <w:rPr>
                <w:sz w:val="18"/>
                <w:szCs w:val="18"/>
              </w:rPr>
            </w:pPr>
            <w:r>
              <w:rPr>
                <w:sz w:val="18"/>
                <w:szCs w:val="18"/>
              </w:rPr>
              <w:noBreakHyphen/>
            </w:r>
          </w:p>
        </w:tc>
        <w:tc>
          <w:tcPr>
            <w:tcW w:w="507" w:type="pct"/>
            <w:vAlign w:val="bottom"/>
          </w:tcPr>
          <w:p w:rsidR="00F620F0" w:rsidRPr="00682BD4" w:rsidRDefault="00F620F0" w:rsidP="008B63A3">
            <w:pPr>
              <w:pStyle w:val="TableBodyText"/>
              <w:rPr>
                <w:sz w:val="18"/>
                <w:szCs w:val="18"/>
              </w:rPr>
            </w:pPr>
            <w:r w:rsidRPr="00682BD4">
              <w:rPr>
                <w:sz w:val="18"/>
                <w:szCs w:val="18"/>
              </w:rPr>
              <w:t>0.7</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0.6</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0.5</w:t>
            </w:r>
          </w:p>
        </w:tc>
      </w:tr>
      <w:tr w:rsidR="00F620F0" w:rsidRPr="006C5A80" w:rsidTr="008B63A3">
        <w:tc>
          <w:tcPr>
            <w:tcW w:w="1959" w:type="pct"/>
            <w:vAlign w:val="bottom"/>
          </w:tcPr>
          <w:p w:rsidR="00F620F0" w:rsidRPr="00682BD4" w:rsidRDefault="00F620F0" w:rsidP="008B63A3">
            <w:pPr>
              <w:pStyle w:val="TableBodyText"/>
              <w:jc w:val="left"/>
              <w:rPr>
                <w:sz w:val="18"/>
                <w:szCs w:val="18"/>
              </w:rPr>
            </w:pPr>
            <w:r w:rsidRPr="00682BD4">
              <w:rPr>
                <w:sz w:val="18"/>
                <w:szCs w:val="18"/>
              </w:rPr>
              <w:t>Other services</w:t>
            </w:r>
          </w:p>
        </w:tc>
        <w:tc>
          <w:tcPr>
            <w:tcW w:w="507" w:type="pct"/>
            <w:vAlign w:val="bottom"/>
          </w:tcPr>
          <w:p w:rsidR="00F620F0" w:rsidRPr="00682BD4" w:rsidRDefault="00F620F0" w:rsidP="008B63A3">
            <w:pPr>
              <w:pStyle w:val="TableBodyText"/>
              <w:rPr>
                <w:sz w:val="18"/>
                <w:szCs w:val="18"/>
              </w:rPr>
            </w:pPr>
            <w:r w:rsidRPr="00682BD4">
              <w:rPr>
                <w:sz w:val="18"/>
                <w:szCs w:val="18"/>
              </w:rPr>
              <w:t>0.9</w:t>
            </w:r>
          </w:p>
        </w:tc>
        <w:tc>
          <w:tcPr>
            <w:tcW w:w="507" w:type="pct"/>
            <w:vAlign w:val="bottom"/>
          </w:tcPr>
          <w:p w:rsidR="00F620F0" w:rsidRPr="00682BD4" w:rsidRDefault="00F620F0" w:rsidP="008B63A3">
            <w:pPr>
              <w:pStyle w:val="TableBodyText"/>
              <w:rPr>
                <w:sz w:val="18"/>
                <w:szCs w:val="18"/>
              </w:rPr>
            </w:pPr>
            <w:r w:rsidRPr="00682BD4">
              <w:rPr>
                <w:sz w:val="18"/>
                <w:szCs w:val="18"/>
              </w:rPr>
              <w:t>1.8</w:t>
            </w:r>
          </w:p>
        </w:tc>
        <w:tc>
          <w:tcPr>
            <w:tcW w:w="507" w:type="pct"/>
            <w:vAlign w:val="bottom"/>
          </w:tcPr>
          <w:p w:rsidR="00F620F0" w:rsidRPr="00682BD4" w:rsidRDefault="00F620F0" w:rsidP="008B63A3">
            <w:pPr>
              <w:pStyle w:val="TableBodyText"/>
              <w:rPr>
                <w:sz w:val="18"/>
                <w:szCs w:val="18"/>
              </w:rPr>
            </w:pPr>
            <w:r w:rsidRPr="00682BD4">
              <w:rPr>
                <w:sz w:val="18"/>
                <w:szCs w:val="18"/>
              </w:rPr>
              <w:t>1.2</w:t>
            </w:r>
          </w:p>
        </w:tc>
        <w:tc>
          <w:tcPr>
            <w:tcW w:w="507" w:type="pct"/>
            <w:vAlign w:val="bottom"/>
          </w:tcPr>
          <w:p w:rsidR="00F620F0" w:rsidRPr="00682BD4" w:rsidRDefault="00F620F0" w:rsidP="008B63A3">
            <w:pPr>
              <w:pStyle w:val="TableBodyText"/>
              <w:rPr>
                <w:sz w:val="18"/>
                <w:szCs w:val="18"/>
              </w:rPr>
            </w:pPr>
            <w:r w:rsidRPr="00682BD4">
              <w:rPr>
                <w:sz w:val="18"/>
                <w:szCs w:val="18"/>
              </w:rPr>
              <w:t>1.8</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1.5</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1.4</w:t>
            </w:r>
          </w:p>
        </w:tc>
      </w:tr>
      <w:tr w:rsidR="00F620F0" w:rsidRPr="006C5A80" w:rsidTr="008B63A3">
        <w:tc>
          <w:tcPr>
            <w:tcW w:w="1959" w:type="pct"/>
            <w:vAlign w:val="bottom"/>
          </w:tcPr>
          <w:p w:rsidR="00F620F0" w:rsidRPr="00682BD4" w:rsidRDefault="00F620F0" w:rsidP="008B63A3">
            <w:pPr>
              <w:pStyle w:val="TableBodyText"/>
              <w:jc w:val="left"/>
              <w:rPr>
                <w:sz w:val="18"/>
                <w:szCs w:val="18"/>
              </w:rPr>
            </w:pPr>
            <w:r w:rsidRPr="00682BD4">
              <w:rPr>
                <w:sz w:val="18"/>
                <w:szCs w:val="18"/>
              </w:rPr>
              <w:t>Unallocated other</w:t>
            </w:r>
            <w:r w:rsidRPr="00682BD4">
              <w:rPr>
                <w:rStyle w:val="NoteLabel"/>
                <w:szCs w:val="18"/>
              </w:rPr>
              <w:t>a</w:t>
            </w:r>
          </w:p>
        </w:tc>
        <w:tc>
          <w:tcPr>
            <w:tcW w:w="507" w:type="pct"/>
            <w:vAlign w:val="bottom"/>
          </w:tcPr>
          <w:p w:rsidR="00F620F0" w:rsidRPr="00682BD4" w:rsidRDefault="00F620F0" w:rsidP="008B63A3">
            <w:pPr>
              <w:pStyle w:val="TableBodyText"/>
              <w:rPr>
                <w:sz w:val="18"/>
                <w:szCs w:val="18"/>
              </w:rPr>
            </w:pPr>
            <w:r w:rsidRPr="00682BD4">
              <w:rPr>
                <w:sz w:val="18"/>
                <w:szCs w:val="18"/>
              </w:rPr>
              <w:t>0.4</w:t>
            </w:r>
          </w:p>
        </w:tc>
        <w:tc>
          <w:tcPr>
            <w:tcW w:w="507" w:type="pct"/>
            <w:vAlign w:val="bottom"/>
          </w:tcPr>
          <w:p w:rsidR="00F620F0" w:rsidRPr="00682BD4" w:rsidRDefault="00F620F0" w:rsidP="008B63A3">
            <w:pPr>
              <w:pStyle w:val="TableBodyText"/>
              <w:rPr>
                <w:sz w:val="18"/>
                <w:szCs w:val="18"/>
              </w:rPr>
            </w:pPr>
            <w:r w:rsidRPr="00682BD4">
              <w:rPr>
                <w:sz w:val="18"/>
                <w:szCs w:val="18"/>
              </w:rPr>
              <w:t>1.4</w:t>
            </w:r>
          </w:p>
        </w:tc>
        <w:tc>
          <w:tcPr>
            <w:tcW w:w="507" w:type="pct"/>
            <w:vAlign w:val="bottom"/>
          </w:tcPr>
          <w:p w:rsidR="00F620F0" w:rsidRPr="00682BD4" w:rsidRDefault="00F620F0" w:rsidP="008B63A3">
            <w:pPr>
              <w:pStyle w:val="TableBodyText"/>
              <w:rPr>
                <w:sz w:val="18"/>
                <w:szCs w:val="18"/>
              </w:rPr>
            </w:pPr>
            <w:r w:rsidRPr="00682BD4">
              <w:rPr>
                <w:sz w:val="18"/>
                <w:szCs w:val="18"/>
              </w:rPr>
              <w:t>2.6</w:t>
            </w:r>
          </w:p>
        </w:tc>
        <w:tc>
          <w:tcPr>
            <w:tcW w:w="507" w:type="pct"/>
            <w:vAlign w:val="bottom"/>
          </w:tcPr>
          <w:p w:rsidR="00F620F0" w:rsidRPr="00682BD4" w:rsidRDefault="00F620F0" w:rsidP="008B63A3">
            <w:pPr>
              <w:pStyle w:val="TableBodyText"/>
              <w:rPr>
                <w:sz w:val="18"/>
                <w:szCs w:val="18"/>
              </w:rPr>
            </w:pPr>
            <w:r w:rsidRPr="00682BD4">
              <w:rPr>
                <w:sz w:val="18"/>
                <w:szCs w:val="18"/>
              </w:rPr>
              <w:t>3.6</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3.1</w:t>
            </w:r>
          </w:p>
        </w:tc>
        <w:tc>
          <w:tcPr>
            <w:tcW w:w="507" w:type="pct"/>
            <w:shd w:val="clear" w:color="auto" w:fill="auto"/>
            <w:vAlign w:val="bottom"/>
          </w:tcPr>
          <w:p w:rsidR="00F620F0" w:rsidRPr="00682BD4" w:rsidRDefault="00F620F0" w:rsidP="008B63A3">
            <w:pPr>
              <w:pStyle w:val="TableBodyText"/>
              <w:rPr>
                <w:sz w:val="18"/>
                <w:szCs w:val="18"/>
              </w:rPr>
            </w:pPr>
            <w:r w:rsidRPr="00682BD4">
              <w:rPr>
                <w:sz w:val="18"/>
                <w:szCs w:val="18"/>
              </w:rPr>
              <w:t>2.9</w:t>
            </w:r>
          </w:p>
        </w:tc>
      </w:tr>
      <w:tr w:rsidR="00F620F0" w:rsidRPr="006C5A80" w:rsidTr="008B63A3">
        <w:tc>
          <w:tcPr>
            <w:tcW w:w="1959" w:type="pct"/>
            <w:tcBorders>
              <w:bottom w:val="single" w:sz="4" w:space="0" w:color="auto"/>
            </w:tcBorders>
            <w:vAlign w:val="bottom"/>
          </w:tcPr>
          <w:p w:rsidR="00F620F0" w:rsidRPr="00682BD4" w:rsidRDefault="00F620F0" w:rsidP="008B63A3">
            <w:pPr>
              <w:pStyle w:val="TableBodyText"/>
              <w:jc w:val="left"/>
              <w:rPr>
                <w:b/>
                <w:bCs/>
                <w:sz w:val="18"/>
                <w:szCs w:val="18"/>
              </w:rPr>
            </w:pPr>
            <w:r w:rsidRPr="00682BD4">
              <w:rPr>
                <w:b/>
                <w:bCs/>
                <w:sz w:val="18"/>
                <w:szCs w:val="18"/>
              </w:rPr>
              <w:t>Total</w:t>
            </w:r>
          </w:p>
        </w:tc>
        <w:tc>
          <w:tcPr>
            <w:tcW w:w="507" w:type="pct"/>
            <w:tcBorders>
              <w:bottom w:val="single" w:sz="4" w:space="0" w:color="auto"/>
            </w:tcBorders>
            <w:vAlign w:val="bottom"/>
          </w:tcPr>
          <w:p w:rsidR="00F620F0" w:rsidRPr="00682BD4" w:rsidRDefault="00F620F0" w:rsidP="008B63A3">
            <w:pPr>
              <w:pStyle w:val="TableBodyText"/>
              <w:rPr>
                <w:b/>
                <w:bCs/>
                <w:sz w:val="18"/>
                <w:szCs w:val="18"/>
              </w:rPr>
            </w:pPr>
            <w:r w:rsidRPr="00682BD4">
              <w:rPr>
                <w:b/>
                <w:bCs/>
                <w:sz w:val="18"/>
                <w:szCs w:val="18"/>
              </w:rPr>
              <w:t>225.0</w:t>
            </w:r>
          </w:p>
        </w:tc>
        <w:tc>
          <w:tcPr>
            <w:tcW w:w="507" w:type="pct"/>
            <w:tcBorders>
              <w:bottom w:val="single" w:sz="4" w:space="0" w:color="auto"/>
            </w:tcBorders>
            <w:vAlign w:val="bottom"/>
          </w:tcPr>
          <w:p w:rsidR="00F620F0" w:rsidRPr="00682BD4" w:rsidRDefault="00F620F0" w:rsidP="008B63A3">
            <w:pPr>
              <w:pStyle w:val="TableBodyText"/>
              <w:rPr>
                <w:b/>
                <w:bCs/>
                <w:sz w:val="18"/>
                <w:szCs w:val="18"/>
              </w:rPr>
            </w:pPr>
            <w:r w:rsidRPr="00682BD4">
              <w:rPr>
                <w:b/>
                <w:bCs/>
                <w:sz w:val="18"/>
                <w:szCs w:val="18"/>
              </w:rPr>
              <w:t>290.0</w:t>
            </w:r>
          </w:p>
        </w:tc>
        <w:tc>
          <w:tcPr>
            <w:tcW w:w="507" w:type="pct"/>
            <w:tcBorders>
              <w:bottom w:val="single" w:sz="4" w:space="0" w:color="auto"/>
            </w:tcBorders>
            <w:vAlign w:val="bottom"/>
          </w:tcPr>
          <w:p w:rsidR="00F620F0" w:rsidRPr="00682BD4" w:rsidRDefault="00F620F0" w:rsidP="008B63A3">
            <w:pPr>
              <w:pStyle w:val="TableBodyText"/>
              <w:rPr>
                <w:b/>
                <w:bCs/>
                <w:sz w:val="18"/>
                <w:szCs w:val="18"/>
              </w:rPr>
            </w:pPr>
            <w:r w:rsidRPr="00682BD4">
              <w:rPr>
                <w:b/>
                <w:bCs/>
                <w:sz w:val="18"/>
                <w:szCs w:val="18"/>
              </w:rPr>
              <w:t>330.0</w:t>
            </w:r>
          </w:p>
        </w:tc>
        <w:tc>
          <w:tcPr>
            <w:tcW w:w="507" w:type="pct"/>
            <w:tcBorders>
              <w:bottom w:val="single" w:sz="4" w:space="0" w:color="auto"/>
            </w:tcBorders>
            <w:vAlign w:val="bottom"/>
          </w:tcPr>
          <w:p w:rsidR="00F620F0" w:rsidRPr="00682BD4" w:rsidRDefault="00F620F0" w:rsidP="008B63A3">
            <w:pPr>
              <w:pStyle w:val="TableBodyText"/>
              <w:rPr>
                <w:b/>
                <w:bCs/>
                <w:sz w:val="18"/>
                <w:szCs w:val="18"/>
              </w:rPr>
            </w:pPr>
            <w:r w:rsidRPr="00682BD4">
              <w:rPr>
                <w:b/>
                <w:bCs/>
                <w:sz w:val="18"/>
                <w:szCs w:val="18"/>
              </w:rPr>
              <w:t>460.0</w:t>
            </w:r>
          </w:p>
        </w:tc>
        <w:tc>
          <w:tcPr>
            <w:tcW w:w="507" w:type="pct"/>
            <w:tcBorders>
              <w:bottom w:val="single" w:sz="4" w:space="0" w:color="auto"/>
            </w:tcBorders>
            <w:shd w:val="clear" w:color="auto" w:fill="auto"/>
            <w:vAlign w:val="bottom"/>
          </w:tcPr>
          <w:p w:rsidR="00F620F0" w:rsidRPr="00682BD4" w:rsidRDefault="00F620F0" w:rsidP="008B63A3">
            <w:pPr>
              <w:pStyle w:val="TableBodyText"/>
              <w:rPr>
                <w:b/>
                <w:bCs/>
                <w:sz w:val="18"/>
                <w:szCs w:val="18"/>
              </w:rPr>
            </w:pPr>
            <w:r w:rsidRPr="00682BD4">
              <w:rPr>
                <w:b/>
                <w:bCs/>
                <w:sz w:val="18"/>
                <w:szCs w:val="18"/>
              </w:rPr>
              <w:t>400.0</w:t>
            </w:r>
          </w:p>
        </w:tc>
        <w:tc>
          <w:tcPr>
            <w:tcW w:w="507" w:type="pct"/>
            <w:tcBorders>
              <w:bottom w:val="single" w:sz="4" w:space="0" w:color="auto"/>
            </w:tcBorders>
            <w:shd w:val="clear" w:color="auto" w:fill="auto"/>
            <w:vAlign w:val="bottom"/>
          </w:tcPr>
          <w:p w:rsidR="00F620F0" w:rsidRPr="00682BD4" w:rsidRDefault="00F620F0" w:rsidP="008B63A3">
            <w:pPr>
              <w:pStyle w:val="TableBodyText"/>
              <w:rPr>
                <w:b/>
                <w:bCs/>
                <w:sz w:val="18"/>
                <w:szCs w:val="18"/>
              </w:rPr>
            </w:pPr>
            <w:r w:rsidRPr="00682BD4">
              <w:rPr>
                <w:b/>
                <w:bCs/>
                <w:sz w:val="18"/>
                <w:szCs w:val="18"/>
              </w:rPr>
              <w:t>370.0</w:t>
            </w:r>
          </w:p>
        </w:tc>
      </w:tr>
    </w:tbl>
    <w:p w:rsidR="00F620F0" w:rsidRDefault="00F620F0" w:rsidP="00F620F0">
      <w:pPr>
        <w:pStyle w:val="Note"/>
      </w:pPr>
      <w:r>
        <w:t xml:space="preserve">– Nil. </w:t>
      </w:r>
      <w:r w:rsidRPr="008E77FE">
        <w:rPr>
          <w:rStyle w:val="NoteLabel"/>
        </w:rPr>
        <w:t>a</w:t>
      </w:r>
      <w:r>
        <w:t xml:space="preserve"> Unallocated includes general programs where details of beneficiaries are unknown.</w:t>
      </w:r>
    </w:p>
    <w:p w:rsidR="00F620F0" w:rsidRPr="008E77FE" w:rsidRDefault="00F620F0" w:rsidP="00F620F0">
      <w:pPr>
        <w:pStyle w:val="Source"/>
      </w:pPr>
      <w:r>
        <w:rPr>
          <w:i/>
        </w:rPr>
        <w:t>Sources</w:t>
      </w:r>
      <w:r>
        <w:t xml:space="preserve">: </w:t>
      </w:r>
      <w:r w:rsidRPr="003E67DD">
        <w:t>Commis</w:t>
      </w:r>
      <w:r>
        <w:t>sion estimates based on Tax Expenditure Statement 2012, Australian Government 2013</w:t>
      </w:r>
      <w:r w:rsidRPr="003E67DD">
        <w:t>, p.</w:t>
      </w:r>
      <w:r w:rsidR="00B522FE">
        <w:t> </w:t>
      </w:r>
      <w:r w:rsidRPr="003E67DD">
        <w:t>11</w:t>
      </w:r>
      <w:r>
        <w:t>4</w:t>
      </w:r>
      <w:r w:rsidRPr="003E67DD">
        <w:t>, item B10</w:t>
      </w:r>
      <w:r>
        <w:t>2</w:t>
      </w:r>
      <w:r w:rsidRPr="003E67DD">
        <w:t>; Industry classification derived from detailed ATO data by ANZSIC industry</w:t>
      </w:r>
      <w:r>
        <w:t>;</w:t>
      </w:r>
      <w:r w:rsidRPr="003E67DD">
        <w:t xml:space="preserve"> and ABS Cat. </w:t>
      </w:r>
      <w:r w:rsidR="00C7652A">
        <w:t>n</w:t>
      </w:r>
      <w:r w:rsidRPr="003E67DD">
        <w:t>o. 8104.0, Business expenditure on R&amp;D, by ANZSIC 2006 industry s</w:t>
      </w:r>
      <w:r>
        <w:t xml:space="preserve">ubdivision </w:t>
      </w:r>
      <w:r>
        <w:noBreakHyphen/>
        <w:t xml:space="preserve"> by source of funds.</w:t>
      </w:r>
    </w:p>
    <w:p w:rsidR="00A043E6" w:rsidRDefault="00FA09C3" w:rsidP="00A043E6">
      <w:pPr>
        <w:pStyle w:val="Heading2"/>
      </w:pPr>
      <w:r>
        <w:lastRenderedPageBreak/>
        <w:t>A.</w:t>
      </w:r>
      <w:r>
        <w:rPr>
          <w:noProof/>
        </w:rPr>
        <w:t>9</w:t>
      </w:r>
      <w:r w:rsidR="00E54D0F">
        <w:tab/>
      </w:r>
      <w:r w:rsidR="00A043E6">
        <w:t>Small business capital gains tax (retirement) exemption</w:t>
      </w:r>
    </w:p>
    <w:p w:rsidR="00A043E6" w:rsidRDefault="00A043E6" w:rsidP="00A043E6">
      <w:pPr>
        <w:pStyle w:val="BodyText"/>
      </w:pPr>
      <w:r>
        <w:t>Under the small business capital gains tax retirement exemption, capital gains arising from the sale of active small business assets are exempt from capital gains tax, up to a lifetime limit of $500 000, where the proceeds of the sale are used for retirement. An eligible small business is one where the net value of assets that the taxpayer and connected entities own is no more than $6 million, or where the aggregated annual turnover is less than $2 </w:t>
      </w:r>
      <w:r w:rsidRPr="00DD3B0A">
        <w:t>million (</w:t>
      </w:r>
      <w:r w:rsidR="00734336" w:rsidRPr="002D4BCB">
        <w:t>Tax Expenditure Statement, Australian Government</w:t>
      </w:r>
      <w:r w:rsidR="00DD3B0A" w:rsidRPr="002D4BCB">
        <w:t> </w:t>
      </w:r>
      <w:r w:rsidR="00734336" w:rsidRPr="002D4BCB">
        <w:t>2013</w:t>
      </w:r>
      <w:r w:rsidR="00203EA5">
        <w:t>,</w:t>
      </w:r>
      <w:r>
        <w:t xml:space="preserve"> Item</w:t>
      </w:r>
      <w:r w:rsidR="00796A4A">
        <w:t> C</w:t>
      </w:r>
      <w:r w:rsidR="000406A4">
        <w:t>1).</w:t>
      </w:r>
    </w:p>
    <w:p w:rsidR="00A043E6" w:rsidRDefault="00A043E6" w:rsidP="00A043E6">
      <w:pPr>
        <w:pStyle w:val="BodyText"/>
      </w:pPr>
      <w:r>
        <w:t xml:space="preserve">The ATO has provided information detailing claim data for the concession by ANZSIC industry. The industry shares derived from the ATO claim data have been used to allocate </w:t>
      </w:r>
      <w:r w:rsidR="00D86CA9">
        <w:t>the TES</w:t>
      </w:r>
      <w:r>
        <w:t xml:space="preserve"> estimates of total revenue forgone for the concession to the Commission’s ANZSIC-based industry groupings (table A.</w:t>
      </w:r>
      <w:r w:rsidR="0062157F">
        <w:t>9</w:t>
      </w:r>
      <w:r>
        <w:t>).</w:t>
      </w:r>
    </w:p>
    <w:p w:rsidR="00A043E6" w:rsidRDefault="00A043E6" w:rsidP="00A043E6">
      <w:pPr>
        <w:pStyle w:val="TableTitle"/>
      </w:pPr>
      <w:r>
        <w:rPr>
          <w:b w:val="0"/>
        </w:rPr>
        <w:lastRenderedPageBreak/>
        <w:t xml:space="preserve">Table </w:t>
      </w:r>
      <w:r w:rsidR="00FA09C3">
        <w:rPr>
          <w:b w:val="0"/>
        </w:rPr>
        <w:t>A.</w:t>
      </w:r>
      <w:r w:rsidR="00FA09C3">
        <w:rPr>
          <w:b w:val="0"/>
          <w:noProof/>
        </w:rPr>
        <w:t>9</w:t>
      </w:r>
      <w:r>
        <w:tab/>
      </w:r>
      <w:r w:rsidR="00E54D0F">
        <w:t xml:space="preserve">Allocation of </w:t>
      </w:r>
      <w:r w:rsidR="00A65855">
        <w:t xml:space="preserve">small business </w:t>
      </w:r>
      <w:r w:rsidR="00B02634">
        <w:t>capital gains tax</w:t>
      </w:r>
      <w:r>
        <w:t xml:space="preserve"> </w:t>
      </w:r>
      <w:r w:rsidR="006873B2">
        <w:t>(</w:t>
      </w:r>
      <w:r>
        <w:t>retirement</w:t>
      </w:r>
      <w:r w:rsidR="006873B2">
        <w:t>)</w:t>
      </w:r>
      <w:r>
        <w:t xml:space="preserve"> exemption</w:t>
      </w:r>
      <w:r w:rsidR="00E54D0F">
        <w:t xml:space="preserve"> </w:t>
      </w:r>
      <w:r w:rsidR="006873B2">
        <w:t>to</w:t>
      </w:r>
      <w:r w:rsidR="00E54D0F">
        <w:t xml:space="preserve"> industry, 200</w:t>
      </w:r>
      <w:r w:rsidR="00EB5D14">
        <w:t>6</w:t>
      </w:r>
      <w:r w:rsidR="00EB5D14">
        <w:noBreakHyphen/>
      </w:r>
      <w:r w:rsidR="00E54D0F">
        <w:t>0</w:t>
      </w:r>
      <w:r w:rsidR="00EB5D14">
        <w:t>7</w:t>
      </w:r>
      <w:r w:rsidR="00E54D0F">
        <w:t xml:space="preserve"> to 2011</w:t>
      </w:r>
      <w:r w:rsidR="00EB5D14">
        <w:noBreakHyphen/>
      </w:r>
      <w:r w:rsidR="00E54D0F">
        <w:t>12</w:t>
      </w:r>
    </w:p>
    <w:p w:rsidR="00A043E6" w:rsidRDefault="00E54D0F" w:rsidP="00A043E6">
      <w:pPr>
        <w:pStyle w:val="Subtitle"/>
      </w:pPr>
      <w:r>
        <w:t>$ million (nominal)</w:t>
      </w:r>
    </w:p>
    <w:tbl>
      <w:tblPr>
        <w:tblW w:w="5000" w:type="pct"/>
        <w:tblCellMar>
          <w:left w:w="0" w:type="dxa"/>
          <w:right w:w="0" w:type="dxa"/>
        </w:tblCellMar>
        <w:tblLook w:val="0000" w:firstRow="0" w:lastRow="0" w:firstColumn="0" w:lastColumn="0" w:noHBand="0" w:noVBand="0"/>
      </w:tblPr>
      <w:tblGrid>
        <w:gridCol w:w="3445"/>
        <w:gridCol w:w="891"/>
        <w:gridCol w:w="891"/>
        <w:gridCol w:w="891"/>
        <w:gridCol w:w="891"/>
        <w:gridCol w:w="891"/>
        <w:gridCol w:w="889"/>
      </w:tblGrid>
      <w:tr w:rsidR="00FC1E37" w:rsidRPr="00AF699A" w:rsidTr="005056C8">
        <w:tc>
          <w:tcPr>
            <w:tcW w:w="1959" w:type="pct"/>
            <w:tcBorders>
              <w:top w:val="single" w:sz="6" w:space="0" w:color="auto"/>
              <w:bottom w:val="single" w:sz="6" w:space="0" w:color="auto"/>
            </w:tcBorders>
          </w:tcPr>
          <w:p w:rsidR="00FC1E37" w:rsidRPr="00AF699A" w:rsidRDefault="00FC1E37" w:rsidP="00932CE7">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FC1E37" w:rsidRPr="00AF699A" w:rsidRDefault="00FC1E37" w:rsidP="00932CE7">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FC1E37" w:rsidRPr="00AF699A" w:rsidRDefault="00FC1E37" w:rsidP="00932CE7">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FC1E37" w:rsidRPr="00AF699A" w:rsidRDefault="00FC1E37" w:rsidP="00932CE7">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FC1E37" w:rsidRPr="00AF699A" w:rsidRDefault="00FC1E37" w:rsidP="00932CE7">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FC1E37" w:rsidRPr="00AF699A" w:rsidRDefault="00FC1E37" w:rsidP="00932CE7">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FC1E37" w:rsidRPr="00AF699A" w:rsidRDefault="00FC1E37" w:rsidP="00932CE7">
            <w:pPr>
              <w:pStyle w:val="TableColumnHeading"/>
              <w:ind w:right="28"/>
              <w:rPr>
                <w:rFonts w:cs="Arial"/>
                <w:sz w:val="18"/>
                <w:szCs w:val="18"/>
              </w:rPr>
            </w:pPr>
            <w:r w:rsidRPr="00AF699A">
              <w:rPr>
                <w:rFonts w:cs="Arial"/>
                <w:sz w:val="18"/>
                <w:szCs w:val="18"/>
              </w:rPr>
              <w:t>2011-12</w:t>
            </w:r>
          </w:p>
        </w:tc>
      </w:tr>
      <w:tr w:rsidR="00FC1E37" w:rsidRPr="006C5A80" w:rsidTr="005056C8">
        <w:tc>
          <w:tcPr>
            <w:tcW w:w="1959" w:type="pct"/>
            <w:tcBorders>
              <w:top w:val="single" w:sz="6" w:space="0" w:color="auto"/>
            </w:tcBorders>
            <w:vAlign w:val="bottom"/>
          </w:tcPr>
          <w:p w:rsidR="00FC1E37" w:rsidRPr="00390699" w:rsidRDefault="00FC1E37" w:rsidP="00932CE7">
            <w:pPr>
              <w:pStyle w:val="TableBodyText"/>
              <w:jc w:val="left"/>
              <w:rPr>
                <w:b/>
                <w:sz w:val="18"/>
                <w:szCs w:val="18"/>
              </w:rPr>
            </w:pPr>
            <w:r w:rsidRPr="00390699">
              <w:rPr>
                <w:b/>
                <w:sz w:val="18"/>
                <w:szCs w:val="18"/>
              </w:rPr>
              <w:t>Primary production</w:t>
            </w:r>
          </w:p>
        </w:tc>
        <w:tc>
          <w:tcPr>
            <w:tcW w:w="507" w:type="pct"/>
            <w:tcBorders>
              <w:top w:val="single" w:sz="6" w:space="0" w:color="auto"/>
            </w:tcBorders>
            <w:vAlign w:val="bottom"/>
          </w:tcPr>
          <w:p w:rsidR="00FC1E37" w:rsidRPr="00390699" w:rsidRDefault="00FC1E37" w:rsidP="00FC1E37">
            <w:pPr>
              <w:pStyle w:val="TableBodyText"/>
              <w:rPr>
                <w:b/>
                <w:sz w:val="18"/>
                <w:szCs w:val="18"/>
              </w:rPr>
            </w:pPr>
            <w:r w:rsidRPr="00390699">
              <w:rPr>
                <w:b/>
                <w:sz w:val="18"/>
                <w:szCs w:val="18"/>
              </w:rPr>
              <w:t>19.4</w:t>
            </w:r>
          </w:p>
        </w:tc>
        <w:tc>
          <w:tcPr>
            <w:tcW w:w="507" w:type="pct"/>
            <w:tcBorders>
              <w:top w:val="single" w:sz="6" w:space="0" w:color="auto"/>
            </w:tcBorders>
            <w:vAlign w:val="bottom"/>
          </w:tcPr>
          <w:p w:rsidR="00FC1E37" w:rsidRPr="00390699" w:rsidRDefault="00FC1E37" w:rsidP="00FC1E37">
            <w:pPr>
              <w:pStyle w:val="TableBodyText"/>
              <w:rPr>
                <w:b/>
                <w:sz w:val="18"/>
                <w:szCs w:val="18"/>
              </w:rPr>
            </w:pPr>
            <w:r w:rsidRPr="00390699">
              <w:rPr>
                <w:b/>
                <w:sz w:val="18"/>
                <w:szCs w:val="18"/>
              </w:rPr>
              <w:t>46.5</w:t>
            </w:r>
          </w:p>
        </w:tc>
        <w:tc>
          <w:tcPr>
            <w:tcW w:w="507" w:type="pct"/>
            <w:tcBorders>
              <w:top w:val="single" w:sz="6" w:space="0" w:color="auto"/>
            </w:tcBorders>
            <w:vAlign w:val="bottom"/>
          </w:tcPr>
          <w:p w:rsidR="00FC1E37" w:rsidRPr="00390699" w:rsidRDefault="00FC1E37" w:rsidP="00FC1E37">
            <w:pPr>
              <w:pStyle w:val="TableBodyText"/>
              <w:rPr>
                <w:b/>
                <w:sz w:val="18"/>
                <w:szCs w:val="18"/>
              </w:rPr>
            </w:pPr>
            <w:r w:rsidRPr="00390699">
              <w:rPr>
                <w:b/>
                <w:sz w:val="18"/>
                <w:szCs w:val="18"/>
              </w:rPr>
              <w:t>48.1</w:t>
            </w:r>
          </w:p>
        </w:tc>
        <w:tc>
          <w:tcPr>
            <w:tcW w:w="507" w:type="pct"/>
            <w:tcBorders>
              <w:top w:val="single" w:sz="6" w:space="0" w:color="auto"/>
            </w:tcBorders>
            <w:vAlign w:val="bottom"/>
          </w:tcPr>
          <w:p w:rsidR="00FC1E37" w:rsidRPr="00390699" w:rsidRDefault="00FC1E37" w:rsidP="00FC1E37">
            <w:pPr>
              <w:pStyle w:val="TableBodyText"/>
              <w:rPr>
                <w:b/>
                <w:sz w:val="18"/>
                <w:szCs w:val="18"/>
              </w:rPr>
            </w:pPr>
            <w:r w:rsidRPr="00390699">
              <w:rPr>
                <w:b/>
                <w:sz w:val="18"/>
                <w:szCs w:val="18"/>
              </w:rPr>
              <w:t>35.8</w:t>
            </w:r>
          </w:p>
        </w:tc>
        <w:tc>
          <w:tcPr>
            <w:tcW w:w="507" w:type="pct"/>
            <w:tcBorders>
              <w:top w:val="single" w:sz="6" w:space="0" w:color="auto"/>
            </w:tcBorders>
            <w:vAlign w:val="bottom"/>
          </w:tcPr>
          <w:p w:rsidR="00FC1E37" w:rsidRPr="00390699" w:rsidRDefault="00FC1E37" w:rsidP="00FC1E37">
            <w:pPr>
              <w:pStyle w:val="TableBodyText"/>
              <w:rPr>
                <w:b/>
                <w:sz w:val="18"/>
                <w:szCs w:val="18"/>
              </w:rPr>
            </w:pPr>
            <w:r w:rsidRPr="00390699">
              <w:rPr>
                <w:b/>
                <w:sz w:val="18"/>
                <w:szCs w:val="18"/>
              </w:rPr>
              <w:t>33.8</w:t>
            </w:r>
          </w:p>
        </w:tc>
        <w:tc>
          <w:tcPr>
            <w:tcW w:w="507" w:type="pct"/>
            <w:tcBorders>
              <w:top w:val="single" w:sz="6" w:space="0" w:color="auto"/>
            </w:tcBorders>
            <w:vAlign w:val="bottom"/>
          </w:tcPr>
          <w:p w:rsidR="00FC1E37" w:rsidRPr="00390699" w:rsidRDefault="00FC1E37" w:rsidP="00FC1E37">
            <w:pPr>
              <w:pStyle w:val="TableBodyText"/>
              <w:rPr>
                <w:b/>
                <w:sz w:val="18"/>
                <w:szCs w:val="18"/>
              </w:rPr>
            </w:pPr>
            <w:r w:rsidRPr="00390699">
              <w:rPr>
                <w:b/>
                <w:sz w:val="18"/>
                <w:szCs w:val="18"/>
              </w:rPr>
              <w:t>33.8</w:t>
            </w:r>
          </w:p>
        </w:tc>
      </w:tr>
      <w:tr w:rsidR="00FC1E37" w:rsidRPr="006C5A80" w:rsidTr="005056C8">
        <w:tc>
          <w:tcPr>
            <w:tcW w:w="1959" w:type="pct"/>
            <w:vAlign w:val="bottom"/>
          </w:tcPr>
          <w:p w:rsidR="00FC1E37" w:rsidRPr="00390699" w:rsidRDefault="00FC1E37" w:rsidP="00932CE7">
            <w:pPr>
              <w:pStyle w:val="TableBodyText"/>
              <w:jc w:val="left"/>
              <w:rPr>
                <w:sz w:val="18"/>
                <w:szCs w:val="18"/>
              </w:rPr>
            </w:pPr>
            <w:r w:rsidRPr="00390699">
              <w:rPr>
                <w:sz w:val="18"/>
                <w:szCs w:val="18"/>
              </w:rPr>
              <w:t>Horticulture and fruit growing</w:t>
            </w:r>
          </w:p>
        </w:tc>
        <w:tc>
          <w:tcPr>
            <w:tcW w:w="507" w:type="pct"/>
            <w:vAlign w:val="bottom"/>
          </w:tcPr>
          <w:p w:rsidR="00FC1E37" w:rsidRPr="00390699" w:rsidRDefault="00FC1E37" w:rsidP="00FC1E37">
            <w:pPr>
              <w:pStyle w:val="TableBodyText"/>
              <w:rPr>
                <w:sz w:val="18"/>
                <w:szCs w:val="18"/>
              </w:rPr>
            </w:pPr>
            <w:r w:rsidRPr="00390699">
              <w:rPr>
                <w:sz w:val="18"/>
                <w:szCs w:val="18"/>
              </w:rPr>
              <w:t>2.3</w:t>
            </w:r>
          </w:p>
        </w:tc>
        <w:tc>
          <w:tcPr>
            <w:tcW w:w="507" w:type="pct"/>
            <w:vAlign w:val="bottom"/>
          </w:tcPr>
          <w:p w:rsidR="00FC1E37" w:rsidRPr="00390699" w:rsidRDefault="00FC1E37" w:rsidP="00FC1E37">
            <w:pPr>
              <w:pStyle w:val="TableBodyText"/>
              <w:rPr>
                <w:sz w:val="18"/>
                <w:szCs w:val="18"/>
              </w:rPr>
            </w:pPr>
            <w:r w:rsidRPr="00390699">
              <w:rPr>
                <w:sz w:val="18"/>
                <w:szCs w:val="18"/>
              </w:rPr>
              <w:t>7.7</w:t>
            </w:r>
          </w:p>
        </w:tc>
        <w:tc>
          <w:tcPr>
            <w:tcW w:w="507" w:type="pct"/>
            <w:vAlign w:val="bottom"/>
          </w:tcPr>
          <w:p w:rsidR="00FC1E37" w:rsidRPr="00390699" w:rsidRDefault="00FC1E37" w:rsidP="00FC1E37">
            <w:pPr>
              <w:pStyle w:val="TableBodyText"/>
              <w:rPr>
                <w:sz w:val="18"/>
                <w:szCs w:val="18"/>
              </w:rPr>
            </w:pPr>
            <w:r w:rsidRPr="00390699">
              <w:rPr>
                <w:sz w:val="18"/>
                <w:szCs w:val="18"/>
              </w:rPr>
              <w:t>6.0</w:t>
            </w:r>
          </w:p>
        </w:tc>
        <w:tc>
          <w:tcPr>
            <w:tcW w:w="507" w:type="pct"/>
            <w:vAlign w:val="bottom"/>
          </w:tcPr>
          <w:p w:rsidR="00FC1E37" w:rsidRPr="00390699" w:rsidRDefault="00FC1E37" w:rsidP="00FC1E37">
            <w:pPr>
              <w:pStyle w:val="TableBodyText"/>
              <w:rPr>
                <w:sz w:val="18"/>
                <w:szCs w:val="18"/>
              </w:rPr>
            </w:pPr>
            <w:r w:rsidRPr="00390699">
              <w:rPr>
                <w:sz w:val="18"/>
                <w:szCs w:val="18"/>
              </w:rPr>
              <w:t>4.1</w:t>
            </w:r>
          </w:p>
        </w:tc>
        <w:tc>
          <w:tcPr>
            <w:tcW w:w="507" w:type="pct"/>
            <w:vAlign w:val="bottom"/>
          </w:tcPr>
          <w:p w:rsidR="00FC1E37" w:rsidRPr="00390699" w:rsidRDefault="00FC1E37" w:rsidP="00FC1E37">
            <w:pPr>
              <w:pStyle w:val="TableBodyText"/>
              <w:rPr>
                <w:sz w:val="18"/>
                <w:szCs w:val="18"/>
              </w:rPr>
            </w:pPr>
            <w:r w:rsidRPr="00390699">
              <w:rPr>
                <w:sz w:val="18"/>
                <w:szCs w:val="18"/>
              </w:rPr>
              <w:t>3.8</w:t>
            </w:r>
          </w:p>
        </w:tc>
        <w:tc>
          <w:tcPr>
            <w:tcW w:w="507" w:type="pct"/>
            <w:vAlign w:val="bottom"/>
          </w:tcPr>
          <w:p w:rsidR="00FC1E37" w:rsidRPr="00390699" w:rsidRDefault="00FC1E37" w:rsidP="00FC1E37">
            <w:pPr>
              <w:pStyle w:val="TableBodyText"/>
              <w:rPr>
                <w:sz w:val="18"/>
                <w:szCs w:val="18"/>
              </w:rPr>
            </w:pPr>
            <w:r w:rsidRPr="00390699">
              <w:rPr>
                <w:sz w:val="18"/>
                <w:szCs w:val="18"/>
              </w:rPr>
              <w:t>3.8</w:t>
            </w:r>
          </w:p>
        </w:tc>
      </w:tr>
      <w:tr w:rsidR="00FC1E37" w:rsidRPr="006C5A80" w:rsidTr="005056C8">
        <w:tc>
          <w:tcPr>
            <w:tcW w:w="1959" w:type="pct"/>
            <w:vAlign w:val="bottom"/>
          </w:tcPr>
          <w:p w:rsidR="00FC1E37" w:rsidRPr="00390699" w:rsidRDefault="00FC1E37" w:rsidP="00932CE7">
            <w:pPr>
              <w:pStyle w:val="TableBodyText"/>
              <w:jc w:val="left"/>
              <w:rPr>
                <w:sz w:val="18"/>
                <w:szCs w:val="18"/>
              </w:rPr>
            </w:pPr>
            <w:r w:rsidRPr="00390699">
              <w:rPr>
                <w:sz w:val="18"/>
                <w:szCs w:val="18"/>
              </w:rPr>
              <w:t>Sheep, beef cattle and grain farming</w:t>
            </w:r>
          </w:p>
        </w:tc>
        <w:tc>
          <w:tcPr>
            <w:tcW w:w="507" w:type="pct"/>
            <w:vAlign w:val="bottom"/>
          </w:tcPr>
          <w:p w:rsidR="00FC1E37" w:rsidRPr="00390699" w:rsidRDefault="00FC1E37" w:rsidP="00932CE7">
            <w:pPr>
              <w:pStyle w:val="TableBodyText"/>
              <w:rPr>
                <w:sz w:val="18"/>
                <w:szCs w:val="18"/>
              </w:rPr>
            </w:pPr>
            <w:r w:rsidRPr="00390699">
              <w:rPr>
                <w:sz w:val="18"/>
                <w:szCs w:val="18"/>
              </w:rPr>
              <w:t>11.2</w:t>
            </w:r>
          </w:p>
        </w:tc>
        <w:tc>
          <w:tcPr>
            <w:tcW w:w="507" w:type="pct"/>
            <w:vAlign w:val="bottom"/>
          </w:tcPr>
          <w:p w:rsidR="00FC1E37" w:rsidRPr="00390699" w:rsidRDefault="00FC1E37" w:rsidP="00932CE7">
            <w:pPr>
              <w:pStyle w:val="TableBodyText"/>
              <w:rPr>
                <w:sz w:val="18"/>
                <w:szCs w:val="18"/>
              </w:rPr>
            </w:pPr>
            <w:r w:rsidRPr="00390699">
              <w:rPr>
                <w:sz w:val="18"/>
                <w:szCs w:val="18"/>
              </w:rPr>
              <w:t>24.2</w:t>
            </w:r>
          </w:p>
        </w:tc>
        <w:tc>
          <w:tcPr>
            <w:tcW w:w="507" w:type="pct"/>
            <w:vAlign w:val="bottom"/>
          </w:tcPr>
          <w:p w:rsidR="00FC1E37" w:rsidRPr="00390699" w:rsidRDefault="00FC1E37" w:rsidP="00932CE7">
            <w:pPr>
              <w:pStyle w:val="TableBodyText"/>
              <w:rPr>
                <w:sz w:val="18"/>
                <w:szCs w:val="18"/>
              </w:rPr>
            </w:pPr>
            <w:r w:rsidRPr="00390699">
              <w:rPr>
                <w:sz w:val="18"/>
                <w:szCs w:val="18"/>
              </w:rPr>
              <w:t>30.3</w:t>
            </w:r>
          </w:p>
        </w:tc>
        <w:tc>
          <w:tcPr>
            <w:tcW w:w="507" w:type="pct"/>
            <w:vAlign w:val="bottom"/>
          </w:tcPr>
          <w:p w:rsidR="00FC1E37" w:rsidRPr="00390699" w:rsidRDefault="00FC1E37" w:rsidP="00932CE7">
            <w:pPr>
              <w:pStyle w:val="TableBodyText"/>
              <w:rPr>
                <w:sz w:val="18"/>
                <w:szCs w:val="18"/>
              </w:rPr>
            </w:pPr>
            <w:r w:rsidRPr="00390699">
              <w:rPr>
                <w:sz w:val="18"/>
                <w:szCs w:val="18"/>
              </w:rPr>
              <w:t>22.8</w:t>
            </w:r>
          </w:p>
        </w:tc>
        <w:tc>
          <w:tcPr>
            <w:tcW w:w="507" w:type="pct"/>
            <w:vAlign w:val="bottom"/>
          </w:tcPr>
          <w:p w:rsidR="00FC1E37" w:rsidRPr="00390699" w:rsidRDefault="00FC1E37" w:rsidP="00932CE7">
            <w:pPr>
              <w:pStyle w:val="TableBodyText"/>
              <w:rPr>
                <w:sz w:val="18"/>
                <w:szCs w:val="18"/>
              </w:rPr>
            </w:pPr>
            <w:r w:rsidRPr="00390699">
              <w:rPr>
                <w:sz w:val="18"/>
                <w:szCs w:val="18"/>
              </w:rPr>
              <w:t>21.5</w:t>
            </w:r>
          </w:p>
        </w:tc>
        <w:tc>
          <w:tcPr>
            <w:tcW w:w="507" w:type="pct"/>
            <w:vAlign w:val="bottom"/>
          </w:tcPr>
          <w:p w:rsidR="00FC1E37" w:rsidRPr="00390699" w:rsidRDefault="00FC1E37" w:rsidP="00932CE7">
            <w:pPr>
              <w:pStyle w:val="TableBodyText"/>
              <w:rPr>
                <w:sz w:val="18"/>
                <w:szCs w:val="18"/>
              </w:rPr>
            </w:pPr>
            <w:r w:rsidRPr="00390699">
              <w:rPr>
                <w:sz w:val="18"/>
                <w:szCs w:val="18"/>
              </w:rPr>
              <w:t>21.5</w:t>
            </w:r>
          </w:p>
        </w:tc>
      </w:tr>
      <w:tr w:rsidR="00FC1E37" w:rsidRPr="006C5A80" w:rsidTr="005056C8">
        <w:tc>
          <w:tcPr>
            <w:tcW w:w="1959" w:type="pct"/>
            <w:vAlign w:val="bottom"/>
          </w:tcPr>
          <w:p w:rsidR="00FC1E37" w:rsidRPr="00390699" w:rsidRDefault="00FC1E37" w:rsidP="00932CE7">
            <w:pPr>
              <w:pStyle w:val="TableBodyText"/>
              <w:jc w:val="left"/>
              <w:rPr>
                <w:sz w:val="18"/>
                <w:szCs w:val="18"/>
              </w:rPr>
            </w:pPr>
            <w:r w:rsidRPr="00390699">
              <w:rPr>
                <w:sz w:val="18"/>
                <w:szCs w:val="18"/>
              </w:rPr>
              <w:t>Other crop growing</w:t>
            </w:r>
          </w:p>
        </w:tc>
        <w:tc>
          <w:tcPr>
            <w:tcW w:w="507" w:type="pct"/>
            <w:vAlign w:val="bottom"/>
          </w:tcPr>
          <w:p w:rsidR="00FC1E37" w:rsidRPr="00390699" w:rsidRDefault="00FC1E37" w:rsidP="00932CE7">
            <w:pPr>
              <w:pStyle w:val="TableBodyText"/>
              <w:rPr>
                <w:sz w:val="18"/>
                <w:szCs w:val="18"/>
              </w:rPr>
            </w:pPr>
            <w:r w:rsidRPr="00390699">
              <w:rPr>
                <w:sz w:val="18"/>
                <w:szCs w:val="18"/>
              </w:rPr>
              <w:t>1.4</w:t>
            </w:r>
          </w:p>
        </w:tc>
        <w:tc>
          <w:tcPr>
            <w:tcW w:w="507" w:type="pct"/>
            <w:vAlign w:val="bottom"/>
          </w:tcPr>
          <w:p w:rsidR="00FC1E37" w:rsidRPr="00390699" w:rsidRDefault="00FC1E37" w:rsidP="00932CE7">
            <w:pPr>
              <w:pStyle w:val="TableBodyText"/>
              <w:rPr>
                <w:sz w:val="18"/>
                <w:szCs w:val="18"/>
              </w:rPr>
            </w:pPr>
            <w:r w:rsidRPr="00390699">
              <w:rPr>
                <w:sz w:val="18"/>
                <w:szCs w:val="18"/>
              </w:rPr>
              <w:t>2.1</w:t>
            </w:r>
          </w:p>
        </w:tc>
        <w:tc>
          <w:tcPr>
            <w:tcW w:w="507" w:type="pct"/>
            <w:vAlign w:val="bottom"/>
          </w:tcPr>
          <w:p w:rsidR="00FC1E37" w:rsidRPr="00390699" w:rsidRDefault="00FC1E37" w:rsidP="00932CE7">
            <w:pPr>
              <w:pStyle w:val="TableBodyText"/>
              <w:rPr>
                <w:sz w:val="18"/>
                <w:szCs w:val="18"/>
              </w:rPr>
            </w:pPr>
            <w:r w:rsidRPr="00390699">
              <w:rPr>
                <w:sz w:val="18"/>
                <w:szCs w:val="18"/>
              </w:rPr>
              <w:t>2.1</w:t>
            </w:r>
          </w:p>
        </w:tc>
        <w:tc>
          <w:tcPr>
            <w:tcW w:w="507" w:type="pct"/>
            <w:vAlign w:val="bottom"/>
          </w:tcPr>
          <w:p w:rsidR="00FC1E37" w:rsidRPr="00390699" w:rsidRDefault="00FC1E37" w:rsidP="00932CE7">
            <w:pPr>
              <w:pStyle w:val="TableBodyText"/>
              <w:rPr>
                <w:sz w:val="18"/>
                <w:szCs w:val="18"/>
              </w:rPr>
            </w:pPr>
            <w:r w:rsidRPr="00390699">
              <w:rPr>
                <w:sz w:val="18"/>
                <w:szCs w:val="18"/>
              </w:rPr>
              <w:t>1.3</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1.2</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1.2</w:t>
            </w:r>
          </w:p>
        </w:tc>
      </w:tr>
      <w:tr w:rsidR="00FC1E37" w:rsidRPr="006C5A80" w:rsidTr="005056C8">
        <w:tc>
          <w:tcPr>
            <w:tcW w:w="1959" w:type="pct"/>
            <w:vAlign w:val="bottom"/>
          </w:tcPr>
          <w:p w:rsidR="00FC1E37" w:rsidRPr="00390699" w:rsidRDefault="00FC1E37" w:rsidP="00932CE7">
            <w:pPr>
              <w:pStyle w:val="TableBodyText"/>
              <w:jc w:val="left"/>
              <w:rPr>
                <w:sz w:val="18"/>
                <w:szCs w:val="18"/>
              </w:rPr>
            </w:pPr>
            <w:r w:rsidRPr="00390699">
              <w:rPr>
                <w:sz w:val="18"/>
                <w:szCs w:val="18"/>
              </w:rPr>
              <w:t>Dairy cattle farming</w:t>
            </w:r>
          </w:p>
        </w:tc>
        <w:tc>
          <w:tcPr>
            <w:tcW w:w="507" w:type="pct"/>
            <w:vAlign w:val="bottom"/>
          </w:tcPr>
          <w:p w:rsidR="00FC1E37" w:rsidRPr="00390699" w:rsidRDefault="00FC1E37" w:rsidP="00932CE7">
            <w:pPr>
              <w:pStyle w:val="TableBodyText"/>
              <w:rPr>
                <w:sz w:val="18"/>
                <w:szCs w:val="18"/>
              </w:rPr>
            </w:pPr>
            <w:r w:rsidRPr="00390699">
              <w:rPr>
                <w:sz w:val="18"/>
                <w:szCs w:val="18"/>
              </w:rPr>
              <w:t>0.7</w:t>
            </w:r>
          </w:p>
        </w:tc>
        <w:tc>
          <w:tcPr>
            <w:tcW w:w="507" w:type="pct"/>
            <w:vAlign w:val="bottom"/>
          </w:tcPr>
          <w:p w:rsidR="00FC1E37" w:rsidRPr="00390699" w:rsidRDefault="00FC1E37" w:rsidP="00932CE7">
            <w:pPr>
              <w:pStyle w:val="TableBodyText"/>
              <w:rPr>
                <w:sz w:val="18"/>
                <w:szCs w:val="18"/>
              </w:rPr>
            </w:pPr>
            <w:r w:rsidRPr="00390699">
              <w:rPr>
                <w:sz w:val="18"/>
                <w:szCs w:val="18"/>
              </w:rPr>
              <w:t>2.6</w:t>
            </w:r>
          </w:p>
        </w:tc>
        <w:tc>
          <w:tcPr>
            <w:tcW w:w="507" w:type="pct"/>
            <w:vAlign w:val="bottom"/>
          </w:tcPr>
          <w:p w:rsidR="00FC1E37" w:rsidRPr="00390699" w:rsidRDefault="00FC1E37" w:rsidP="00932CE7">
            <w:pPr>
              <w:pStyle w:val="TableBodyText"/>
              <w:rPr>
                <w:sz w:val="18"/>
                <w:szCs w:val="18"/>
              </w:rPr>
            </w:pPr>
            <w:r w:rsidRPr="00390699">
              <w:rPr>
                <w:sz w:val="18"/>
                <w:szCs w:val="18"/>
              </w:rPr>
              <w:t>3.1</w:t>
            </w:r>
          </w:p>
        </w:tc>
        <w:tc>
          <w:tcPr>
            <w:tcW w:w="507" w:type="pct"/>
            <w:vAlign w:val="bottom"/>
          </w:tcPr>
          <w:p w:rsidR="00FC1E37" w:rsidRPr="00390699" w:rsidRDefault="00FC1E37" w:rsidP="00932CE7">
            <w:pPr>
              <w:pStyle w:val="TableBodyText"/>
              <w:rPr>
                <w:sz w:val="18"/>
                <w:szCs w:val="18"/>
              </w:rPr>
            </w:pPr>
            <w:r w:rsidRPr="00390699">
              <w:rPr>
                <w:sz w:val="18"/>
                <w:szCs w:val="18"/>
              </w:rPr>
              <w:t>1.8</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1.7</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1.7</w:t>
            </w:r>
          </w:p>
        </w:tc>
      </w:tr>
      <w:tr w:rsidR="00FC1E37" w:rsidRPr="006C5A80" w:rsidTr="005056C8">
        <w:tc>
          <w:tcPr>
            <w:tcW w:w="1959" w:type="pct"/>
            <w:vAlign w:val="bottom"/>
          </w:tcPr>
          <w:p w:rsidR="00FC1E37" w:rsidRPr="00390699" w:rsidRDefault="00FC1E37" w:rsidP="00932CE7">
            <w:pPr>
              <w:pStyle w:val="TableBodyText"/>
              <w:jc w:val="left"/>
              <w:rPr>
                <w:sz w:val="18"/>
                <w:szCs w:val="18"/>
              </w:rPr>
            </w:pPr>
            <w:r w:rsidRPr="00390699">
              <w:rPr>
                <w:sz w:val="18"/>
                <w:szCs w:val="18"/>
              </w:rPr>
              <w:t>Other livestock farming</w:t>
            </w:r>
          </w:p>
        </w:tc>
        <w:tc>
          <w:tcPr>
            <w:tcW w:w="507" w:type="pct"/>
            <w:vAlign w:val="bottom"/>
          </w:tcPr>
          <w:p w:rsidR="00FC1E37" w:rsidRPr="00390699" w:rsidRDefault="00FC1E37" w:rsidP="00932CE7">
            <w:pPr>
              <w:pStyle w:val="TableBodyText"/>
              <w:rPr>
                <w:sz w:val="18"/>
                <w:szCs w:val="18"/>
              </w:rPr>
            </w:pPr>
            <w:r w:rsidRPr="00390699">
              <w:rPr>
                <w:sz w:val="18"/>
                <w:szCs w:val="18"/>
              </w:rPr>
              <w:t>0.6</w:t>
            </w:r>
          </w:p>
        </w:tc>
        <w:tc>
          <w:tcPr>
            <w:tcW w:w="507" w:type="pct"/>
            <w:vAlign w:val="bottom"/>
          </w:tcPr>
          <w:p w:rsidR="00FC1E37" w:rsidRPr="00390699" w:rsidRDefault="00FC1E37" w:rsidP="00932CE7">
            <w:pPr>
              <w:pStyle w:val="TableBodyText"/>
              <w:rPr>
                <w:sz w:val="18"/>
                <w:szCs w:val="18"/>
              </w:rPr>
            </w:pPr>
            <w:r w:rsidRPr="00390699">
              <w:rPr>
                <w:sz w:val="18"/>
                <w:szCs w:val="18"/>
              </w:rPr>
              <w:t>0.8</w:t>
            </w:r>
          </w:p>
        </w:tc>
        <w:tc>
          <w:tcPr>
            <w:tcW w:w="507" w:type="pct"/>
            <w:vAlign w:val="bottom"/>
          </w:tcPr>
          <w:p w:rsidR="00FC1E37" w:rsidRPr="00390699" w:rsidRDefault="00FC1E37" w:rsidP="00932CE7">
            <w:pPr>
              <w:pStyle w:val="TableBodyText"/>
              <w:rPr>
                <w:sz w:val="18"/>
                <w:szCs w:val="18"/>
              </w:rPr>
            </w:pPr>
            <w:r w:rsidRPr="00390699">
              <w:rPr>
                <w:sz w:val="18"/>
                <w:szCs w:val="18"/>
              </w:rPr>
              <w:t>1.9</w:t>
            </w:r>
          </w:p>
        </w:tc>
        <w:tc>
          <w:tcPr>
            <w:tcW w:w="507" w:type="pct"/>
            <w:vAlign w:val="bottom"/>
          </w:tcPr>
          <w:p w:rsidR="00FC1E37" w:rsidRPr="00390699" w:rsidRDefault="00FC1E37" w:rsidP="00932CE7">
            <w:pPr>
              <w:pStyle w:val="TableBodyText"/>
              <w:rPr>
                <w:sz w:val="18"/>
                <w:szCs w:val="18"/>
              </w:rPr>
            </w:pPr>
            <w:r w:rsidRPr="00390699">
              <w:rPr>
                <w:sz w:val="18"/>
                <w:szCs w:val="18"/>
              </w:rPr>
              <w:t>1.4</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1.3</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1.3</w:t>
            </w:r>
          </w:p>
        </w:tc>
      </w:tr>
      <w:tr w:rsidR="00FC1E37" w:rsidRPr="006C5A80" w:rsidTr="005056C8">
        <w:tc>
          <w:tcPr>
            <w:tcW w:w="1959" w:type="pct"/>
            <w:vAlign w:val="bottom"/>
          </w:tcPr>
          <w:p w:rsidR="00FC1E37" w:rsidRPr="00390699" w:rsidRDefault="00FC1E37" w:rsidP="00932CE7">
            <w:pPr>
              <w:pStyle w:val="TableBodyText"/>
              <w:jc w:val="left"/>
              <w:rPr>
                <w:sz w:val="18"/>
                <w:szCs w:val="18"/>
              </w:rPr>
            </w:pPr>
            <w:r w:rsidRPr="00390699">
              <w:rPr>
                <w:sz w:val="18"/>
                <w:szCs w:val="18"/>
              </w:rPr>
              <w:t>Aquaculture and fishing</w:t>
            </w:r>
          </w:p>
        </w:tc>
        <w:tc>
          <w:tcPr>
            <w:tcW w:w="507" w:type="pct"/>
            <w:vAlign w:val="bottom"/>
          </w:tcPr>
          <w:p w:rsidR="00FC1E37" w:rsidRPr="00390699" w:rsidRDefault="00FC1E37" w:rsidP="00932CE7">
            <w:pPr>
              <w:pStyle w:val="TableBodyText"/>
              <w:rPr>
                <w:sz w:val="18"/>
                <w:szCs w:val="18"/>
              </w:rPr>
            </w:pPr>
            <w:r w:rsidRPr="00390699">
              <w:rPr>
                <w:sz w:val="18"/>
                <w:szCs w:val="18"/>
              </w:rPr>
              <w:t>1.2</w:t>
            </w:r>
          </w:p>
        </w:tc>
        <w:tc>
          <w:tcPr>
            <w:tcW w:w="507" w:type="pct"/>
            <w:vAlign w:val="bottom"/>
          </w:tcPr>
          <w:p w:rsidR="00FC1E37" w:rsidRPr="00390699" w:rsidRDefault="00FC1E37" w:rsidP="00932CE7">
            <w:pPr>
              <w:pStyle w:val="TableBodyText"/>
              <w:rPr>
                <w:sz w:val="18"/>
                <w:szCs w:val="18"/>
              </w:rPr>
            </w:pPr>
            <w:r w:rsidRPr="00390699">
              <w:rPr>
                <w:sz w:val="18"/>
                <w:szCs w:val="18"/>
              </w:rPr>
              <w:t>0.3</w:t>
            </w:r>
          </w:p>
        </w:tc>
        <w:tc>
          <w:tcPr>
            <w:tcW w:w="507" w:type="pct"/>
            <w:vAlign w:val="bottom"/>
          </w:tcPr>
          <w:p w:rsidR="00FC1E37" w:rsidRPr="00390699" w:rsidRDefault="004D1EF0" w:rsidP="00932CE7">
            <w:pPr>
              <w:pStyle w:val="TableBodyText"/>
              <w:rPr>
                <w:sz w:val="18"/>
                <w:szCs w:val="18"/>
              </w:rPr>
            </w:pPr>
            <w:r>
              <w:rPr>
                <w:sz w:val="18"/>
                <w:szCs w:val="18"/>
              </w:rPr>
              <w:noBreakHyphen/>
            </w:r>
          </w:p>
        </w:tc>
        <w:tc>
          <w:tcPr>
            <w:tcW w:w="507" w:type="pct"/>
            <w:vAlign w:val="bottom"/>
          </w:tcPr>
          <w:p w:rsidR="00FC1E37" w:rsidRPr="00390699" w:rsidRDefault="00FC1E37" w:rsidP="00932CE7">
            <w:pPr>
              <w:pStyle w:val="TableBodyText"/>
              <w:rPr>
                <w:sz w:val="18"/>
                <w:szCs w:val="18"/>
              </w:rPr>
            </w:pPr>
            <w:r w:rsidRPr="00390699">
              <w:rPr>
                <w:sz w:val="18"/>
                <w:szCs w:val="18"/>
              </w:rPr>
              <w:t>0.3</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0.3</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0.3</w:t>
            </w:r>
          </w:p>
        </w:tc>
      </w:tr>
      <w:tr w:rsidR="00FC1E37" w:rsidRPr="006C5A80" w:rsidTr="005056C8">
        <w:tc>
          <w:tcPr>
            <w:tcW w:w="1959" w:type="pct"/>
            <w:vAlign w:val="bottom"/>
          </w:tcPr>
          <w:p w:rsidR="00FC1E37" w:rsidRPr="00390699" w:rsidRDefault="00FC1E37" w:rsidP="00932CE7">
            <w:pPr>
              <w:pStyle w:val="TableBodyText"/>
              <w:jc w:val="left"/>
              <w:rPr>
                <w:sz w:val="18"/>
                <w:szCs w:val="18"/>
              </w:rPr>
            </w:pPr>
            <w:r w:rsidRPr="00390699">
              <w:rPr>
                <w:sz w:val="18"/>
                <w:szCs w:val="18"/>
              </w:rPr>
              <w:t>Forestry and logging</w:t>
            </w:r>
          </w:p>
        </w:tc>
        <w:tc>
          <w:tcPr>
            <w:tcW w:w="507" w:type="pct"/>
            <w:vAlign w:val="bottom"/>
          </w:tcPr>
          <w:p w:rsidR="00FC1E37" w:rsidRPr="00390699" w:rsidRDefault="00FC1E37" w:rsidP="00932CE7">
            <w:pPr>
              <w:pStyle w:val="TableBodyText"/>
              <w:rPr>
                <w:sz w:val="18"/>
                <w:szCs w:val="18"/>
              </w:rPr>
            </w:pPr>
            <w:r w:rsidRPr="00390699">
              <w:rPr>
                <w:sz w:val="18"/>
                <w:szCs w:val="18"/>
              </w:rPr>
              <w:t>1.6</w:t>
            </w:r>
          </w:p>
        </w:tc>
        <w:tc>
          <w:tcPr>
            <w:tcW w:w="507" w:type="pct"/>
            <w:vAlign w:val="bottom"/>
          </w:tcPr>
          <w:p w:rsidR="00FC1E37" w:rsidRPr="00390699" w:rsidRDefault="00FC1E37" w:rsidP="00932CE7">
            <w:pPr>
              <w:pStyle w:val="TableBodyText"/>
              <w:rPr>
                <w:sz w:val="18"/>
                <w:szCs w:val="18"/>
              </w:rPr>
            </w:pPr>
            <w:r w:rsidRPr="00390699">
              <w:rPr>
                <w:sz w:val="18"/>
                <w:szCs w:val="18"/>
              </w:rPr>
              <w:t>4.4</w:t>
            </w:r>
          </w:p>
        </w:tc>
        <w:tc>
          <w:tcPr>
            <w:tcW w:w="507" w:type="pct"/>
            <w:vAlign w:val="bottom"/>
          </w:tcPr>
          <w:p w:rsidR="00FC1E37" w:rsidRPr="00390699" w:rsidRDefault="00FC1E37" w:rsidP="00932CE7">
            <w:pPr>
              <w:pStyle w:val="TableBodyText"/>
              <w:rPr>
                <w:sz w:val="18"/>
                <w:szCs w:val="18"/>
              </w:rPr>
            </w:pPr>
            <w:r w:rsidRPr="00390699">
              <w:rPr>
                <w:sz w:val="18"/>
                <w:szCs w:val="18"/>
              </w:rPr>
              <w:t>3.1</w:t>
            </w:r>
          </w:p>
        </w:tc>
        <w:tc>
          <w:tcPr>
            <w:tcW w:w="507" w:type="pct"/>
            <w:vAlign w:val="bottom"/>
          </w:tcPr>
          <w:p w:rsidR="00FC1E37" w:rsidRPr="00390699" w:rsidRDefault="00FC1E37" w:rsidP="00932CE7">
            <w:pPr>
              <w:pStyle w:val="TableBodyText"/>
              <w:rPr>
                <w:sz w:val="18"/>
                <w:szCs w:val="18"/>
              </w:rPr>
            </w:pPr>
            <w:r w:rsidRPr="00390699">
              <w:rPr>
                <w:sz w:val="18"/>
                <w:szCs w:val="18"/>
              </w:rPr>
              <w:t>3.3</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3.1</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3.1</w:t>
            </w:r>
          </w:p>
        </w:tc>
      </w:tr>
      <w:tr w:rsidR="00FC1E37" w:rsidRPr="006C5A80" w:rsidTr="005056C8">
        <w:tc>
          <w:tcPr>
            <w:tcW w:w="1959" w:type="pct"/>
            <w:vAlign w:val="bottom"/>
          </w:tcPr>
          <w:p w:rsidR="00FC1E37" w:rsidRPr="00390699" w:rsidRDefault="00FC1E37" w:rsidP="00932CE7">
            <w:pPr>
              <w:pStyle w:val="TableBodyText"/>
              <w:jc w:val="left"/>
              <w:rPr>
                <w:sz w:val="18"/>
                <w:szCs w:val="18"/>
              </w:rPr>
            </w:pPr>
            <w:r w:rsidRPr="00390699">
              <w:rPr>
                <w:sz w:val="18"/>
                <w:szCs w:val="18"/>
              </w:rPr>
              <w:t>Primary production support services</w:t>
            </w:r>
          </w:p>
        </w:tc>
        <w:tc>
          <w:tcPr>
            <w:tcW w:w="507" w:type="pct"/>
            <w:vAlign w:val="bottom"/>
          </w:tcPr>
          <w:p w:rsidR="00FC1E37" w:rsidRPr="00390699" w:rsidRDefault="00FC1E37" w:rsidP="00932CE7">
            <w:pPr>
              <w:pStyle w:val="TableBodyText"/>
              <w:rPr>
                <w:sz w:val="18"/>
                <w:szCs w:val="18"/>
              </w:rPr>
            </w:pPr>
            <w:r w:rsidRPr="00390699">
              <w:rPr>
                <w:sz w:val="18"/>
                <w:szCs w:val="18"/>
              </w:rPr>
              <w:t>0.5</w:t>
            </w:r>
          </w:p>
        </w:tc>
        <w:tc>
          <w:tcPr>
            <w:tcW w:w="507" w:type="pct"/>
            <w:vAlign w:val="bottom"/>
          </w:tcPr>
          <w:p w:rsidR="00FC1E37" w:rsidRPr="00390699" w:rsidRDefault="00FC1E37" w:rsidP="00932CE7">
            <w:pPr>
              <w:pStyle w:val="TableBodyText"/>
              <w:rPr>
                <w:sz w:val="18"/>
                <w:szCs w:val="18"/>
              </w:rPr>
            </w:pPr>
            <w:r w:rsidRPr="00390699">
              <w:rPr>
                <w:sz w:val="18"/>
                <w:szCs w:val="18"/>
              </w:rPr>
              <w:t>4.5</w:t>
            </w:r>
          </w:p>
        </w:tc>
        <w:tc>
          <w:tcPr>
            <w:tcW w:w="507" w:type="pct"/>
            <w:vAlign w:val="bottom"/>
          </w:tcPr>
          <w:p w:rsidR="00FC1E37" w:rsidRPr="00390699" w:rsidRDefault="00FC1E37" w:rsidP="00932CE7">
            <w:pPr>
              <w:pStyle w:val="TableBodyText"/>
              <w:rPr>
                <w:sz w:val="18"/>
                <w:szCs w:val="18"/>
              </w:rPr>
            </w:pPr>
            <w:r w:rsidRPr="00390699">
              <w:rPr>
                <w:sz w:val="18"/>
                <w:szCs w:val="18"/>
              </w:rPr>
              <w:t>1.7</w:t>
            </w:r>
          </w:p>
        </w:tc>
        <w:tc>
          <w:tcPr>
            <w:tcW w:w="507" w:type="pct"/>
            <w:vAlign w:val="bottom"/>
          </w:tcPr>
          <w:p w:rsidR="00FC1E37" w:rsidRPr="00390699" w:rsidRDefault="00FC1E37" w:rsidP="00932CE7">
            <w:pPr>
              <w:pStyle w:val="TableBodyText"/>
              <w:rPr>
                <w:sz w:val="18"/>
                <w:szCs w:val="18"/>
              </w:rPr>
            </w:pPr>
            <w:r w:rsidRPr="00390699">
              <w:rPr>
                <w:sz w:val="18"/>
                <w:szCs w:val="18"/>
              </w:rPr>
              <w:t>0.8</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0.8</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0.8</w:t>
            </w:r>
          </w:p>
        </w:tc>
      </w:tr>
      <w:tr w:rsidR="00FC1E37" w:rsidRPr="006C5A80" w:rsidTr="005056C8">
        <w:tc>
          <w:tcPr>
            <w:tcW w:w="1959" w:type="pct"/>
            <w:vAlign w:val="bottom"/>
          </w:tcPr>
          <w:p w:rsidR="00FC1E37" w:rsidRPr="00390699" w:rsidRDefault="00FC1E37" w:rsidP="00932CE7">
            <w:pPr>
              <w:pStyle w:val="TableBodyText"/>
              <w:jc w:val="left"/>
              <w:rPr>
                <w:sz w:val="18"/>
                <w:szCs w:val="18"/>
              </w:rPr>
            </w:pPr>
            <w:r w:rsidRPr="00390699">
              <w:rPr>
                <w:sz w:val="18"/>
                <w:szCs w:val="18"/>
              </w:rPr>
              <w:t>Mining</w:t>
            </w:r>
          </w:p>
        </w:tc>
        <w:tc>
          <w:tcPr>
            <w:tcW w:w="507" w:type="pct"/>
            <w:vAlign w:val="bottom"/>
          </w:tcPr>
          <w:p w:rsidR="00FC1E37" w:rsidRPr="00F05886" w:rsidRDefault="00FC1E37" w:rsidP="00932CE7">
            <w:pPr>
              <w:pStyle w:val="TableBodyText"/>
              <w:rPr>
                <w:b/>
                <w:sz w:val="18"/>
                <w:szCs w:val="18"/>
              </w:rPr>
            </w:pPr>
            <w:r w:rsidRPr="00F05886">
              <w:rPr>
                <w:b/>
                <w:sz w:val="18"/>
                <w:szCs w:val="18"/>
              </w:rPr>
              <w:t>0.6</w:t>
            </w:r>
          </w:p>
        </w:tc>
        <w:tc>
          <w:tcPr>
            <w:tcW w:w="507" w:type="pct"/>
            <w:vAlign w:val="bottom"/>
          </w:tcPr>
          <w:p w:rsidR="00FC1E37" w:rsidRPr="00F05886" w:rsidRDefault="00FC1E37" w:rsidP="00932CE7">
            <w:pPr>
              <w:pStyle w:val="TableBodyText"/>
              <w:rPr>
                <w:b/>
                <w:sz w:val="18"/>
                <w:szCs w:val="18"/>
              </w:rPr>
            </w:pPr>
            <w:r w:rsidRPr="00F05886">
              <w:rPr>
                <w:b/>
                <w:sz w:val="18"/>
                <w:szCs w:val="18"/>
              </w:rPr>
              <w:t>1.4</w:t>
            </w:r>
          </w:p>
        </w:tc>
        <w:tc>
          <w:tcPr>
            <w:tcW w:w="507" w:type="pct"/>
            <w:vAlign w:val="bottom"/>
          </w:tcPr>
          <w:p w:rsidR="00FC1E37" w:rsidRPr="00F05886" w:rsidRDefault="00FC1E37" w:rsidP="00932CE7">
            <w:pPr>
              <w:pStyle w:val="TableBodyText"/>
              <w:rPr>
                <w:b/>
                <w:sz w:val="18"/>
                <w:szCs w:val="18"/>
              </w:rPr>
            </w:pPr>
            <w:r w:rsidRPr="00F05886">
              <w:rPr>
                <w:b/>
                <w:sz w:val="18"/>
                <w:szCs w:val="18"/>
              </w:rPr>
              <w:t>0.5</w:t>
            </w:r>
          </w:p>
        </w:tc>
        <w:tc>
          <w:tcPr>
            <w:tcW w:w="507" w:type="pct"/>
            <w:vAlign w:val="bottom"/>
          </w:tcPr>
          <w:p w:rsidR="00FC1E37" w:rsidRPr="00F05886" w:rsidRDefault="00FC1E37" w:rsidP="00932CE7">
            <w:pPr>
              <w:pStyle w:val="TableBodyText"/>
              <w:rPr>
                <w:b/>
                <w:sz w:val="18"/>
                <w:szCs w:val="18"/>
              </w:rPr>
            </w:pPr>
            <w:r w:rsidRPr="00F05886">
              <w:rPr>
                <w:b/>
                <w:sz w:val="18"/>
                <w:szCs w:val="18"/>
              </w:rPr>
              <w:t>0.9</w:t>
            </w:r>
          </w:p>
        </w:tc>
        <w:tc>
          <w:tcPr>
            <w:tcW w:w="507" w:type="pct"/>
            <w:shd w:val="clear" w:color="auto" w:fill="auto"/>
            <w:vAlign w:val="bottom"/>
          </w:tcPr>
          <w:p w:rsidR="00FC1E37" w:rsidRPr="00F05886" w:rsidRDefault="00FC1E37" w:rsidP="00932CE7">
            <w:pPr>
              <w:pStyle w:val="TableBodyText"/>
              <w:rPr>
                <w:b/>
                <w:sz w:val="18"/>
                <w:szCs w:val="18"/>
              </w:rPr>
            </w:pPr>
            <w:r w:rsidRPr="00F05886">
              <w:rPr>
                <w:b/>
                <w:sz w:val="18"/>
                <w:szCs w:val="18"/>
              </w:rPr>
              <w:t>0.8</w:t>
            </w:r>
          </w:p>
        </w:tc>
        <w:tc>
          <w:tcPr>
            <w:tcW w:w="507" w:type="pct"/>
            <w:shd w:val="clear" w:color="auto" w:fill="auto"/>
            <w:vAlign w:val="bottom"/>
          </w:tcPr>
          <w:p w:rsidR="00FC1E37" w:rsidRPr="00F05886" w:rsidRDefault="00FC1E37" w:rsidP="00932CE7">
            <w:pPr>
              <w:pStyle w:val="TableBodyText"/>
              <w:rPr>
                <w:b/>
                <w:sz w:val="18"/>
                <w:szCs w:val="18"/>
              </w:rPr>
            </w:pPr>
            <w:r w:rsidRPr="00F05886">
              <w:rPr>
                <w:b/>
                <w:sz w:val="18"/>
                <w:szCs w:val="18"/>
              </w:rPr>
              <w:t>0.8</w:t>
            </w:r>
          </w:p>
        </w:tc>
      </w:tr>
      <w:tr w:rsidR="00FC1E37" w:rsidRPr="006C5A80" w:rsidTr="005056C8">
        <w:tc>
          <w:tcPr>
            <w:tcW w:w="1959" w:type="pct"/>
            <w:vAlign w:val="bottom"/>
          </w:tcPr>
          <w:p w:rsidR="00FC1E37" w:rsidRPr="00390699" w:rsidRDefault="00FC1E37" w:rsidP="00932CE7">
            <w:pPr>
              <w:pStyle w:val="TableBodyText"/>
              <w:jc w:val="left"/>
              <w:rPr>
                <w:b/>
                <w:sz w:val="18"/>
                <w:szCs w:val="18"/>
              </w:rPr>
            </w:pPr>
            <w:r w:rsidRPr="00390699">
              <w:rPr>
                <w:b/>
                <w:sz w:val="18"/>
                <w:szCs w:val="18"/>
              </w:rPr>
              <w:t>Manufacturing</w:t>
            </w:r>
          </w:p>
        </w:tc>
        <w:tc>
          <w:tcPr>
            <w:tcW w:w="507" w:type="pct"/>
            <w:vAlign w:val="bottom"/>
          </w:tcPr>
          <w:p w:rsidR="00FC1E37" w:rsidRPr="00390699" w:rsidRDefault="00FC1E37" w:rsidP="00FC1E37">
            <w:pPr>
              <w:pStyle w:val="TableBodyText"/>
              <w:rPr>
                <w:b/>
                <w:sz w:val="18"/>
                <w:szCs w:val="18"/>
              </w:rPr>
            </w:pPr>
            <w:r w:rsidRPr="00390699">
              <w:rPr>
                <w:b/>
                <w:sz w:val="18"/>
                <w:szCs w:val="18"/>
              </w:rPr>
              <w:t>7.3</w:t>
            </w:r>
          </w:p>
        </w:tc>
        <w:tc>
          <w:tcPr>
            <w:tcW w:w="507" w:type="pct"/>
            <w:vAlign w:val="bottom"/>
          </w:tcPr>
          <w:p w:rsidR="00FC1E37" w:rsidRPr="00390699" w:rsidRDefault="00FC1E37" w:rsidP="00FC1E37">
            <w:pPr>
              <w:pStyle w:val="TableBodyText"/>
              <w:rPr>
                <w:b/>
                <w:sz w:val="18"/>
                <w:szCs w:val="18"/>
              </w:rPr>
            </w:pPr>
            <w:r w:rsidRPr="00390699">
              <w:rPr>
                <w:b/>
                <w:sz w:val="18"/>
                <w:szCs w:val="18"/>
              </w:rPr>
              <w:t>14.5</w:t>
            </w:r>
          </w:p>
        </w:tc>
        <w:tc>
          <w:tcPr>
            <w:tcW w:w="507" w:type="pct"/>
            <w:vAlign w:val="bottom"/>
          </w:tcPr>
          <w:p w:rsidR="00FC1E37" w:rsidRPr="00390699" w:rsidRDefault="00FC1E37" w:rsidP="00FC1E37">
            <w:pPr>
              <w:pStyle w:val="TableBodyText"/>
              <w:rPr>
                <w:b/>
                <w:sz w:val="18"/>
                <w:szCs w:val="18"/>
              </w:rPr>
            </w:pPr>
            <w:r w:rsidRPr="00390699">
              <w:rPr>
                <w:b/>
                <w:sz w:val="18"/>
                <w:szCs w:val="18"/>
              </w:rPr>
              <w:t>15.0</w:t>
            </w:r>
          </w:p>
        </w:tc>
        <w:tc>
          <w:tcPr>
            <w:tcW w:w="507" w:type="pct"/>
            <w:vAlign w:val="bottom"/>
          </w:tcPr>
          <w:p w:rsidR="00FC1E37" w:rsidRPr="00390699" w:rsidRDefault="00FC1E37" w:rsidP="00FC1E37">
            <w:pPr>
              <w:pStyle w:val="TableBodyText"/>
              <w:rPr>
                <w:b/>
                <w:sz w:val="18"/>
                <w:szCs w:val="18"/>
              </w:rPr>
            </w:pPr>
            <w:r w:rsidRPr="00390699">
              <w:rPr>
                <w:b/>
                <w:sz w:val="18"/>
                <w:szCs w:val="18"/>
              </w:rPr>
              <w:t>4.7</w:t>
            </w:r>
          </w:p>
        </w:tc>
        <w:tc>
          <w:tcPr>
            <w:tcW w:w="507" w:type="pct"/>
            <w:shd w:val="clear" w:color="auto" w:fill="auto"/>
            <w:vAlign w:val="bottom"/>
          </w:tcPr>
          <w:p w:rsidR="00FC1E37" w:rsidRPr="00390699" w:rsidRDefault="00FC1E37" w:rsidP="00FC1E37">
            <w:pPr>
              <w:pStyle w:val="TableBodyText"/>
              <w:rPr>
                <w:b/>
                <w:sz w:val="18"/>
                <w:szCs w:val="18"/>
              </w:rPr>
            </w:pPr>
            <w:r w:rsidRPr="00390699">
              <w:rPr>
                <w:b/>
                <w:sz w:val="18"/>
                <w:szCs w:val="18"/>
              </w:rPr>
              <w:t>4.4</w:t>
            </w:r>
          </w:p>
        </w:tc>
        <w:tc>
          <w:tcPr>
            <w:tcW w:w="507" w:type="pct"/>
            <w:shd w:val="clear" w:color="auto" w:fill="auto"/>
            <w:vAlign w:val="bottom"/>
          </w:tcPr>
          <w:p w:rsidR="00FC1E37" w:rsidRPr="00390699" w:rsidRDefault="00FC1E37" w:rsidP="00FC1E37">
            <w:pPr>
              <w:pStyle w:val="TableBodyText"/>
              <w:rPr>
                <w:b/>
                <w:sz w:val="18"/>
                <w:szCs w:val="18"/>
              </w:rPr>
            </w:pPr>
            <w:r w:rsidRPr="00390699">
              <w:rPr>
                <w:b/>
                <w:sz w:val="18"/>
                <w:szCs w:val="18"/>
              </w:rPr>
              <w:t>4.4</w:t>
            </w:r>
          </w:p>
        </w:tc>
      </w:tr>
      <w:tr w:rsidR="00FC1E37" w:rsidRPr="006C5A80" w:rsidTr="005056C8">
        <w:tc>
          <w:tcPr>
            <w:tcW w:w="1959" w:type="pct"/>
            <w:vAlign w:val="bottom"/>
          </w:tcPr>
          <w:p w:rsidR="00FC1E37" w:rsidRPr="00390699" w:rsidRDefault="00FC1E37" w:rsidP="00932CE7">
            <w:pPr>
              <w:pStyle w:val="TableBodyText"/>
              <w:jc w:val="left"/>
              <w:rPr>
                <w:sz w:val="18"/>
                <w:szCs w:val="18"/>
              </w:rPr>
            </w:pPr>
            <w:r w:rsidRPr="00390699">
              <w:rPr>
                <w:sz w:val="18"/>
                <w:szCs w:val="18"/>
              </w:rPr>
              <w:t>Food, beverages and tobacco</w:t>
            </w:r>
          </w:p>
        </w:tc>
        <w:tc>
          <w:tcPr>
            <w:tcW w:w="507" w:type="pct"/>
            <w:vAlign w:val="bottom"/>
          </w:tcPr>
          <w:p w:rsidR="00FC1E37" w:rsidRPr="00390699" w:rsidRDefault="00FC1E37" w:rsidP="00932CE7">
            <w:pPr>
              <w:pStyle w:val="TableBodyText"/>
              <w:rPr>
                <w:sz w:val="18"/>
                <w:szCs w:val="18"/>
              </w:rPr>
            </w:pPr>
            <w:r w:rsidRPr="00390699">
              <w:rPr>
                <w:sz w:val="18"/>
                <w:szCs w:val="18"/>
              </w:rPr>
              <w:t>2.1</w:t>
            </w:r>
          </w:p>
        </w:tc>
        <w:tc>
          <w:tcPr>
            <w:tcW w:w="507" w:type="pct"/>
            <w:vAlign w:val="bottom"/>
          </w:tcPr>
          <w:p w:rsidR="00FC1E37" w:rsidRPr="00390699" w:rsidRDefault="00FC1E37" w:rsidP="00932CE7">
            <w:pPr>
              <w:pStyle w:val="TableBodyText"/>
              <w:rPr>
                <w:sz w:val="18"/>
                <w:szCs w:val="18"/>
              </w:rPr>
            </w:pPr>
            <w:r w:rsidRPr="00390699">
              <w:rPr>
                <w:sz w:val="18"/>
                <w:szCs w:val="18"/>
              </w:rPr>
              <w:t>1.5</w:t>
            </w:r>
          </w:p>
        </w:tc>
        <w:tc>
          <w:tcPr>
            <w:tcW w:w="507" w:type="pct"/>
            <w:vAlign w:val="bottom"/>
          </w:tcPr>
          <w:p w:rsidR="00FC1E37" w:rsidRPr="00390699" w:rsidRDefault="00FC1E37" w:rsidP="00932CE7">
            <w:pPr>
              <w:pStyle w:val="TableBodyText"/>
              <w:rPr>
                <w:sz w:val="18"/>
                <w:szCs w:val="18"/>
              </w:rPr>
            </w:pPr>
            <w:r w:rsidRPr="00390699">
              <w:rPr>
                <w:sz w:val="18"/>
                <w:szCs w:val="18"/>
              </w:rPr>
              <w:t>1.8</w:t>
            </w:r>
          </w:p>
        </w:tc>
        <w:tc>
          <w:tcPr>
            <w:tcW w:w="507" w:type="pct"/>
            <w:vAlign w:val="bottom"/>
          </w:tcPr>
          <w:p w:rsidR="00FC1E37" w:rsidRPr="00390699" w:rsidRDefault="00FC1E37" w:rsidP="00932CE7">
            <w:pPr>
              <w:pStyle w:val="TableBodyText"/>
              <w:rPr>
                <w:sz w:val="18"/>
                <w:szCs w:val="18"/>
              </w:rPr>
            </w:pPr>
            <w:r w:rsidRPr="00390699">
              <w:rPr>
                <w:sz w:val="18"/>
                <w:szCs w:val="18"/>
              </w:rPr>
              <w:t>1.8</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1.7</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1.7</w:t>
            </w:r>
          </w:p>
        </w:tc>
      </w:tr>
      <w:tr w:rsidR="00FC1E37" w:rsidRPr="006C5A80" w:rsidTr="005056C8">
        <w:tc>
          <w:tcPr>
            <w:tcW w:w="1959" w:type="pct"/>
            <w:vAlign w:val="bottom"/>
          </w:tcPr>
          <w:p w:rsidR="00FC1E37" w:rsidRPr="00390699" w:rsidRDefault="00FC1E37" w:rsidP="00932CE7">
            <w:pPr>
              <w:pStyle w:val="TableBodyText"/>
              <w:jc w:val="left"/>
              <w:rPr>
                <w:sz w:val="18"/>
                <w:szCs w:val="18"/>
              </w:rPr>
            </w:pPr>
            <w:r w:rsidRPr="00390699">
              <w:rPr>
                <w:sz w:val="18"/>
                <w:szCs w:val="18"/>
              </w:rPr>
              <w:t>Textile, leather, clothing and footwear</w:t>
            </w:r>
          </w:p>
        </w:tc>
        <w:tc>
          <w:tcPr>
            <w:tcW w:w="507" w:type="pct"/>
            <w:vAlign w:val="bottom"/>
          </w:tcPr>
          <w:p w:rsidR="00FC1E37" w:rsidRPr="00390699" w:rsidRDefault="00FC1E37" w:rsidP="00932CE7">
            <w:pPr>
              <w:pStyle w:val="TableBodyText"/>
              <w:rPr>
                <w:sz w:val="18"/>
                <w:szCs w:val="18"/>
              </w:rPr>
            </w:pPr>
            <w:r w:rsidRPr="00390699">
              <w:rPr>
                <w:sz w:val="18"/>
                <w:szCs w:val="18"/>
              </w:rPr>
              <w:t>0.8</w:t>
            </w:r>
          </w:p>
        </w:tc>
        <w:tc>
          <w:tcPr>
            <w:tcW w:w="507" w:type="pct"/>
            <w:vAlign w:val="bottom"/>
          </w:tcPr>
          <w:p w:rsidR="00FC1E37" w:rsidRPr="00390699" w:rsidRDefault="00FC1E37" w:rsidP="00932CE7">
            <w:pPr>
              <w:pStyle w:val="TableBodyText"/>
              <w:rPr>
                <w:sz w:val="18"/>
                <w:szCs w:val="18"/>
              </w:rPr>
            </w:pPr>
            <w:r w:rsidRPr="00390699">
              <w:rPr>
                <w:sz w:val="18"/>
                <w:szCs w:val="18"/>
              </w:rPr>
              <w:t>0.5</w:t>
            </w:r>
          </w:p>
        </w:tc>
        <w:tc>
          <w:tcPr>
            <w:tcW w:w="507" w:type="pct"/>
            <w:vAlign w:val="bottom"/>
          </w:tcPr>
          <w:p w:rsidR="00FC1E37" w:rsidRPr="00390699" w:rsidRDefault="004D1EF0" w:rsidP="00932CE7">
            <w:pPr>
              <w:pStyle w:val="TableBodyText"/>
              <w:rPr>
                <w:sz w:val="18"/>
                <w:szCs w:val="18"/>
              </w:rPr>
            </w:pPr>
            <w:r>
              <w:rPr>
                <w:sz w:val="18"/>
                <w:szCs w:val="18"/>
              </w:rPr>
              <w:noBreakHyphen/>
            </w:r>
          </w:p>
        </w:tc>
        <w:tc>
          <w:tcPr>
            <w:tcW w:w="507" w:type="pct"/>
            <w:vAlign w:val="bottom"/>
          </w:tcPr>
          <w:p w:rsidR="00FC1E37" w:rsidRPr="00390699" w:rsidRDefault="00FC1E37" w:rsidP="00932CE7">
            <w:pPr>
              <w:pStyle w:val="TableBodyText"/>
              <w:rPr>
                <w:sz w:val="18"/>
                <w:szCs w:val="18"/>
              </w:rPr>
            </w:pPr>
            <w:r w:rsidRPr="00390699">
              <w:rPr>
                <w:sz w:val="18"/>
                <w:szCs w:val="18"/>
              </w:rPr>
              <w:t>0.3</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0.3</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0.3</w:t>
            </w:r>
          </w:p>
        </w:tc>
      </w:tr>
      <w:tr w:rsidR="00FC1E37" w:rsidRPr="006C5A80" w:rsidTr="005056C8">
        <w:tc>
          <w:tcPr>
            <w:tcW w:w="1959" w:type="pct"/>
            <w:vAlign w:val="bottom"/>
          </w:tcPr>
          <w:p w:rsidR="00FC1E37" w:rsidRPr="00390699" w:rsidRDefault="00FC1E37" w:rsidP="00932CE7">
            <w:pPr>
              <w:pStyle w:val="TableBodyText"/>
              <w:jc w:val="left"/>
              <w:rPr>
                <w:sz w:val="18"/>
                <w:szCs w:val="18"/>
              </w:rPr>
            </w:pPr>
            <w:r w:rsidRPr="00390699">
              <w:rPr>
                <w:sz w:val="18"/>
                <w:szCs w:val="18"/>
              </w:rPr>
              <w:t>Wood and paper products</w:t>
            </w:r>
          </w:p>
        </w:tc>
        <w:tc>
          <w:tcPr>
            <w:tcW w:w="507" w:type="pct"/>
            <w:vAlign w:val="bottom"/>
          </w:tcPr>
          <w:p w:rsidR="00FC1E37" w:rsidRPr="00390699" w:rsidRDefault="004D1EF0" w:rsidP="00932CE7">
            <w:pPr>
              <w:pStyle w:val="TableBodyText"/>
              <w:rPr>
                <w:sz w:val="18"/>
                <w:szCs w:val="18"/>
              </w:rPr>
            </w:pPr>
            <w:r>
              <w:rPr>
                <w:sz w:val="18"/>
                <w:szCs w:val="18"/>
              </w:rPr>
              <w:noBreakHyphen/>
            </w:r>
          </w:p>
        </w:tc>
        <w:tc>
          <w:tcPr>
            <w:tcW w:w="507" w:type="pct"/>
            <w:vAlign w:val="bottom"/>
          </w:tcPr>
          <w:p w:rsidR="00FC1E37" w:rsidRPr="00390699" w:rsidRDefault="004D1EF0" w:rsidP="00932CE7">
            <w:pPr>
              <w:pStyle w:val="TableBodyText"/>
              <w:rPr>
                <w:sz w:val="18"/>
                <w:szCs w:val="18"/>
              </w:rPr>
            </w:pPr>
            <w:r>
              <w:rPr>
                <w:sz w:val="18"/>
                <w:szCs w:val="18"/>
              </w:rPr>
              <w:noBreakHyphen/>
            </w:r>
          </w:p>
        </w:tc>
        <w:tc>
          <w:tcPr>
            <w:tcW w:w="507" w:type="pct"/>
            <w:vAlign w:val="bottom"/>
          </w:tcPr>
          <w:p w:rsidR="00FC1E37" w:rsidRPr="00390699" w:rsidRDefault="00FC1E37" w:rsidP="00932CE7">
            <w:pPr>
              <w:pStyle w:val="TableBodyText"/>
              <w:rPr>
                <w:sz w:val="18"/>
                <w:szCs w:val="18"/>
              </w:rPr>
            </w:pPr>
            <w:r w:rsidRPr="00390699">
              <w:rPr>
                <w:sz w:val="18"/>
                <w:szCs w:val="18"/>
              </w:rPr>
              <w:t>1.4</w:t>
            </w:r>
          </w:p>
        </w:tc>
        <w:tc>
          <w:tcPr>
            <w:tcW w:w="507" w:type="pct"/>
            <w:vAlign w:val="bottom"/>
          </w:tcPr>
          <w:p w:rsidR="00FC1E37" w:rsidRPr="00390699" w:rsidRDefault="00FC1E37" w:rsidP="00932CE7">
            <w:pPr>
              <w:pStyle w:val="TableBodyText"/>
              <w:rPr>
                <w:sz w:val="18"/>
                <w:szCs w:val="18"/>
              </w:rPr>
            </w:pPr>
            <w:r w:rsidRPr="00390699">
              <w:rPr>
                <w:sz w:val="18"/>
                <w:szCs w:val="18"/>
              </w:rPr>
              <w:t>0.9</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0.8</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0.8</w:t>
            </w:r>
          </w:p>
        </w:tc>
      </w:tr>
      <w:tr w:rsidR="00FC1E37" w:rsidRPr="006C5A80" w:rsidTr="005056C8">
        <w:tc>
          <w:tcPr>
            <w:tcW w:w="1959" w:type="pct"/>
            <w:vAlign w:val="bottom"/>
          </w:tcPr>
          <w:p w:rsidR="00FC1E37" w:rsidRPr="00390699" w:rsidRDefault="00FC1E37" w:rsidP="00932CE7">
            <w:pPr>
              <w:pStyle w:val="TableBodyText"/>
              <w:jc w:val="left"/>
              <w:rPr>
                <w:sz w:val="18"/>
                <w:szCs w:val="18"/>
              </w:rPr>
            </w:pPr>
            <w:r w:rsidRPr="00390699">
              <w:rPr>
                <w:sz w:val="18"/>
                <w:szCs w:val="18"/>
              </w:rPr>
              <w:t>Printing and recorded media</w:t>
            </w:r>
          </w:p>
        </w:tc>
        <w:tc>
          <w:tcPr>
            <w:tcW w:w="507" w:type="pct"/>
            <w:vAlign w:val="bottom"/>
          </w:tcPr>
          <w:p w:rsidR="00FC1E37" w:rsidRPr="00390699" w:rsidRDefault="00FC1E37" w:rsidP="00932CE7">
            <w:pPr>
              <w:pStyle w:val="TableBodyText"/>
              <w:rPr>
                <w:sz w:val="18"/>
                <w:szCs w:val="18"/>
              </w:rPr>
            </w:pPr>
            <w:r w:rsidRPr="00390699">
              <w:rPr>
                <w:sz w:val="18"/>
                <w:szCs w:val="18"/>
              </w:rPr>
              <w:t>0.3</w:t>
            </w:r>
          </w:p>
        </w:tc>
        <w:tc>
          <w:tcPr>
            <w:tcW w:w="507" w:type="pct"/>
            <w:vAlign w:val="bottom"/>
          </w:tcPr>
          <w:p w:rsidR="00FC1E37" w:rsidRPr="00390699" w:rsidRDefault="00FC1E37" w:rsidP="00932CE7">
            <w:pPr>
              <w:pStyle w:val="TableBodyText"/>
              <w:rPr>
                <w:sz w:val="18"/>
                <w:szCs w:val="18"/>
              </w:rPr>
            </w:pPr>
            <w:r w:rsidRPr="00390699">
              <w:rPr>
                <w:sz w:val="18"/>
                <w:szCs w:val="18"/>
              </w:rPr>
              <w:t>0.2</w:t>
            </w:r>
          </w:p>
        </w:tc>
        <w:tc>
          <w:tcPr>
            <w:tcW w:w="507" w:type="pct"/>
            <w:vAlign w:val="bottom"/>
          </w:tcPr>
          <w:p w:rsidR="00FC1E37" w:rsidRPr="00390699" w:rsidRDefault="00FC1E37" w:rsidP="00932CE7">
            <w:pPr>
              <w:pStyle w:val="TableBodyText"/>
              <w:rPr>
                <w:sz w:val="18"/>
                <w:szCs w:val="18"/>
              </w:rPr>
            </w:pPr>
            <w:r w:rsidRPr="00390699">
              <w:rPr>
                <w:sz w:val="18"/>
                <w:szCs w:val="18"/>
              </w:rPr>
              <w:t>2.0</w:t>
            </w:r>
          </w:p>
        </w:tc>
        <w:tc>
          <w:tcPr>
            <w:tcW w:w="507" w:type="pct"/>
            <w:vAlign w:val="bottom"/>
          </w:tcPr>
          <w:p w:rsidR="00FC1E37" w:rsidRPr="00390699" w:rsidRDefault="00FC1E37" w:rsidP="00932CE7">
            <w:pPr>
              <w:pStyle w:val="TableBodyText"/>
              <w:rPr>
                <w:sz w:val="18"/>
                <w:szCs w:val="18"/>
              </w:rPr>
            </w:pPr>
            <w:r w:rsidRPr="00390699">
              <w:rPr>
                <w:sz w:val="18"/>
                <w:szCs w:val="18"/>
              </w:rPr>
              <w:t>1.2</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1.1</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1.1</w:t>
            </w:r>
          </w:p>
        </w:tc>
      </w:tr>
      <w:tr w:rsidR="00FC1E37" w:rsidRPr="006C5A80" w:rsidTr="005056C8">
        <w:tc>
          <w:tcPr>
            <w:tcW w:w="1959" w:type="pct"/>
            <w:vAlign w:val="bottom"/>
          </w:tcPr>
          <w:p w:rsidR="00FC1E37" w:rsidRPr="00390699" w:rsidRDefault="00FC1E37" w:rsidP="00932CE7">
            <w:pPr>
              <w:pStyle w:val="TableBodyText"/>
              <w:jc w:val="left"/>
              <w:rPr>
                <w:sz w:val="18"/>
                <w:szCs w:val="18"/>
              </w:rPr>
            </w:pPr>
            <w:r w:rsidRPr="00390699">
              <w:rPr>
                <w:sz w:val="18"/>
                <w:szCs w:val="18"/>
              </w:rPr>
              <w:t>Petroleum, coal, chemical and rubber products</w:t>
            </w:r>
          </w:p>
        </w:tc>
        <w:tc>
          <w:tcPr>
            <w:tcW w:w="507" w:type="pct"/>
            <w:vAlign w:val="bottom"/>
          </w:tcPr>
          <w:p w:rsidR="00FC1E37" w:rsidRPr="00390699" w:rsidRDefault="00FC1E37" w:rsidP="00932CE7">
            <w:pPr>
              <w:pStyle w:val="TableBodyText"/>
              <w:rPr>
                <w:sz w:val="18"/>
                <w:szCs w:val="18"/>
              </w:rPr>
            </w:pPr>
            <w:r w:rsidRPr="00390699">
              <w:rPr>
                <w:sz w:val="18"/>
                <w:szCs w:val="18"/>
              </w:rPr>
              <w:t>0.8</w:t>
            </w:r>
          </w:p>
        </w:tc>
        <w:tc>
          <w:tcPr>
            <w:tcW w:w="507" w:type="pct"/>
            <w:vAlign w:val="bottom"/>
          </w:tcPr>
          <w:p w:rsidR="00FC1E37" w:rsidRPr="00390699" w:rsidRDefault="00FC1E37" w:rsidP="00932CE7">
            <w:pPr>
              <w:pStyle w:val="TableBodyText"/>
              <w:rPr>
                <w:sz w:val="18"/>
                <w:szCs w:val="18"/>
              </w:rPr>
            </w:pPr>
            <w:r w:rsidRPr="00390699">
              <w:rPr>
                <w:sz w:val="18"/>
                <w:szCs w:val="18"/>
              </w:rPr>
              <w:t>1.0</w:t>
            </w:r>
          </w:p>
        </w:tc>
        <w:tc>
          <w:tcPr>
            <w:tcW w:w="507" w:type="pct"/>
            <w:vAlign w:val="bottom"/>
          </w:tcPr>
          <w:p w:rsidR="00FC1E37" w:rsidRPr="00390699" w:rsidRDefault="00FC1E37" w:rsidP="00932CE7">
            <w:pPr>
              <w:pStyle w:val="TableBodyText"/>
              <w:rPr>
                <w:sz w:val="18"/>
                <w:szCs w:val="18"/>
              </w:rPr>
            </w:pPr>
            <w:r w:rsidRPr="00390699">
              <w:rPr>
                <w:sz w:val="18"/>
                <w:szCs w:val="18"/>
              </w:rPr>
              <w:t>1.2</w:t>
            </w:r>
          </w:p>
        </w:tc>
        <w:tc>
          <w:tcPr>
            <w:tcW w:w="507" w:type="pct"/>
            <w:vAlign w:val="bottom"/>
          </w:tcPr>
          <w:p w:rsidR="00FC1E37" w:rsidRPr="00390699" w:rsidRDefault="004D1EF0" w:rsidP="00932CE7">
            <w:pPr>
              <w:pStyle w:val="TableBodyText"/>
              <w:rPr>
                <w:sz w:val="18"/>
                <w:szCs w:val="18"/>
              </w:rPr>
            </w:pPr>
            <w:r>
              <w:rPr>
                <w:sz w:val="18"/>
                <w:szCs w:val="18"/>
              </w:rPr>
              <w:noBreakHyphen/>
            </w:r>
          </w:p>
        </w:tc>
        <w:tc>
          <w:tcPr>
            <w:tcW w:w="507" w:type="pct"/>
            <w:shd w:val="clear" w:color="auto" w:fill="auto"/>
            <w:vAlign w:val="bottom"/>
          </w:tcPr>
          <w:p w:rsidR="00FC1E37" w:rsidRPr="00390699" w:rsidRDefault="004D1EF0" w:rsidP="00932CE7">
            <w:pPr>
              <w:pStyle w:val="TableBodyText"/>
              <w:rPr>
                <w:sz w:val="18"/>
                <w:szCs w:val="18"/>
              </w:rPr>
            </w:pPr>
            <w:r>
              <w:rPr>
                <w:sz w:val="18"/>
                <w:szCs w:val="18"/>
              </w:rPr>
              <w:noBreakHyphen/>
            </w:r>
          </w:p>
        </w:tc>
        <w:tc>
          <w:tcPr>
            <w:tcW w:w="507" w:type="pct"/>
            <w:shd w:val="clear" w:color="auto" w:fill="auto"/>
            <w:vAlign w:val="bottom"/>
          </w:tcPr>
          <w:p w:rsidR="00FC1E37" w:rsidRPr="00390699" w:rsidRDefault="004D1EF0" w:rsidP="00932CE7">
            <w:pPr>
              <w:pStyle w:val="TableBodyText"/>
              <w:rPr>
                <w:sz w:val="18"/>
                <w:szCs w:val="18"/>
              </w:rPr>
            </w:pPr>
            <w:r>
              <w:rPr>
                <w:sz w:val="18"/>
                <w:szCs w:val="18"/>
              </w:rPr>
              <w:noBreakHyphen/>
            </w:r>
          </w:p>
        </w:tc>
      </w:tr>
      <w:tr w:rsidR="00FC1E37" w:rsidRPr="006C5A80" w:rsidTr="005056C8">
        <w:tc>
          <w:tcPr>
            <w:tcW w:w="1959" w:type="pct"/>
            <w:vAlign w:val="bottom"/>
          </w:tcPr>
          <w:p w:rsidR="00FC1E37" w:rsidRPr="00390699" w:rsidRDefault="00FC1E37" w:rsidP="00A65855">
            <w:pPr>
              <w:pStyle w:val="TableBodyText"/>
              <w:jc w:val="left"/>
              <w:rPr>
                <w:sz w:val="18"/>
                <w:szCs w:val="18"/>
              </w:rPr>
            </w:pPr>
            <w:r w:rsidRPr="00390699">
              <w:rPr>
                <w:sz w:val="18"/>
                <w:szCs w:val="18"/>
              </w:rPr>
              <w:t>Non-</w:t>
            </w:r>
            <w:r w:rsidR="00A65855">
              <w:rPr>
                <w:sz w:val="18"/>
                <w:szCs w:val="18"/>
              </w:rPr>
              <w:t>m</w:t>
            </w:r>
            <w:r w:rsidR="00A65855" w:rsidRPr="00390699">
              <w:rPr>
                <w:sz w:val="18"/>
                <w:szCs w:val="18"/>
              </w:rPr>
              <w:t xml:space="preserve">etallic </w:t>
            </w:r>
            <w:r w:rsidRPr="00390699">
              <w:rPr>
                <w:sz w:val="18"/>
                <w:szCs w:val="18"/>
              </w:rPr>
              <w:t>mineral products</w:t>
            </w:r>
          </w:p>
        </w:tc>
        <w:tc>
          <w:tcPr>
            <w:tcW w:w="507" w:type="pct"/>
            <w:vAlign w:val="bottom"/>
          </w:tcPr>
          <w:p w:rsidR="00FC1E37" w:rsidRPr="00390699" w:rsidRDefault="00FC1E37" w:rsidP="00932CE7">
            <w:pPr>
              <w:pStyle w:val="TableBodyText"/>
              <w:rPr>
                <w:sz w:val="18"/>
                <w:szCs w:val="18"/>
              </w:rPr>
            </w:pPr>
            <w:r w:rsidRPr="00390699">
              <w:rPr>
                <w:sz w:val="18"/>
                <w:szCs w:val="18"/>
              </w:rPr>
              <w:t>0.4</w:t>
            </w:r>
          </w:p>
        </w:tc>
        <w:tc>
          <w:tcPr>
            <w:tcW w:w="507" w:type="pct"/>
            <w:vAlign w:val="bottom"/>
          </w:tcPr>
          <w:p w:rsidR="00FC1E37" w:rsidRPr="00390699" w:rsidRDefault="00FC1E37" w:rsidP="00932CE7">
            <w:pPr>
              <w:pStyle w:val="TableBodyText"/>
              <w:rPr>
                <w:sz w:val="18"/>
                <w:szCs w:val="18"/>
              </w:rPr>
            </w:pPr>
            <w:r w:rsidRPr="00390699">
              <w:rPr>
                <w:sz w:val="18"/>
                <w:szCs w:val="18"/>
              </w:rPr>
              <w:t>0.7</w:t>
            </w:r>
          </w:p>
        </w:tc>
        <w:tc>
          <w:tcPr>
            <w:tcW w:w="507" w:type="pct"/>
            <w:vAlign w:val="bottom"/>
          </w:tcPr>
          <w:p w:rsidR="00FC1E37" w:rsidRPr="00390699" w:rsidRDefault="004D1EF0" w:rsidP="00932CE7">
            <w:pPr>
              <w:pStyle w:val="TableBodyText"/>
              <w:rPr>
                <w:sz w:val="18"/>
                <w:szCs w:val="18"/>
              </w:rPr>
            </w:pPr>
            <w:r>
              <w:rPr>
                <w:sz w:val="18"/>
                <w:szCs w:val="18"/>
              </w:rPr>
              <w:noBreakHyphen/>
            </w:r>
          </w:p>
        </w:tc>
        <w:tc>
          <w:tcPr>
            <w:tcW w:w="507" w:type="pct"/>
            <w:vAlign w:val="bottom"/>
          </w:tcPr>
          <w:p w:rsidR="00FC1E37" w:rsidRPr="00390699" w:rsidRDefault="004D1EF0" w:rsidP="00932CE7">
            <w:pPr>
              <w:pStyle w:val="TableBodyText"/>
              <w:rPr>
                <w:sz w:val="18"/>
                <w:szCs w:val="18"/>
              </w:rPr>
            </w:pPr>
            <w:r>
              <w:rPr>
                <w:sz w:val="18"/>
                <w:szCs w:val="18"/>
              </w:rPr>
              <w:noBreakHyphen/>
            </w:r>
          </w:p>
        </w:tc>
        <w:tc>
          <w:tcPr>
            <w:tcW w:w="507" w:type="pct"/>
            <w:shd w:val="clear" w:color="auto" w:fill="auto"/>
            <w:vAlign w:val="bottom"/>
          </w:tcPr>
          <w:p w:rsidR="00FC1E37" w:rsidRPr="00390699" w:rsidRDefault="004D1EF0" w:rsidP="00932CE7">
            <w:pPr>
              <w:pStyle w:val="TableBodyText"/>
              <w:rPr>
                <w:sz w:val="18"/>
                <w:szCs w:val="18"/>
              </w:rPr>
            </w:pPr>
            <w:r>
              <w:rPr>
                <w:sz w:val="18"/>
                <w:szCs w:val="18"/>
              </w:rPr>
              <w:noBreakHyphen/>
            </w:r>
          </w:p>
        </w:tc>
        <w:tc>
          <w:tcPr>
            <w:tcW w:w="507" w:type="pct"/>
            <w:shd w:val="clear" w:color="auto" w:fill="auto"/>
            <w:vAlign w:val="bottom"/>
          </w:tcPr>
          <w:p w:rsidR="00FC1E37" w:rsidRPr="00390699" w:rsidRDefault="004D1EF0" w:rsidP="00932CE7">
            <w:pPr>
              <w:pStyle w:val="TableBodyText"/>
              <w:rPr>
                <w:sz w:val="18"/>
                <w:szCs w:val="18"/>
              </w:rPr>
            </w:pPr>
            <w:r>
              <w:rPr>
                <w:sz w:val="18"/>
                <w:szCs w:val="18"/>
              </w:rPr>
              <w:noBreakHyphen/>
            </w:r>
          </w:p>
        </w:tc>
      </w:tr>
      <w:tr w:rsidR="00FC1E37" w:rsidRPr="006C5A80" w:rsidTr="005056C8">
        <w:tc>
          <w:tcPr>
            <w:tcW w:w="1959" w:type="pct"/>
            <w:vAlign w:val="bottom"/>
          </w:tcPr>
          <w:p w:rsidR="00FC1E37" w:rsidRPr="00390699" w:rsidRDefault="00FC1E37" w:rsidP="00932CE7">
            <w:pPr>
              <w:pStyle w:val="TableBodyText"/>
              <w:jc w:val="left"/>
              <w:rPr>
                <w:sz w:val="18"/>
                <w:szCs w:val="18"/>
              </w:rPr>
            </w:pPr>
            <w:r w:rsidRPr="00390699">
              <w:rPr>
                <w:sz w:val="18"/>
                <w:szCs w:val="18"/>
              </w:rPr>
              <w:t>Metal and fabricated metal products</w:t>
            </w:r>
          </w:p>
        </w:tc>
        <w:tc>
          <w:tcPr>
            <w:tcW w:w="507" w:type="pct"/>
            <w:vAlign w:val="bottom"/>
          </w:tcPr>
          <w:p w:rsidR="00FC1E37" w:rsidRPr="00390699" w:rsidRDefault="00FC1E37" w:rsidP="00932CE7">
            <w:pPr>
              <w:pStyle w:val="TableBodyText"/>
              <w:rPr>
                <w:sz w:val="18"/>
                <w:szCs w:val="18"/>
              </w:rPr>
            </w:pPr>
            <w:r w:rsidRPr="00390699">
              <w:rPr>
                <w:sz w:val="18"/>
                <w:szCs w:val="18"/>
              </w:rPr>
              <w:t>1.1</w:t>
            </w:r>
          </w:p>
        </w:tc>
        <w:tc>
          <w:tcPr>
            <w:tcW w:w="507" w:type="pct"/>
            <w:vAlign w:val="bottom"/>
          </w:tcPr>
          <w:p w:rsidR="00FC1E37" w:rsidRPr="00390699" w:rsidRDefault="00FC1E37" w:rsidP="00932CE7">
            <w:pPr>
              <w:pStyle w:val="TableBodyText"/>
              <w:rPr>
                <w:sz w:val="18"/>
                <w:szCs w:val="18"/>
              </w:rPr>
            </w:pPr>
            <w:r w:rsidRPr="00390699">
              <w:rPr>
                <w:sz w:val="18"/>
                <w:szCs w:val="18"/>
              </w:rPr>
              <w:t>4.8</w:t>
            </w:r>
          </w:p>
        </w:tc>
        <w:tc>
          <w:tcPr>
            <w:tcW w:w="507" w:type="pct"/>
            <w:vAlign w:val="bottom"/>
          </w:tcPr>
          <w:p w:rsidR="00FC1E37" w:rsidRPr="00390699" w:rsidRDefault="00FC1E37" w:rsidP="00932CE7">
            <w:pPr>
              <w:pStyle w:val="TableBodyText"/>
              <w:rPr>
                <w:sz w:val="18"/>
                <w:szCs w:val="18"/>
              </w:rPr>
            </w:pPr>
            <w:r w:rsidRPr="00390699">
              <w:rPr>
                <w:sz w:val="18"/>
                <w:szCs w:val="18"/>
              </w:rPr>
              <w:t>4.2</w:t>
            </w:r>
          </w:p>
        </w:tc>
        <w:tc>
          <w:tcPr>
            <w:tcW w:w="507" w:type="pct"/>
            <w:vAlign w:val="bottom"/>
          </w:tcPr>
          <w:p w:rsidR="00FC1E37" w:rsidRPr="00390699" w:rsidRDefault="00FC1E37" w:rsidP="00932CE7">
            <w:pPr>
              <w:pStyle w:val="TableBodyText"/>
              <w:rPr>
                <w:sz w:val="18"/>
                <w:szCs w:val="18"/>
              </w:rPr>
            </w:pPr>
            <w:r w:rsidRPr="00390699">
              <w:rPr>
                <w:sz w:val="18"/>
                <w:szCs w:val="18"/>
              </w:rPr>
              <w:t>0.5</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0.5</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0.5</w:t>
            </w:r>
          </w:p>
        </w:tc>
      </w:tr>
      <w:tr w:rsidR="00FC1E37" w:rsidRPr="006C5A80" w:rsidTr="005056C8">
        <w:tc>
          <w:tcPr>
            <w:tcW w:w="1959" w:type="pct"/>
            <w:vAlign w:val="bottom"/>
          </w:tcPr>
          <w:p w:rsidR="00FC1E37" w:rsidRPr="00390699" w:rsidRDefault="00FC1E37" w:rsidP="00932CE7">
            <w:pPr>
              <w:pStyle w:val="TableBodyText"/>
              <w:jc w:val="left"/>
              <w:rPr>
                <w:sz w:val="18"/>
                <w:szCs w:val="18"/>
              </w:rPr>
            </w:pPr>
            <w:r w:rsidRPr="00390699">
              <w:rPr>
                <w:sz w:val="18"/>
                <w:szCs w:val="18"/>
              </w:rPr>
              <w:t>Other transport equipment</w:t>
            </w:r>
          </w:p>
        </w:tc>
        <w:tc>
          <w:tcPr>
            <w:tcW w:w="507" w:type="pct"/>
            <w:vAlign w:val="bottom"/>
          </w:tcPr>
          <w:p w:rsidR="00FC1E37" w:rsidRPr="00390699" w:rsidRDefault="004D1EF0" w:rsidP="00932CE7">
            <w:pPr>
              <w:pStyle w:val="TableBodyText"/>
              <w:rPr>
                <w:sz w:val="18"/>
                <w:szCs w:val="18"/>
              </w:rPr>
            </w:pPr>
            <w:r>
              <w:rPr>
                <w:sz w:val="18"/>
                <w:szCs w:val="18"/>
              </w:rPr>
              <w:noBreakHyphen/>
            </w:r>
          </w:p>
        </w:tc>
        <w:tc>
          <w:tcPr>
            <w:tcW w:w="507" w:type="pct"/>
            <w:vAlign w:val="bottom"/>
          </w:tcPr>
          <w:p w:rsidR="00FC1E37" w:rsidRPr="00390699" w:rsidRDefault="00FC1E37" w:rsidP="00932CE7">
            <w:pPr>
              <w:pStyle w:val="TableBodyText"/>
              <w:rPr>
                <w:sz w:val="18"/>
                <w:szCs w:val="18"/>
              </w:rPr>
            </w:pPr>
            <w:r w:rsidRPr="00390699">
              <w:rPr>
                <w:sz w:val="18"/>
                <w:szCs w:val="18"/>
              </w:rPr>
              <w:t>0.6</w:t>
            </w:r>
          </w:p>
        </w:tc>
        <w:tc>
          <w:tcPr>
            <w:tcW w:w="507" w:type="pct"/>
            <w:vAlign w:val="bottom"/>
          </w:tcPr>
          <w:p w:rsidR="00FC1E37" w:rsidRPr="00390699" w:rsidRDefault="00FC1E37" w:rsidP="00932CE7">
            <w:pPr>
              <w:pStyle w:val="TableBodyText"/>
              <w:rPr>
                <w:sz w:val="18"/>
                <w:szCs w:val="18"/>
              </w:rPr>
            </w:pPr>
            <w:r w:rsidRPr="00390699">
              <w:rPr>
                <w:sz w:val="18"/>
                <w:szCs w:val="18"/>
              </w:rPr>
              <w:t>1.3</w:t>
            </w:r>
          </w:p>
        </w:tc>
        <w:tc>
          <w:tcPr>
            <w:tcW w:w="507" w:type="pct"/>
            <w:vAlign w:val="bottom"/>
          </w:tcPr>
          <w:p w:rsidR="00FC1E37" w:rsidRPr="00390699" w:rsidRDefault="004D1EF0" w:rsidP="00932CE7">
            <w:pPr>
              <w:pStyle w:val="TableBodyText"/>
              <w:rPr>
                <w:sz w:val="18"/>
                <w:szCs w:val="18"/>
              </w:rPr>
            </w:pPr>
            <w:r>
              <w:rPr>
                <w:sz w:val="18"/>
                <w:szCs w:val="18"/>
              </w:rPr>
              <w:noBreakHyphen/>
            </w:r>
          </w:p>
        </w:tc>
        <w:tc>
          <w:tcPr>
            <w:tcW w:w="507" w:type="pct"/>
            <w:shd w:val="clear" w:color="auto" w:fill="auto"/>
            <w:vAlign w:val="bottom"/>
          </w:tcPr>
          <w:p w:rsidR="00FC1E37" w:rsidRPr="00390699" w:rsidRDefault="004D1EF0" w:rsidP="00932CE7">
            <w:pPr>
              <w:pStyle w:val="TableBodyText"/>
              <w:rPr>
                <w:sz w:val="18"/>
                <w:szCs w:val="18"/>
              </w:rPr>
            </w:pPr>
            <w:r>
              <w:rPr>
                <w:sz w:val="18"/>
                <w:szCs w:val="18"/>
              </w:rPr>
              <w:noBreakHyphen/>
            </w:r>
          </w:p>
        </w:tc>
        <w:tc>
          <w:tcPr>
            <w:tcW w:w="507" w:type="pct"/>
            <w:shd w:val="clear" w:color="auto" w:fill="auto"/>
            <w:vAlign w:val="bottom"/>
          </w:tcPr>
          <w:p w:rsidR="00FC1E37" w:rsidRPr="00390699" w:rsidRDefault="004D1EF0" w:rsidP="00932CE7">
            <w:pPr>
              <w:pStyle w:val="TableBodyText"/>
              <w:rPr>
                <w:sz w:val="18"/>
                <w:szCs w:val="18"/>
              </w:rPr>
            </w:pPr>
            <w:r>
              <w:rPr>
                <w:sz w:val="18"/>
                <w:szCs w:val="18"/>
              </w:rPr>
              <w:noBreakHyphen/>
            </w:r>
          </w:p>
        </w:tc>
      </w:tr>
      <w:tr w:rsidR="00FC1E37" w:rsidRPr="006C5A80" w:rsidTr="005056C8">
        <w:tc>
          <w:tcPr>
            <w:tcW w:w="1959" w:type="pct"/>
            <w:vAlign w:val="bottom"/>
          </w:tcPr>
          <w:p w:rsidR="00FC1E37" w:rsidRPr="00390699" w:rsidRDefault="00FC1E37" w:rsidP="00932CE7">
            <w:pPr>
              <w:pStyle w:val="TableBodyText"/>
              <w:jc w:val="left"/>
              <w:rPr>
                <w:sz w:val="18"/>
                <w:szCs w:val="18"/>
              </w:rPr>
            </w:pPr>
            <w:r w:rsidRPr="00390699">
              <w:rPr>
                <w:sz w:val="18"/>
                <w:szCs w:val="18"/>
              </w:rPr>
              <w:t>Machinery and equipment manufacturing</w:t>
            </w:r>
          </w:p>
        </w:tc>
        <w:tc>
          <w:tcPr>
            <w:tcW w:w="507" w:type="pct"/>
            <w:vAlign w:val="bottom"/>
          </w:tcPr>
          <w:p w:rsidR="00FC1E37" w:rsidRPr="00390699" w:rsidRDefault="00FC1E37" w:rsidP="00932CE7">
            <w:pPr>
              <w:pStyle w:val="TableBodyText"/>
              <w:rPr>
                <w:sz w:val="18"/>
                <w:szCs w:val="18"/>
              </w:rPr>
            </w:pPr>
            <w:r w:rsidRPr="00390699">
              <w:rPr>
                <w:sz w:val="18"/>
                <w:szCs w:val="18"/>
              </w:rPr>
              <w:t>1.3</w:t>
            </w:r>
          </w:p>
        </w:tc>
        <w:tc>
          <w:tcPr>
            <w:tcW w:w="507" w:type="pct"/>
            <w:vAlign w:val="bottom"/>
          </w:tcPr>
          <w:p w:rsidR="00FC1E37" w:rsidRPr="00390699" w:rsidRDefault="00FC1E37" w:rsidP="00932CE7">
            <w:pPr>
              <w:pStyle w:val="TableBodyText"/>
              <w:rPr>
                <w:sz w:val="18"/>
                <w:szCs w:val="18"/>
              </w:rPr>
            </w:pPr>
            <w:r w:rsidRPr="00390699">
              <w:rPr>
                <w:sz w:val="18"/>
                <w:szCs w:val="18"/>
              </w:rPr>
              <w:t>2.6</w:t>
            </w:r>
          </w:p>
        </w:tc>
        <w:tc>
          <w:tcPr>
            <w:tcW w:w="507" w:type="pct"/>
            <w:vAlign w:val="bottom"/>
          </w:tcPr>
          <w:p w:rsidR="00FC1E37" w:rsidRPr="00390699" w:rsidRDefault="00FC1E37" w:rsidP="00932CE7">
            <w:pPr>
              <w:pStyle w:val="TableBodyText"/>
              <w:rPr>
                <w:sz w:val="18"/>
                <w:szCs w:val="18"/>
              </w:rPr>
            </w:pPr>
            <w:r w:rsidRPr="00390699">
              <w:rPr>
                <w:sz w:val="18"/>
                <w:szCs w:val="18"/>
              </w:rPr>
              <w:t>2.0</w:t>
            </w:r>
          </w:p>
        </w:tc>
        <w:tc>
          <w:tcPr>
            <w:tcW w:w="507" w:type="pct"/>
            <w:vAlign w:val="bottom"/>
          </w:tcPr>
          <w:p w:rsidR="00FC1E37" w:rsidRPr="00390699" w:rsidRDefault="004D1EF0" w:rsidP="00932CE7">
            <w:pPr>
              <w:pStyle w:val="TableBodyText"/>
              <w:rPr>
                <w:sz w:val="18"/>
                <w:szCs w:val="18"/>
              </w:rPr>
            </w:pPr>
            <w:r>
              <w:rPr>
                <w:sz w:val="18"/>
                <w:szCs w:val="18"/>
              </w:rPr>
              <w:noBreakHyphen/>
            </w:r>
          </w:p>
        </w:tc>
        <w:tc>
          <w:tcPr>
            <w:tcW w:w="507" w:type="pct"/>
            <w:shd w:val="clear" w:color="auto" w:fill="auto"/>
            <w:vAlign w:val="bottom"/>
          </w:tcPr>
          <w:p w:rsidR="00FC1E37" w:rsidRPr="00390699" w:rsidRDefault="004D1EF0" w:rsidP="00932CE7">
            <w:pPr>
              <w:pStyle w:val="TableBodyText"/>
              <w:rPr>
                <w:sz w:val="18"/>
                <w:szCs w:val="18"/>
              </w:rPr>
            </w:pPr>
            <w:r>
              <w:rPr>
                <w:sz w:val="18"/>
                <w:szCs w:val="18"/>
              </w:rPr>
              <w:noBreakHyphen/>
            </w:r>
          </w:p>
        </w:tc>
        <w:tc>
          <w:tcPr>
            <w:tcW w:w="507" w:type="pct"/>
            <w:shd w:val="clear" w:color="auto" w:fill="auto"/>
            <w:vAlign w:val="bottom"/>
          </w:tcPr>
          <w:p w:rsidR="00FC1E37" w:rsidRPr="00390699" w:rsidRDefault="004D1EF0" w:rsidP="00932CE7">
            <w:pPr>
              <w:pStyle w:val="TableBodyText"/>
              <w:rPr>
                <w:sz w:val="18"/>
                <w:szCs w:val="18"/>
              </w:rPr>
            </w:pPr>
            <w:r>
              <w:rPr>
                <w:sz w:val="18"/>
                <w:szCs w:val="18"/>
              </w:rPr>
              <w:noBreakHyphen/>
            </w:r>
          </w:p>
        </w:tc>
      </w:tr>
      <w:tr w:rsidR="00FC1E37" w:rsidRPr="006C5A80" w:rsidTr="005056C8">
        <w:tc>
          <w:tcPr>
            <w:tcW w:w="1959" w:type="pct"/>
            <w:vAlign w:val="bottom"/>
          </w:tcPr>
          <w:p w:rsidR="00FC1E37" w:rsidRPr="00390699" w:rsidRDefault="00FC1E37" w:rsidP="00932CE7">
            <w:pPr>
              <w:pStyle w:val="TableBodyText"/>
              <w:jc w:val="left"/>
              <w:rPr>
                <w:sz w:val="18"/>
                <w:szCs w:val="18"/>
              </w:rPr>
            </w:pPr>
            <w:r w:rsidRPr="00390699">
              <w:rPr>
                <w:sz w:val="18"/>
                <w:szCs w:val="18"/>
              </w:rPr>
              <w:t>Furniture and other manufacturing</w:t>
            </w:r>
          </w:p>
        </w:tc>
        <w:tc>
          <w:tcPr>
            <w:tcW w:w="507" w:type="pct"/>
            <w:vAlign w:val="bottom"/>
          </w:tcPr>
          <w:p w:rsidR="00FC1E37" w:rsidRPr="00390699" w:rsidRDefault="00FC1E37" w:rsidP="00932CE7">
            <w:pPr>
              <w:pStyle w:val="TableBodyText"/>
              <w:rPr>
                <w:sz w:val="18"/>
                <w:szCs w:val="18"/>
              </w:rPr>
            </w:pPr>
            <w:r w:rsidRPr="00390699">
              <w:rPr>
                <w:sz w:val="18"/>
                <w:szCs w:val="18"/>
              </w:rPr>
              <w:t>0.5</w:t>
            </w:r>
          </w:p>
        </w:tc>
        <w:tc>
          <w:tcPr>
            <w:tcW w:w="507" w:type="pct"/>
            <w:vAlign w:val="bottom"/>
          </w:tcPr>
          <w:p w:rsidR="00FC1E37" w:rsidRPr="00390699" w:rsidRDefault="00FC1E37" w:rsidP="00932CE7">
            <w:pPr>
              <w:pStyle w:val="TableBodyText"/>
              <w:rPr>
                <w:sz w:val="18"/>
                <w:szCs w:val="18"/>
              </w:rPr>
            </w:pPr>
            <w:r w:rsidRPr="00390699">
              <w:rPr>
                <w:sz w:val="18"/>
                <w:szCs w:val="18"/>
              </w:rPr>
              <w:t>2.5</w:t>
            </w:r>
          </w:p>
        </w:tc>
        <w:tc>
          <w:tcPr>
            <w:tcW w:w="507" w:type="pct"/>
            <w:vAlign w:val="bottom"/>
          </w:tcPr>
          <w:p w:rsidR="00FC1E37" w:rsidRPr="00390699" w:rsidRDefault="00FC1E37" w:rsidP="00932CE7">
            <w:pPr>
              <w:pStyle w:val="TableBodyText"/>
              <w:rPr>
                <w:sz w:val="18"/>
                <w:szCs w:val="18"/>
              </w:rPr>
            </w:pPr>
            <w:r w:rsidRPr="00390699">
              <w:rPr>
                <w:sz w:val="18"/>
                <w:szCs w:val="18"/>
              </w:rPr>
              <w:t>1.2</w:t>
            </w:r>
          </w:p>
        </w:tc>
        <w:tc>
          <w:tcPr>
            <w:tcW w:w="507" w:type="pct"/>
            <w:vAlign w:val="bottom"/>
          </w:tcPr>
          <w:p w:rsidR="00FC1E37" w:rsidRPr="00390699" w:rsidRDefault="004D1EF0" w:rsidP="00932CE7">
            <w:pPr>
              <w:pStyle w:val="TableBodyText"/>
              <w:rPr>
                <w:sz w:val="18"/>
                <w:szCs w:val="18"/>
              </w:rPr>
            </w:pPr>
            <w:r>
              <w:rPr>
                <w:sz w:val="18"/>
                <w:szCs w:val="18"/>
              </w:rPr>
              <w:noBreakHyphen/>
            </w:r>
          </w:p>
        </w:tc>
        <w:tc>
          <w:tcPr>
            <w:tcW w:w="507" w:type="pct"/>
            <w:shd w:val="clear" w:color="auto" w:fill="auto"/>
            <w:vAlign w:val="bottom"/>
          </w:tcPr>
          <w:p w:rsidR="00FC1E37" w:rsidRPr="00390699" w:rsidRDefault="004D1EF0" w:rsidP="00932CE7">
            <w:pPr>
              <w:pStyle w:val="TableBodyText"/>
              <w:rPr>
                <w:sz w:val="18"/>
                <w:szCs w:val="18"/>
              </w:rPr>
            </w:pPr>
            <w:r>
              <w:rPr>
                <w:sz w:val="18"/>
                <w:szCs w:val="18"/>
              </w:rPr>
              <w:noBreakHyphen/>
            </w:r>
          </w:p>
        </w:tc>
        <w:tc>
          <w:tcPr>
            <w:tcW w:w="507" w:type="pct"/>
            <w:shd w:val="clear" w:color="auto" w:fill="auto"/>
            <w:vAlign w:val="bottom"/>
          </w:tcPr>
          <w:p w:rsidR="00FC1E37" w:rsidRPr="00390699" w:rsidRDefault="004D1EF0" w:rsidP="00932CE7">
            <w:pPr>
              <w:pStyle w:val="TableBodyText"/>
              <w:rPr>
                <w:sz w:val="18"/>
                <w:szCs w:val="18"/>
              </w:rPr>
            </w:pPr>
            <w:r>
              <w:rPr>
                <w:sz w:val="18"/>
                <w:szCs w:val="18"/>
              </w:rPr>
              <w:noBreakHyphen/>
            </w:r>
          </w:p>
        </w:tc>
      </w:tr>
      <w:tr w:rsidR="00FC1E37" w:rsidRPr="006C5A80" w:rsidTr="005056C8">
        <w:tc>
          <w:tcPr>
            <w:tcW w:w="1959" w:type="pct"/>
            <w:vAlign w:val="bottom"/>
          </w:tcPr>
          <w:p w:rsidR="00FC1E37" w:rsidRPr="00390699" w:rsidRDefault="00FC1E37" w:rsidP="00932CE7">
            <w:pPr>
              <w:pStyle w:val="TableBodyText"/>
              <w:jc w:val="left"/>
              <w:rPr>
                <w:b/>
                <w:sz w:val="18"/>
                <w:szCs w:val="18"/>
              </w:rPr>
            </w:pPr>
            <w:r w:rsidRPr="00390699">
              <w:rPr>
                <w:b/>
                <w:sz w:val="18"/>
                <w:szCs w:val="18"/>
              </w:rPr>
              <w:t>Services</w:t>
            </w:r>
          </w:p>
        </w:tc>
        <w:tc>
          <w:tcPr>
            <w:tcW w:w="507" w:type="pct"/>
            <w:vAlign w:val="bottom"/>
          </w:tcPr>
          <w:p w:rsidR="00FC1E37" w:rsidRPr="00390699" w:rsidRDefault="00FC1E37" w:rsidP="00FC1E37">
            <w:pPr>
              <w:pStyle w:val="TableBodyText"/>
              <w:rPr>
                <w:b/>
                <w:sz w:val="18"/>
                <w:szCs w:val="18"/>
              </w:rPr>
            </w:pPr>
            <w:r w:rsidRPr="00390699">
              <w:rPr>
                <w:b/>
                <w:sz w:val="18"/>
                <w:szCs w:val="18"/>
              </w:rPr>
              <w:t>164.1</w:t>
            </w:r>
          </w:p>
        </w:tc>
        <w:tc>
          <w:tcPr>
            <w:tcW w:w="507" w:type="pct"/>
            <w:vAlign w:val="bottom"/>
          </w:tcPr>
          <w:p w:rsidR="00FC1E37" w:rsidRPr="00390699" w:rsidRDefault="00FC1E37" w:rsidP="00FC1E37">
            <w:pPr>
              <w:pStyle w:val="TableBodyText"/>
              <w:rPr>
                <w:b/>
                <w:sz w:val="18"/>
                <w:szCs w:val="18"/>
              </w:rPr>
            </w:pPr>
            <w:r w:rsidRPr="00390699">
              <w:rPr>
                <w:b/>
                <w:sz w:val="18"/>
                <w:szCs w:val="18"/>
              </w:rPr>
              <w:t>264.7</w:t>
            </w:r>
          </w:p>
        </w:tc>
        <w:tc>
          <w:tcPr>
            <w:tcW w:w="507" w:type="pct"/>
            <w:vAlign w:val="bottom"/>
          </w:tcPr>
          <w:p w:rsidR="00FC1E37" w:rsidRPr="00390699" w:rsidRDefault="00FC1E37" w:rsidP="00FC1E37">
            <w:pPr>
              <w:pStyle w:val="TableBodyText"/>
              <w:rPr>
                <w:b/>
                <w:sz w:val="18"/>
                <w:szCs w:val="18"/>
              </w:rPr>
            </w:pPr>
            <w:r w:rsidRPr="00390699">
              <w:rPr>
                <w:b/>
                <w:sz w:val="18"/>
                <w:szCs w:val="18"/>
              </w:rPr>
              <w:t>324.7</w:t>
            </w:r>
          </w:p>
        </w:tc>
        <w:tc>
          <w:tcPr>
            <w:tcW w:w="507" w:type="pct"/>
            <w:vAlign w:val="bottom"/>
          </w:tcPr>
          <w:p w:rsidR="00FC1E37" w:rsidRPr="00390699" w:rsidRDefault="00FC1E37" w:rsidP="00FC1E37">
            <w:pPr>
              <w:pStyle w:val="TableBodyText"/>
              <w:rPr>
                <w:b/>
                <w:sz w:val="18"/>
                <w:szCs w:val="18"/>
              </w:rPr>
            </w:pPr>
            <w:r w:rsidRPr="00390699">
              <w:rPr>
                <w:b/>
                <w:sz w:val="18"/>
                <w:szCs w:val="18"/>
              </w:rPr>
              <w:t>205.2</w:t>
            </w:r>
          </w:p>
        </w:tc>
        <w:tc>
          <w:tcPr>
            <w:tcW w:w="507" w:type="pct"/>
            <w:shd w:val="clear" w:color="auto" w:fill="auto"/>
            <w:vAlign w:val="bottom"/>
          </w:tcPr>
          <w:p w:rsidR="00FC1E37" w:rsidRPr="00390699" w:rsidRDefault="00FC1E37" w:rsidP="00FC1E37">
            <w:pPr>
              <w:pStyle w:val="TableBodyText"/>
              <w:rPr>
                <w:b/>
                <w:sz w:val="18"/>
                <w:szCs w:val="18"/>
              </w:rPr>
            </w:pPr>
            <w:r w:rsidRPr="00390699">
              <w:rPr>
                <w:b/>
                <w:sz w:val="18"/>
                <w:szCs w:val="18"/>
              </w:rPr>
              <w:t>193.8</w:t>
            </w:r>
          </w:p>
        </w:tc>
        <w:tc>
          <w:tcPr>
            <w:tcW w:w="507" w:type="pct"/>
            <w:shd w:val="clear" w:color="auto" w:fill="auto"/>
            <w:vAlign w:val="bottom"/>
          </w:tcPr>
          <w:p w:rsidR="00FC1E37" w:rsidRPr="00390699" w:rsidRDefault="00FC1E37" w:rsidP="00FC1E37">
            <w:pPr>
              <w:pStyle w:val="TableBodyText"/>
              <w:rPr>
                <w:b/>
                <w:sz w:val="18"/>
                <w:szCs w:val="18"/>
              </w:rPr>
            </w:pPr>
            <w:r w:rsidRPr="00390699">
              <w:rPr>
                <w:b/>
                <w:sz w:val="18"/>
                <w:szCs w:val="18"/>
              </w:rPr>
              <w:t>193.8</w:t>
            </w:r>
          </w:p>
        </w:tc>
      </w:tr>
      <w:tr w:rsidR="00FC1E37" w:rsidRPr="006C5A80" w:rsidTr="005056C8">
        <w:tc>
          <w:tcPr>
            <w:tcW w:w="1959" w:type="pct"/>
            <w:vAlign w:val="bottom"/>
          </w:tcPr>
          <w:p w:rsidR="00FC1E37" w:rsidRPr="00390699" w:rsidRDefault="00FC1E37" w:rsidP="00932CE7">
            <w:pPr>
              <w:pStyle w:val="TableBodyText"/>
              <w:jc w:val="left"/>
              <w:rPr>
                <w:sz w:val="18"/>
                <w:szCs w:val="18"/>
              </w:rPr>
            </w:pPr>
            <w:r w:rsidRPr="00390699">
              <w:rPr>
                <w:sz w:val="18"/>
                <w:szCs w:val="18"/>
              </w:rPr>
              <w:t>Electricity, gas, water and waste services</w:t>
            </w:r>
          </w:p>
        </w:tc>
        <w:tc>
          <w:tcPr>
            <w:tcW w:w="507" w:type="pct"/>
            <w:vAlign w:val="bottom"/>
          </w:tcPr>
          <w:p w:rsidR="00FC1E37" w:rsidRPr="00390699" w:rsidRDefault="00FC1E37" w:rsidP="00932CE7">
            <w:pPr>
              <w:pStyle w:val="TableBodyText"/>
              <w:rPr>
                <w:sz w:val="18"/>
                <w:szCs w:val="18"/>
              </w:rPr>
            </w:pPr>
            <w:r w:rsidRPr="00390699">
              <w:rPr>
                <w:sz w:val="18"/>
                <w:szCs w:val="18"/>
              </w:rPr>
              <w:t>0.4</w:t>
            </w:r>
          </w:p>
        </w:tc>
        <w:tc>
          <w:tcPr>
            <w:tcW w:w="507" w:type="pct"/>
            <w:vAlign w:val="bottom"/>
          </w:tcPr>
          <w:p w:rsidR="00FC1E37" w:rsidRPr="00390699" w:rsidRDefault="00FC1E37" w:rsidP="00932CE7">
            <w:pPr>
              <w:pStyle w:val="TableBodyText"/>
              <w:rPr>
                <w:sz w:val="18"/>
                <w:szCs w:val="18"/>
              </w:rPr>
            </w:pPr>
            <w:r w:rsidRPr="00390699">
              <w:rPr>
                <w:sz w:val="18"/>
                <w:szCs w:val="18"/>
              </w:rPr>
              <w:t>1.7</w:t>
            </w:r>
          </w:p>
        </w:tc>
        <w:tc>
          <w:tcPr>
            <w:tcW w:w="507" w:type="pct"/>
            <w:vAlign w:val="bottom"/>
          </w:tcPr>
          <w:p w:rsidR="00FC1E37" w:rsidRPr="00390699" w:rsidRDefault="00FC1E37" w:rsidP="00932CE7">
            <w:pPr>
              <w:pStyle w:val="TableBodyText"/>
              <w:rPr>
                <w:sz w:val="18"/>
                <w:szCs w:val="18"/>
              </w:rPr>
            </w:pPr>
            <w:r w:rsidRPr="00390699">
              <w:rPr>
                <w:sz w:val="18"/>
                <w:szCs w:val="18"/>
              </w:rPr>
              <w:t>0.5</w:t>
            </w:r>
          </w:p>
        </w:tc>
        <w:tc>
          <w:tcPr>
            <w:tcW w:w="507" w:type="pct"/>
            <w:vAlign w:val="bottom"/>
          </w:tcPr>
          <w:p w:rsidR="00FC1E37" w:rsidRPr="00390699" w:rsidRDefault="00FC1E37" w:rsidP="00932CE7">
            <w:pPr>
              <w:pStyle w:val="TableBodyText"/>
              <w:rPr>
                <w:sz w:val="18"/>
                <w:szCs w:val="18"/>
              </w:rPr>
            </w:pPr>
            <w:r w:rsidRPr="00390699">
              <w:rPr>
                <w:sz w:val="18"/>
                <w:szCs w:val="18"/>
              </w:rPr>
              <w:t>1.5</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1.4</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1.4</w:t>
            </w:r>
          </w:p>
        </w:tc>
      </w:tr>
      <w:tr w:rsidR="00FC1E37" w:rsidRPr="006C5A80" w:rsidTr="005056C8">
        <w:tc>
          <w:tcPr>
            <w:tcW w:w="1959" w:type="pct"/>
            <w:vAlign w:val="bottom"/>
          </w:tcPr>
          <w:p w:rsidR="00FC1E37" w:rsidRPr="00390699" w:rsidRDefault="00FC1E37" w:rsidP="00932CE7">
            <w:pPr>
              <w:pStyle w:val="TableBodyText"/>
              <w:jc w:val="left"/>
              <w:rPr>
                <w:sz w:val="18"/>
                <w:szCs w:val="18"/>
              </w:rPr>
            </w:pPr>
            <w:r w:rsidRPr="00390699">
              <w:rPr>
                <w:sz w:val="18"/>
                <w:szCs w:val="18"/>
              </w:rPr>
              <w:t>Construction</w:t>
            </w:r>
          </w:p>
        </w:tc>
        <w:tc>
          <w:tcPr>
            <w:tcW w:w="507" w:type="pct"/>
            <w:vAlign w:val="bottom"/>
          </w:tcPr>
          <w:p w:rsidR="00FC1E37" w:rsidRPr="00390699" w:rsidRDefault="00FC1E37" w:rsidP="00932CE7">
            <w:pPr>
              <w:pStyle w:val="TableBodyText"/>
              <w:rPr>
                <w:sz w:val="18"/>
                <w:szCs w:val="18"/>
              </w:rPr>
            </w:pPr>
            <w:r w:rsidRPr="00390699">
              <w:rPr>
                <w:sz w:val="18"/>
                <w:szCs w:val="18"/>
              </w:rPr>
              <w:t>7.2</w:t>
            </w:r>
          </w:p>
        </w:tc>
        <w:tc>
          <w:tcPr>
            <w:tcW w:w="507" w:type="pct"/>
            <w:vAlign w:val="bottom"/>
          </w:tcPr>
          <w:p w:rsidR="00FC1E37" w:rsidRPr="00390699" w:rsidRDefault="00FC1E37" w:rsidP="00932CE7">
            <w:pPr>
              <w:pStyle w:val="TableBodyText"/>
              <w:rPr>
                <w:sz w:val="18"/>
                <w:szCs w:val="18"/>
              </w:rPr>
            </w:pPr>
            <w:r w:rsidRPr="00390699">
              <w:rPr>
                <w:sz w:val="18"/>
                <w:szCs w:val="18"/>
              </w:rPr>
              <w:t>11.5</w:t>
            </w:r>
          </w:p>
        </w:tc>
        <w:tc>
          <w:tcPr>
            <w:tcW w:w="507" w:type="pct"/>
            <w:vAlign w:val="bottom"/>
          </w:tcPr>
          <w:p w:rsidR="00FC1E37" w:rsidRPr="00390699" w:rsidRDefault="00FC1E37" w:rsidP="00932CE7">
            <w:pPr>
              <w:pStyle w:val="TableBodyText"/>
              <w:rPr>
                <w:sz w:val="18"/>
                <w:szCs w:val="18"/>
              </w:rPr>
            </w:pPr>
            <w:r w:rsidRPr="00390699">
              <w:rPr>
                <w:sz w:val="18"/>
                <w:szCs w:val="18"/>
              </w:rPr>
              <w:t>16.0</w:t>
            </w:r>
          </w:p>
        </w:tc>
        <w:tc>
          <w:tcPr>
            <w:tcW w:w="507" w:type="pct"/>
            <w:vAlign w:val="bottom"/>
          </w:tcPr>
          <w:p w:rsidR="00FC1E37" w:rsidRPr="00390699" w:rsidRDefault="00FC1E37" w:rsidP="00932CE7">
            <w:pPr>
              <w:pStyle w:val="TableBodyText"/>
              <w:rPr>
                <w:sz w:val="18"/>
                <w:szCs w:val="18"/>
              </w:rPr>
            </w:pPr>
            <w:r w:rsidRPr="00390699">
              <w:rPr>
                <w:sz w:val="18"/>
                <w:szCs w:val="18"/>
              </w:rPr>
              <w:t>8.9</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8.4</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8.4</w:t>
            </w:r>
          </w:p>
        </w:tc>
      </w:tr>
      <w:tr w:rsidR="00FC1E37" w:rsidRPr="006C5A80" w:rsidTr="005056C8">
        <w:tc>
          <w:tcPr>
            <w:tcW w:w="1959" w:type="pct"/>
            <w:vAlign w:val="bottom"/>
          </w:tcPr>
          <w:p w:rsidR="00FC1E37" w:rsidRPr="00390699" w:rsidRDefault="00FC1E37" w:rsidP="00932CE7">
            <w:pPr>
              <w:pStyle w:val="TableBodyText"/>
              <w:jc w:val="left"/>
              <w:rPr>
                <w:sz w:val="18"/>
                <w:szCs w:val="18"/>
              </w:rPr>
            </w:pPr>
            <w:r w:rsidRPr="00390699">
              <w:rPr>
                <w:sz w:val="18"/>
                <w:szCs w:val="18"/>
              </w:rPr>
              <w:t>Wholesale trade</w:t>
            </w:r>
          </w:p>
        </w:tc>
        <w:tc>
          <w:tcPr>
            <w:tcW w:w="507" w:type="pct"/>
            <w:vAlign w:val="bottom"/>
          </w:tcPr>
          <w:p w:rsidR="00FC1E37" w:rsidRPr="00390699" w:rsidRDefault="00FC1E37" w:rsidP="00932CE7">
            <w:pPr>
              <w:pStyle w:val="TableBodyText"/>
              <w:rPr>
                <w:sz w:val="18"/>
                <w:szCs w:val="18"/>
              </w:rPr>
            </w:pPr>
            <w:r w:rsidRPr="00390699">
              <w:rPr>
                <w:sz w:val="18"/>
                <w:szCs w:val="18"/>
              </w:rPr>
              <w:t>9.4</w:t>
            </w:r>
          </w:p>
        </w:tc>
        <w:tc>
          <w:tcPr>
            <w:tcW w:w="507" w:type="pct"/>
            <w:vAlign w:val="bottom"/>
          </w:tcPr>
          <w:p w:rsidR="00FC1E37" w:rsidRPr="00390699" w:rsidRDefault="00FC1E37" w:rsidP="00932CE7">
            <w:pPr>
              <w:pStyle w:val="TableBodyText"/>
              <w:rPr>
                <w:sz w:val="18"/>
                <w:szCs w:val="18"/>
              </w:rPr>
            </w:pPr>
            <w:r w:rsidRPr="00390699">
              <w:rPr>
                <w:sz w:val="18"/>
                <w:szCs w:val="18"/>
              </w:rPr>
              <w:t>9.7</w:t>
            </w:r>
          </w:p>
        </w:tc>
        <w:tc>
          <w:tcPr>
            <w:tcW w:w="507" w:type="pct"/>
            <w:vAlign w:val="bottom"/>
          </w:tcPr>
          <w:p w:rsidR="00FC1E37" w:rsidRPr="00390699" w:rsidRDefault="00FC1E37" w:rsidP="00932CE7">
            <w:pPr>
              <w:pStyle w:val="TableBodyText"/>
              <w:rPr>
                <w:sz w:val="18"/>
                <w:szCs w:val="18"/>
              </w:rPr>
            </w:pPr>
            <w:r w:rsidRPr="00390699">
              <w:rPr>
                <w:sz w:val="18"/>
                <w:szCs w:val="18"/>
              </w:rPr>
              <w:t>15.4</w:t>
            </w:r>
          </w:p>
        </w:tc>
        <w:tc>
          <w:tcPr>
            <w:tcW w:w="507" w:type="pct"/>
            <w:vAlign w:val="bottom"/>
          </w:tcPr>
          <w:p w:rsidR="00FC1E37" w:rsidRPr="00390699" w:rsidRDefault="00FC1E37" w:rsidP="00932CE7">
            <w:pPr>
              <w:pStyle w:val="TableBodyText"/>
              <w:rPr>
                <w:sz w:val="18"/>
                <w:szCs w:val="18"/>
              </w:rPr>
            </w:pPr>
            <w:r w:rsidRPr="00390699">
              <w:rPr>
                <w:sz w:val="18"/>
                <w:szCs w:val="18"/>
              </w:rPr>
              <w:t>8.2</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7.8</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7.8</w:t>
            </w:r>
          </w:p>
        </w:tc>
      </w:tr>
      <w:tr w:rsidR="00FC1E37" w:rsidRPr="006C5A80" w:rsidTr="005056C8">
        <w:tc>
          <w:tcPr>
            <w:tcW w:w="1959" w:type="pct"/>
            <w:vAlign w:val="bottom"/>
          </w:tcPr>
          <w:p w:rsidR="00FC1E37" w:rsidRPr="00390699" w:rsidRDefault="00FC1E37" w:rsidP="00932CE7">
            <w:pPr>
              <w:pStyle w:val="TableBodyText"/>
              <w:jc w:val="left"/>
              <w:rPr>
                <w:sz w:val="18"/>
                <w:szCs w:val="18"/>
              </w:rPr>
            </w:pPr>
            <w:r w:rsidRPr="00390699">
              <w:rPr>
                <w:sz w:val="18"/>
                <w:szCs w:val="18"/>
              </w:rPr>
              <w:t>Retail trade</w:t>
            </w:r>
          </w:p>
        </w:tc>
        <w:tc>
          <w:tcPr>
            <w:tcW w:w="507" w:type="pct"/>
            <w:vAlign w:val="bottom"/>
          </w:tcPr>
          <w:p w:rsidR="00FC1E37" w:rsidRPr="00390699" w:rsidRDefault="00FC1E37" w:rsidP="00932CE7">
            <w:pPr>
              <w:pStyle w:val="TableBodyText"/>
              <w:rPr>
                <w:sz w:val="18"/>
                <w:szCs w:val="18"/>
              </w:rPr>
            </w:pPr>
            <w:r w:rsidRPr="00390699">
              <w:rPr>
                <w:sz w:val="18"/>
                <w:szCs w:val="18"/>
              </w:rPr>
              <w:t>14.5</w:t>
            </w:r>
          </w:p>
        </w:tc>
        <w:tc>
          <w:tcPr>
            <w:tcW w:w="507" w:type="pct"/>
            <w:vAlign w:val="bottom"/>
          </w:tcPr>
          <w:p w:rsidR="00FC1E37" w:rsidRPr="00390699" w:rsidRDefault="00FC1E37" w:rsidP="00932CE7">
            <w:pPr>
              <w:pStyle w:val="TableBodyText"/>
              <w:rPr>
                <w:sz w:val="18"/>
                <w:szCs w:val="18"/>
              </w:rPr>
            </w:pPr>
            <w:r w:rsidRPr="00390699">
              <w:rPr>
                <w:sz w:val="18"/>
                <w:szCs w:val="18"/>
              </w:rPr>
              <w:t>27.1</w:t>
            </w:r>
          </w:p>
        </w:tc>
        <w:tc>
          <w:tcPr>
            <w:tcW w:w="507" w:type="pct"/>
            <w:vAlign w:val="bottom"/>
          </w:tcPr>
          <w:p w:rsidR="00FC1E37" w:rsidRPr="00390699" w:rsidRDefault="00FC1E37" w:rsidP="00932CE7">
            <w:pPr>
              <w:pStyle w:val="TableBodyText"/>
              <w:rPr>
                <w:sz w:val="18"/>
                <w:szCs w:val="18"/>
              </w:rPr>
            </w:pPr>
            <w:r w:rsidRPr="00390699">
              <w:rPr>
                <w:sz w:val="18"/>
                <w:szCs w:val="18"/>
              </w:rPr>
              <w:t>33.0</w:t>
            </w:r>
          </w:p>
        </w:tc>
        <w:tc>
          <w:tcPr>
            <w:tcW w:w="507" w:type="pct"/>
            <w:vAlign w:val="bottom"/>
          </w:tcPr>
          <w:p w:rsidR="00FC1E37" w:rsidRPr="00390699" w:rsidRDefault="00FC1E37" w:rsidP="00932CE7">
            <w:pPr>
              <w:pStyle w:val="TableBodyText"/>
              <w:rPr>
                <w:sz w:val="18"/>
                <w:szCs w:val="18"/>
              </w:rPr>
            </w:pPr>
            <w:r w:rsidRPr="00390699">
              <w:rPr>
                <w:sz w:val="18"/>
                <w:szCs w:val="18"/>
              </w:rPr>
              <w:t>21.3</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20.1</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20.1</w:t>
            </w:r>
          </w:p>
        </w:tc>
      </w:tr>
      <w:tr w:rsidR="00FC1E37" w:rsidRPr="006C5A80" w:rsidTr="005056C8">
        <w:tc>
          <w:tcPr>
            <w:tcW w:w="1959" w:type="pct"/>
            <w:vAlign w:val="bottom"/>
          </w:tcPr>
          <w:p w:rsidR="00FC1E37" w:rsidRPr="00390699" w:rsidRDefault="00FC1E37" w:rsidP="00932CE7">
            <w:pPr>
              <w:pStyle w:val="TableBodyText"/>
              <w:jc w:val="left"/>
              <w:rPr>
                <w:sz w:val="18"/>
                <w:szCs w:val="18"/>
              </w:rPr>
            </w:pPr>
            <w:r w:rsidRPr="00390699">
              <w:rPr>
                <w:sz w:val="18"/>
                <w:szCs w:val="18"/>
              </w:rPr>
              <w:t>Accommodation and food services</w:t>
            </w:r>
          </w:p>
        </w:tc>
        <w:tc>
          <w:tcPr>
            <w:tcW w:w="507" w:type="pct"/>
            <w:vAlign w:val="bottom"/>
          </w:tcPr>
          <w:p w:rsidR="00FC1E37" w:rsidRPr="00390699" w:rsidRDefault="00FC1E37" w:rsidP="00932CE7">
            <w:pPr>
              <w:pStyle w:val="TableBodyText"/>
              <w:rPr>
                <w:sz w:val="18"/>
                <w:szCs w:val="18"/>
              </w:rPr>
            </w:pPr>
            <w:r w:rsidRPr="00390699">
              <w:rPr>
                <w:sz w:val="18"/>
                <w:szCs w:val="18"/>
              </w:rPr>
              <w:t>8.6</w:t>
            </w:r>
          </w:p>
        </w:tc>
        <w:tc>
          <w:tcPr>
            <w:tcW w:w="507" w:type="pct"/>
            <w:vAlign w:val="bottom"/>
          </w:tcPr>
          <w:p w:rsidR="00FC1E37" w:rsidRPr="00390699" w:rsidRDefault="00FC1E37" w:rsidP="00932CE7">
            <w:pPr>
              <w:pStyle w:val="TableBodyText"/>
              <w:rPr>
                <w:sz w:val="18"/>
                <w:szCs w:val="18"/>
              </w:rPr>
            </w:pPr>
            <w:r w:rsidRPr="00390699">
              <w:rPr>
                <w:sz w:val="18"/>
                <w:szCs w:val="18"/>
              </w:rPr>
              <w:t>14.5</w:t>
            </w:r>
          </w:p>
        </w:tc>
        <w:tc>
          <w:tcPr>
            <w:tcW w:w="507" w:type="pct"/>
            <w:vAlign w:val="bottom"/>
          </w:tcPr>
          <w:p w:rsidR="00FC1E37" w:rsidRPr="00390699" w:rsidRDefault="00FC1E37" w:rsidP="00932CE7">
            <w:pPr>
              <w:pStyle w:val="TableBodyText"/>
              <w:rPr>
                <w:sz w:val="18"/>
                <w:szCs w:val="18"/>
              </w:rPr>
            </w:pPr>
            <w:r w:rsidRPr="00390699">
              <w:rPr>
                <w:sz w:val="18"/>
                <w:szCs w:val="18"/>
              </w:rPr>
              <w:t>13.3</w:t>
            </w:r>
          </w:p>
        </w:tc>
        <w:tc>
          <w:tcPr>
            <w:tcW w:w="507" w:type="pct"/>
            <w:vAlign w:val="bottom"/>
          </w:tcPr>
          <w:p w:rsidR="00FC1E37" w:rsidRPr="00390699" w:rsidRDefault="00FC1E37" w:rsidP="00932CE7">
            <w:pPr>
              <w:pStyle w:val="TableBodyText"/>
              <w:rPr>
                <w:sz w:val="18"/>
                <w:szCs w:val="18"/>
              </w:rPr>
            </w:pPr>
            <w:r w:rsidRPr="00390699">
              <w:rPr>
                <w:sz w:val="18"/>
                <w:szCs w:val="18"/>
              </w:rPr>
              <w:t>8.6</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8.1</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8.1</w:t>
            </w:r>
          </w:p>
        </w:tc>
      </w:tr>
      <w:tr w:rsidR="00FC1E37" w:rsidRPr="006C5A80" w:rsidTr="005056C8">
        <w:tc>
          <w:tcPr>
            <w:tcW w:w="1959" w:type="pct"/>
            <w:vAlign w:val="bottom"/>
          </w:tcPr>
          <w:p w:rsidR="00FC1E37" w:rsidRPr="00390699" w:rsidRDefault="00FC1E37" w:rsidP="00932CE7">
            <w:pPr>
              <w:pStyle w:val="TableBodyText"/>
              <w:jc w:val="left"/>
              <w:rPr>
                <w:sz w:val="18"/>
                <w:szCs w:val="18"/>
              </w:rPr>
            </w:pPr>
            <w:r w:rsidRPr="00390699">
              <w:rPr>
                <w:sz w:val="18"/>
                <w:szCs w:val="18"/>
              </w:rPr>
              <w:t>Transport, postal and warehousing</w:t>
            </w:r>
          </w:p>
        </w:tc>
        <w:tc>
          <w:tcPr>
            <w:tcW w:w="507" w:type="pct"/>
            <w:vAlign w:val="bottom"/>
          </w:tcPr>
          <w:p w:rsidR="00FC1E37" w:rsidRPr="00390699" w:rsidRDefault="00FC1E37" w:rsidP="00932CE7">
            <w:pPr>
              <w:pStyle w:val="TableBodyText"/>
              <w:rPr>
                <w:sz w:val="18"/>
                <w:szCs w:val="18"/>
              </w:rPr>
            </w:pPr>
            <w:r w:rsidRPr="00390699">
              <w:rPr>
                <w:sz w:val="18"/>
                <w:szCs w:val="18"/>
              </w:rPr>
              <w:t>5.7</w:t>
            </w:r>
          </w:p>
        </w:tc>
        <w:tc>
          <w:tcPr>
            <w:tcW w:w="507" w:type="pct"/>
            <w:vAlign w:val="bottom"/>
          </w:tcPr>
          <w:p w:rsidR="00FC1E37" w:rsidRPr="00390699" w:rsidRDefault="00FC1E37" w:rsidP="00932CE7">
            <w:pPr>
              <w:pStyle w:val="TableBodyText"/>
              <w:rPr>
                <w:sz w:val="18"/>
                <w:szCs w:val="18"/>
              </w:rPr>
            </w:pPr>
            <w:r w:rsidRPr="00390699">
              <w:rPr>
                <w:sz w:val="18"/>
                <w:szCs w:val="18"/>
              </w:rPr>
              <w:t>9.2</w:t>
            </w:r>
          </w:p>
        </w:tc>
        <w:tc>
          <w:tcPr>
            <w:tcW w:w="507" w:type="pct"/>
            <w:vAlign w:val="bottom"/>
          </w:tcPr>
          <w:p w:rsidR="00FC1E37" w:rsidRPr="00390699" w:rsidRDefault="00FC1E37" w:rsidP="00932CE7">
            <w:pPr>
              <w:pStyle w:val="TableBodyText"/>
              <w:rPr>
                <w:sz w:val="18"/>
                <w:szCs w:val="18"/>
              </w:rPr>
            </w:pPr>
            <w:r w:rsidRPr="00390699">
              <w:rPr>
                <w:sz w:val="18"/>
                <w:szCs w:val="18"/>
              </w:rPr>
              <w:t>13.2</w:t>
            </w:r>
          </w:p>
        </w:tc>
        <w:tc>
          <w:tcPr>
            <w:tcW w:w="507" w:type="pct"/>
            <w:vAlign w:val="bottom"/>
          </w:tcPr>
          <w:p w:rsidR="00FC1E37" w:rsidRPr="00390699" w:rsidRDefault="00FC1E37" w:rsidP="00932CE7">
            <w:pPr>
              <w:pStyle w:val="TableBodyText"/>
              <w:rPr>
                <w:sz w:val="18"/>
                <w:szCs w:val="18"/>
              </w:rPr>
            </w:pPr>
            <w:r w:rsidRPr="00390699">
              <w:rPr>
                <w:sz w:val="18"/>
                <w:szCs w:val="18"/>
              </w:rPr>
              <w:t>5.2</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4.9</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4.9</w:t>
            </w:r>
          </w:p>
        </w:tc>
      </w:tr>
      <w:tr w:rsidR="00FC1E37" w:rsidRPr="006C5A80" w:rsidTr="005056C8">
        <w:tc>
          <w:tcPr>
            <w:tcW w:w="1959" w:type="pct"/>
            <w:vAlign w:val="bottom"/>
          </w:tcPr>
          <w:p w:rsidR="00FC1E37" w:rsidRPr="00390699" w:rsidRDefault="00FC1E37" w:rsidP="00932CE7">
            <w:pPr>
              <w:pStyle w:val="TableBodyText"/>
              <w:jc w:val="left"/>
              <w:rPr>
                <w:sz w:val="18"/>
                <w:szCs w:val="18"/>
              </w:rPr>
            </w:pPr>
            <w:r w:rsidRPr="00390699">
              <w:rPr>
                <w:sz w:val="18"/>
                <w:szCs w:val="18"/>
              </w:rPr>
              <w:t>Information, media and telecommunications</w:t>
            </w:r>
          </w:p>
        </w:tc>
        <w:tc>
          <w:tcPr>
            <w:tcW w:w="507" w:type="pct"/>
            <w:vAlign w:val="bottom"/>
          </w:tcPr>
          <w:p w:rsidR="00FC1E37" w:rsidRPr="00390699" w:rsidRDefault="00FC1E37" w:rsidP="00932CE7">
            <w:pPr>
              <w:pStyle w:val="TableBodyText"/>
              <w:rPr>
                <w:sz w:val="18"/>
                <w:szCs w:val="18"/>
              </w:rPr>
            </w:pPr>
            <w:r w:rsidRPr="00390699">
              <w:rPr>
                <w:sz w:val="18"/>
                <w:szCs w:val="18"/>
              </w:rPr>
              <w:t>1.0</w:t>
            </w:r>
          </w:p>
        </w:tc>
        <w:tc>
          <w:tcPr>
            <w:tcW w:w="507" w:type="pct"/>
            <w:vAlign w:val="bottom"/>
          </w:tcPr>
          <w:p w:rsidR="00FC1E37" w:rsidRPr="00390699" w:rsidRDefault="00FC1E37" w:rsidP="00932CE7">
            <w:pPr>
              <w:pStyle w:val="TableBodyText"/>
              <w:rPr>
                <w:sz w:val="18"/>
                <w:szCs w:val="18"/>
              </w:rPr>
            </w:pPr>
            <w:r w:rsidRPr="00390699">
              <w:rPr>
                <w:sz w:val="18"/>
                <w:szCs w:val="18"/>
              </w:rPr>
              <w:t>1.9</w:t>
            </w:r>
          </w:p>
        </w:tc>
        <w:tc>
          <w:tcPr>
            <w:tcW w:w="507" w:type="pct"/>
            <w:vAlign w:val="bottom"/>
          </w:tcPr>
          <w:p w:rsidR="00FC1E37" w:rsidRPr="00390699" w:rsidRDefault="00FC1E37" w:rsidP="00932CE7">
            <w:pPr>
              <w:pStyle w:val="TableBodyText"/>
              <w:rPr>
                <w:sz w:val="18"/>
                <w:szCs w:val="18"/>
              </w:rPr>
            </w:pPr>
            <w:r w:rsidRPr="00390699">
              <w:rPr>
                <w:sz w:val="18"/>
                <w:szCs w:val="18"/>
              </w:rPr>
              <w:t>0.2</w:t>
            </w:r>
          </w:p>
        </w:tc>
        <w:tc>
          <w:tcPr>
            <w:tcW w:w="507" w:type="pct"/>
            <w:vAlign w:val="bottom"/>
          </w:tcPr>
          <w:p w:rsidR="00FC1E37" w:rsidRPr="00390699" w:rsidRDefault="004D1EF0" w:rsidP="00932CE7">
            <w:pPr>
              <w:pStyle w:val="TableBodyText"/>
              <w:rPr>
                <w:sz w:val="18"/>
                <w:szCs w:val="18"/>
              </w:rPr>
            </w:pPr>
            <w:r>
              <w:rPr>
                <w:sz w:val="18"/>
                <w:szCs w:val="18"/>
              </w:rPr>
              <w:noBreakHyphen/>
            </w:r>
          </w:p>
        </w:tc>
        <w:tc>
          <w:tcPr>
            <w:tcW w:w="507" w:type="pct"/>
            <w:shd w:val="clear" w:color="auto" w:fill="auto"/>
            <w:vAlign w:val="bottom"/>
          </w:tcPr>
          <w:p w:rsidR="00FC1E37" w:rsidRPr="00390699" w:rsidRDefault="004D1EF0" w:rsidP="00932CE7">
            <w:pPr>
              <w:pStyle w:val="TableBodyText"/>
              <w:rPr>
                <w:sz w:val="18"/>
                <w:szCs w:val="18"/>
              </w:rPr>
            </w:pPr>
            <w:r>
              <w:rPr>
                <w:sz w:val="18"/>
                <w:szCs w:val="18"/>
              </w:rPr>
              <w:noBreakHyphen/>
            </w:r>
          </w:p>
        </w:tc>
        <w:tc>
          <w:tcPr>
            <w:tcW w:w="507" w:type="pct"/>
            <w:shd w:val="clear" w:color="auto" w:fill="auto"/>
            <w:vAlign w:val="bottom"/>
          </w:tcPr>
          <w:p w:rsidR="00FC1E37" w:rsidRPr="00390699" w:rsidRDefault="004D1EF0" w:rsidP="00932CE7">
            <w:pPr>
              <w:pStyle w:val="TableBodyText"/>
              <w:rPr>
                <w:sz w:val="18"/>
                <w:szCs w:val="18"/>
              </w:rPr>
            </w:pPr>
            <w:r>
              <w:rPr>
                <w:sz w:val="18"/>
                <w:szCs w:val="18"/>
              </w:rPr>
              <w:noBreakHyphen/>
            </w:r>
          </w:p>
        </w:tc>
      </w:tr>
      <w:tr w:rsidR="00FC1E37" w:rsidRPr="006C5A80" w:rsidTr="005056C8">
        <w:tc>
          <w:tcPr>
            <w:tcW w:w="1959" w:type="pct"/>
            <w:vAlign w:val="bottom"/>
          </w:tcPr>
          <w:p w:rsidR="00FC1E37" w:rsidRPr="00390699" w:rsidRDefault="00FC1E37" w:rsidP="00932CE7">
            <w:pPr>
              <w:pStyle w:val="TableBodyText"/>
              <w:jc w:val="left"/>
              <w:rPr>
                <w:sz w:val="18"/>
                <w:szCs w:val="18"/>
              </w:rPr>
            </w:pPr>
            <w:r w:rsidRPr="00390699">
              <w:rPr>
                <w:sz w:val="18"/>
                <w:szCs w:val="18"/>
              </w:rPr>
              <w:t>Financial and insurance services</w:t>
            </w:r>
          </w:p>
        </w:tc>
        <w:tc>
          <w:tcPr>
            <w:tcW w:w="507" w:type="pct"/>
            <w:vAlign w:val="bottom"/>
          </w:tcPr>
          <w:p w:rsidR="00FC1E37" w:rsidRPr="00390699" w:rsidRDefault="00FC1E37" w:rsidP="00932CE7">
            <w:pPr>
              <w:pStyle w:val="TableBodyText"/>
              <w:rPr>
                <w:sz w:val="18"/>
                <w:szCs w:val="18"/>
              </w:rPr>
            </w:pPr>
            <w:r w:rsidRPr="00390699">
              <w:rPr>
                <w:sz w:val="18"/>
                <w:szCs w:val="18"/>
              </w:rPr>
              <w:t>56.9</w:t>
            </w:r>
          </w:p>
        </w:tc>
        <w:tc>
          <w:tcPr>
            <w:tcW w:w="507" w:type="pct"/>
            <w:vAlign w:val="bottom"/>
          </w:tcPr>
          <w:p w:rsidR="00FC1E37" w:rsidRPr="00390699" w:rsidRDefault="00FC1E37" w:rsidP="00932CE7">
            <w:pPr>
              <w:pStyle w:val="TableBodyText"/>
              <w:rPr>
                <w:sz w:val="18"/>
                <w:szCs w:val="18"/>
              </w:rPr>
            </w:pPr>
            <w:r w:rsidRPr="00390699">
              <w:rPr>
                <w:sz w:val="18"/>
                <w:szCs w:val="18"/>
              </w:rPr>
              <w:t>86.4</w:t>
            </w:r>
          </w:p>
        </w:tc>
        <w:tc>
          <w:tcPr>
            <w:tcW w:w="507" w:type="pct"/>
            <w:vAlign w:val="bottom"/>
          </w:tcPr>
          <w:p w:rsidR="00FC1E37" w:rsidRPr="00390699" w:rsidRDefault="00FC1E37" w:rsidP="00932CE7">
            <w:pPr>
              <w:pStyle w:val="TableBodyText"/>
              <w:rPr>
                <w:sz w:val="18"/>
                <w:szCs w:val="18"/>
              </w:rPr>
            </w:pPr>
            <w:r w:rsidRPr="00390699">
              <w:rPr>
                <w:sz w:val="18"/>
                <w:szCs w:val="18"/>
              </w:rPr>
              <w:t>113.9</w:t>
            </w:r>
          </w:p>
        </w:tc>
        <w:tc>
          <w:tcPr>
            <w:tcW w:w="507" w:type="pct"/>
            <w:vAlign w:val="bottom"/>
          </w:tcPr>
          <w:p w:rsidR="00FC1E37" w:rsidRPr="00390699" w:rsidRDefault="00FC1E37" w:rsidP="00932CE7">
            <w:pPr>
              <w:pStyle w:val="TableBodyText"/>
              <w:rPr>
                <w:sz w:val="18"/>
                <w:szCs w:val="18"/>
              </w:rPr>
            </w:pPr>
            <w:r w:rsidRPr="00390699">
              <w:rPr>
                <w:sz w:val="18"/>
                <w:szCs w:val="18"/>
              </w:rPr>
              <w:t>72.6</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68.6</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68.6</w:t>
            </w:r>
          </w:p>
        </w:tc>
      </w:tr>
      <w:tr w:rsidR="00FC1E37" w:rsidRPr="006C5A80" w:rsidTr="005056C8">
        <w:tc>
          <w:tcPr>
            <w:tcW w:w="1959" w:type="pct"/>
            <w:vAlign w:val="bottom"/>
          </w:tcPr>
          <w:p w:rsidR="00FC1E37" w:rsidRPr="00390699" w:rsidRDefault="00FC1E37" w:rsidP="00932CE7">
            <w:pPr>
              <w:pStyle w:val="TableBodyText"/>
              <w:jc w:val="left"/>
              <w:rPr>
                <w:sz w:val="18"/>
                <w:szCs w:val="18"/>
              </w:rPr>
            </w:pPr>
            <w:r w:rsidRPr="00390699">
              <w:rPr>
                <w:sz w:val="18"/>
                <w:szCs w:val="18"/>
              </w:rPr>
              <w:t>Property, professional and administrative services</w:t>
            </w:r>
          </w:p>
        </w:tc>
        <w:tc>
          <w:tcPr>
            <w:tcW w:w="507" w:type="pct"/>
            <w:vAlign w:val="bottom"/>
          </w:tcPr>
          <w:p w:rsidR="00FC1E37" w:rsidRPr="00390699" w:rsidRDefault="00FC1E37" w:rsidP="00932CE7">
            <w:pPr>
              <w:pStyle w:val="TableBodyText"/>
              <w:rPr>
                <w:sz w:val="18"/>
                <w:szCs w:val="18"/>
              </w:rPr>
            </w:pPr>
            <w:r w:rsidRPr="00390699">
              <w:rPr>
                <w:sz w:val="18"/>
                <w:szCs w:val="18"/>
              </w:rPr>
              <w:t>42.7</w:t>
            </w:r>
          </w:p>
        </w:tc>
        <w:tc>
          <w:tcPr>
            <w:tcW w:w="507" w:type="pct"/>
            <w:vAlign w:val="bottom"/>
          </w:tcPr>
          <w:p w:rsidR="00FC1E37" w:rsidRPr="00390699" w:rsidRDefault="00FC1E37" w:rsidP="00932CE7">
            <w:pPr>
              <w:pStyle w:val="TableBodyText"/>
              <w:rPr>
                <w:sz w:val="18"/>
                <w:szCs w:val="18"/>
              </w:rPr>
            </w:pPr>
            <w:r w:rsidRPr="00390699">
              <w:rPr>
                <w:sz w:val="18"/>
                <w:szCs w:val="18"/>
              </w:rPr>
              <w:t>69.7</w:t>
            </w:r>
          </w:p>
        </w:tc>
        <w:tc>
          <w:tcPr>
            <w:tcW w:w="507" w:type="pct"/>
            <w:vAlign w:val="bottom"/>
          </w:tcPr>
          <w:p w:rsidR="00FC1E37" w:rsidRPr="00390699" w:rsidRDefault="00FC1E37" w:rsidP="00932CE7">
            <w:pPr>
              <w:pStyle w:val="TableBodyText"/>
              <w:rPr>
                <w:sz w:val="18"/>
                <w:szCs w:val="18"/>
              </w:rPr>
            </w:pPr>
            <w:r w:rsidRPr="00390699">
              <w:rPr>
                <w:sz w:val="18"/>
                <w:szCs w:val="18"/>
              </w:rPr>
              <w:t>81.6</w:t>
            </w:r>
          </w:p>
        </w:tc>
        <w:tc>
          <w:tcPr>
            <w:tcW w:w="507" w:type="pct"/>
            <w:vAlign w:val="bottom"/>
          </w:tcPr>
          <w:p w:rsidR="00FC1E37" w:rsidRPr="00390699" w:rsidRDefault="00FC1E37" w:rsidP="00932CE7">
            <w:pPr>
              <w:pStyle w:val="TableBodyText"/>
              <w:rPr>
                <w:sz w:val="18"/>
                <w:szCs w:val="18"/>
              </w:rPr>
            </w:pPr>
            <w:r w:rsidRPr="00390699">
              <w:rPr>
                <w:sz w:val="18"/>
                <w:szCs w:val="18"/>
              </w:rPr>
              <w:t>54.9</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51.9</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51.9</w:t>
            </w:r>
          </w:p>
        </w:tc>
      </w:tr>
      <w:tr w:rsidR="00FC1E37" w:rsidRPr="006C5A80" w:rsidTr="005056C8">
        <w:tc>
          <w:tcPr>
            <w:tcW w:w="1959" w:type="pct"/>
            <w:vAlign w:val="bottom"/>
          </w:tcPr>
          <w:p w:rsidR="00FC1E37" w:rsidRPr="00390699" w:rsidRDefault="00FC1E37" w:rsidP="00932CE7">
            <w:pPr>
              <w:pStyle w:val="TableBodyText"/>
              <w:jc w:val="left"/>
              <w:rPr>
                <w:sz w:val="18"/>
                <w:szCs w:val="18"/>
              </w:rPr>
            </w:pPr>
            <w:r w:rsidRPr="00390699">
              <w:rPr>
                <w:sz w:val="18"/>
                <w:szCs w:val="18"/>
              </w:rPr>
              <w:t>Public administration and safety</w:t>
            </w:r>
          </w:p>
        </w:tc>
        <w:tc>
          <w:tcPr>
            <w:tcW w:w="507" w:type="pct"/>
            <w:vAlign w:val="bottom"/>
          </w:tcPr>
          <w:p w:rsidR="00FC1E37" w:rsidRPr="00390699" w:rsidRDefault="00FC1E37" w:rsidP="00932CE7">
            <w:pPr>
              <w:pStyle w:val="TableBodyText"/>
              <w:rPr>
                <w:sz w:val="18"/>
                <w:szCs w:val="18"/>
              </w:rPr>
            </w:pPr>
            <w:r w:rsidRPr="00390699">
              <w:rPr>
                <w:sz w:val="18"/>
                <w:szCs w:val="18"/>
              </w:rPr>
              <w:t>0.4</w:t>
            </w:r>
          </w:p>
        </w:tc>
        <w:tc>
          <w:tcPr>
            <w:tcW w:w="507" w:type="pct"/>
            <w:vAlign w:val="bottom"/>
          </w:tcPr>
          <w:p w:rsidR="00FC1E37" w:rsidRPr="00390699" w:rsidRDefault="00FC1E37" w:rsidP="00932CE7">
            <w:pPr>
              <w:pStyle w:val="TableBodyText"/>
              <w:rPr>
                <w:sz w:val="18"/>
                <w:szCs w:val="18"/>
              </w:rPr>
            </w:pPr>
            <w:r w:rsidRPr="00390699">
              <w:rPr>
                <w:sz w:val="18"/>
                <w:szCs w:val="18"/>
              </w:rPr>
              <w:t>0.2</w:t>
            </w:r>
          </w:p>
        </w:tc>
        <w:tc>
          <w:tcPr>
            <w:tcW w:w="507" w:type="pct"/>
            <w:vAlign w:val="bottom"/>
          </w:tcPr>
          <w:p w:rsidR="00FC1E37" w:rsidRPr="00390699" w:rsidRDefault="00FC1E37" w:rsidP="00932CE7">
            <w:pPr>
              <w:pStyle w:val="TableBodyText"/>
              <w:rPr>
                <w:sz w:val="18"/>
                <w:szCs w:val="18"/>
              </w:rPr>
            </w:pPr>
            <w:r w:rsidRPr="00390699">
              <w:rPr>
                <w:sz w:val="18"/>
                <w:szCs w:val="18"/>
              </w:rPr>
              <w:t>1.9</w:t>
            </w:r>
          </w:p>
        </w:tc>
        <w:tc>
          <w:tcPr>
            <w:tcW w:w="507" w:type="pct"/>
            <w:vAlign w:val="bottom"/>
          </w:tcPr>
          <w:p w:rsidR="00FC1E37" w:rsidRPr="00390699" w:rsidRDefault="00FC1E37" w:rsidP="00932CE7">
            <w:pPr>
              <w:pStyle w:val="TableBodyText"/>
              <w:rPr>
                <w:sz w:val="18"/>
                <w:szCs w:val="18"/>
              </w:rPr>
            </w:pPr>
            <w:r w:rsidRPr="00390699">
              <w:rPr>
                <w:sz w:val="18"/>
                <w:szCs w:val="18"/>
              </w:rPr>
              <w:t>0.2</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0.2</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0.2</w:t>
            </w:r>
          </w:p>
        </w:tc>
      </w:tr>
      <w:tr w:rsidR="00FC1E37" w:rsidRPr="006C5A80" w:rsidTr="005056C8">
        <w:tc>
          <w:tcPr>
            <w:tcW w:w="1959" w:type="pct"/>
            <w:vAlign w:val="bottom"/>
          </w:tcPr>
          <w:p w:rsidR="00FC1E37" w:rsidRPr="00390699" w:rsidRDefault="00FC1E37" w:rsidP="00932CE7">
            <w:pPr>
              <w:pStyle w:val="TableBodyText"/>
              <w:jc w:val="left"/>
              <w:rPr>
                <w:sz w:val="18"/>
                <w:szCs w:val="18"/>
              </w:rPr>
            </w:pPr>
            <w:r w:rsidRPr="00390699">
              <w:rPr>
                <w:sz w:val="18"/>
                <w:szCs w:val="18"/>
              </w:rPr>
              <w:t>Education and training</w:t>
            </w:r>
          </w:p>
        </w:tc>
        <w:tc>
          <w:tcPr>
            <w:tcW w:w="507" w:type="pct"/>
            <w:vAlign w:val="bottom"/>
          </w:tcPr>
          <w:p w:rsidR="00FC1E37" w:rsidRPr="00390699" w:rsidRDefault="00FC1E37" w:rsidP="00932CE7">
            <w:pPr>
              <w:pStyle w:val="TableBodyText"/>
              <w:rPr>
                <w:sz w:val="18"/>
                <w:szCs w:val="18"/>
              </w:rPr>
            </w:pPr>
            <w:r w:rsidRPr="00390699">
              <w:rPr>
                <w:sz w:val="18"/>
                <w:szCs w:val="18"/>
              </w:rPr>
              <w:t>0.4</w:t>
            </w:r>
          </w:p>
        </w:tc>
        <w:tc>
          <w:tcPr>
            <w:tcW w:w="507" w:type="pct"/>
            <w:vAlign w:val="bottom"/>
          </w:tcPr>
          <w:p w:rsidR="00FC1E37" w:rsidRPr="00390699" w:rsidRDefault="00FC1E37" w:rsidP="00932CE7">
            <w:pPr>
              <w:pStyle w:val="TableBodyText"/>
              <w:rPr>
                <w:sz w:val="18"/>
                <w:szCs w:val="18"/>
              </w:rPr>
            </w:pPr>
            <w:r w:rsidRPr="00390699">
              <w:rPr>
                <w:sz w:val="18"/>
                <w:szCs w:val="18"/>
              </w:rPr>
              <w:t>1.8</w:t>
            </w:r>
          </w:p>
        </w:tc>
        <w:tc>
          <w:tcPr>
            <w:tcW w:w="507" w:type="pct"/>
            <w:vAlign w:val="bottom"/>
          </w:tcPr>
          <w:p w:rsidR="00FC1E37" w:rsidRPr="00390699" w:rsidRDefault="00FC1E37" w:rsidP="00932CE7">
            <w:pPr>
              <w:pStyle w:val="TableBodyText"/>
              <w:rPr>
                <w:sz w:val="18"/>
                <w:szCs w:val="18"/>
              </w:rPr>
            </w:pPr>
            <w:r w:rsidRPr="00390699">
              <w:rPr>
                <w:sz w:val="18"/>
                <w:szCs w:val="18"/>
              </w:rPr>
              <w:t>4.1</w:t>
            </w:r>
          </w:p>
        </w:tc>
        <w:tc>
          <w:tcPr>
            <w:tcW w:w="507" w:type="pct"/>
            <w:vAlign w:val="bottom"/>
          </w:tcPr>
          <w:p w:rsidR="00FC1E37" w:rsidRPr="00390699" w:rsidRDefault="00FC1E37" w:rsidP="00932CE7">
            <w:pPr>
              <w:pStyle w:val="TableBodyText"/>
              <w:rPr>
                <w:sz w:val="18"/>
                <w:szCs w:val="18"/>
              </w:rPr>
            </w:pPr>
            <w:r w:rsidRPr="00390699">
              <w:rPr>
                <w:sz w:val="18"/>
                <w:szCs w:val="18"/>
              </w:rPr>
              <w:t>2.4</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2.3</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2.3</w:t>
            </w:r>
          </w:p>
        </w:tc>
      </w:tr>
      <w:tr w:rsidR="00FC1E37" w:rsidRPr="006C5A80" w:rsidTr="005056C8">
        <w:tc>
          <w:tcPr>
            <w:tcW w:w="1959" w:type="pct"/>
            <w:vAlign w:val="bottom"/>
          </w:tcPr>
          <w:p w:rsidR="00FC1E37" w:rsidRPr="00390699" w:rsidRDefault="00FC1E37" w:rsidP="00932CE7">
            <w:pPr>
              <w:pStyle w:val="TableBodyText"/>
              <w:jc w:val="left"/>
              <w:rPr>
                <w:sz w:val="18"/>
                <w:szCs w:val="18"/>
              </w:rPr>
            </w:pPr>
            <w:r w:rsidRPr="00390699">
              <w:rPr>
                <w:sz w:val="18"/>
                <w:szCs w:val="18"/>
              </w:rPr>
              <w:t>Health care and social assistance</w:t>
            </w:r>
          </w:p>
        </w:tc>
        <w:tc>
          <w:tcPr>
            <w:tcW w:w="507" w:type="pct"/>
            <w:vAlign w:val="bottom"/>
          </w:tcPr>
          <w:p w:rsidR="00FC1E37" w:rsidRPr="00390699" w:rsidRDefault="00FC1E37" w:rsidP="00932CE7">
            <w:pPr>
              <w:pStyle w:val="TableBodyText"/>
              <w:rPr>
                <w:sz w:val="18"/>
                <w:szCs w:val="18"/>
              </w:rPr>
            </w:pPr>
            <w:r w:rsidRPr="00390699">
              <w:rPr>
                <w:sz w:val="18"/>
                <w:szCs w:val="18"/>
              </w:rPr>
              <w:t>10.9</w:t>
            </w:r>
          </w:p>
        </w:tc>
        <w:tc>
          <w:tcPr>
            <w:tcW w:w="507" w:type="pct"/>
            <w:vAlign w:val="bottom"/>
          </w:tcPr>
          <w:p w:rsidR="00FC1E37" w:rsidRPr="00390699" w:rsidRDefault="00FC1E37" w:rsidP="00932CE7">
            <w:pPr>
              <w:pStyle w:val="TableBodyText"/>
              <w:rPr>
                <w:sz w:val="18"/>
                <w:szCs w:val="18"/>
              </w:rPr>
            </w:pPr>
            <w:r w:rsidRPr="00390699">
              <w:rPr>
                <w:sz w:val="18"/>
                <w:szCs w:val="18"/>
              </w:rPr>
              <w:t>21.2</w:t>
            </w:r>
          </w:p>
        </w:tc>
        <w:tc>
          <w:tcPr>
            <w:tcW w:w="507" w:type="pct"/>
            <w:vAlign w:val="bottom"/>
          </w:tcPr>
          <w:p w:rsidR="00FC1E37" w:rsidRPr="00390699" w:rsidRDefault="00FC1E37" w:rsidP="00932CE7">
            <w:pPr>
              <w:pStyle w:val="TableBodyText"/>
              <w:rPr>
                <w:sz w:val="18"/>
                <w:szCs w:val="18"/>
              </w:rPr>
            </w:pPr>
            <w:r w:rsidRPr="00390699">
              <w:rPr>
                <w:sz w:val="18"/>
                <w:szCs w:val="18"/>
              </w:rPr>
              <w:t>21.5</w:t>
            </w:r>
          </w:p>
        </w:tc>
        <w:tc>
          <w:tcPr>
            <w:tcW w:w="507" w:type="pct"/>
            <w:vAlign w:val="bottom"/>
          </w:tcPr>
          <w:p w:rsidR="00FC1E37" w:rsidRPr="00390699" w:rsidRDefault="00FC1E37" w:rsidP="00932CE7">
            <w:pPr>
              <w:pStyle w:val="TableBodyText"/>
              <w:rPr>
                <w:sz w:val="18"/>
                <w:szCs w:val="18"/>
              </w:rPr>
            </w:pPr>
            <w:r w:rsidRPr="00390699">
              <w:rPr>
                <w:sz w:val="18"/>
                <w:szCs w:val="18"/>
              </w:rPr>
              <w:t>15.5</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14.7</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14.7</w:t>
            </w:r>
          </w:p>
        </w:tc>
      </w:tr>
      <w:tr w:rsidR="00FC1E37" w:rsidRPr="006C5A80" w:rsidTr="005056C8">
        <w:tc>
          <w:tcPr>
            <w:tcW w:w="1959" w:type="pct"/>
            <w:vAlign w:val="bottom"/>
          </w:tcPr>
          <w:p w:rsidR="00FC1E37" w:rsidRPr="00390699" w:rsidRDefault="00FC1E37" w:rsidP="00932CE7">
            <w:pPr>
              <w:pStyle w:val="TableBodyText"/>
              <w:jc w:val="left"/>
              <w:rPr>
                <w:sz w:val="18"/>
                <w:szCs w:val="18"/>
              </w:rPr>
            </w:pPr>
            <w:r w:rsidRPr="00390699">
              <w:rPr>
                <w:sz w:val="18"/>
                <w:szCs w:val="18"/>
              </w:rPr>
              <w:t>Arts and recreation services</w:t>
            </w:r>
          </w:p>
        </w:tc>
        <w:tc>
          <w:tcPr>
            <w:tcW w:w="507" w:type="pct"/>
            <w:vAlign w:val="bottom"/>
          </w:tcPr>
          <w:p w:rsidR="00FC1E37" w:rsidRPr="00390699" w:rsidRDefault="00FC1E37" w:rsidP="00932CE7">
            <w:pPr>
              <w:pStyle w:val="TableBodyText"/>
              <w:rPr>
                <w:sz w:val="18"/>
                <w:szCs w:val="18"/>
              </w:rPr>
            </w:pPr>
            <w:r w:rsidRPr="00390699">
              <w:rPr>
                <w:sz w:val="18"/>
                <w:szCs w:val="18"/>
              </w:rPr>
              <w:t>2.0</w:t>
            </w:r>
          </w:p>
        </w:tc>
        <w:tc>
          <w:tcPr>
            <w:tcW w:w="507" w:type="pct"/>
            <w:vAlign w:val="bottom"/>
          </w:tcPr>
          <w:p w:rsidR="00FC1E37" w:rsidRPr="00390699" w:rsidRDefault="00FC1E37" w:rsidP="00932CE7">
            <w:pPr>
              <w:pStyle w:val="TableBodyText"/>
              <w:rPr>
                <w:sz w:val="18"/>
                <w:szCs w:val="18"/>
              </w:rPr>
            </w:pPr>
            <w:r w:rsidRPr="00390699">
              <w:rPr>
                <w:sz w:val="18"/>
                <w:szCs w:val="18"/>
              </w:rPr>
              <w:t>3.4</w:t>
            </w:r>
          </w:p>
        </w:tc>
        <w:tc>
          <w:tcPr>
            <w:tcW w:w="507" w:type="pct"/>
            <w:vAlign w:val="bottom"/>
          </w:tcPr>
          <w:p w:rsidR="00FC1E37" w:rsidRPr="00390699" w:rsidRDefault="00FC1E37" w:rsidP="00932CE7">
            <w:pPr>
              <w:pStyle w:val="TableBodyText"/>
              <w:rPr>
                <w:sz w:val="18"/>
                <w:szCs w:val="18"/>
              </w:rPr>
            </w:pPr>
            <w:r w:rsidRPr="00390699">
              <w:rPr>
                <w:sz w:val="18"/>
                <w:szCs w:val="18"/>
              </w:rPr>
              <w:t>2.3</w:t>
            </w:r>
          </w:p>
        </w:tc>
        <w:tc>
          <w:tcPr>
            <w:tcW w:w="507" w:type="pct"/>
            <w:vAlign w:val="bottom"/>
          </w:tcPr>
          <w:p w:rsidR="00FC1E37" w:rsidRPr="00390699" w:rsidRDefault="00FC1E37" w:rsidP="00932CE7">
            <w:pPr>
              <w:pStyle w:val="TableBodyText"/>
              <w:rPr>
                <w:sz w:val="18"/>
                <w:szCs w:val="18"/>
              </w:rPr>
            </w:pPr>
            <w:r w:rsidRPr="00390699">
              <w:rPr>
                <w:sz w:val="18"/>
                <w:szCs w:val="18"/>
              </w:rPr>
              <w:t>2.2</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2.1</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2.1</w:t>
            </w:r>
          </w:p>
        </w:tc>
      </w:tr>
      <w:tr w:rsidR="00FC1E37" w:rsidRPr="006C5A80" w:rsidTr="005056C8">
        <w:tc>
          <w:tcPr>
            <w:tcW w:w="1959" w:type="pct"/>
            <w:vAlign w:val="bottom"/>
          </w:tcPr>
          <w:p w:rsidR="00FC1E37" w:rsidRPr="00390699" w:rsidRDefault="00FC1E37" w:rsidP="00932CE7">
            <w:pPr>
              <w:pStyle w:val="TableBodyText"/>
              <w:jc w:val="left"/>
              <w:rPr>
                <w:sz w:val="18"/>
                <w:szCs w:val="18"/>
              </w:rPr>
            </w:pPr>
            <w:r w:rsidRPr="00390699">
              <w:rPr>
                <w:sz w:val="18"/>
                <w:szCs w:val="18"/>
              </w:rPr>
              <w:t>Other services</w:t>
            </w:r>
          </w:p>
        </w:tc>
        <w:tc>
          <w:tcPr>
            <w:tcW w:w="507" w:type="pct"/>
            <w:vAlign w:val="bottom"/>
          </w:tcPr>
          <w:p w:rsidR="00FC1E37" w:rsidRPr="00390699" w:rsidRDefault="00FC1E37" w:rsidP="00932CE7">
            <w:pPr>
              <w:pStyle w:val="TableBodyText"/>
              <w:rPr>
                <w:sz w:val="18"/>
                <w:szCs w:val="18"/>
              </w:rPr>
            </w:pPr>
            <w:r w:rsidRPr="00390699">
              <w:rPr>
                <w:sz w:val="18"/>
                <w:szCs w:val="18"/>
              </w:rPr>
              <w:t>4.0</w:t>
            </w:r>
          </w:p>
        </w:tc>
        <w:tc>
          <w:tcPr>
            <w:tcW w:w="507" w:type="pct"/>
            <w:vAlign w:val="bottom"/>
          </w:tcPr>
          <w:p w:rsidR="00FC1E37" w:rsidRPr="00390699" w:rsidRDefault="00FC1E37" w:rsidP="00932CE7">
            <w:pPr>
              <w:pStyle w:val="TableBodyText"/>
              <w:rPr>
                <w:sz w:val="18"/>
                <w:szCs w:val="18"/>
              </w:rPr>
            </w:pPr>
            <w:r w:rsidRPr="00390699">
              <w:rPr>
                <w:sz w:val="18"/>
                <w:szCs w:val="18"/>
              </w:rPr>
              <w:t>6.3</w:t>
            </w:r>
          </w:p>
        </w:tc>
        <w:tc>
          <w:tcPr>
            <w:tcW w:w="507" w:type="pct"/>
            <w:vAlign w:val="bottom"/>
          </w:tcPr>
          <w:p w:rsidR="00FC1E37" w:rsidRPr="00390699" w:rsidRDefault="00FC1E37" w:rsidP="00932CE7">
            <w:pPr>
              <w:pStyle w:val="TableBodyText"/>
              <w:rPr>
                <w:sz w:val="18"/>
                <w:szCs w:val="18"/>
              </w:rPr>
            </w:pPr>
            <w:r w:rsidRPr="00390699">
              <w:rPr>
                <w:sz w:val="18"/>
                <w:szCs w:val="18"/>
              </w:rPr>
              <w:t>8.0</w:t>
            </w:r>
          </w:p>
        </w:tc>
        <w:tc>
          <w:tcPr>
            <w:tcW w:w="507" w:type="pct"/>
            <w:vAlign w:val="bottom"/>
          </w:tcPr>
          <w:p w:rsidR="00FC1E37" w:rsidRPr="00390699" w:rsidRDefault="00FC1E37" w:rsidP="00932CE7">
            <w:pPr>
              <w:pStyle w:val="TableBodyText"/>
              <w:rPr>
                <w:sz w:val="18"/>
                <w:szCs w:val="18"/>
              </w:rPr>
            </w:pPr>
            <w:r w:rsidRPr="00390699">
              <w:rPr>
                <w:sz w:val="18"/>
                <w:szCs w:val="18"/>
              </w:rPr>
              <w:t>3.6</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3.4</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3.4</w:t>
            </w:r>
          </w:p>
        </w:tc>
      </w:tr>
      <w:tr w:rsidR="00FC1E37" w:rsidRPr="006C5A80" w:rsidTr="005056C8">
        <w:tc>
          <w:tcPr>
            <w:tcW w:w="1959" w:type="pct"/>
            <w:vAlign w:val="bottom"/>
          </w:tcPr>
          <w:p w:rsidR="00FC1E37" w:rsidRPr="00390699" w:rsidRDefault="00FC1E37" w:rsidP="00B85876">
            <w:pPr>
              <w:pStyle w:val="TableBodyText"/>
              <w:jc w:val="left"/>
              <w:rPr>
                <w:sz w:val="18"/>
                <w:szCs w:val="18"/>
              </w:rPr>
            </w:pPr>
            <w:r w:rsidRPr="00390699">
              <w:rPr>
                <w:sz w:val="18"/>
                <w:szCs w:val="18"/>
              </w:rPr>
              <w:t>Unallocated other</w:t>
            </w:r>
            <w:r w:rsidRPr="00390699">
              <w:rPr>
                <w:rStyle w:val="NoteLabel"/>
                <w:szCs w:val="18"/>
              </w:rPr>
              <w:t>a</w:t>
            </w:r>
          </w:p>
        </w:tc>
        <w:tc>
          <w:tcPr>
            <w:tcW w:w="507" w:type="pct"/>
            <w:vAlign w:val="bottom"/>
          </w:tcPr>
          <w:p w:rsidR="00FC1E37" w:rsidRPr="00390699" w:rsidRDefault="00FC1E37" w:rsidP="00932CE7">
            <w:pPr>
              <w:pStyle w:val="TableBodyText"/>
              <w:rPr>
                <w:sz w:val="18"/>
                <w:szCs w:val="18"/>
              </w:rPr>
            </w:pPr>
            <w:r w:rsidRPr="00390699">
              <w:rPr>
                <w:sz w:val="18"/>
                <w:szCs w:val="18"/>
              </w:rPr>
              <w:t>78.6</w:t>
            </w:r>
          </w:p>
        </w:tc>
        <w:tc>
          <w:tcPr>
            <w:tcW w:w="507" w:type="pct"/>
            <w:vAlign w:val="bottom"/>
          </w:tcPr>
          <w:p w:rsidR="00FC1E37" w:rsidRPr="00390699" w:rsidRDefault="00FC1E37" w:rsidP="00932CE7">
            <w:pPr>
              <w:pStyle w:val="TableBodyText"/>
              <w:rPr>
                <w:sz w:val="18"/>
                <w:szCs w:val="18"/>
              </w:rPr>
            </w:pPr>
            <w:r w:rsidRPr="00390699">
              <w:rPr>
                <w:sz w:val="18"/>
                <w:szCs w:val="18"/>
              </w:rPr>
              <w:t>163.0</w:t>
            </w:r>
          </w:p>
        </w:tc>
        <w:tc>
          <w:tcPr>
            <w:tcW w:w="507" w:type="pct"/>
            <w:vAlign w:val="bottom"/>
          </w:tcPr>
          <w:p w:rsidR="00FC1E37" w:rsidRPr="00390699" w:rsidRDefault="00FC1E37" w:rsidP="00932CE7">
            <w:pPr>
              <w:pStyle w:val="TableBodyText"/>
              <w:rPr>
                <w:sz w:val="18"/>
                <w:szCs w:val="18"/>
              </w:rPr>
            </w:pPr>
            <w:r w:rsidRPr="00390699">
              <w:rPr>
                <w:sz w:val="18"/>
                <w:szCs w:val="18"/>
              </w:rPr>
              <w:t>191.7</w:t>
            </w:r>
          </w:p>
        </w:tc>
        <w:tc>
          <w:tcPr>
            <w:tcW w:w="507" w:type="pct"/>
            <w:vAlign w:val="bottom"/>
          </w:tcPr>
          <w:p w:rsidR="00FC1E37" w:rsidRPr="00390699" w:rsidRDefault="00FC1E37" w:rsidP="00932CE7">
            <w:pPr>
              <w:pStyle w:val="TableBodyText"/>
              <w:rPr>
                <w:sz w:val="18"/>
                <w:szCs w:val="18"/>
              </w:rPr>
            </w:pPr>
            <w:r w:rsidRPr="00390699">
              <w:rPr>
                <w:sz w:val="18"/>
                <w:szCs w:val="18"/>
              </w:rPr>
              <w:t>113.5</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107.2</w:t>
            </w:r>
          </w:p>
        </w:tc>
        <w:tc>
          <w:tcPr>
            <w:tcW w:w="507" w:type="pct"/>
            <w:shd w:val="clear" w:color="auto" w:fill="auto"/>
            <w:vAlign w:val="bottom"/>
          </w:tcPr>
          <w:p w:rsidR="00FC1E37" w:rsidRPr="00390699" w:rsidRDefault="00FC1E37" w:rsidP="00932CE7">
            <w:pPr>
              <w:pStyle w:val="TableBodyText"/>
              <w:rPr>
                <w:sz w:val="18"/>
                <w:szCs w:val="18"/>
              </w:rPr>
            </w:pPr>
            <w:r w:rsidRPr="00390699">
              <w:rPr>
                <w:sz w:val="18"/>
                <w:szCs w:val="18"/>
              </w:rPr>
              <w:t>107.2</w:t>
            </w:r>
          </w:p>
        </w:tc>
      </w:tr>
      <w:tr w:rsidR="00FC1E37" w:rsidRPr="006C5A80" w:rsidTr="005056C8">
        <w:tc>
          <w:tcPr>
            <w:tcW w:w="1959" w:type="pct"/>
            <w:tcBorders>
              <w:bottom w:val="single" w:sz="4" w:space="0" w:color="auto"/>
            </w:tcBorders>
            <w:vAlign w:val="bottom"/>
          </w:tcPr>
          <w:p w:rsidR="00FC1E37" w:rsidRPr="00390699" w:rsidRDefault="00FC1E37" w:rsidP="00932CE7">
            <w:pPr>
              <w:pStyle w:val="TableBodyText"/>
              <w:jc w:val="left"/>
              <w:rPr>
                <w:b/>
                <w:bCs/>
                <w:sz w:val="18"/>
                <w:szCs w:val="18"/>
              </w:rPr>
            </w:pPr>
            <w:r w:rsidRPr="00390699">
              <w:rPr>
                <w:b/>
                <w:bCs/>
                <w:sz w:val="18"/>
                <w:szCs w:val="18"/>
              </w:rPr>
              <w:t>Total</w:t>
            </w:r>
          </w:p>
        </w:tc>
        <w:tc>
          <w:tcPr>
            <w:tcW w:w="507" w:type="pct"/>
            <w:tcBorders>
              <w:bottom w:val="single" w:sz="4" w:space="0" w:color="auto"/>
            </w:tcBorders>
            <w:vAlign w:val="bottom"/>
          </w:tcPr>
          <w:p w:rsidR="00FC1E37" w:rsidRPr="00390699" w:rsidRDefault="00FC1E37" w:rsidP="00932CE7">
            <w:pPr>
              <w:pStyle w:val="TableBodyText"/>
              <w:rPr>
                <w:b/>
                <w:bCs/>
                <w:sz w:val="18"/>
                <w:szCs w:val="18"/>
              </w:rPr>
            </w:pPr>
            <w:r w:rsidRPr="00390699">
              <w:rPr>
                <w:b/>
                <w:bCs/>
                <w:sz w:val="18"/>
                <w:szCs w:val="18"/>
              </w:rPr>
              <w:t>270.0</w:t>
            </w:r>
          </w:p>
        </w:tc>
        <w:tc>
          <w:tcPr>
            <w:tcW w:w="507" w:type="pct"/>
            <w:tcBorders>
              <w:bottom w:val="single" w:sz="4" w:space="0" w:color="auto"/>
            </w:tcBorders>
            <w:vAlign w:val="bottom"/>
          </w:tcPr>
          <w:p w:rsidR="00FC1E37" w:rsidRPr="00390699" w:rsidRDefault="00FC1E37" w:rsidP="00932CE7">
            <w:pPr>
              <w:pStyle w:val="TableBodyText"/>
              <w:rPr>
                <w:b/>
                <w:bCs/>
                <w:sz w:val="18"/>
                <w:szCs w:val="18"/>
              </w:rPr>
            </w:pPr>
            <w:r w:rsidRPr="00390699">
              <w:rPr>
                <w:b/>
                <w:bCs/>
                <w:sz w:val="18"/>
                <w:szCs w:val="18"/>
              </w:rPr>
              <w:t>490.0</w:t>
            </w:r>
          </w:p>
        </w:tc>
        <w:tc>
          <w:tcPr>
            <w:tcW w:w="507" w:type="pct"/>
            <w:tcBorders>
              <w:bottom w:val="single" w:sz="4" w:space="0" w:color="auto"/>
            </w:tcBorders>
            <w:vAlign w:val="bottom"/>
          </w:tcPr>
          <w:p w:rsidR="00FC1E37" w:rsidRPr="00390699" w:rsidRDefault="00FC1E37" w:rsidP="00932CE7">
            <w:pPr>
              <w:pStyle w:val="TableBodyText"/>
              <w:rPr>
                <w:b/>
                <w:bCs/>
                <w:sz w:val="18"/>
                <w:szCs w:val="18"/>
              </w:rPr>
            </w:pPr>
            <w:r w:rsidRPr="00390699">
              <w:rPr>
                <w:b/>
                <w:bCs/>
                <w:sz w:val="18"/>
                <w:szCs w:val="18"/>
              </w:rPr>
              <w:t>580.0</w:t>
            </w:r>
          </w:p>
        </w:tc>
        <w:tc>
          <w:tcPr>
            <w:tcW w:w="507" w:type="pct"/>
            <w:tcBorders>
              <w:bottom w:val="single" w:sz="4" w:space="0" w:color="auto"/>
            </w:tcBorders>
            <w:vAlign w:val="bottom"/>
          </w:tcPr>
          <w:p w:rsidR="00FC1E37" w:rsidRPr="00390699" w:rsidRDefault="00FC1E37" w:rsidP="00932CE7">
            <w:pPr>
              <w:pStyle w:val="TableBodyText"/>
              <w:rPr>
                <w:b/>
                <w:bCs/>
                <w:sz w:val="18"/>
                <w:szCs w:val="18"/>
              </w:rPr>
            </w:pPr>
            <w:r w:rsidRPr="00390699">
              <w:rPr>
                <w:b/>
                <w:bCs/>
                <w:sz w:val="18"/>
                <w:szCs w:val="18"/>
              </w:rPr>
              <w:t>360.0</w:t>
            </w:r>
          </w:p>
        </w:tc>
        <w:tc>
          <w:tcPr>
            <w:tcW w:w="507" w:type="pct"/>
            <w:tcBorders>
              <w:bottom w:val="single" w:sz="4" w:space="0" w:color="auto"/>
            </w:tcBorders>
            <w:shd w:val="clear" w:color="auto" w:fill="auto"/>
            <w:vAlign w:val="bottom"/>
          </w:tcPr>
          <w:p w:rsidR="00FC1E37" w:rsidRPr="00390699" w:rsidRDefault="00FC1E37" w:rsidP="00932CE7">
            <w:pPr>
              <w:pStyle w:val="TableBodyText"/>
              <w:rPr>
                <w:b/>
                <w:bCs/>
                <w:sz w:val="18"/>
                <w:szCs w:val="18"/>
              </w:rPr>
            </w:pPr>
            <w:r w:rsidRPr="00390699">
              <w:rPr>
                <w:b/>
                <w:bCs/>
                <w:sz w:val="18"/>
                <w:szCs w:val="18"/>
              </w:rPr>
              <w:t>340.0</w:t>
            </w:r>
          </w:p>
        </w:tc>
        <w:tc>
          <w:tcPr>
            <w:tcW w:w="507" w:type="pct"/>
            <w:tcBorders>
              <w:bottom w:val="single" w:sz="4" w:space="0" w:color="auto"/>
            </w:tcBorders>
            <w:shd w:val="clear" w:color="auto" w:fill="auto"/>
            <w:vAlign w:val="bottom"/>
          </w:tcPr>
          <w:p w:rsidR="00FC1E37" w:rsidRPr="00390699" w:rsidRDefault="00FC1E37" w:rsidP="00932CE7">
            <w:pPr>
              <w:pStyle w:val="TableBodyText"/>
              <w:rPr>
                <w:b/>
                <w:bCs/>
                <w:sz w:val="18"/>
                <w:szCs w:val="18"/>
              </w:rPr>
            </w:pPr>
            <w:r w:rsidRPr="00390699">
              <w:rPr>
                <w:b/>
                <w:bCs/>
                <w:sz w:val="18"/>
                <w:szCs w:val="18"/>
              </w:rPr>
              <w:t>340.0</w:t>
            </w:r>
          </w:p>
        </w:tc>
      </w:tr>
    </w:tbl>
    <w:p w:rsidR="00A043E6" w:rsidRDefault="005056C8" w:rsidP="00A043E6">
      <w:pPr>
        <w:pStyle w:val="Note"/>
      </w:pPr>
      <w:r>
        <w:t xml:space="preserve">– </w:t>
      </w:r>
      <w:r w:rsidR="00C46403">
        <w:t>Nil</w:t>
      </w:r>
      <w:r>
        <w:t xml:space="preserve">. </w:t>
      </w:r>
      <w:r w:rsidR="00A043E6" w:rsidRPr="008E77FE">
        <w:rPr>
          <w:rStyle w:val="NoteLabel"/>
        </w:rPr>
        <w:t>a</w:t>
      </w:r>
      <w:r w:rsidR="00A043E6">
        <w:t xml:space="preserve"> </w:t>
      </w:r>
      <w:r w:rsidR="00B85876">
        <w:t>Unallocated includes general programs where details of beneficiaries are unknown</w:t>
      </w:r>
      <w:r w:rsidR="00A043E6">
        <w:t>.</w:t>
      </w:r>
    </w:p>
    <w:p w:rsidR="00A043E6" w:rsidRPr="008E77FE" w:rsidRDefault="00B34223" w:rsidP="00A043E6">
      <w:pPr>
        <w:pStyle w:val="Source"/>
      </w:pPr>
      <w:r>
        <w:rPr>
          <w:i/>
        </w:rPr>
        <w:t>Source</w:t>
      </w:r>
      <w:r w:rsidR="00D82211">
        <w:rPr>
          <w:i/>
        </w:rPr>
        <w:t>s</w:t>
      </w:r>
      <w:r w:rsidR="00A043E6">
        <w:t xml:space="preserve">: </w:t>
      </w:r>
      <w:r w:rsidR="00EF17F4" w:rsidRPr="00EF17F4">
        <w:t xml:space="preserve">Commission estimates based on </w:t>
      </w:r>
      <w:r w:rsidR="00E07E87">
        <w:t>Tax Expenditure Statement</w:t>
      </w:r>
      <w:r w:rsidR="00EF17F4" w:rsidRPr="00EF17F4">
        <w:t xml:space="preserve"> 2012</w:t>
      </w:r>
      <w:r w:rsidR="00FB2AE2">
        <w:t>, Australian Government 2013</w:t>
      </w:r>
      <w:r w:rsidR="00EF17F4" w:rsidRPr="00EF17F4">
        <w:t>, p.</w:t>
      </w:r>
      <w:r w:rsidR="00C7652A">
        <w:t> </w:t>
      </w:r>
      <w:r w:rsidR="00EF17F4" w:rsidRPr="00EF17F4">
        <w:t>1</w:t>
      </w:r>
      <w:r w:rsidR="00EF17F4">
        <w:t>20</w:t>
      </w:r>
      <w:r w:rsidR="00EF17F4" w:rsidRPr="00EF17F4">
        <w:t xml:space="preserve">, item </w:t>
      </w:r>
      <w:r w:rsidR="00EF17F4">
        <w:t>C1</w:t>
      </w:r>
      <w:r w:rsidR="00EF17F4" w:rsidRPr="00EF17F4">
        <w:t>; Industry classification derived from detailed ATO data by ANZSIC industry</w:t>
      </w:r>
      <w:r w:rsidR="00A043E6">
        <w:t>.</w:t>
      </w:r>
    </w:p>
    <w:p w:rsidR="00217448" w:rsidRDefault="00FA09C3" w:rsidP="00217448">
      <w:pPr>
        <w:pStyle w:val="Heading2"/>
      </w:pPr>
      <w:r>
        <w:lastRenderedPageBreak/>
        <w:t>A.</w:t>
      </w:r>
      <w:r>
        <w:rPr>
          <w:noProof/>
        </w:rPr>
        <w:t>10</w:t>
      </w:r>
      <w:r w:rsidR="00217448">
        <w:tab/>
        <w:t>Farm Management Deposits Scheme</w:t>
      </w:r>
    </w:p>
    <w:p w:rsidR="00217448" w:rsidRPr="000138D9" w:rsidRDefault="00217448" w:rsidP="00217448">
      <w:pPr>
        <w:pStyle w:val="BodyText"/>
      </w:pPr>
      <w:r>
        <w:t xml:space="preserve">The Farm Management Deposits (FMD) </w:t>
      </w:r>
      <w:r w:rsidR="00553B54">
        <w:t xml:space="preserve">Scheme </w:t>
      </w:r>
      <w:r>
        <w:t xml:space="preserve">allows primary producers to make deposits when surplus funds are available and to withdraw holdings in less successful years. The fully taxable deposits are subject to a withholding tax when withdrawn, but the withholding tax can be varied in times of financial hardship (which may be a result of weather events or market downturn) </w:t>
      </w:r>
      <w:r w:rsidRPr="000138D9">
        <w:t>(</w:t>
      </w:r>
      <w:r w:rsidRPr="006D248C">
        <w:t>Tax Expenditure Statement, Australian Government 2013, Item B 43</w:t>
      </w:r>
      <w:r w:rsidRPr="000138D9">
        <w:t>).</w:t>
      </w:r>
    </w:p>
    <w:p w:rsidR="00217448" w:rsidRDefault="00217448" w:rsidP="00217448">
      <w:pPr>
        <w:pStyle w:val="BodyText"/>
      </w:pPr>
      <w:r>
        <w:t>This scheme replaced the Income Equalisation Deposits and Farm Management Bonds schemes in January 1999.</w:t>
      </w:r>
    </w:p>
    <w:p w:rsidR="00217448" w:rsidRDefault="00217448" w:rsidP="00217448">
      <w:pPr>
        <w:pStyle w:val="BodyText"/>
      </w:pPr>
      <w:r>
        <w:t>The Commission has obtained data from DAFF detailing the level of deposits held under the scheme by ANZSIC industry.</w:t>
      </w:r>
      <w:r>
        <w:rPr>
          <w:rStyle w:val="FootnoteReference"/>
        </w:rPr>
        <w:footnoteReference w:id="2"/>
      </w:r>
      <w:r>
        <w:t xml:space="preserve"> This information is used to allocate Treasury estimates of revenue forgone for the scheme (table A.1</w:t>
      </w:r>
      <w:r w:rsidR="00A93688">
        <w:t>0</w:t>
      </w:r>
      <w:r>
        <w:t>).</w:t>
      </w:r>
    </w:p>
    <w:p w:rsidR="00217448" w:rsidRDefault="00217448" w:rsidP="00217448">
      <w:pPr>
        <w:pStyle w:val="TableTitle"/>
      </w:pPr>
      <w:r>
        <w:rPr>
          <w:b w:val="0"/>
        </w:rPr>
        <w:t xml:space="preserve">Table </w:t>
      </w:r>
      <w:r w:rsidR="00FA09C3">
        <w:rPr>
          <w:b w:val="0"/>
        </w:rPr>
        <w:t>A.</w:t>
      </w:r>
      <w:r w:rsidR="00FA09C3">
        <w:rPr>
          <w:b w:val="0"/>
          <w:noProof/>
        </w:rPr>
        <w:t>10</w:t>
      </w:r>
      <w:r>
        <w:tab/>
        <w:t xml:space="preserve">Allocation of Farm Management Deposits Scheme </w:t>
      </w:r>
      <w:r w:rsidR="006873B2">
        <w:t>to</w:t>
      </w:r>
      <w:r>
        <w:t xml:space="preserve"> industry, 2006</w:t>
      </w:r>
      <w:r>
        <w:noBreakHyphen/>
        <w:t>07 to 2011</w:t>
      </w:r>
      <w:r>
        <w:noBreakHyphen/>
        <w:t>12</w:t>
      </w:r>
    </w:p>
    <w:p w:rsidR="00217448" w:rsidRDefault="00217448" w:rsidP="00217448">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217448" w:rsidRPr="00AF699A" w:rsidTr="008B63A3">
        <w:tc>
          <w:tcPr>
            <w:tcW w:w="1960" w:type="pct"/>
            <w:tcBorders>
              <w:top w:val="single" w:sz="6" w:space="0" w:color="auto"/>
              <w:bottom w:val="single" w:sz="6" w:space="0" w:color="auto"/>
            </w:tcBorders>
          </w:tcPr>
          <w:p w:rsidR="00217448" w:rsidRPr="00AF699A" w:rsidRDefault="00217448" w:rsidP="008B63A3">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217448" w:rsidRPr="00AF699A" w:rsidRDefault="00217448" w:rsidP="008B63A3">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217448" w:rsidRPr="00AF699A" w:rsidRDefault="00217448" w:rsidP="008B63A3">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217448" w:rsidRPr="00AF699A" w:rsidRDefault="00217448" w:rsidP="008B63A3">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217448" w:rsidRPr="00AF699A" w:rsidRDefault="00217448" w:rsidP="008B63A3">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217448" w:rsidRPr="00AF699A" w:rsidRDefault="00217448" w:rsidP="008B63A3">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217448" w:rsidRPr="00AF699A" w:rsidRDefault="00217448" w:rsidP="008B63A3">
            <w:pPr>
              <w:pStyle w:val="TableColumnHeading"/>
              <w:ind w:right="28"/>
              <w:rPr>
                <w:rFonts w:cs="Arial"/>
                <w:sz w:val="18"/>
                <w:szCs w:val="18"/>
              </w:rPr>
            </w:pPr>
            <w:r w:rsidRPr="00AF699A">
              <w:rPr>
                <w:rFonts w:cs="Arial"/>
                <w:sz w:val="18"/>
                <w:szCs w:val="18"/>
              </w:rPr>
              <w:t>2011-12</w:t>
            </w:r>
          </w:p>
        </w:tc>
      </w:tr>
      <w:tr w:rsidR="00217448" w:rsidRPr="006C5A80" w:rsidTr="008B63A3">
        <w:tc>
          <w:tcPr>
            <w:tcW w:w="1960" w:type="pct"/>
            <w:vAlign w:val="bottom"/>
          </w:tcPr>
          <w:p w:rsidR="00217448" w:rsidRPr="00F1539F" w:rsidRDefault="00217448" w:rsidP="008B63A3">
            <w:pPr>
              <w:pStyle w:val="TableBodyText"/>
              <w:jc w:val="left"/>
              <w:rPr>
                <w:b/>
                <w:sz w:val="18"/>
                <w:szCs w:val="18"/>
              </w:rPr>
            </w:pPr>
            <w:r w:rsidRPr="00F1539F">
              <w:rPr>
                <w:b/>
                <w:sz w:val="18"/>
                <w:szCs w:val="18"/>
              </w:rPr>
              <w:t>Primary production</w:t>
            </w:r>
          </w:p>
        </w:tc>
        <w:tc>
          <w:tcPr>
            <w:tcW w:w="507" w:type="pct"/>
            <w:vAlign w:val="bottom"/>
          </w:tcPr>
          <w:p w:rsidR="00217448" w:rsidRPr="00AD07AC" w:rsidRDefault="00217448" w:rsidP="008B63A3">
            <w:pPr>
              <w:pStyle w:val="TableBodyText"/>
              <w:rPr>
                <w:b/>
                <w:sz w:val="18"/>
                <w:szCs w:val="18"/>
              </w:rPr>
            </w:pPr>
            <w:r w:rsidRPr="00AD07AC">
              <w:rPr>
                <w:b/>
                <w:sz w:val="18"/>
                <w:szCs w:val="18"/>
              </w:rPr>
              <w:t>75.0</w:t>
            </w:r>
          </w:p>
        </w:tc>
        <w:tc>
          <w:tcPr>
            <w:tcW w:w="507" w:type="pct"/>
            <w:vAlign w:val="bottom"/>
          </w:tcPr>
          <w:p w:rsidR="00217448" w:rsidRPr="00AD07AC" w:rsidRDefault="00217448" w:rsidP="008B63A3">
            <w:pPr>
              <w:pStyle w:val="TableBodyText"/>
              <w:rPr>
                <w:b/>
                <w:sz w:val="18"/>
                <w:szCs w:val="18"/>
              </w:rPr>
            </w:pPr>
            <w:r w:rsidRPr="00AD07AC">
              <w:rPr>
                <w:b/>
                <w:sz w:val="18"/>
                <w:szCs w:val="18"/>
              </w:rPr>
              <w:t>105.0</w:t>
            </w:r>
          </w:p>
        </w:tc>
        <w:tc>
          <w:tcPr>
            <w:tcW w:w="507" w:type="pct"/>
            <w:vAlign w:val="bottom"/>
          </w:tcPr>
          <w:p w:rsidR="00217448" w:rsidRPr="00AD07AC" w:rsidRDefault="00217448" w:rsidP="008B63A3">
            <w:pPr>
              <w:pStyle w:val="TableBodyText"/>
              <w:rPr>
                <w:b/>
                <w:sz w:val="18"/>
                <w:szCs w:val="18"/>
              </w:rPr>
            </w:pPr>
            <w:r w:rsidRPr="00AD07AC">
              <w:rPr>
                <w:b/>
                <w:sz w:val="18"/>
                <w:szCs w:val="18"/>
              </w:rPr>
              <w:t>135.0</w:t>
            </w:r>
          </w:p>
        </w:tc>
        <w:tc>
          <w:tcPr>
            <w:tcW w:w="507" w:type="pct"/>
            <w:vAlign w:val="bottom"/>
          </w:tcPr>
          <w:p w:rsidR="00217448" w:rsidRPr="00AD07AC" w:rsidRDefault="00217448" w:rsidP="008B63A3">
            <w:pPr>
              <w:pStyle w:val="TableBodyText"/>
              <w:rPr>
                <w:b/>
                <w:sz w:val="18"/>
                <w:szCs w:val="18"/>
              </w:rPr>
            </w:pPr>
            <w:r w:rsidRPr="00AD07AC">
              <w:rPr>
                <w:b/>
                <w:sz w:val="18"/>
                <w:szCs w:val="18"/>
              </w:rPr>
              <w:t>95.0</w:t>
            </w:r>
          </w:p>
        </w:tc>
        <w:tc>
          <w:tcPr>
            <w:tcW w:w="507" w:type="pct"/>
            <w:shd w:val="clear" w:color="auto" w:fill="auto"/>
            <w:vAlign w:val="bottom"/>
          </w:tcPr>
          <w:p w:rsidR="00217448" w:rsidRPr="00AD07AC" w:rsidRDefault="00217448" w:rsidP="008B63A3">
            <w:pPr>
              <w:pStyle w:val="TableBodyText"/>
              <w:rPr>
                <w:b/>
                <w:sz w:val="18"/>
                <w:szCs w:val="18"/>
              </w:rPr>
            </w:pPr>
            <w:r w:rsidRPr="00AD07AC">
              <w:rPr>
                <w:b/>
                <w:sz w:val="18"/>
                <w:szCs w:val="18"/>
              </w:rPr>
              <w:t>30.0</w:t>
            </w:r>
          </w:p>
        </w:tc>
        <w:tc>
          <w:tcPr>
            <w:tcW w:w="505" w:type="pct"/>
            <w:shd w:val="clear" w:color="auto" w:fill="auto"/>
            <w:vAlign w:val="bottom"/>
          </w:tcPr>
          <w:p w:rsidR="00217448" w:rsidRPr="00AD07AC" w:rsidRDefault="00217448" w:rsidP="008B63A3">
            <w:pPr>
              <w:pStyle w:val="TableBodyText"/>
              <w:rPr>
                <w:b/>
                <w:sz w:val="18"/>
                <w:szCs w:val="18"/>
              </w:rPr>
            </w:pPr>
            <w:r w:rsidRPr="00AD07AC">
              <w:rPr>
                <w:b/>
                <w:sz w:val="18"/>
                <w:szCs w:val="18"/>
              </w:rPr>
              <w:t>230.0</w:t>
            </w:r>
          </w:p>
        </w:tc>
      </w:tr>
      <w:tr w:rsidR="00217448" w:rsidRPr="006C5A80" w:rsidTr="008B63A3">
        <w:tc>
          <w:tcPr>
            <w:tcW w:w="1960" w:type="pct"/>
            <w:vAlign w:val="bottom"/>
          </w:tcPr>
          <w:p w:rsidR="00217448" w:rsidRPr="00F1539F" w:rsidRDefault="00217448" w:rsidP="008B63A3">
            <w:pPr>
              <w:pStyle w:val="TableBodyText"/>
              <w:jc w:val="left"/>
              <w:rPr>
                <w:sz w:val="18"/>
                <w:szCs w:val="18"/>
              </w:rPr>
            </w:pPr>
            <w:r w:rsidRPr="00F1539F">
              <w:rPr>
                <w:sz w:val="18"/>
                <w:szCs w:val="18"/>
              </w:rPr>
              <w:t>Horticulture and fruit growing</w:t>
            </w:r>
          </w:p>
        </w:tc>
        <w:tc>
          <w:tcPr>
            <w:tcW w:w="507" w:type="pct"/>
            <w:vAlign w:val="bottom"/>
          </w:tcPr>
          <w:p w:rsidR="00217448" w:rsidRPr="00AD07AC" w:rsidRDefault="00217448" w:rsidP="008B63A3">
            <w:pPr>
              <w:pStyle w:val="TableBodyText"/>
              <w:rPr>
                <w:sz w:val="18"/>
                <w:szCs w:val="18"/>
              </w:rPr>
            </w:pPr>
            <w:r w:rsidRPr="00AD07AC">
              <w:rPr>
                <w:sz w:val="18"/>
                <w:szCs w:val="18"/>
              </w:rPr>
              <w:t>10.3</w:t>
            </w:r>
          </w:p>
        </w:tc>
        <w:tc>
          <w:tcPr>
            <w:tcW w:w="507" w:type="pct"/>
            <w:vAlign w:val="bottom"/>
          </w:tcPr>
          <w:p w:rsidR="00217448" w:rsidRPr="00AD07AC" w:rsidRDefault="00217448" w:rsidP="008B63A3">
            <w:pPr>
              <w:pStyle w:val="TableBodyText"/>
              <w:rPr>
                <w:sz w:val="18"/>
                <w:szCs w:val="18"/>
              </w:rPr>
            </w:pPr>
            <w:r w:rsidRPr="00AD07AC">
              <w:rPr>
                <w:sz w:val="18"/>
                <w:szCs w:val="18"/>
              </w:rPr>
              <w:t>14.4</w:t>
            </w:r>
          </w:p>
        </w:tc>
        <w:tc>
          <w:tcPr>
            <w:tcW w:w="507" w:type="pct"/>
            <w:vAlign w:val="bottom"/>
          </w:tcPr>
          <w:p w:rsidR="00217448" w:rsidRPr="00AD07AC" w:rsidRDefault="00217448" w:rsidP="008B63A3">
            <w:pPr>
              <w:pStyle w:val="TableBodyText"/>
              <w:rPr>
                <w:sz w:val="18"/>
                <w:szCs w:val="18"/>
              </w:rPr>
            </w:pPr>
            <w:r w:rsidRPr="00AD07AC">
              <w:rPr>
                <w:sz w:val="18"/>
                <w:szCs w:val="18"/>
              </w:rPr>
              <w:t>20.5</w:t>
            </w:r>
          </w:p>
        </w:tc>
        <w:tc>
          <w:tcPr>
            <w:tcW w:w="507" w:type="pct"/>
            <w:vAlign w:val="bottom"/>
          </w:tcPr>
          <w:p w:rsidR="00217448" w:rsidRPr="00AD07AC" w:rsidRDefault="00217448" w:rsidP="008B63A3">
            <w:pPr>
              <w:pStyle w:val="TableBodyText"/>
              <w:rPr>
                <w:sz w:val="18"/>
                <w:szCs w:val="18"/>
              </w:rPr>
            </w:pPr>
            <w:r w:rsidRPr="00AD07AC">
              <w:rPr>
                <w:sz w:val="18"/>
                <w:szCs w:val="18"/>
              </w:rPr>
              <w:t>14.7</w:t>
            </w:r>
          </w:p>
        </w:tc>
        <w:tc>
          <w:tcPr>
            <w:tcW w:w="507" w:type="pct"/>
            <w:shd w:val="clear" w:color="auto" w:fill="auto"/>
            <w:vAlign w:val="bottom"/>
          </w:tcPr>
          <w:p w:rsidR="00217448" w:rsidRPr="00AD07AC" w:rsidRDefault="00217448" w:rsidP="008B63A3">
            <w:pPr>
              <w:pStyle w:val="TableBodyText"/>
              <w:rPr>
                <w:sz w:val="18"/>
                <w:szCs w:val="18"/>
              </w:rPr>
            </w:pPr>
            <w:r w:rsidRPr="00AD07AC">
              <w:rPr>
                <w:sz w:val="18"/>
                <w:szCs w:val="18"/>
              </w:rPr>
              <w:t>4.2</w:t>
            </w:r>
          </w:p>
        </w:tc>
        <w:tc>
          <w:tcPr>
            <w:tcW w:w="505" w:type="pct"/>
            <w:shd w:val="clear" w:color="auto" w:fill="auto"/>
            <w:vAlign w:val="bottom"/>
          </w:tcPr>
          <w:p w:rsidR="00217448" w:rsidRPr="00FE1BF5" w:rsidRDefault="00217448" w:rsidP="008B63A3">
            <w:pPr>
              <w:pStyle w:val="TableBodyText"/>
              <w:rPr>
                <w:sz w:val="18"/>
                <w:szCs w:val="18"/>
              </w:rPr>
            </w:pPr>
            <w:r w:rsidRPr="00FE1BF5">
              <w:rPr>
                <w:sz w:val="18"/>
                <w:szCs w:val="18"/>
              </w:rPr>
              <w:t>28.8</w:t>
            </w:r>
          </w:p>
        </w:tc>
      </w:tr>
      <w:tr w:rsidR="00217448" w:rsidRPr="006C5A80" w:rsidTr="008B63A3">
        <w:tc>
          <w:tcPr>
            <w:tcW w:w="1960" w:type="pct"/>
            <w:vAlign w:val="bottom"/>
          </w:tcPr>
          <w:p w:rsidR="00217448" w:rsidRPr="00F1539F" w:rsidRDefault="00217448" w:rsidP="008B63A3">
            <w:pPr>
              <w:pStyle w:val="TableBodyText"/>
              <w:jc w:val="left"/>
              <w:rPr>
                <w:sz w:val="18"/>
                <w:szCs w:val="18"/>
              </w:rPr>
            </w:pPr>
            <w:r w:rsidRPr="00F1539F">
              <w:rPr>
                <w:sz w:val="18"/>
                <w:szCs w:val="18"/>
              </w:rPr>
              <w:t>Sheep, beef cattle and grain farming</w:t>
            </w:r>
          </w:p>
        </w:tc>
        <w:tc>
          <w:tcPr>
            <w:tcW w:w="507" w:type="pct"/>
            <w:vAlign w:val="bottom"/>
          </w:tcPr>
          <w:p w:rsidR="00217448" w:rsidRPr="00AD07AC" w:rsidRDefault="00217448" w:rsidP="008B63A3">
            <w:pPr>
              <w:pStyle w:val="TableBodyText"/>
              <w:rPr>
                <w:sz w:val="18"/>
                <w:szCs w:val="18"/>
              </w:rPr>
            </w:pPr>
            <w:r w:rsidRPr="00AD07AC">
              <w:rPr>
                <w:sz w:val="18"/>
                <w:szCs w:val="18"/>
              </w:rPr>
              <w:t>46.7</w:t>
            </w:r>
          </w:p>
        </w:tc>
        <w:tc>
          <w:tcPr>
            <w:tcW w:w="507" w:type="pct"/>
            <w:vAlign w:val="bottom"/>
          </w:tcPr>
          <w:p w:rsidR="00217448" w:rsidRPr="00AD07AC" w:rsidRDefault="00217448" w:rsidP="008B63A3">
            <w:pPr>
              <w:pStyle w:val="TableBodyText"/>
              <w:rPr>
                <w:sz w:val="18"/>
                <w:szCs w:val="18"/>
              </w:rPr>
            </w:pPr>
            <w:r w:rsidRPr="00AD07AC">
              <w:rPr>
                <w:sz w:val="18"/>
                <w:szCs w:val="18"/>
              </w:rPr>
              <w:t>64.0</w:t>
            </w:r>
          </w:p>
        </w:tc>
        <w:tc>
          <w:tcPr>
            <w:tcW w:w="507" w:type="pct"/>
            <w:vAlign w:val="bottom"/>
          </w:tcPr>
          <w:p w:rsidR="00217448" w:rsidRPr="00AD07AC" w:rsidRDefault="00217448" w:rsidP="008B63A3">
            <w:pPr>
              <w:pStyle w:val="TableBodyText"/>
              <w:rPr>
                <w:sz w:val="18"/>
                <w:szCs w:val="18"/>
              </w:rPr>
            </w:pPr>
            <w:r w:rsidRPr="00AD07AC">
              <w:rPr>
                <w:sz w:val="18"/>
                <w:szCs w:val="18"/>
              </w:rPr>
              <w:t>80.4</w:t>
            </w:r>
          </w:p>
        </w:tc>
        <w:tc>
          <w:tcPr>
            <w:tcW w:w="507" w:type="pct"/>
            <w:vAlign w:val="bottom"/>
          </w:tcPr>
          <w:p w:rsidR="00217448" w:rsidRPr="00AD07AC" w:rsidRDefault="00217448" w:rsidP="008B63A3">
            <w:pPr>
              <w:pStyle w:val="TableBodyText"/>
              <w:rPr>
                <w:sz w:val="18"/>
                <w:szCs w:val="18"/>
              </w:rPr>
            </w:pPr>
            <w:r w:rsidRPr="00AD07AC">
              <w:rPr>
                <w:sz w:val="18"/>
                <w:szCs w:val="18"/>
              </w:rPr>
              <w:t>57.3</w:t>
            </w:r>
          </w:p>
        </w:tc>
        <w:tc>
          <w:tcPr>
            <w:tcW w:w="507" w:type="pct"/>
            <w:shd w:val="clear" w:color="auto" w:fill="auto"/>
            <w:vAlign w:val="bottom"/>
          </w:tcPr>
          <w:p w:rsidR="00217448" w:rsidRPr="00AD07AC" w:rsidRDefault="00217448" w:rsidP="008B63A3">
            <w:pPr>
              <w:pStyle w:val="TableBodyText"/>
              <w:rPr>
                <w:sz w:val="18"/>
                <w:szCs w:val="18"/>
              </w:rPr>
            </w:pPr>
            <w:r w:rsidRPr="00AD07AC">
              <w:rPr>
                <w:sz w:val="18"/>
                <w:szCs w:val="18"/>
              </w:rPr>
              <w:t>19.5</w:t>
            </w:r>
          </w:p>
        </w:tc>
        <w:tc>
          <w:tcPr>
            <w:tcW w:w="505" w:type="pct"/>
            <w:shd w:val="clear" w:color="auto" w:fill="auto"/>
            <w:vAlign w:val="bottom"/>
          </w:tcPr>
          <w:p w:rsidR="00217448" w:rsidRPr="00FE1BF5" w:rsidRDefault="00217448" w:rsidP="008B63A3">
            <w:pPr>
              <w:pStyle w:val="TableBodyText"/>
              <w:rPr>
                <w:sz w:val="18"/>
                <w:szCs w:val="18"/>
              </w:rPr>
            </w:pPr>
            <w:r w:rsidRPr="00FE1BF5">
              <w:rPr>
                <w:sz w:val="18"/>
                <w:szCs w:val="18"/>
              </w:rPr>
              <w:t>154.9</w:t>
            </w:r>
          </w:p>
        </w:tc>
      </w:tr>
      <w:tr w:rsidR="00217448" w:rsidRPr="006C5A80" w:rsidTr="008B63A3">
        <w:tc>
          <w:tcPr>
            <w:tcW w:w="1960" w:type="pct"/>
            <w:vAlign w:val="bottom"/>
          </w:tcPr>
          <w:p w:rsidR="00217448" w:rsidRPr="00F1539F" w:rsidRDefault="00217448" w:rsidP="008B63A3">
            <w:pPr>
              <w:pStyle w:val="TableBodyText"/>
              <w:jc w:val="left"/>
              <w:rPr>
                <w:sz w:val="18"/>
                <w:szCs w:val="18"/>
              </w:rPr>
            </w:pPr>
            <w:r w:rsidRPr="00F1539F">
              <w:rPr>
                <w:sz w:val="18"/>
                <w:szCs w:val="18"/>
              </w:rPr>
              <w:t>Other crop growing</w:t>
            </w:r>
          </w:p>
        </w:tc>
        <w:tc>
          <w:tcPr>
            <w:tcW w:w="507" w:type="pct"/>
            <w:vAlign w:val="bottom"/>
          </w:tcPr>
          <w:p w:rsidR="00217448" w:rsidRPr="00AD07AC" w:rsidRDefault="00217448" w:rsidP="008B63A3">
            <w:pPr>
              <w:pStyle w:val="TableBodyText"/>
              <w:rPr>
                <w:sz w:val="18"/>
                <w:szCs w:val="18"/>
              </w:rPr>
            </w:pPr>
            <w:r w:rsidRPr="00AD07AC">
              <w:rPr>
                <w:sz w:val="18"/>
                <w:szCs w:val="18"/>
              </w:rPr>
              <w:t>6.7</w:t>
            </w:r>
          </w:p>
        </w:tc>
        <w:tc>
          <w:tcPr>
            <w:tcW w:w="507" w:type="pct"/>
            <w:vAlign w:val="bottom"/>
          </w:tcPr>
          <w:p w:rsidR="00217448" w:rsidRPr="00AD07AC" w:rsidRDefault="00217448" w:rsidP="008B63A3">
            <w:pPr>
              <w:pStyle w:val="TableBodyText"/>
              <w:rPr>
                <w:sz w:val="18"/>
                <w:szCs w:val="18"/>
              </w:rPr>
            </w:pPr>
            <w:r w:rsidRPr="00AD07AC">
              <w:rPr>
                <w:sz w:val="18"/>
                <w:szCs w:val="18"/>
              </w:rPr>
              <w:t>8.9</w:t>
            </w:r>
          </w:p>
        </w:tc>
        <w:tc>
          <w:tcPr>
            <w:tcW w:w="507" w:type="pct"/>
            <w:vAlign w:val="bottom"/>
          </w:tcPr>
          <w:p w:rsidR="00217448" w:rsidRPr="00AD07AC" w:rsidRDefault="00217448" w:rsidP="008B63A3">
            <w:pPr>
              <w:pStyle w:val="TableBodyText"/>
              <w:rPr>
                <w:sz w:val="18"/>
                <w:szCs w:val="18"/>
              </w:rPr>
            </w:pPr>
            <w:r w:rsidRPr="00AD07AC">
              <w:rPr>
                <w:sz w:val="18"/>
                <w:szCs w:val="18"/>
              </w:rPr>
              <w:t>9.0</w:t>
            </w:r>
          </w:p>
        </w:tc>
        <w:tc>
          <w:tcPr>
            <w:tcW w:w="507" w:type="pct"/>
            <w:vAlign w:val="bottom"/>
          </w:tcPr>
          <w:p w:rsidR="00217448" w:rsidRPr="00AD07AC" w:rsidRDefault="00217448" w:rsidP="008B63A3">
            <w:pPr>
              <w:pStyle w:val="TableBodyText"/>
              <w:rPr>
                <w:sz w:val="18"/>
                <w:szCs w:val="18"/>
              </w:rPr>
            </w:pPr>
            <w:r w:rsidRPr="00AD07AC">
              <w:rPr>
                <w:sz w:val="18"/>
                <w:szCs w:val="18"/>
              </w:rPr>
              <w:t>6.5</w:t>
            </w:r>
          </w:p>
        </w:tc>
        <w:tc>
          <w:tcPr>
            <w:tcW w:w="507" w:type="pct"/>
            <w:shd w:val="clear" w:color="auto" w:fill="auto"/>
            <w:vAlign w:val="bottom"/>
          </w:tcPr>
          <w:p w:rsidR="00217448" w:rsidRPr="00AD07AC" w:rsidRDefault="00217448" w:rsidP="008B63A3">
            <w:pPr>
              <w:pStyle w:val="TableBodyText"/>
              <w:rPr>
                <w:sz w:val="18"/>
                <w:szCs w:val="18"/>
              </w:rPr>
            </w:pPr>
            <w:r w:rsidRPr="00AD07AC">
              <w:rPr>
                <w:sz w:val="18"/>
                <w:szCs w:val="18"/>
              </w:rPr>
              <w:t>1.9</w:t>
            </w:r>
          </w:p>
        </w:tc>
        <w:tc>
          <w:tcPr>
            <w:tcW w:w="505" w:type="pct"/>
            <w:shd w:val="clear" w:color="auto" w:fill="auto"/>
            <w:vAlign w:val="bottom"/>
          </w:tcPr>
          <w:p w:rsidR="00217448" w:rsidRPr="00FE1BF5" w:rsidRDefault="00217448" w:rsidP="008B63A3">
            <w:pPr>
              <w:pStyle w:val="TableBodyText"/>
              <w:rPr>
                <w:sz w:val="18"/>
                <w:szCs w:val="18"/>
              </w:rPr>
            </w:pPr>
            <w:r w:rsidRPr="00FE1BF5">
              <w:rPr>
                <w:sz w:val="18"/>
                <w:szCs w:val="18"/>
              </w:rPr>
              <w:t>13.7</w:t>
            </w:r>
          </w:p>
        </w:tc>
      </w:tr>
      <w:tr w:rsidR="00217448" w:rsidRPr="006C5A80" w:rsidTr="008B63A3">
        <w:tc>
          <w:tcPr>
            <w:tcW w:w="1960" w:type="pct"/>
            <w:vAlign w:val="bottom"/>
          </w:tcPr>
          <w:p w:rsidR="00217448" w:rsidRPr="00F1539F" w:rsidRDefault="00217448" w:rsidP="008B63A3">
            <w:pPr>
              <w:pStyle w:val="TableBodyText"/>
              <w:jc w:val="left"/>
              <w:rPr>
                <w:sz w:val="18"/>
                <w:szCs w:val="18"/>
              </w:rPr>
            </w:pPr>
            <w:r w:rsidRPr="00F1539F">
              <w:rPr>
                <w:sz w:val="18"/>
                <w:szCs w:val="18"/>
              </w:rPr>
              <w:t>Dairy cattle farming</w:t>
            </w:r>
          </w:p>
        </w:tc>
        <w:tc>
          <w:tcPr>
            <w:tcW w:w="507" w:type="pct"/>
            <w:vAlign w:val="bottom"/>
          </w:tcPr>
          <w:p w:rsidR="00217448" w:rsidRPr="00AD07AC" w:rsidRDefault="00217448" w:rsidP="008B63A3">
            <w:pPr>
              <w:pStyle w:val="TableBodyText"/>
              <w:rPr>
                <w:sz w:val="18"/>
                <w:szCs w:val="18"/>
              </w:rPr>
            </w:pPr>
            <w:r w:rsidRPr="00AD07AC">
              <w:rPr>
                <w:sz w:val="18"/>
                <w:szCs w:val="18"/>
              </w:rPr>
              <w:t>4.8</w:t>
            </w:r>
          </w:p>
        </w:tc>
        <w:tc>
          <w:tcPr>
            <w:tcW w:w="507" w:type="pct"/>
            <w:vAlign w:val="bottom"/>
          </w:tcPr>
          <w:p w:rsidR="00217448" w:rsidRPr="00AD07AC" w:rsidRDefault="00217448" w:rsidP="008B63A3">
            <w:pPr>
              <w:pStyle w:val="TableBodyText"/>
              <w:rPr>
                <w:sz w:val="18"/>
                <w:szCs w:val="18"/>
              </w:rPr>
            </w:pPr>
            <w:r w:rsidRPr="00AD07AC">
              <w:rPr>
                <w:sz w:val="18"/>
                <w:szCs w:val="18"/>
              </w:rPr>
              <w:t>8.3</w:t>
            </w:r>
          </w:p>
        </w:tc>
        <w:tc>
          <w:tcPr>
            <w:tcW w:w="507" w:type="pct"/>
            <w:vAlign w:val="bottom"/>
          </w:tcPr>
          <w:p w:rsidR="00217448" w:rsidRPr="00AD07AC" w:rsidRDefault="00217448" w:rsidP="008B63A3">
            <w:pPr>
              <w:pStyle w:val="TableBodyText"/>
              <w:rPr>
                <w:sz w:val="18"/>
                <w:szCs w:val="18"/>
              </w:rPr>
            </w:pPr>
            <w:r w:rsidRPr="00AD07AC">
              <w:rPr>
                <w:sz w:val="18"/>
                <w:szCs w:val="18"/>
              </w:rPr>
              <w:t>11.4</w:t>
            </w:r>
          </w:p>
        </w:tc>
        <w:tc>
          <w:tcPr>
            <w:tcW w:w="507" w:type="pct"/>
            <w:vAlign w:val="bottom"/>
          </w:tcPr>
          <w:p w:rsidR="00217448" w:rsidRPr="00AD07AC" w:rsidRDefault="00217448" w:rsidP="008B63A3">
            <w:pPr>
              <w:pStyle w:val="TableBodyText"/>
              <w:rPr>
                <w:sz w:val="18"/>
                <w:szCs w:val="18"/>
              </w:rPr>
            </w:pPr>
            <w:r w:rsidRPr="00AD07AC">
              <w:rPr>
                <w:sz w:val="18"/>
                <w:szCs w:val="18"/>
              </w:rPr>
              <w:t>7.2</w:t>
            </w:r>
          </w:p>
        </w:tc>
        <w:tc>
          <w:tcPr>
            <w:tcW w:w="507" w:type="pct"/>
            <w:shd w:val="clear" w:color="auto" w:fill="auto"/>
            <w:vAlign w:val="bottom"/>
          </w:tcPr>
          <w:p w:rsidR="00217448" w:rsidRPr="00AD07AC" w:rsidRDefault="00217448" w:rsidP="008B63A3">
            <w:pPr>
              <w:pStyle w:val="TableBodyText"/>
              <w:rPr>
                <w:sz w:val="18"/>
                <w:szCs w:val="18"/>
              </w:rPr>
            </w:pPr>
            <w:r w:rsidRPr="00AD07AC">
              <w:rPr>
                <w:sz w:val="18"/>
                <w:szCs w:val="18"/>
              </w:rPr>
              <w:t>2.1</w:t>
            </w:r>
          </w:p>
        </w:tc>
        <w:tc>
          <w:tcPr>
            <w:tcW w:w="505" w:type="pct"/>
            <w:shd w:val="clear" w:color="auto" w:fill="auto"/>
            <w:vAlign w:val="bottom"/>
          </w:tcPr>
          <w:p w:rsidR="00217448" w:rsidRPr="00FE1BF5" w:rsidRDefault="00217448" w:rsidP="008B63A3">
            <w:pPr>
              <w:pStyle w:val="TableBodyText"/>
              <w:rPr>
                <w:sz w:val="18"/>
                <w:szCs w:val="18"/>
              </w:rPr>
            </w:pPr>
            <w:r w:rsidRPr="00FE1BF5">
              <w:rPr>
                <w:sz w:val="18"/>
                <w:szCs w:val="18"/>
              </w:rPr>
              <w:t>17.0</w:t>
            </w:r>
          </w:p>
        </w:tc>
      </w:tr>
      <w:tr w:rsidR="00217448" w:rsidRPr="006C5A80" w:rsidTr="008B63A3">
        <w:tc>
          <w:tcPr>
            <w:tcW w:w="1960" w:type="pct"/>
            <w:vAlign w:val="bottom"/>
          </w:tcPr>
          <w:p w:rsidR="00217448" w:rsidRPr="00F1539F" w:rsidRDefault="00217448" w:rsidP="008B63A3">
            <w:pPr>
              <w:pStyle w:val="TableBodyText"/>
              <w:jc w:val="left"/>
              <w:rPr>
                <w:sz w:val="18"/>
                <w:szCs w:val="18"/>
              </w:rPr>
            </w:pPr>
            <w:r w:rsidRPr="00F1539F">
              <w:rPr>
                <w:sz w:val="18"/>
                <w:szCs w:val="18"/>
              </w:rPr>
              <w:t>Other livestock farming</w:t>
            </w:r>
          </w:p>
        </w:tc>
        <w:tc>
          <w:tcPr>
            <w:tcW w:w="507" w:type="pct"/>
            <w:vAlign w:val="bottom"/>
          </w:tcPr>
          <w:p w:rsidR="00217448" w:rsidRPr="00AD07AC" w:rsidRDefault="00217448" w:rsidP="008B63A3">
            <w:pPr>
              <w:pStyle w:val="TableBodyText"/>
              <w:rPr>
                <w:sz w:val="18"/>
                <w:szCs w:val="18"/>
              </w:rPr>
            </w:pPr>
            <w:r w:rsidRPr="00AD07AC">
              <w:rPr>
                <w:sz w:val="18"/>
                <w:szCs w:val="18"/>
              </w:rPr>
              <w:t>4.6</w:t>
            </w:r>
          </w:p>
        </w:tc>
        <w:tc>
          <w:tcPr>
            <w:tcW w:w="507" w:type="pct"/>
            <w:vAlign w:val="bottom"/>
          </w:tcPr>
          <w:p w:rsidR="00217448" w:rsidRPr="00AD07AC" w:rsidRDefault="00217448" w:rsidP="008B63A3">
            <w:pPr>
              <w:pStyle w:val="TableBodyText"/>
              <w:rPr>
                <w:sz w:val="18"/>
                <w:szCs w:val="18"/>
              </w:rPr>
            </w:pPr>
            <w:r w:rsidRPr="00AD07AC">
              <w:rPr>
                <w:sz w:val="18"/>
                <w:szCs w:val="18"/>
              </w:rPr>
              <w:t>5.1</w:t>
            </w:r>
          </w:p>
        </w:tc>
        <w:tc>
          <w:tcPr>
            <w:tcW w:w="507" w:type="pct"/>
            <w:vAlign w:val="bottom"/>
          </w:tcPr>
          <w:p w:rsidR="00217448" w:rsidRPr="00AD07AC" w:rsidRDefault="00217448" w:rsidP="008B63A3">
            <w:pPr>
              <w:pStyle w:val="TableBodyText"/>
              <w:rPr>
                <w:sz w:val="18"/>
                <w:szCs w:val="18"/>
              </w:rPr>
            </w:pPr>
            <w:r w:rsidRPr="00AD07AC">
              <w:rPr>
                <w:sz w:val="18"/>
                <w:szCs w:val="18"/>
              </w:rPr>
              <w:t>6.1</w:t>
            </w:r>
          </w:p>
        </w:tc>
        <w:tc>
          <w:tcPr>
            <w:tcW w:w="507" w:type="pct"/>
            <w:vAlign w:val="bottom"/>
          </w:tcPr>
          <w:p w:rsidR="00217448" w:rsidRPr="00AD07AC" w:rsidRDefault="00217448" w:rsidP="008B63A3">
            <w:pPr>
              <w:pStyle w:val="TableBodyText"/>
              <w:rPr>
                <w:sz w:val="18"/>
                <w:szCs w:val="18"/>
              </w:rPr>
            </w:pPr>
            <w:r w:rsidRPr="00AD07AC">
              <w:rPr>
                <w:sz w:val="18"/>
                <w:szCs w:val="18"/>
              </w:rPr>
              <w:t>4.1</w:t>
            </w:r>
          </w:p>
        </w:tc>
        <w:tc>
          <w:tcPr>
            <w:tcW w:w="507" w:type="pct"/>
            <w:shd w:val="clear" w:color="auto" w:fill="auto"/>
            <w:vAlign w:val="bottom"/>
          </w:tcPr>
          <w:p w:rsidR="00217448" w:rsidRPr="00AD07AC" w:rsidRDefault="00217448" w:rsidP="008B63A3">
            <w:pPr>
              <w:pStyle w:val="TableBodyText"/>
              <w:rPr>
                <w:sz w:val="18"/>
                <w:szCs w:val="18"/>
              </w:rPr>
            </w:pPr>
            <w:r w:rsidRPr="00AD07AC">
              <w:rPr>
                <w:sz w:val="18"/>
                <w:szCs w:val="18"/>
              </w:rPr>
              <w:t>1.1</w:t>
            </w:r>
          </w:p>
        </w:tc>
        <w:tc>
          <w:tcPr>
            <w:tcW w:w="505" w:type="pct"/>
            <w:shd w:val="clear" w:color="auto" w:fill="auto"/>
            <w:vAlign w:val="bottom"/>
          </w:tcPr>
          <w:p w:rsidR="00217448" w:rsidRPr="00FE1BF5" w:rsidRDefault="00217448" w:rsidP="008B63A3">
            <w:pPr>
              <w:pStyle w:val="TableBodyText"/>
              <w:rPr>
                <w:sz w:val="18"/>
                <w:szCs w:val="18"/>
              </w:rPr>
            </w:pPr>
            <w:r w:rsidRPr="00FE1BF5">
              <w:rPr>
                <w:sz w:val="18"/>
                <w:szCs w:val="18"/>
              </w:rPr>
              <w:t>7.9</w:t>
            </w:r>
          </w:p>
        </w:tc>
      </w:tr>
      <w:tr w:rsidR="00217448" w:rsidRPr="006C5A80" w:rsidTr="008B63A3">
        <w:tc>
          <w:tcPr>
            <w:tcW w:w="1960" w:type="pct"/>
            <w:vAlign w:val="bottom"/>
          </w:tcPr>
          <w:p w:rsidR="00217448" w:rsidRPr="00F1539F" w:rsidRDefault="00217448" w:rsidP="008B63A3">
            <w:pPr>
              <w:pStyle w:val="TableBodyText"/>
              <w:jc w:val="left"/>
              <w:rPr>
                <w:sz w:val="18"/>
                <w:szCs w:val="18"/>
              </w:rPr>
            </w:pPr>
            <w:r w:rsidRPr="00F1539F">
              <w:rPr>
                <w:sz w:val="18"/>
                <w:szCs w:val="18"/>
              </w:rPr>
              <w:t>Aquaculture and fishing</w:t>
            </w:r>
          </w:p>
        </w:tc>
        <w:tc>
          <w:tcPr>
            <w:tcW w:w="507" w:type="pct"/>
            <w:vAlign w:val="bottom"/>
          </w:tcPr>
          <w:p w:rsidR="00217448" w:rsidRPr="00AD07AC" w:rsidRDefault="00217448" w:rsidP="008B63A3">
            <w:pPr>
              <w:pStyle w:val="TableBodyText"/>
              <w:rPr>
                <w:sz w:val="18"/>
                <w:szCs w:val="18"/>
              </w:rPr>
            </w:pPr>
            <w:r w:rsidRPr="00AD07AC">
              <w:rPr>
                <w:sz w:val="18"/>
                <w:szCs w:val="18"/>
              </w:rPr>
              <w:t>0.6</w:t>
            </w:r>
          </w:p>
        </w:tc>
        <w:tc>
          <w:tcPr>
            <w:tcW w:w="507" w:type="pct"/>
            <w:vAlign w:val="bottom"/>
          </w:tcPr>
          <w:p w:rsidR="00217448" w:rsidRPr="00AD07AC" w:rsidRDefault="00217448" w:rsidP="008B63A3">
            <w:pPr>
              <w:pStyle w:val="TableBodyText"/>
              <w:rPr>
                <w:sz w:val="18"/>
                <w:szCs w:val="18"/>
              </w:rPr>
            </w:pPr>
            <w:r>
              <w:rPr>
                <w:sz w:val="18"/>
                <w:szCs w:val="18"/>
              </w:rPr>
              <w:noBreakHyphen/>
            </w:r>
          </w:p>
        </w:tc>
        <w:tc>
          <w:tcPr>
            <w:tcW w:w="507" w:type="pct"/>
            <w:vAlign w:val="bottom"/>
          </w:tcPr>
          <w:p w:rsidR="00217448" w:rsidRPr="00AD07AC" w:rsidRDefault="00217448" w:rsidP="008B63A3">
            <w:pPr>
              <w:pStyle w:val="TableBodyText"/>
              <w:rPr>
                <w:sz w:val="18"/>
                <w:szCs w:val="18"/>
              </w:rPr>
            </w:pPr>
            <w:r>
              <w:rPr>
                <w:sz w:val="18"/>
                <w:szCs w:val="18"/>
              </w:rPr>
              <w:noBreakHyphen/>
            </w:r>
          </w:p>
        </w:tc>
        <w:tc>
          <w:tcPr>
            <w:tcW w:w="507" w:type="pct"/>
            <w:vAlign w:val="bottom"/>
          </w:tcPr>
          <w:p w:rsidR="00217448" w:rsidRPr="00AD07AC" w:rsidRDefault="00217448" w:rsidP="008B63A3">
            <w:pPr>
              <w:pStyle w:val="TableBodyText"/>
              <w:rPr>
                <w:sz w:val="18"/>
                <w:szCs w:val="18"/>
              </w:rPr>
            </w:pPr>
            <w:r>
              <w:rPr>
                <w:sz w:val="18"/>
                <w:szCs w:val="18"/>
              </w:rPr>
              <w:noBreakHyphen/>
            </w:r>
          </w:p>
        </w:tc>
        <w:tc>
          <w:tcPr>
            <w:tcW w:w="507" w:type="pct"/>
            <w:shd w:val="clear" w:color="auto" w:fill="auto"/>
            <w:vAlign w:val="bottom"/>
          </w:tcPr>
          <w:p w:rsidR="00217448" w:rsidRPr="00AD07AC" w:rsidRDefault="00217448" w:rsidP="008B63A3">
            <w:pPr>
              <w:pStyle w:val="TableBodyText"/>
              <w:rPr>
                <w:sz w:val="18"/>
                <w:szCs w:val="18"/>
              </w:rPr>
            </w:pPr>
            <w:r>
              <w:rPr>
                <w:sz w:val="18"/>
                <w:szCs w:val="18"/>
              </w:rPr>
              <w:noBreakHyphen/>
            </w:r>
          </w:p>
        </w:tc>
        <w:tc>
          <w:tcPr>
            <w:tcW w:w="505" w:type="pct"/>
            <w:shd w:val="clear" w:color="auto" w:fill="auto"/>
            <w:vAlign w:val="bottom"/>
          </w:tcPr>
          <w:p w:rsidR="00217448" w:rsidRPr="00FE1BF5" w:rsidRDefault="00217448" w:rsidP="008B63A3">
            <w:pPr>
              <w:pStyle w:val="TableBodyText"/>
              <w:rPr>
                <w:sz w:val="18"/>
                <w:szCs w:val="18"/>
              </w:rPr>
            </w:pPr>
            <w:r>
              <w:rPr>
                <w:sz w:val="18"/>
                <w:szCs w:val="18"/>
              </w:rPr>
              <w:noBreakHyphen/>
            </w:r>
          </w:p>
        </w:tc>
      </w:tr>
      <w:tr w:rsidR="00217448" w:rsidRPr="006C5A80" w:rsidTr="008B63A3">
        <w:tc>
          <w:tcPr>
            <w:tcW w:w="1960" w:type="pct"/>
            <w:vAlign w:val="bottom"/>
          </w:tcPr>
          <w:p w:rsidR="00217448" w:rsidRPr="00F1539F" w:rsidRDefault="00217448" w:rsidP="008B63A3">
            <w:pPr>
              <w:pStyle w:val="TableBodyText"/>
              <w:jc w:val="left"/>
              <w:rPr>
                <w:sz w:val="18"/>
                <w:szCs w:val="18"/>
              </w:rPr>
            </w:pPr>
            <w:r w:rsidRPr="00F1539F">
              <w:rPr>
                <w:sz w:val="18"/>
                <w:szCs w:val="18"/>
              </w:rPr>
              <w:t>Forestry and logging</w:t>
            </w:r>
          </w:p>
        </w:tc>
        <w:tc>
          <w:tcPr>
            <w:tcW w:w="507" w:type="pct"/>
            <w:vAlign w:val="bottom"/>
          </w:tcPr>
          <w:p w:rsidR="00217448" w:rsidRPr="00AD07AC" w:rsidRDefault="00217448" w:rsidP="008B63A3">
            <w:pPr>
              <w:pStyle w:val="TableBodyText"/>
              <w:rPr>
                <w:sz w:val="18"/>
                <w:szCs w:val="18"/>
              </w:rPr>
            </w:pPr>
            <w:r w:rsidRPr="00AD07AC">
              <w:rPr>
                <w:sz w:val="18"/>
                <w:szCs w:val="18"/>
              </w:rPr>
              <w:t>1.3</w:t>
            </w:r>
          </w:p>
        </w:tc>
        <w:tc>
          <w:tcPr>
            <w:tcW w:w="507" w:type="pct"/>
            <w:vAlign w:val="bottom"/>
          </w:tcPr>
          <w:p w:rsidR="00217448" w:rsidRPr="00AD07AC" w:rsidRDefault="00217448" w:rsidP="008B63A3">
            <w:pPr>
              <w:pStyle w:val="TableBodyText"/>
              <w:rPr>
                <w:sz w:val="18"/>
                <w:szCs w:val="18"/>
              </w:rPr>
            </w:pPr>
            <w:r>
              <w:rPr>
                <w:sz w:val="18"/>
                <w:szCs w:val="18"/>
              </w:rPr>
              <w:noBreakHyphen/>
            </w:r>
          </w:p>
        </w:tc>
        <w:tc>
          <w:tcPr>
            <w:tcW w:w="507" w:type="pct"/>
            <w:vAlign w:val="bottom"/>
          </w:tcPr>
          <w:p w:rsidR="00217448" w:rsidRPr="00AD07AC" w:rsidRDefault="00217448" w:rsidP="008B63A3">
            <w:pPr>
              <w:pStyle w:val="TableBodyText"/>
              <w:rPr>
                <w:sz w:val="18"/>
                <w:szCs w:val="18"/>
              </w:rPr>
            </w:pPr>
            <w:r>
              <w:rPr>
                <w:sz w:val="18"/>
                <w:szCs w:val="18"/>
              </w:rPr>
              <w:noBreakHyphen/>
            </w:r>
          </w:p>
        </w:tc>
        <w:tc>
          <w:tcPr>
            <w:tcW w:w="507" w:type="pct"/>
            <w:vAlign w:val="bottom"/>
          </w:tcPr>
          <w:p w:rsidR="00217448" w:rsidRPr="00AD07AC" w:rsidRDefault="00217448" w:rsidP="008B63A3">
            <w:pPr>
              <w:pStyle w:val="TableBodyText"/>
              <w:rPr>
                <w:sz w:val="18"/>
                <w:szCs w:val="18"/>
              </w:rPr>
            </w:pPr>
            <w:r>
              <w:rPr>
                <w:sz w:val="18"/>
                <w:szCs w:val="18"/>
              </w:rPr>
              <w:noBreakHyphen/>
            </w:r>
          </w:p>
        </w:tc>
        <w:tc>
          <w:tcPr>
            <w:tcW w:w="507" w:type="pct"/>
            <w:shd w:val="clear" w:color="auto" w:fill="auto"/>
            <w:vAlign w:val="bottom"/>
          </w:tcPr>
          <w:p w:rsidR="00217448" w:rsidRPr="00AD07AC" w:rsidRDefault="00217448" w:rsidP="008B63A3">
            <w:pPr>
              <w:pStyle w:val="TableBodyText"/>
              <w:rPr>
                <w:sz w:val="18"/>
                <w:szCs w:val="18"/>
              </w:rPr>
            </w:pPr>
            <w:r>
              <w:rPr>
                <w:sz w:val="18"/>
                <w:szCs w:val="18"/>
              </w:rPr>
              <w:noBreakHyphen/>
            </w:r>
          </w:p>
        </w:tc>
        <w:tc>
          <w:tcPr>
            <w:tcW w:w="505" w:type="pct"/>
            <w:shd w:val="clear" w:color="auto" w:fill="auto"/>
            <w:vAlign w:val="bottom"/>
          </w:tcPr>
          <w:p w:rsidR="00217448" w:rsidRPr="00FE1BF5" w:rsidRDefault="00217448" w:rsidP="008B63A3">
            <w:pPr>
              <w:pStyle w:val="TableBodyText"/>
              <w:rPr>
                <w:sz w:val="18"/>
                <w:szCs w:val="18"/>
              </w:rPr>
            </w:pPr>
            <w:r>
              <w:rPr>
                <w:sz w:val="18"/>
                <w:szCs w:val="18"/>
              </w:rPr>
              <w:noBreakHyphen/>
            </w:r>
          </w:p>
        </w:tc>
      </w:tr>
      <w:tr w:rsidR="00217448" w:rsidRPr="006C5A80" w:rsidTr="008B63A3">
        <w:tc>
          <w:tcPr>
            <w:tcW w:w="1960" w:type="pct"/>
            <w:vAlign w:val="bottom"/>
          </w:tcPr>
          <w:p w:rsidR="00217448" w:rsidRPr="00F1539F" w:rsidRDefault="00217448" w:rsidP="008B63A3">
            <w:pPr>
              <w:pStyle w:val="TableBodyText"/>
              <w:jc w:val="left"/>
              <w:rPr>
                <w:sz w:val="18"/>
                <w:szCs w:val="18"/>
              </w:rPr>
            </w:pPr>
            <w:r w:rsidRPr="00F1539F">
              <w:rPr>
                <w:sz w:val="18"/>
                <w:szCs w:val="18"/>
              </w:rPr>
              <w:t>Unallocated primary production</w:t>
            </w:r>
            <w:r w:rsidRPr="00F1539F">
              <w:rPr>
                <w:rStyle w:val="NoteLabel"/>
                <w:szCs w:val="18"/>
              </w:rPr>
              <w:t>a</w:t>
            </w:r>
          </w:p>
        </w:tc>
        <w:tc>
          <w:tcPr>
            <w:tcW w:w="507" w:type="pct"/>
            <w:vAlign w:val="bottom"/>
          </w:tcPr>
          <w:p w:rsidR="00217448" w:rsidRPr="00AD07AC" w:rsidRDefault="00217448" w:rsidP="008B63A3">
            <w:pPr>
              <w:pStyle w:val="TableBodyText"/>
              <w:rPr>
                <w:sz w:val="18"/>
                <w:szCs w:val="18"/>
              </w:rPr>
            </w:pPr>
            <w:r>
              <w:rPr>
                <w:sz w:val="18"/>
                <w:szCs w:val="18"/>
              </w:rPr>
              <w:noBreakHyphen/>
            </w:r>
          </w:p>
        </w:tc>
        <w:tc>
          <w:tcPr>
            <w:tcW w:w="507" w:type="pct"/>
            <w:vAlign w:val="bottom"/>
          </w:tcPr>
          <w:p w:rsidR="00217448" w:rsidRPr="00AD07AC" w:rsidRDefault="00217448" w:rsidP="008B63A3">
            <w:pPr>
              <w:pStyle w:val="TableBodyText"/>
              <w:rPr>
                <w:sz w:val="18"/>
                <w:szCs w:val="18"/>
              </w:rPr>
            </w:pPr>
            <w:r w:rsidRPr="00AD07AC">
              <w:rPr>
                <w:sz w:val="18"/>
                <w:szCs w:val="18"/>
              </w:rPr>
              <w:t>4.4</w:t>
            </w:r>
          </w:p>
        </w:tc>
        <w:tc>
          <w:tcPr>
            <w:tcW w:w="507" w:type="pct"/>
            <w:vAlign w:val="bottom"/>
          </w:tcPr>
          <w:p w:rsidR="00217448" w:rsidRPr="00AD07AC" w:rsidRDefault="00217448" w:rsidP="008B63A3">
            <w:pPr>
              <w:pStyle w:val="TableBodyText"/>
              <w:rPr>
                <w:sz w:val="18"/>
                <w:szCs w:val="18"/>
              </w:rPr>
            </w:pPr>
            <w:r w:rsidRPr="00AD07AC">
              <w:rPr>
                <w:sz w:val="18"/>
                <w:szCs w:val="18"/>
              </w:rPr>
              <w:t>7.6</w:t>
            </w:r>
          </w:p>
        </w:tc>
        <w:tc>
          <w:tcPr>
            <w:tcW w:w="507" w:type="pct"/>
            <w:vAlign w:val="bottom"/>
          </w:tcPr>
          <w:p w:rsidR="00217448" w:rsidRPr="00AD07AC" w:rsidRDefault="00217448" w:rsidP="008B63A3">
            <w:pPr>
              <w:pStyle w:val="TableBodyText"/>
              <w:rPr>
                <w:sz w:val="18"/>
                <w:szCs w:val="18"/>
              </w:rPr>
            </w:pPr>
            <w:r w:rsidRPr="00AD07AC">
              <w:rPr>
                <w:sz w:val="18"/>
                <w:szCs w:val="18"/>
              </w:rPr>
              <w:t>5.1</w:t>
            </w:r>
          </w:p>
        </w:tc>
        <w:tc>
          <w:tcPr>
            <w:tcW w:w="507" w:type="pct"/>
            <w:shd w:val="clear" w:color="auto" w:fill="auto"/>
            <w:vAlign w:val="bottom"/>
          </w:tcPr>
          <w:p w:rsidR="00217448" w:rsidRPr="00AD07AC" w:rsidRDefault="00217448" w:rsidP="008B63A3">
            <w:pPr>
              <w:pStyle w:val="TableBodyText"/>
              <w:rPr>
                <w:sz w:val="18"/>
                <w:szCs w:val="18"/>
              </w:rPr>
            </w:pPr>
            <w:r w:rsidRPr="00AD07AC">
              <w:rPr>
                <w:sz w:val="18"/>
                <w:szCs w:val="18"/>
              </w:rPr>
              <w:t>1.2</w:t>
            </w:r>
          </w:p>
        </w:tc>
        <w:tc>
          <w:tcPr>
            <w:tcW w:w="505" w:type="pct"/>
            <w:shd w:val="clear" w:color="auto" w:fill="auto"/>
            <w:vAlign w:val="bottom"/>
          </w:tcPr>
          <w:p w:rsidR="00217448" w:rsidRPr="00FE1BF5" w:rsidRDefault="00217448" w:rsidP="008B63A3">
            <w:pPr>
              <w:pStyle w:val="TableBodyText"/>
              <w:rPr>
                <w:sz w:val="18"/>
                <w:szCs w:val="18"/>
              </w:rPr>
            </w:pPr>
            <w:r w:rsidRPr="00FE1BF5">
              <w:rPr>
                <w:sz w:val="18"/>
                <w:szCs w:val="18"/>
              </w:rPr>
              <w:t>7.8</w:t>
            </w:r>
          </w:p>
        </w:tc>
      </w:tr>
      <w:tr w:rsidR="00217448" w:rsidRPr="006C5A80" w:rsidTr="008B63A3">
        <w:tc>
          <w:tcPr>
            <w:tcW w:w="1960" w:type="pct"/>
            <w:tcBorders>
              <w:bottom w:val="single" w:sz="4" w:space="0" w:color="auto"/>
            </w:tcBorders>
            <w:vAlign w:val="bottom"/>
          </w:tcPr>
          <w:p w:rsidR="00217448" w:rsidRPr="00F1539F" w:rsidRDefault="00217448" w:rsidP="008B63A3">
            <w:pPr>
              <w:pStyle w:val="TableBodyText"/>
              <w:jc w:val="left"/>
              <w:rPr>
                <w:b/>
                <w:bCs/>
                <w:sz w:val="18"/>
                <w:szCs w:val="18"/>
              </w:rPr>
            </w:pPr>
            <w:r w:rsidRPr="00F1539F">
              <w:rPr>
                <w:b/>
                <w:bCs/>
                <w:sz w:val="18"/>
                <w:szCs w:val="18"/>
              </w:rPr>
              <w:t>Total</w:t>
            </w:r>
          </w:p>
        </w:tc>
        <w:tc>
          <w:tcPr>
            <w:tcW w:w="507" w:type="pct"/>
            <w:tcBorders>
              <w:bottom w:val="single" w:sz="4" w:space="0" w:color="auto"/>
            </w:tcBorders>
            <w:vAlign w:val="bottom"/>
          </w:tcPr>
          <w:p w:rsidR="00217448" w:rsidRPr="00AD07AC" w:rsidRDefault="00217448" w:rsidP="008B63A3">
            <w:pPr>
              <w:pStyle w:val="TableBodyText"/>
              <w:rPr>
                <w:b/>
                <w:sz w:val="18"/>
                <w:szCs w:val="18"/>
              </w:rPr>
            </w:pPr>
            <w:r w:rsidRPr="00AD07AC">
              <w:rPr>
                <w:b/>
                <w:sz w:val="18"/>
                <w:szCs w:val="18"/>
              </w:rPr>
              <w:t>75.0</w:t>
            </w:r>
          </w:p>
        </w:tc>
        <w:tc>
          <w:tcPr>
            <w:tcW w:w="507" w:type="pct"/>
            <w:tcBorders>
              <w:bottom w:val="single" w:sz="4" w:space="0" w:color="auto"/>
            </w:tcBorders>
            <w:vAlign w:val="bottom"/>
          </w:tcPr>
          <w:p w:rsidR="00217448" w:rsidRPr="00AD07AC" w:rsidRDefault="00217448" w:rsidP="008B63A3">
            <w:pPr>
              <w:pStyle w:val="TableBodyText"/>
              <w:rPr>
                <w:b/>
                <w:sz w:val="18"/>
                <w:szCs w:val="18"/>
              </w:rPr>
            </w:pPr>
            <w:r w:rsidRPr="00AD07AC">
              <w:rPr>
                <w:b/>
                <w:sz w:val="18"/>
                <w:szCs w:val="18"/>
              </w:rPr>
              <w:t>105.0</w:t>
            </w:r>
          </w:p>
        </w:tc>
        <w:tc>
          <w:tcPr>
            <w:tcW w:w="507" w:type="pct"/>
            <w:tcBorders>
              <w:bottom w:val="single" w:sz="4" w:space="0" w:color="auto"/>
            </w:tcBorders>
            <w:vAlign w:val="bottom"/>
          </w:tcPr>
          <w:p w:rsidR="00217448" w:rsidRPr="00AD07AC" w:rsidRDefault="00217448" w:rsidP="008B63A3">
            <w:pPr>
              <w:pStyle w:val="TableBodyText"/>
              <w:rPr>
                <w:b/>
                <w:sz w:val="18"/>
                <w:szCs w:val="18"/>
              </w:rPr>
            </w:pPr>
            <w:r w:rsidRPr="00AD07AC">
              <w:rPr>
                <w:b/>
                <w:sz w:val="18"/>
                <w:szCs w:val="18"/>
              </w:rPr>
              <w:t>135.0</w:t>
            </w:r>
          </w:p>
        </w:tc>
        <w:tc>
          <w:tcPr>
            <w:tcW w:w="507" w:type="pct"/>
            <w:tcBorders>
              <w:bottom w:val="single" w:sz="4" w:space="0" w:color="auto"/>
            </w:tcBorders>
            <w:vAlign w:val="bottom"/>
          </w:tcPr>
          <w:p w:rsidR="00217448" w:rsidRPr="00AD07AC" w:rsidRDefault="00217448" w:rsidP="008B63A3">
            <w:pPr>
              <w:pStyle w:val="TableBodyText"/>
              <w:rPr>
                <w:b/>
                <w:sz w:val="18"/>
                <w:szCs w:val="18"/>
              </w:rPr>
            </w:pPr>
            <w:r w:rsidRPr="00AD07AC">
              <w:rPr>
                <w:b/>
                <w:sz w:val="18"/>
                <w:szCs w:val="18"/>
              </w:rPr>
              <w:t>95.0</w:t>
            </w:r>
          </w:p>
        </w:tc>
        <w:tc>
          <w:tcPr>
            <w:tcW w:w="507" w:type="pct"/>
            <w:tcBorders>
              <w:bottom w:val="single" w:sz="4" w:space="0" w:color="auto"/>
            </w:tcBorders>
            <w:shd w:val="clear" w:color="auto" w:fill="auto"/>
            <w:vAlign w:val="bottom"/>
          </w:tcPr>
          <w:p w:rsidR="00217448" w:rsidRPr="00AD07AC" w:rsidRDefault="00217448" w:rsidP="008B63A3">
            <w:pPr>
              <w:pStyle w:val="TableBodyText"/>
              <w:rPr>
                <w:b/>
                <w:sz w:val="18"/>
                <w:szCs w:val="18"/>
              </w:rPr>
            </w:pPr>
            <w:r w:rsidRPr="00AD07AC">
              <w:rPr>
                <w:b/>
                <w:sz w:val="18"/>
                <w:szCs w:val="18"/>
              </w:rPr>
              <w:t>30.0</w:t>
            </w:r>
          </w:p>
        </w:tc>
        <w:tc>
          <w:tcPr>
            <w:tcW w:w="505" w:type="pct"/>
            <w:tcBorders>
              <w:bottom w:val="single" w:sz="4" w:space="0" w:color="auto"/>
            </w:tcBorders>
            <w:shd w:val="clear" w:color="auto" w:fill="auto"/>
            <w:vAlign w:val="bottom"/>
          </w:tcPr>
          <w:p w:rsidR="00217448" w:rsidRPr="00AD07AC" w:rsidRDefault="00217448" w:rsidP="008B63A3">
            <w:pPr>
              <w:pStyle w:val="TableBodyText"/>
              <w:rPr>
                <w:b/>
                <w:sz w:val="18"/>
                <w:szCs w:val="18"/>
              </w:rPr>
            </w:pPr>
            <w:r w:rsidRPr="00AD07AC">
              <w:rPr>
                <w:b/>
                <w:sz w:val="18"/>
                <w:szCs w:val="18"/>
              </w:rPr>
              <w:t>230.0</w:t>
            </w:r>
          </w:p>
        </w:tc>
      </w:tr>
    </w:tbl>
    <w:p w:rsidR="00217448" w:rsidRDefault="00217448" w:rsidP="00217448">
      <w:pPr>
        <w:pStyle w:val="Note"/>
      </w:pPr>
      <w:r w:rsidRPr="00A2379F">
        <w:noBreakHyphen/>
        <w:t xml:space="preserve"> </w:t>
      </w:r>
      <w:r>
        <w:t xml:space="preserve">Nil. </w:t>
      </w:r>
      <w:r w:rsidRPr="008E77FE">
        <w:rPr>
          <w:rStyle w:val="NoteLabel"/>
        </w:rPr>
        <w:t>a</w:t>
      </w:r>
      <w:r>
        <w:t xml:space="preserve"> Unallocated includes general programs where details of beneficiaries are unknown..</w:t>
      </w:r>
    </w:p>
    <w:p w:rsidR="00217448" w:rsidRPr="008E77FE" w:rsidRDefault="00217448" w:rsidP="00217448">
      <w:pPr>
        <w:pStyle w:val="Source"/>
      </w:pPr>
      <w:r>
        <w:rPr>
          <w:i/>
        </w:rPr>
        <w:t>Source</w:t>
      </w:r>
      <w:r>
        <w:t>: Commission estimates based on detailed DAFF data by ANZSIC industry.</w:t>
      </w:r>
    </w:p>
    <w:p w:rsidR="00FF2067" w:rsidRDefault="00FA09C3" w:rsidP="00FF2067">
      <w:pPr>
        <w:pStyle w:val="Heading2"/>
      </w:pPr>
      <w:r>
        <w:t>A.</w:t>
      </w:r>
      <w:r>
        <w:rPr>
          <w:noProof/>
        </w:rPr>
        <w:t>11</w:t>
      </w:r>
      <w:r w:rsidR="00FF2067">
        <w:tab/>
        <w:t>Coal Sector Jobs Package</w:t>
      </w:r>
    </w:p>
    <w:p w:rsidR="00FF2067" w:rsidRPr="009367AC" w:rsidRDefault="00FF2067" w:rsidP="00FF2067">
      <w:pPr>
        <w:pStyle w:val="BodyText"/>
      </w:pPr>
      <w:r w:rsidRPr="009367AC">
        <w:t>Th</w:t>
      </w:r>
      <w:r>
        <w:t xml:space="preserve">e Coal Sector Jobs Package </w:t>
      </w:r>
      <w:r w:rsidRPr="009367AC">
        <w:t>provide</w:t>
      </w:r>
      <w:r>
        <w:t>s</w:t>
      </w:r>
      <w:r w:rsidRPr="009367AC">
        <w:t xml:space="preserve"> $1.2</w:t>
      </w:r>
      <w:r>
        <w:t> </w:t>
      </w:r>
      <w:r w:rsidRPr="009367AC">
        <w:t>billion</w:t>
      </w:r>
      <w:r w:rsidR="00B522FE">
        <w:t xml:space="preserve"> </w:t>
      </w:r>
      <w:r w:rsidRPr="009367AC">
        <w:t xml:space="preserve">in transitional assistance to Australian coal mines that have a high fugitive emissions-intensity. The </w:t>
      </w:r>
      <w:r w:rsidR="008D45C9">
        <w:t>package</w:t>
      </w:r>
      <w:r>
        <w:t xml:space="preserve"> aims</w:t>
      </w:r>
      <w:r w:rsidRPr="009367AC">
        <w:t xml:space="preserve"> to ease the transition to the carbon price, </w:t>
      </w:r>
      <w:r>
        <w:t xml:space="preserve">thereby supporting jobs and local </w:t>
      </w:r>
      <w:r w:rsidRPr="009367AC">
        <w:t>communities that rely on the mines</w:t>
      </w:r>
      <w:r>
        <w:t xml:space="preserve"> (</w:t>
      </w:r>
      <w:r w:rsidRPr="006D248C">
        <w:t>DRET 2012</w:t>
      </w:r>
      <w:r>
        <w:t>)</w:t>
      </w:r>
      <w:r w:rsidRPr="009367AC">
        <w:t>. T</w:t>
      </w:r>
      <w:r>
        <w:t xml:space="preserve">he </w:t>
      </w:r>
      <w:r w:rsidR="008D45C9">
        <w:t>p</w:t>
      </w:r>
      <w:r>
        <w:t>ackage</w:t>
      </w:r>
      <w:r w:rsidRPr="009367AC">
        <w:t xml:space="preserve"> </w:t>
      </w:r>
      <w:r>
        <w:t>is schedule</w:t>
      </w:r>
      <w:r w:rsidR="005145DC">
        <w:t>d</w:t>
      </w:r>
      <w:r>
        <w:t xml:space="preserve"> to </w:t>
      </w:r>
      <w:r w:rsidRPr="009367AC">
        <w:lastRenderedPageBreak/>
        <w:t>operate from 2011</w:t>
      </w:r>
      <w:r>
        <w:noBreakHyphen/>
      </w:r>
      <w:r w:rsidRPr="009367AC">
        <w:t>12 to 2016</w:t>
      </w:r>
      <w:r>
        <w:noBreakHyphen/>
      </w:r>
      <w:r w:rsidRPr="009367AC">
        <w:t>17. Payments to eligible mines covering the first year of the carbon price (2012</w:t>
      </w:r>
      <w:r>
        <w:noBreakHyphen/>
      </w:r>
      <w:r w:rsidRPr="009367AC">
        <w:t>13) were made in June 2012</w:t>
      </w:r>
      <w:r>
        <w:t>.</w:t>
      </w:r>
    </w:p>
    <w:p w:rsidR="00FF2067" w:rsidRPr="003073AA" w:rsidRDefault="00FF2067" w:rsidP="00FF2067">
      <w:pPr>
        <w:pStyle w:val="BodyText"/>
      </w:pPr>
      <w:r w:rsidRPr="00D12DD7">
        <w:t xml:space="preserve">The </w:t>
      </w:r>
      <w:r>
        <w:t>package</w:t>
      </w:r>
      <w:r w:rsidRPr="00D12DD7">
        <w:t xml:space="preserve"> </w:t>
      </w:r>
      <w:r>
        <w:t>selectively</w:t>
      </w:r>
      <w:r w:rsidRPr="00D12DD7">
        <w:t xml:space="preserve"> benefits </w:t>
      </w:r>
      <w:r>
        <w:t>firms</w:t>
      </w:r>
      <w:r w:rsidRPr="00D12DD7">
        <w:t xml:space="preserve"> </w:t>
      </w:r>
      <w:r>
        <w:t xml:space="preserve">in the </w:t>
      </w:r>
      <w:r w:rsidRPr="00D12DD7">
        <w:rPr>
          <w:i/>
        </w:rPr>
        <w:t>Mining</w:t>
      </w:r>
      <w:r>
        <w:t xml:space="preserve"> sector</w:t>
      </w:r>
      <w:r w:rsidRPr="00D12DD7">
        <w:t xml:space="preserve"> </w:t>
      </w:r>
      <w:r>
        <w:t xml:space="preserve">and has therefore been allocated accordingly in </w:t>
      </w:r>
      <w:r w:rsidRPr="00D12DD7">
        <w:t>the Commission’s ANZSIC-based classification (</w:t>
      </w:r>
      <w:r w:rsidR="002D4BCB" w:rsidRPr="00D12DD7">
        <w:t>table</w:t>
      </w:r>
      <w:r w:rsidR="002D4BCB">
        <w:t> </w:t>
      </w:r>
      <w:r w:rsidRPr="00D12DD7">
        <w:t>A.</w:t>
      </w:r>
      <w:r>
        <w:t>11</w:t>
      </w:r>
      <w:r w:rsidRPr="00D12DD7">
        <w:t>).</w:t>
      </w:r>
    </w:p>
    <w:p w:rsidR="00FF2067" w:rsidRDefault="00FF2067" w:rsidP="00FF2067">
      <w:pPr>
        <w:pStyle w:val="TableTitle"/>
      </w:pPr>
      <w:r>
        <w:rPr>
          <w:b w:val="0"/>
        </w:rPr>
        <w:t xml:space="preserve">Table </w:t>
      </w:r>
      <w:r w:rsidR="00FA09C3">
        <w:rPr>
          <w:b w:val="0"/>
        </w:rPr>
        <w:t>A.</w:t>
      </w:r>
      <w:r w:rsidR="00FA09C3">
        <w:rPr>
          <w:b w:val="0"/>
          <w:noProof/>
        </w:rPr>
        <w:t>11</w:t>
      </w:r>
      <w:r>
        <w:tab/>
        <w:t>Allocation of Coal Sector Jobs Package</w:t>
      </w:r>
      <w:r w:rsidR="006873B2" w:rsidRPr="006873B2">
        <w:t xml:space="preserve"> to industry</w:t>
      </w:r>
      <w:r>
        <w:t>, 2006</w:t>
      </w:r>
      <w:r>
        <w:noBreakHyphen/>
        <w:t>07 to 2011</w:t>
      </w:r>
      <w:r>
        <w:noBreakHyphen/>
        <w:t>12</w:t>
      </w:r>
    </w:p>
    <w:p w:rsidR="00FF2067" w:rsidRDefault="00FF2067" w:rsidP="00FF2067">
      <w:pPr>
        <w:pStyle w:val="Subtitle"/>
      </w:pPr>
      <w:r>
        <w:t>$</w:t>
      </w:r>
      <w:r w:rsidR="005145DC">
        <w:t xml:space="preserve"> </w:t>
      </w:r>
      <w:r>
        <w:t xml:space="preserve">million (nominal) </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FF2067" w:rsidRPr="00AF699A" w:rsidTr="008B63A3">
        <w:tc>
          <w:tcPr>
            <w:tcW w:w="1958" w:type="pct"/>
            <w:tcBorders>
              <w:top w:val="single" w:sz="6" w:space="0" w:color="auto"/>
              <w:bottom w:val="single" w:sz="6" w:space="0" w:color="auto"/>
            </w:tcBorders>
          </w:tcPr>
          <w:p w:rsidR="00FF2067" w:rsidRPr="00AF699A" w:rsidRDefault="00FF2067" w:rsidP="008B63A3">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FF2067" w:rsidRPr="00AF699A" w:rsidRDefault="00FF2067" w:rsidP="008B63A3">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FF2067" w:rsidRPr="00AF699A" w:rsidRDefault="00FF2067" w:rsidP="008B63A3">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FF2067" w:rsidRPr="00AF699A" w:rsidRDefault="00FF2067" w:rsidP="008B63A3">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FF2067" w:rsidRPr="00AF699A" w:rsidRDefault="00FF2067" w:rsidP="008B63A3">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FF2067" w:rsidRPr="00AF699A" w:rsidRDefault="00FF2067" w:rsidP="008B63A3">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FF2067" w:rsidRPr="00AF699A" w:rsidRDefault="00FF2067" w:rsidP="008B63A3">
            <w:pPr>
              <w:pStyle w:val="TableColumnHeading"/>
              <w:ind w:right="28"/>
              <w:rPr>
                <w:rFonts w:cs="Arial"/>
                <w:sz w:val="18"/>
                <w:szCs w:val="18"/>
              </w:rPr>
            </w:pPr>
            <w:r w:rsidRPr="00AF699A">
              <w:rPr>
                <w:rFonts w:cs="Arial"/>
                <w:sz w:val="18"/>
                <w:szCs w:val="18"/>
              </w:rPr>
              <w:t>2011-12</w:t>
            </w:r>
          </w:p>
        </w:tc>
      </w:tr>
      <w:tr w:rsidR="00FF2067" w:rsidRPr="006C5A80" w:rsidTr="008B63A3">
        <w:tc>
          <w:tcPr>
            <w:tcW w:w="1958" w:type="pct"/>
            <w:tcBorders>
              <w:bottom w:val="single" w:sz="4" w:space="0" w:color="auto"/>
            </w:tcBorders>
            <w:vAlign w:val="bottom"/>
          </w:tcPr>
          <w:p w:rsidR="00FF2067" w:rsidRPr="00B87080" w:rsidRDefault="00FF2067" w:rsidP="008B63A3">
            <w:pPr>
              <w:pStyle w:val="TableBodyText"/>
              <w:jc w:val="left"/>
            </w:pPr>
            <w:r w:rsidRPr="00B87080">
              <w:t>Mining</w:t>
            </w:r>
          </w:p>
        </w:tc>
        <w:tc>
          <w:tcPr>
            <w:tcW w:w="507" w:type="pct"/>
            <w:tcBorders>
              <w:bottom w:val="single" w:sz="4" w:space="0" w:color="auto"/>
            </w:tcBorders>
            <w:vAlign w:val="bottom"/>
          </w:tcPr>
          <w:p w:rsidR="00FF2067" w:rsidRPr="00B87080" w:rsidRDefault="00FF2067" w:rsidP="008B63A3">
            <w:pPr>
              <w:pStyle w:val="TableBodyText"/>
            </w:pPr>
            <w:r w:rsidRPr="00B87080">
              <w:noBreakHyphen/>
            </w:r>
          </w:p>
        </w:tc>
        <w:tc>
          <w:tcPr>
            <w:tcW w:w="507" w:type="pct"/>
            <w:tcBorders>
              <w:bottom w:val="single" w:sz="4" w:space="0" w:color="auto"/>
            </w:tcBorders>
            <w:vAlign w:val="bottom"/>
          </w:tcPr>
          <w:p w:rsidR="00FF2067" w:rsidRPr="00B87080" w:rsidRDefault="00FF2067" w:rsidP="008B63A3">
            <w:pPr>
              <w:pStyle w:val="TableBodyText"/>
            </w:pPr>
            <w:r w:rsidRPr="00B87080">
              <w:noBreakHyphen/>
            </w:r>
          </w:p>
        </w:tc>
        <w:tc>
          <w:tcPr>
            <w:tcW w:w="507" w:type="pct"/>
            <w:tcBorders>
              <w:bottom w:val="single" w:sz="4" w:space="0" w:color="auto"/>
            </w:tcBorders>
            <w:vAlign w:val="bottom"/>
          </w:tcPr>
          <w:p w:rsidR="00FF2067" w:rsidRPr="00B87080" w:rsidRDefault="00FF2067" w:rsidP="008B63A3">
            <w:pPr>
              <w:pStyle w:val="TableBodyText"/>
            </w:pPr>
            <w:r w:rsidRPr="00B87080">
              <w:noBreakHyphen/>
            </w:r>
          </w:p>
        </w:tc>
        <w:tc>
          <w:tcPr>
            <w:tcW w:w="507" w:type="pct"/>
            <w:tcBorders>
              <w:bottom w:val="single" w:sz="4" w:space="0" w:color="auto"/>
            </w:tcBorders>
            <w:vAlign w:val="bottom"/>
          </w:tcPr>
          <w:p w:rsidR="00FF2067" w:rsidRPr="00B87080" w:rsidRDefault="00FF2067" w:rsidP="008B63A3">
            <w:pPr>
              <w:pStyle w:val="TableBodyText"/>
            </w:pPr>
            <w:r w:rsidRPr="00B87080">
              <w:noBreakHyphen/>
            </w:r>
          </w:p>
        </w:tc>
        <w:tc>
          <w:tcPr>
            <w:tcW w:w="507" w:type="pct"/>
            <w:tcBorders>
              <w:bottom w:val="single" w:sz="4" w:space="0" w:color="auto"/>
            </w:tcBorders>
            <w:shd w:val="clear" w:color="auto" w:fill="auto"/>
            <w:vAlign w:val="bottom"/>
          </w:tcPr>
          <w:p w:rsidR="00FF2067" w:rsidRPr="00B87080" w:rsidRDefault="00FF2067" w:rsidP="008B63A3">
            <w:pPr>
              <w:pStyle w:val="TableBodyText"/>
            </w:pPr>
            <w:r w:rsidRPr="00B87080">
              <w:noBreakHyphen/>
            </w:r>
          </w:p>
        </w:tc>
        <w:tc>
          <w:tcPr>
            <w:tcW w:w="507" w:type="pct"/>
            <w:tcBorders>
              <w:bottom w:val="single" w:sz="4" w:space="0" w:color="auto"/>
            </w:tcBorders>
            <w:shd w:val="clear" w:color="auto" w:fill="auto"/>
            <w:vAlign w:val="bottom"/>
          </w:tcPr>
          <w:p w:rsidR="00FF2067" w:rsidRPr="00B87080" w:rsidRDefault="00FF2067" w:rsidP="008B63A3">
            <w:pPr>
              <w:pStyle w:val="TableBodyText"/>
            </w:pPr>
            <w:r w:rsidRPr="00B87080">
              <w:t>218.8</w:t>
            </w:r>
          </w:p>
        </w:tc>
      </w:tr>
    </w:tbl>
    <w:p w:rsidR="00FF2067" w:rsidRDefault="00FF2067" w:rsidP="00FF2067">
      <w:pPr>
        <w:pStyle w:val="Note"/>
      </w:pPr>
      <w:r w:rsidRPr="00A2379F">
        <w:noBreakHyphen/>
        <w:t xml:space="preserve"> Nil</w:t>
      </w:r>
      <w:r>
        <w:t>.</w:t>
      </w:r>
    </w:p>
    <w:p w:rsidR="00FF2067" w:rsidRPr="008E77FE" w:rsidRDefault="00FF2067" w:rsidP="00FF2067">
      <w:pPr>
        <w:pStyle w:val="Source"/>
      </w:pPr>
      <w:r>
        <w:rPr>
          <w:i/>
        </w:rPr>
        <w:t>Source</w:t>
      </w:r>
      <w:r>
        <w:t>: Commission estimates based on Department of Resources, Energy and Tourism Annual Report 2011</w:t>
      </w:r>
      <w:r>
        <w:noBreakHyphen/>
        <w:t>12.</w:t>
      </w:r>
    </w:p>
    <w:p w:rsidR="006D7291" w:rsidRDefault="00FA09C3" w:rsidP="006D7291">
      <w:pPr>
        <w:pStyle w:val="Heading2"/>
      </w:pPr>
      <w:r>
        <w:t>A.</w:t>
      </w:r>
      <w:r>
        <w:rPr>
          <w:noProof/>
        </w:rPr>
        <w:t>12</w:t>
      </w:r>
      <w:r w:rsidR="006D7291">
        <w:tab/>
        <w:t>Film Industry Offsets Scheme</w:t>
      </w:r>
    </w:p>
    <w:p w:rsidR="006D7291" w:rsidRDefault="006D7291" w:rsidP="006D7291">
      <w:pPr>
        <w:pStyle w:val="BodyText"/>
      </w:pPr>
      <w:r>
        <w:t xml:space="preserve">The Film Industry Offsets Scheme (Australian Screen Production Incentive) is the Australian Government’s primary mechanism </w:t>
      </w:r>
      <w:r w:rsidR="005145DC">
        <w:t xml:space="preserve">for </w:t>
      </w:r>
      <w:r>
        <w:t>supporting film and television production. The Incentive provide</w:t>
      </w:r>
      <w:r w:rsidR="005145DC">
        <w:t>s</w:t>
      </w:r>
      <w:r>
        <w:t xml:space="preserve"> tax incentives for film, television and other screen production in Australia and is available in three streams:</w:t>
      </w:r>
    </w:p>
    <w:p w:rsidR="006D7291" w:rsidRDefault="006D7291" w:rsidP="006D7291">
      <w:pPr>
        <w:pStyle w:val="ListBullet"/>
      </w:pPr>
      <w:r>
        <w:t>the Producer Offset, which aims to encourage the production of Australian film and television projects;</w:t>
      </w:r>
    </w:p>
    <w:p w:rsidR="006D7291" w:rsidRDefault="006D7291" w:rsidP="006D7291">
      <w:pPr>
        <w:pStyle w:val="ListBullet"/>
      </w:pPr>
      <w:r>
        <w:t>the Location Offset – a 16.5 per cent rebate that supports the production of large-budget film and television projects shot in Australia; and</w:t>
      </w:r>
    </w:p>
    <w:p w:rsidR="006D7291" w:rsidRPr="003067BC" w:rsidRDefault="006D7291" w:rsidP="006D7291">
      <w:pPr>
        <w:pStyle w:val="ListBullet"/>
      </w:pPr>
      <w:r>
        <w:t xml:space="preserve">the PDV Offset – a 30 per cent rebate that supports work on post, digital and visual effects production (PDV) in Australia, regardless of where a project is shot </w:t>
      </w:r>
      <w:r w:rsidRPr="002D4BCB">
        <w:rPr>
          <w:rStyle w:val="BodyTextChar"/>
        </w:rPr>
        <w:t>(Attorney-General’s Department 2013</w:t>
      </w:r>
      <w:r>
        <w:t>).</w:t>
      </w:r>
    </w:p>
    <w:p w:rsidR="006D7291" w:rsidRDefault="006D7291" w:rsidP="006D7291">
      <w:pPr>
        <w:pStyle w:val="BodyText"/>
      </w:pPr>
      <w:r>
        <w:t>F</w:t>
      </w:r>
      <w:r w:rsidRPr="00EC17A2">
        <w:t xml:space="preserve">unding </w:t>
      </w:r>
      <w:r>
        <w:t xml:space="preserve">for the program </w:t>
      </w:r>
      <w:r w:rsidRPr="00EC17A2">
        <w:t xml:space="preserve">has been allocated to the </w:t>
      </w:r>
      <w:r w:rsidRPr="00EC17A2">
        <w:rPr>
          <w:i/>
        </w:rPr>
        <w:t>Arts and recreation services</w:t>
      </w:r>
      <w:r>
        <w:t xml:space="preserve"> </w:t>
      </w:r>
      <w:r w:rsidRPr="00EC17A2">
        <w:t>industry grouping in the Commission’s ANZSIC-based classification (table</w:t>
      </w:r>
      <w:r w:rsidR="008F027A">
        <w:t> </w:t>
      </w:r>
      <w:r w:rsidRPr="00EC17A2">
        <w:t>A.</w:t>
      </w:r>
      <w:r>
        <w:t>12</w:t>
      </w:r>
      <w:r w:rsidRPr="00EC17A2">
        <w:t>).</w:t>
      </w:r>
    </w:p>
    <w:p w:rsidR="006D7291" w:rsidRDefault="006D7291" w:rsidP="006D7291">
      <w:pPr>
        <w:pStyle w:val="TableTitle"/>
      </w:pPr>
      <w:r>
        <w:rPr>
          <w:b w:val="0"/>
        </w:rPr>
        <w:t xml:space="preserve">Table </w:t>
      </w:r>
      <w:r w:rsidR="00FA09C3">
        <w:rPr>
          <w:b w:val="0"/>
        </w:rPr>
        <w:t>A.</w:t>
      </w:r>
      <w:r w:rsidR="00FA09C3">
        <w:rPr>
          <w:b w:val="0"/>
          <w:noProof/>
        </w:rPr>
        <w:t>12</w:t>
      </w:r>
      <w:r>
        <w:tab/>
        <w:t xml:space="preserve">Allocation of Film </w:t>
      </w:r>
      <w:r w:rsidR="005145DC">
        <w:t xml:space="preserve">Industry Offsets </w:t>
      </w:r>
      <w:r w:rsidR="00850561">
        <w:t xml:space="preserve">Scheme </w:t>
      </w:r>
      <w:r w:rsidR="00850561" w:rsidRPr="00850561">
        <w:t>to industry</w:t>
      </w:r>
      <w:r>
        <w:t>, 2006</w:t>
      </w:r>
      <w:r>
        <w:noBreakHyphen/>
        <w:t>07 to 2011</w:t>
      </w:r>
      <w:r>
        <w:noBreakHyphen/>
        <w:t>12</w:t>
      </w:r>
    </w:p>
    <w:p w:rsidR="006D7291" w:rsidRDefault="006D7291" w:rsidP="006D7291">
      <w:pPr>
        <w:pStyle w:val="Subtitle"/>
      </w:pPr>
      <w:r>
        <w:t>$</w:t>
      </w:r>
      <w:r w:rsidR="005145DC">
        <w:t xml:space="preserve"> </w:t>
      </w:r>
      <w:r>
        <w:t xml:space="preserve">million (nominal) </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6D7291" w:rsidRPr="00AF699A" w:rsidTr="008B63A3">
        <w:tc>
          <w:tcPr>
            <w:tcW w:w="1958" w:type="pct"/>
            <w:tcBorders>
              <w:top w:val="single" w:sz="6" w:space="0" w:color="auto"/>
              <w:bottom w:val="single" w:sz="6" w:space="0" w:color="auto"/>
            </w:tcBorders>
          </w:tcPr>
          <w:p w:rsidR="006D7291" w:rsidRPr="00AF699A" w:rsidRDefault="006D7291" w:rsidP="008B63A3">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6D7291" w:rsidRPr="00AF699A" w:rsidRDefault="006D7291" w:rsidP="008B63A3">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6D7291" w:rsidRPr="00AF699A" w:rsidRDefault="006D7291" w:rsidP="008B63A3">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6D7291" w:rsidRPr="00AF699A" w:rsidRDefault="006D7291" w:rsidP="008B63A3">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6D7291" w:rsidRPr="00AF699A" w:rsidRDefault="006D7291" w:rsidP="008B63A3">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6D7291" w:rsidRPr="00AF699A" w:rsidRDefault="006D7291" w:rsidP="008B63A3">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6D7291" w:rsidRPr="00AF699A" w:rsidRDefault="006D7291" w:rsidP="008B63A3">
            <w:pPr>
              <w:pStyle w:val="TableColumnHeading"/>
              <w:ind w:right="28"/>
              <w:rPr>
                <w:rFonts w:cs="Arial"/>
                <w:sz w:val="18"/>
                <w:szCs w:val="18"/>
              </w:rPr>
            </w:pPr>
            <w:r w:rsidRPr="00AF699A">
              <w:rPr>
                <w:rFonts w:cs="Arial"/>
                <w:sz w:val="18"/>
                <w:szCs w:val="18"/>
              </w:rPr>
              <w:t>2011-12</w:t>
            </w:r>
          </w:p>
        </w:tc>
      </w:tr>
      <w:tr w:rsidR="006D7291" w:rsidRPr="00514D7F" w:rsidTr="008B63A3">
        <w:tc>
          <w:tcPr>
            <w:tcW w:w="1958" w:type="pct"/>
            <w:tcBorders>
              <w:bottom w:val="single" w:sz="4" w:space="0" w:color="auto"/>
            </w:tcBorders>
            <w:vAlign w:val="bottom"/>
          </w:tcPr>
          <w:p w:rsidR="006D7291" w:rsidRDefault="006D7291" w:rsidP="008B63A3">
            <w:pPr>
              <w:pStyle w:val="TableBodyText"/>
              <w:jc w:val="left"/>
            </w:pPr>
            <w:r>
              <w:t>Arts and recreation services</w:t>
            </w:r>
          </w:p>
        </w:tc>
        <w:tc>
          <w:tcPr>
            <w:tcW w:w="507" w:type="pct"/>
            <w:tcBorders>
              <w:bottom w:val="single" w:sz="4" w:space="0" w:color="auto"/>
            </w:tcBorders>
            <w:vAlign w:val="bottom"/>
          </w:tcPr>
          <w:p w:rsidR="006D7291" w:rsidRDefault="006D7291" w:rsidP="008B63A3">
            <w:pPr>
              <w:pStyle w:val="TableBodyText"/>
            </w:pPr>
            <w:r>
              <w:t>29.0</w:t>
            </w:r>
          </w:p>
        </w:tc>
        <w:tc>
          <w:tcPr>
            <w:tcW w:w="507" w:type="pct"/>
            <w:tcBorders>
              <w:bottom w:val="single" w:sz="4" w:space="0" w:color="auto"/>
            </w:tcBorders>
            <w:vAlign w:val="bottom"/>
          </w:tcPr>
          <w:p w:rsidR="006D7291" w:rsidRDefault="006D7291" w:rsidP="008B63A3">
            <w:pPr>
              <w:pStyle w:val="TableBodyText"/>
            </w:pPr>
            <w:r>
              <w:t>69.0</w:t>
            </w:r>
          </w:p>
        </w:tc>
        <w:tc>
          <w:tcPr>
            <w:tcW w:w="507" w:type="pct"/>
            <w:tcBorders>
              <w:bottom w:val="single" w:sz="4" w:space="0" w:color="auto"/>
            </w:tcBorders>
            <w:vAlign w:val="bottom"/>
          </w:tcPr>
          <w:p w:rsidR="006D7291" w:rsidRDefault="006D7291" w:rsidP="008B63A3">
            <w:pPr>
              <w:pStyle w:val="TableBodyText"/>
            </w:pPr>
            <w:r>
              <w:t>128.2</w:t>
            </w:r>
          </w:p>
        </w:tc>
        <w:tc>
          <w:tcPr>
            <w:tcW w:w="507" w:type="pct"/>
            <w:tcBorders>
              <w:bottom w:val="single" w:sz="4" w:space="0" w:color="auto"/>
            </w:tcBorders>
            <w:vAlign w:val="bottom"/>
          </w:tcPr>
          <w:p w:rsidR="006D7291" w:rsidRDefault="006D7291" w:rsidP="008B63A3">
            <w:pPr>
              <w:pStyle w:val="TableBodyText"/>
            </w:pPr>
            <w:r>
              <w:t>242.0</w:t>
            </w:r>
          </w:p>
        </w:tc>
        <w:tc>
          <w:tcPr>
            <w:tcW w:w="507" w:type="pct"/>
            <w:tcBorders>
              <w:bottom w:val="single" w:sz="4" w:space="0" w:color="auto"/>
            </w:tcBorders>
            <w:shd w:val="clear" w:color="auto" w:fill="auto"/>
            <w:vAlign w:val="bottom"/>
          </w:tcPr>
          <w:p w:rsidR="006D7291" w:rsidRDefault="006D7291" w:rsidP="008B63A3">
            <w:pPr>
              <w:pStyle w:val="TableBodyText"/>
            </w:pPr>
            <w:r>
              <w:t>152.0</w:t>
            </w:r>
          </w:p>
        </w:tc>
        <w:tc>
          <w:tcPr>
            <w:tcW w:w="507" w:type="pct"/>
            <w:tcBorders>
              <w:bottom w:val="single" w:sz="4" w:space="0" w:color="auto"/>
            </w:tcBorders>
            <w:shd w:val="clear" w:color="auto" w:fill="auto"/>
            <w:vAlign w:val="bottom"/>
          </w:tcPr>
          <w:p w:rsidR="006D7291" w:rsidRDefault="006D7291" w:rsidP="008B63A3">
            <w:pPr>
              <w:pStyle w:val="TableBodyText"/>
            </w:pPr>
            <w:r>
              <w:t>204.0</w:t>
            </w:r>
          </w:p>
        </w:tc>
      </w:tr>
    </w:tbl>
    <w:p w:rsidR="006D7291" w:rsidRDefault="006D7291" w:rsidP="006D7291">
      <w:pPr>
        <w:pStyle w:val="Source"/>
      </w:pPr>
      <w:r>
        <w:rPr>
          <w:i/>
        </w:rPr>
        <w:t>Source</w:t>
      </w:r>
      <w:r>
        <w:t>: Commission estimates based on Commissioner of Taxation Annual Report 2011</w:t>
      </w:r>
      <w:r>
        <w:noBreakHyphen/>
        <w:t>12 (and earlier years).</w:t>
      </w:r>
    </w:p>
    <w:p w:rsidR="00AC5D7C" w:rsidRDefault="00FA09C3" w:rsidP="00AC5D7C">
      <w:pPr>
        <w:pStyle w:val="Heading2"/>
      </w:pPr>
      <w:r>
        <w:lastRenderedPageBreak/>
        <w:t>A.</w:t>
      </w:r>
      <w:r>
        <w:rPr>
          <w:noProof/>
        </w:rPr>
        <w:t>13</w:t>
      </w:r>
      <w:r w:rsidR="00AC5D7C">
        <w:tab/>
        <w:t>Concessional rate of withholding tax</w:t>
      </w:r>
    </w:p>
    <w:p w:rsidR="00AC5D7C" w:rsidRPr="0070004F" w:rsidRDefault="00AC5D7C" w:rsidP="00AC5D7C">
      <w:pPr>
        <w:pStyle w:val="BodyText"/>
      </w:pPr>
      <w:r>
        <w:t xml:space="preserve">Distributions of Australian sourced net income (other than dividends, interest and royalties) by Australian managed investment trusts to foreign residents are subject to a final withholding tax. The general rate of 30 per cent is reduced to 7.5 per cent for the period 1 July 2010 to 30 June 2012, and to 15 per cent from 1 July 2012, for residents of countries specified in the regulations as ‘information exchange countries’ </w:t>
      </w:r>
      <w:r w:rsidRPr="00157304">
        <w:t>(</w:t>
      </w:r>
      <w:r w:rsidRPr="002D4BCB">
        <w:t>Tax Expenditure Statement, Australian Government</w:t>
      </w:r>
      <w:r w:rsidR="0062157F">
        <w:t> </w:t>
      </w:r>
      <w:r w:rsidRPr="002D4BCB">
        <w:t>2013, item B108</w:t>
      </w:r>
      <w:r w:rsidRPr="00157304">
        <w:t>)</w:t>
      </w:r>
      <w:r>
        <w:t>.</w:t>
      </w:r>
    </w:p>
    <w:p w:rsidR="00AC5D7C" w:rsidRDefault="00AC5D7C" w:rsidP="00AC5D7C">
      <w:pPr>
        <w:pStyle w:val="BodyText"/>
      </w:pPr>
      <w:r>
        <w:t>The concession lowers the cost of capital to investment trusts. Accordingly, f</w:t>
      </w:r>
      <w:r w:rsidRPr="005A7C4F">
        <w:t xml:space="preserve">unding for the </w:t>
      </w:r>
      <w:r>
        <w:t>scheme</w:t>
      </w:r>
      <w:r w:rsidRPr="005A7C4F">
        <w:t xml:space="preserve"> has been allocated to the </w:t>
      </w:r>
      <w:r w:rsidRPr="005A7C4F">
        <w:rPr>
          <w:i/>
        </w:rPr>
        <w:t>Financial and insurance services</w:t>
      </w:r>
      <w:r w:rsidRPr="005A7C4F">
        <w:t xml:space="preserve"> industry grouping in the Commission’s ANZSIC-based classification (table</w:t>
      </w:r>
      <w:r w:rsidR="008F027A">
        <w:t> </w:t>
      </w:r>
      <w:r w:rsidRPr="005A7C4F">
        <w:t>A.</w:t>
      </w:r>
      <w:r>
        <w:t>13</w:t>
      </w:r>
      <w:r w:rsidRPr="005A7C4F">
        <w:t>).</w:t>
      </w:r>
    </w:p>
    <w:p w:rsidR="00AC5D7C" w:rsidRDefault="00AC5D7C" w:rsidP="00AC5D7C">
      <w:pPr>
        <w:pStyle w:val="TableTitle"/>
      </w:pPr>
      <w:r>
        <w:rPr>
          <w:b w:val="0"/>
        </w:rPr>
        <w:t xml:space="preserve">Table </w:t>
      </w:r>
      <w:r w:rsidR="00FA09C3">
        <w:rPr>
          <w:b w:val="0"/>
        </w:rPr>
        <w:t>A.</w:t>
      </w:r>
      <w:r w:rsidR="00FA09C3">
        <w:rPr>
          <w:b w:val="0"/>
          <w:noProof/>
        </w:rPr>
        <w:t>13</w:t>
      </w:r>
      <w:r>
        <w:tab/>
        <w:t xml:space="preserve">Allocation of </w:t>
      </w:r>
      <w:r w:rsidR="007303C2">
        <w:t xml:space="preserve">concessional </w:t>
      </w:r>
      <w:r>
        <w:t>rate of withholding tax</w:t>
      </w:r>
      <w:r w:rsidR="00AD4BE4">
        <w:t xml:space="preserve"> to industry</w:t>
      </w:r>
      <w:r>
        <w:t>, 2006</w:t>
      </w:r>
      <w:r>
        <w:noBreakHyphen/>
        <w:t>07 to 2011</w:t>
      </w:r>
      <w:r>
        <w:noBreakHyphen/>
        <w:t>12</w:t>
      </w:r>
    </w:p>
    <w:p w:rsidR="00AC5D7C" w:rsidRDefault="00AC5D7C" w:rsidP="00AC5D7C">
      <w:pPr>
        <w:pStyle w:val="Subtitle"/>
      </w:pPr>
      <w:r>
        <w:t>$</w:t>
      </w:r>
      <w:r w:rsidR="007303C2">
        <w:t xml:space="preserve"> </w:t>
      </w:r>
      <w:r>
        <w:t xml:space="preserve">million (nominal) </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AC5D7C" w:rsidRPr="00AF699A" w:rsidTr="008B63A3">
        <w:tc>
          <w:tcPr>
            <w:tcW w:w="1958" w:type="pct"/>
            <w:tcBorders>
              <w:top w:val="single" w:sz="6" w:space="0" w:color="auto"/>
              <w:bottom w:val="single" w:sz="6" w:space="0" w:color="auto"/>
            </w:tcBorders>
          </w:tcPr>
          <w:p w:rsidR="00AC5D7C" w:rsidRPr="00AF699A" w:rsidRDefault="00AC5D7C" w:rsidP="008B63A3">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AC5D7C" w:rsidRPr="00AF699A" w:rsidRDefault="00AC5D7C" w:rsidP="008B63A3">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AC5D7C" w:rsidRPr="00AF699A" w:rsidRDefault="00AC5D7C" w:rsidP="008B63A3">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AC5D7C" w:rsidRPr="00AF699A" w:rsidRDefault="00AC5D7C" w:rsidP="008B63A3">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AC5D7C" w:rsidRPr="00AF699A" w:rsidRDefault="00AC5D7C" w:rsidP="008B63A3">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AC5D7C" w:rsidRPr="00AF699A" w:rsidRDefault="00AC5D7C" w:rsidP="008B63A3">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AC5D7C" w:rsidRPr="00AF699A" w:rsidRDefault="00AC5D7C" w:rsidP="008B63A3">
            <w:pPr>
              <w:pStyle w:val="TableColumnHeading"/>
              <w:ind w:right="28"/>
              <w:rPr>
                <w:rFonts w:cs="Arial"/>
                <w:sz w:val="18"/>
                <w:szCs w:val="18"/>
              </w:rPr>
            </w:pPr>
            <w:r w:rsidRPr="00AF699A">
              <w:rPr>
                <w:rFonts w:cs="Arial"/>
                <w:sz w:val="18"/>
                <w:szCs w:val="18"/>
              </w:rPr>
              <w:t>2011-12</w:t>
            </w:r>
          </w:p>
        </w:tc>
      </w:tr>
      <w:tr w:rsidR="00AC5D7C" w:rsidRPr="006C5A80" w:rsidTr="008B63A3">
        <w:tc>
          <w:tcPr>
            <w:tcW w:w="1958" w:type="pct"/>
            <w:tcBorders>
              <w:bottom w:val="single" w:sz="4" w:space="0" w:color="auto"/>
            </w:tcBorders>
            <w:vAlign w:val="bottom"/>
          </w:tcPr>
          <w:p w:rsidR="00AC5D7C" w:rsidRPr="007E3112" w:rsidRDefault="00AC5D7C" w:rsidP="008B63A3">
            <w:pPr>
              <w:pStyle w:val="TableBodyText"/>
              <w:jc w:val="left"/>
            </w:pPr>
            <w:r w:rsidRPr="007E3112">
              <w:t>Financial and insurance services</w:t>
            </w:r>
          </w:p>
        </w:tc>
        <w:tc>
          <w:tcPr>
            <w:tcW w:w="507" w:type="pct"/>
            <w:tcBorders>
              <w:bottom w:val="single" w:sz="4" w:space="0" w:color="auto"/>
            </w:tcBorders>
            <w:vAlign w:val="bottom"/>
          </w:tcPr>
          <w:p w:rsidR="00AC5D7C" w:rsidRPr="007E3112" w:rsidRDefault="00AC5D7C" w:rsidP="008B63A3">
            <w:pPr>
              <w:pStyle w:val="TableBodyText"/>
            </w:pPr>
            <w:r>
              <w:noBreakHyphen/>
            </w:r>
          </w:p>
        </w:tc>
        <w:tc>
          <w:tcPr>
            <w:tcW w:w="507" w:type="pct"/>
            <w:tcBorders>
              <w:bottom w:val="single" w:sz="4" w:space="0" w:color="auto"/>
            </w:tcBorders>
            <w:vAlign w:val="bottom"/>
          </w:tcPr>
          <w:p w:rsidR="00AC5D7C" w:rsidRPr="007E3112" w:rsidRDefault="00AC5D7C" w:rsidP="008B63A3">
            <w:pPr>
              <w:pStyle w:val="TableBodyText"/>
            </w:pPr>
            <w:r>
              <w:noBreakHyphen/>
            </w:r>
          </w:p>
        </w:tc>
        <w:tc>
          <w:tcPr>
            <w:tcW w:w="507" w:type="pct"/>
            <w:tcBorders>
              <w:bottom w:val="single" w:sz="4" w:space="0" w:color="auto"/>
            </w:tcBorders>
            <w:vAlign w:val="bottom"/>
          </w:tcPr>
          <w:p w:rsidR="00AC5D7C" w:rsidRPr="007E3112" w:rsidRDefault="00AC5D7C" w:rsidP="008B63A3">
            <w:pPr>
              <w:pStyle w:val="TableBodyText"/>
            </w:pPr>
            <w:r w:rsidRPr="007E3112">
              <w:t>30</w:t>
            </w:r>
            <w:r>
              <w:t>.0</w:t>
            </w:r>
          </w:p>
        </w:tc>
        <w:tc>
          <w:tcPr>
            <w:tcW w:w="507" w:type="pct"/>
            <w:tcBorders>
              <w:bottom w:val="single" w:sz="4" w:space="0" w:color="auto"/>
            </w:tcBorders>
            <w:vAlign w:val="bottom"/>
          </w:tcPr>
          <w:p w:rsidR="00AC5D7C" w:rsidRPr="007E3112" w:rsidRDefault="00AC5D7C" w:rsidP="008B63A3">
            <w:pPr>
              <w:pStyle w:val="TableBodyText"/>
            </w:pPr>
            <w:r w:rsidRPr="007E3112">
              <w:t>80</w:t>
            </w:r>
            <w:r>
              <w:t>.0</w:t>
            </w:r>
          </w:p>
        </w:tc>
        <w:tc>
          <w:tcPr>
            <w:tcW w:w="507" w:type="pct"/>
            <w:tcBorders>
              <w:bottom w:val="single" w:sz="4" w:space="0" w:color="auto"/>
            </w:tcBorders>
            <w:shd w:val="clear" w:color="auto" w:fill="auto"/>
            <w:vAlign w:val="bottom"/>
          </w:tcPr>
          <w:p w:rsidR="00AC5D7C" w:rsidRPr="007E3112" w:rsidRDefault="00AC5D7C" w:rsidP="008B63A3">
            <w:pPr>
              <w:pStyle w:val="TableBodyText"/>
            </w:pPr>
            <w:r w:rsidRPr="007E3112">
              <w:t>170</w:t>
            </w:r>
            <w:r>
              <w:t>.0</w:t>
            </w:r>
          </w:p>
        </w:tc>
        <w:tc>
          <w:tcPr>
            <w:tcW w:w="507" w:type="pct"/>
            <w:tcBorders>
              <w:bottom w:val="single" w:sz="4" w:space="0" w:color="auto"/>
            </w:tcBorders>
            <w:shd w:val="clear" w:color="auto" w:fill="auto"/>
            <w:vAlign w:val="bottom"/>
          </w:tcPr>
          <w:p w:rsidR="00AC5D7C" w:rsidRPr="007E3112" w:rsidRDefault="00AC5D7C" w:rsidP="008B63A3">
            <w:pPr>
              <w:pStyle w:val="TableBodyText"/>
            </w:pPr>
            <w:r w:rsidRPr="007E3112">
              <w:t>195</w:t>
            </w:r>
            <w:r>
              <w:t>.0</w:t>
            </w:r>
          </w:p>
        </w:tc>
      </w:tr>
    </w:tbl>
    <w:p w:rsidR="00AC5D7C" w:rsidRDefault="00AC5D7C" w:rsidP="00AC5D7C">
      <w:pPr>
        <w:pStyle w:val="Note"/>
      </w:pPr>
      <w:r w:rsidRPr="00A2379F">
        <w:noBreakHyphen/>
        <w:t xml:space="preserve"> Nil</w:t>
      </w:r>
      <w:r>
        <w:t>.</w:t>
      </w:r>
    </w:p>
    <w:p w:rsidR="00AC5D7C" w:rsidRPr="008E77FE" w:rsidRDefault="00AC5D7C" w:rsidP="00AC5D7C">
      <w:pPr>
        <w:pStyle w:val="Source"/>
      </w:pPr>
      <w:r>
        <w:rPr>
          <w:i/>
        </w:rPr>
        <w:t>Source</w:t>
      </w:r>
      <w:r>
        <w:t>: Commission estimates based on Tax Expenditure Statement 2012, Australian Government</w:t>
      </w:r>
      <w:r w:rsidR="005526FC">
        <w:t> </w:t>
      </w:r>
      <w:r>
        <w:t>2013, p</w:t>
      </w:r>
      <w:r w:rsidR="007303C2">
        <w:t>. </w:t>
      </w:r>
      <w:r>
        <w:t>117, item B108.</w:t>
      </w:r>
    </w:p>
    <w:p w:rsidR="005526FC" w:rsidRDefault="00FA09C3" w:rsidP="005526FC">
      <w:pPr>
        <w:pStyle w:val="Heading2"/>
      </w:pPr>
      <w:r>
        <w:t>A.</w:t>
      </w:r>
      <w:r>
        <w:rPr>
          <w:noProof/>
        </w:rPr>
        <w:t>14</w:t>
      </w:r>
      <w:r w:rsidR="005526FC">
        <w:tab/>
        <w:t>Sustainable Rural Water Use and Infrastructure Program</w:t>
      </w:r>
    </w:p>
    <w:p w:rsidR="005526FC" w:rsidRDefault="005526FC" w:rsidP="005526FC">
      <w:pPr>
        <w:pStyle w:val="BodyText"/>
      </w:pPr>
      <w:r>
        <w:t>The Sustainable Rural Water Use and Infrastructure (SRWUI) program was introduced in May 2008 and formed part of the Australian Government’s $12.9 billion Water for the Future initiative. Funding of $5.8 billion was committed to the program which is intended to increase water use efficiency in rural Australia. This funding is directed towards projects that:</w:t>
      </w:r>
    </w:p>
    <w:p w:rsidR="005526FC" w:rsidRDefault="005526FC" w:rsidP="005526FC">
      <w:pPr>
        <w:pStyle w:val="ListBullet"/>
      </w:pPr>
      <w:r>
        <w:t>deliver substantial and lasting returns of water for the environment; and</w:t>
      </w:r>
    </w:p>
    <w:p w:rsidR="005526FC" w:rsidRDefault="005526FC" w:rsidP="005526FC">
      <w:pPr>
        <w:pStyle w:val="ListBullet"/>
      </w:pPr>
      <w:r>
        <w:t>secure a long-term future for irrigation communities (</w:t>
      </w:r>
      <w:r w:rsidRPr="002D4BCB">
        <w:rPr>
          <w:rStyle w:val="BodyTextChar"/>
        </w:rPr>
        <w:t>Department of the Environment 2013b</w:t>
      </w:r>
      <w:r>
        <w:t>).</w:t>
      </w:r>
    </w:p>
    <w:p w:rsidR="005526FC" w:rsidRDefault="005526FC" w:rsidP="005526FC">
      <w:pPr>
        <w:pStyle w:val="BodyText"/>
      </w:pPr>
      <w:r>
        <w:t>The program is also intended to assist irrigation communities make early adjustments in anticipation of the Murray-Darling Basin cap on water extractions.</w:t>
      </w:r>
    </w:p>
    <w:p w:rsidR="005526FC" w:rsidRPr="00831B4E" w:rsidRDefault="005526FC" w:rsidP="00831B4E">
      <w:pPr>
        <w:pStyle w:val="BodyText"/>
      </w:pPr>
      <w:r w:rsidRPr="00831B4E">
        <w:t xml:space="preserve">The SRWUI program selectively benefits activities in the primary production sector. However, information on the specific industry incidence of the program has not been readily available. Accordingly, the budget outlay has been classified to the </w:t>
      </w:r>
      <w:r w:rsidRPr="00831B4E">
        <w:rPr>
          <w:i/>
        </w:rPr>
        <w:lastRenderedPageBreak/>
        <w:t>Unallocated primary production</w:t>
      </w:r>
      <w:r w:rsidRPr="00831B4E">
        <w:t xml:space="preserve"> industry grouping in the Commission’s ANZSIC-based classification (table A.14).</w:t>
      </w:r>
    </w:p>
    <w:p w:rsidR="005526FC" w:rsidRDefault="005526FC" w:rsidP="005526FC">
      <w:pPr>
        <w:pStyle w:val="TableTitle"/>
      </w:pPr>
      <w:r>
        <w:rPr>
          <w:b w:val="0"/>
        </w:rPr>
        <w:t xml:space="preserve">Table </w:t>
      </w:r>
      <w:r w:rsidR="00FA09C3">
        <w:rPr>
          <w:b w:val="0"/>
        </w:rPr>
        <w:t>A.</w:t>
      </w:r>
      <w:r w:rsidR="00FA09C3">
        <w:rPr>
          <w:b w:val="0"/>
          <w:noProof/>
        </w:rPr>
        <w:t>14</w:t>
      </w:r>
      <w:r>
        <w:tab/>
        <w:t>Allocation of Sustainable Rural Water Use and Infrastructure Program</w:t>
      </w:r>
      <w:r w:rsidR="0007042E" w:rsidRPr="0007042E">
        <w:t xml:space="preserve"> to industry</w:t>
      </w:r>
      <w:r>
        <w:t>, 2006</w:t>
      </w:r>
      <w:r>
        <w:noBreakHyphen/>
        <w:t>07 to 2011</w:t>
      </w:r>
      <w:r>
        <w:noBreakHyphen/>
        <w:t>12</w:t>
      </w:r>
    </w:p>
    <w:p w:rsidR="005526FC" w:rsidRDefault="005526FC" w:rsidP="005526FC">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5526FC" w:rsidRPr="00AF699A" w:rsidTr="008B63A3">
        <w:tc>
          <w:tcPr>
            <w:tcW w:w="1960" w:type="pct"/>
            <w:tcBorders>
              <w:top w:val="single" w:sz="6" w:space="0" w:color="auto"/>
              <w:bottom w:val="single" w:sz="6" w:space="0" w:color="auto"/>
            </w:tcBorders>
          </w:tcPr>
          <w:p w:rsidR="005526FC" w:rsidRPr="00AF699A" w:rsidRDefault="005526FC" w:rsidP="008B63A3">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5526FC" w:rsidRPr="00AF699A" w:rsidRDefault="005526FC" w:rsidP="008B63A3">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5526FC" w:rsidRPr="00AF699A" w:rsidRDefault="005526FC" w:rsidP="008B63A3">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5526FC" w:rsidRPr="00AF699A" w:rsidRDefault="005526FC" w:rsidP="008B63A3">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5526FC" w:rsidRPr="00AF699A" w:rsidRDefault="005526FC" w:rsidP="008B63A3">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5526FC" w:rsidRPr="00AF699A" w:rsidRDefault="005526FC" w:rsidP="008B63A3">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5526FC" w:rsidRPr="00AF699A" w:rsidRDefault="005526FC" w:rsidP="008B63A3">
            <w:pPr>
              <w:pStyle w:val="TableColumnHeading"/>
              <w:ind w:right="28"/>
              <w:rPr>
                <w:rFonts w:cs="Arial"/>
                <w:sz w:val="18"/>
                <w:szCs w:val="18"/>
              </w:rPr>
            </w:pPr>
            <w:r w:rsidRPr="00AF699A">
              <w:rPr>
                <w:rFonts w:cs="Arial"/>
                <w:sz w:val="18"/>
                <w:szCs w:val="18"/>
              </w:rPr>
              <w:t>2011-12</w:t>
            </w:r>
          </w:p>
        </w:tc>
      </w:tr>
      <w:tr w:rsidR="005526FC" w:rsidRPr="006C5A80" w:rsidTr="008B63A3">
        <w:tc>
          <w:tcPr>
            <w:tcW w:w="1960" w:type="pct"/>
            <w:tcBorders>
              <w:bottom w:val="single" w:sz="4" w:space="0" w:color="auto"/>
            </w:tcBorders>
            <w:vAlign w:val="bottom"/>
          </w:tcPr>
          <w:p w:rsidR="005526FC" w:rsidRPr="00C944BA" w:rsidRDefault="005526FC" w:rsidP="008B63A3">
            <w:pPr>
              <w:pStyle w:val="TableBodyText"/>
              <w:jc w:val="left"/>
            </w:pPr>
            <w:r>
              <w:t>Unallocated primary production</w:t>
            </w:r>
            <w:r w:rsidRPr="00C00D98">
              <w:rPr>
                <w:rStyle w:val="NoteLabel"/>
                <w:szCs w:val="18"/>
              </w:rPr>
              <w:t>a</w:t>
            </w:r>
          </w:p>
        </w:tc>
        <w:tc>
          <w:tcPr>
            <w:tcW w:w="507" w:type="pct"/>
            <w:tcBorders>
              <w:bottom w:val="single" w:sz="4" w:space="0" w:color="auto"/>
            </w:tcBorders>
            <w:vAlign w:val="bottom"/>
          </w:tcPr>
          <w:p w:rsidR="005526FC" w:rsidRDefault="005526FC" w:rsidP="008B63A3">
            <w:pPr>
              <w:pStyle w:val="TableBodyText"/>
            </w:pPr>
            <w:r>
              <w:noBreakHyphen/>
            </w:r>
          </w:p>
        </w:tc>
        <w:tc>
          <w:tcPr>
            <w:tcW w:w="507" w:type="pct"/>
            <w:tcBorders>
              <w:bottom w:val="single" w:sz="4" w:space="0" w:color="auto"/>
            </w:tcBorders>
            <w:vAlign w:val="bottom"/>
          </w:tcPr>
          <w:p w:rsidR="005526FC" w:rsidRDefault="005526FC" w:rsidP="008B63A3">
            <w:pPr>
              <w:pStyle w:val="TableBodyText"/>
            </w:pPr>
            <w:r>
              <w:t>0.1</w:t>
            </w:r>
          </w:p>
        </w:tc>
        <w:tc>
          <w:tcPr>
            <w:tcW w:w="507" w:type="pct"/>
            <w:tcBorders>
              <w:bottom w:val="single" w:sz="4" w:space="0" w:color="auto"/>
            </w:tcBorders>
            <w:vAlign w:val="bottom"/>
          </w:tcPr>
          <w:p w:rsidR="005526FC" w:rsidRDefault="005526FC" w:rsidP="008B63A3">
            <w:pPr>
              <w:pStyle w:val="TableBodyText"/>
            </w:pPr>
            <w:r>
              <w:t>17.3</w:t>
            </w:r>
          </w:p>
        </w:tc>
        <w:tc>
          <w:tcPr>
            <w:tcW w:w="507" w:type="pct"/>
            <w:tcBorders>
              <w:bottom w:val="single" w:sz="4" w:space="0" w:color="auto"/>
            </w:tcBorders>
            <w:vAlign w:val="bottom"/>
          </w:tcPr>
          <w:p w:rsidR="005526FC" w:rsidRDefault="005526FC" w:rsidP="008B63A3">
            <w:pPr>
              <w:pStyle w:val="TableBodyText"/>
            </w:pPr>
            <w:r>
              <w:t>54.2</w:t>
            </w:r>
          </w:p>
        </w:tc>
        <w:tc>
          <w:tcPr>
            <w:tcW w:w="507" w:type="pct"/>
            <w:tcBorders>
              <w:bottom w:val="single" w:sz="4" w:space="0" w:color="auto"/>
            </w:tcBorders>
            <w:shd w:val="clear" w:color="auto" w:fill="auto"/>
            <w:vAlign w:val="bottom"/>
          </w:tcPr>
          <w:p w:rsidR="005526FC" w:rsidRDefault="005526FC" w:rsidP="008B63A3">
            <w:pPr>
              <w:pStyle w:val="TableBodyText"/>
            </w:pPr>
            <w:r>
              <w:t>59.2</w:t>
            </w:r>
          </w:p>
        </w:tc>
        <w:tc>
          <w:tcPr>
            <w:tcW w:w="505" w:type="pct"/>
            <w:tcBorders>
              <w:bottom w:val="single" w:sz="4" w:space="0" w:color="auto"/>
            </w:tcBorders>
            <w:shd w:val="clear" w:color="auto" w:fill="auto"/>
            <w:vAlign w:val="bottom"/>
          </w:tcPr>
          <w:p w:rsidR="005526FC" w:rsidRDefault="005526FC" w:rsidP="008B63A3">
            <w:pPr>
              <w:pStyle w:val="TableBodyText"/>
            </w:pPr>
            <w:r>
              <w:t>191.8</w:t>
            </w:r>
          </w:p>
        </w:tc>
      </w:tr>
    </w:tbl>
    <w:p w:rsidR="005526FC" w:rsidRPr="00F60026" w:rsidRDefault="005526FC" w:rsidP="005526FC">
      <w:pPr>
        <w:pStyle w:val="Source"/>
        <w:spacing w:after="0"/>
        <w:rPr>
          <w:i/>
        </w:rPr>
      </w:pPr>
      <w:r w:rsidRPr="00A2379F">
        <w:noBreakHyphen/>
        <w:t xml:space="preserve"> </w:t>
      </w:r>
      <w:r>
        <w:t>Nil</w:t>
      </w:r>
      <w:r w:rsidRPr="00A2379F">
        <w:t>.</w:t>
      </w:r>
      <w:r w:rsidRPr="00B1392F">
        <w:t xml:space="preserve"> </w:t>
      </w:r>
      <w:r w:rsidRPr="009B56F1">
        <w:rPr>
          <w:rStyle w:val="NoteLabel"/>
        </w:rPr>
        <w:t>a</w:t>
      </w:r>
      <w:r w:rsidRPr="009B56F1">
        <w:t xml:space="preserve"> Unallocated includes general programs where detai</w:t>
      </w:r>
      <w:r>
        <w:t>ls of beneficiaries are unknown.</w:t>
      </w:r>
    </w:p>
    <w:p w:rsidR="005526FC" w:rsidRPr="008E77FE" w:rsidRDefault="005526FC" w:rsidP="005526FC">
      <w:pPr>
        <w:pStyle w:val="Source"/>
      </w:pPr>
      <w:r>
        <w:rPr>
          <w:i/>
        </w:rPr>
        <w:t>Source</w:t>
      </w:r>
      <w:r>
        <w:t>: Commission estimates based on Department of Sustainability, Environment, Water, Population and Communities Annual Report 2011</w:t>
      </w:r>
      <w:r>
        <w:noBreakHyphen/>
        <w:t>12 (and earlier years).</w:t>
      </w:r>
    </w:p>
    <w:p w:rsidR="00E10845" w:rsidRDefault="00FA09C3" w:rsidP="00E10845">
      <w:pPr>
        <w:pStyle w:val="Heading2"/>
      </w:pPr>
      <w:r>
        <w:t>A.</w:t>
      </w:r>
      <w:r>
        <w:rPr>
          <w:noProof/>
        </w:rPr>
        <w:t>15</w:t>
      </w:r>
      <w:r w:rsidR="00E10845">
        <w:tab/>
        <w:t>25 per cent entrepreneurs’ tax offset</w:t>
      </w:r>
    </w:p>
    <w:p w:rsidR="00E10845" w:rsidRDefault="00E10845" w:rsidP="00E10845">
      <w:pPr>
        <w:pStyle w:val="BodyText"/>
      </w:pPr>
      <w:r>
        <w:t>Under the 25 per cent entrepreneurs’ tax offset concession, prior to the introduction of simplified depreciation rules for small businesses from the 2012</w:t>
      </w:r>
      <w:r>
        <w:noBreakHyphen/>
        <w:t xml:space="preserve">13 income year </w:t>
      </w:r>
      <w:r w:rsidRPr="00DD3B0A">
        <w:t>(see</w:t>
      </w:r>
      <w:r w:rsidRPr="009C1EC7">
        <w:t xml:space="preserve"> </w:t>
      </w:r>
      <w:r w:rsidRPr="002D4BCB">
        <w:t>Tax Expenditure Statement, Australian Government</w:t>
      </w:r>
      <w:r w:rsidR="0062157F">
        <w:t> </w:t>
      </w:r>
      <w:r w:rsidRPr="002D4BCB">
        <w:t>2013, Item B104</w:t>
      </w:r>
      <w:r w:rsidRPr="00DD3B0A">
        <w:t xml:space="preserve">), </w:t>
      </w:r>
      <w:r w:rsidRPr="009C1EC7">
        <w:t xml:space="preserve">small businesses </w:t>
      </w:r>
      <w:r w:rsidRPr="00EC76CA">
        <w:t xml:space="preserve">with an annual turnover of $50 000 or less </w:t>
      </w:r>
      <w:r w:rsidRPr="00DD3B0A">
        <w:t>were eligible for a tax offset of 25 per cent of the income tax liability attributable to their business income. The offset phased out for annual turnover between $50 001 and $75 000. From 1 July 2007, the concession applied to any small business entity, whereas before that time it only applied to taxpayers in the then Simplified Tax System (</w:t>
      </w:r>
      <w:r w:rsidRPr="00E80A54">
        <w:t>Tax Expenditure Statement, Australian Government</w:t>
      </w:r>
      <w:r w:rsidR="0062157F">
        <w:t> </w:t>
      </w:r>
      <w:r w:rsidRPr="002D4BCB">
        <w:t>2013, Item B 55</w:t>
      </w:r>
      <w:r w:rsidRPr="00DD3B0A">
        <w:t>)</w:t>
      </w:r>
      <w:r>
        <w:t>.</w:t>
      </w:r>
    </w:p>
    <w:p w:rsidR="00E10845" w:rsidRDefault="00E10845" w:rsidP="00E10845">
      <w:pPr>
        <w:pStyle w:val="BodyText"/>
      </w:pPr>
      <w:r>
        <w:t>The 25 per cent entrepreneurs’ tax offset ceased during the 2012</w:t>
      </w:r>
      <w:r>
        <w:noBreakHyphen/>
        <w:t>13 income year.</w:t>
      </w:r>
    </w:p>
    <w:p w:rsidR="00E10845" w:rsidRDefault="00E10845" w:rsidP="00E10845">
      <w:pPr>
        <w:pStyle w:val="BodyText"/>
      </w:pPr>
      <w:r>
        <w:t>The Commission has obtained data from the ATO for the offset by ANZSIC industry. The industry shares from the ATO data have been used to allocate Treasury estimates of total revenue forgone for the concession to the Commission’s ANZSIC-based industry groupings (table A.15).</w:t>
      </w:r>
    </w:p>
    <w:p w:rsidR="00E10845" w:rsidRDefault="00E10845" w:rsidP="00E10845">
      <w:pPr>
        <w:pStyle w:val="TableTitle"/>
      </w:pPr>
      <w:r>
        <w:rPr>
          <w:b w:val="0"/>
        </w:rPr>
        <w:lastRenderedPageBreak/>
        <w:t xml:space="preserve">Table </w:t>
      </w:r>
      <w:r w:rsidR="00FA09C3">
        <w:rPr>
          <w:b w:val="0"/>
        </w:rPr>
        <w:t>A.</w:t>
      </w:r>
      <w:r w:rsidR="00FA09C3">
        <w:rPr>
          <w:b w:val="0"/>
          <w:noProof/>
        </w:rPr>
        <w:t>15</w:t>
      </w:r>
      <w:r>
        <w:tab/>
        <w:t xml:space="preserve">Allocation of 25 per cent entrepreneurs’ tax offset </w:t>
      </w:r>
      <w:r w:rsidR="001A5D30" w:rsidRPr="001A5D30">
        <w:t>to industry</w:t>
      </w:r>
      <w:r>
        <w:t>, 2006</w:t>
      </w:r>
      <w:r>
        <w:noBreakHyphen/>
        <w:t>07 to 2011</w:t>
      </w:r>
      <w:r>
        <w:noBreakHyphen/>
        <w:t>12</w:t>
      </w:r>
    </w:p>
    <w:p w:rsidR="00E10845" w:rsidRDefault="00E10845" w:rsidP="00E10845">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E10845" w:rsidRPr="00AF699A" w:rsidTr="008B63A3">
        <w:tc>
          <w:tcPr>
            <w:tcW w:w="1960" w:type="pct"/>
            <w:tcBorders>
              <w:top w:val="single" w:sz="6" w:space="0" w:color="auto"/>
              <w:bottom w:val="single" w:sz="6" w:space="0" w:color="auto"/>
            </w:tcBorders>
          </w:tcPr>
          <w:p w:rsidR="00E10845" w:rsidRPr="00AF699A" w:rsidRDefault="00E10845" w:rsidP="008B63A3">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E10845" w:rsidRPr="00AF699A" w:rsidRDefault="00E10845" w:rsidP="008B63A3">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E10845" w:rsidRPr="00AF699A" w:rsidRDefault="00E10845" w:rsidP="008B63A3">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E10845" w:rsidRPr="00AF699A" w:rsidRDefault="00E10845" w:rsidP="008B63A3">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E10845" w:rsidRPr="00AF699A" w:rsidRDefault="00E10845" w:rsidP="008B63A3">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E10845" w:rsidRPr="00AF699A" w:rsidRDefault="00E10845" w:rsidP="008B63A3">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E10845" w:rsidRPr="00AF699A" w:rsidRDefault="00E10845" w:rsidP="008B63A3">
            <w:pPr>
              <w:pStyle w:val="TableColumnHeading"/>
              <w:ind w:right="28"/>
              <w:rPr>
                <w:rFonts w:cs="Arial"/>
                <w:sz w:val="18"/>
                <w:szCs w:val="18"/>
              </w:rPr>
            </w:pPr>
            <w:r w:rsidRPr="00AF699A">
              <w:rPr>
                <w:rFonts w:cs="Arial"/>
                <w:sz w:val="18"/>
                <w:szCs w:val="18"/>
              </w:rPr>
              <w:t>2011-12</w:t>
            </w:r>
          </w:p>
        </w:tc>
      </w:tr>
      <w:tr w:rsidR="00E10845" w:rsidRPr="006C5A80" w:rsidTr="008B63A3">
        <w:tc>
          <w:tcPr>
            <w:tcW w:w="1960" w:type="pct"/>
            <w:tcBorders>
              <w:top w:val="single" w:sz="6" w:space="0" w:color="auto"/>
            </w:tcBorders>
            <w:vAlign w:val="bottom"/>
          </w:tcPr>
          <w:p w:rsidR="00E10845" w:rsidRPr="00E17EEF" w:rsidRDefault="00E10845" w:rsidP="008B63A3">
            <w:pPr>
              <w:pStyle w:val="TableBodyText"/>
              <w:jc w:val="left"/>
              <w:rPr>
                <w:b/>
                <w:sz w:val="18"/>
                <w:szCs w:val="18"/>
              </w:rPr>
            </w:pPr>
            <w:r w:rsidRPr="00E17EEF">
              <w:rPr>
                <w:b/>
                <w:sz w:val="18"/>
                <w:szCs w:val="18"/>
              </w:rPr>
              <w:t>Primary production</w:t>
            </w:r>
          </w:p>
        </w:tc>
        <w:tc>
          <w:tcPr>
            <w:tcW w:w="507" w:type="pct"/>
            <w:tcBorders>
              <w:top w:val="single" w:sz="6" w:space="0" w:color="auto"/>
            </w:tcBorders>
            <w:vAlign w:val="bottom"/>
          </w:tcPr>
          <w:p w:rsidR="00E10845" w:rsidRPr="00E17EEF" w:rsidRDefault="00E10845" w:rsidP="008B63A3">
            <w:pPr>
              <w:pStyle w:val="TableBodyText"/>
              <w:rPr>
                <w:b/>
                <w:sz w:val="18"/>
                <w:szCs w:val="18"/>
              </w:rPr>
            </w:pPr>
            <w:r w:rsidRPr="00E17EEF">
              <w:rPr>
                <w:b/>
                <w:sz w:val="18"/>
                <w:szCs w:val="18"/>
              </w:rPr>
              <w:t>3.8</w:t>
            </w:r>
          </w:p>
        </w:tc>
        <w:tc>
          <w:tcPr>
            <w:tcW w:w="507" w:type="pct"/>
            <w:tcBorders>
              <w:top w:val="single" w:sz="6" w:space="0" w:color="auto"/>
            </w:tcBorders>
            <w:vAlign w:val="bottom"/>
          </w:tcPr>
          <w:p w:rsidR="00E10845" w:rsidRPr="00E17EEF" w:rsidRDefault="00E10845" w:rsidP="008B63A3">
            <w:pPr>
              <w:pStyle w:val="TableBodyText"/>
              <w:rPr>
                <w:b/>
                <w:sz w:val="18"/>
                <w:szCs w:val="18"/>
              </w:rPr>
            </w:pPr>
            <w:r w:rsidRPr="00E17EEF">
              <w:rPr>
                <w:b/>
                <w:sz w:val="18"/>
                <w:szCs w:val="18"/>
              </w:rPr>
              <w:t>4.6</w:t>
            </w:r>
          </w:p>
        </w:tc>
        <w:tc>
          <w:tcPr>
            <w:tcW w:w="507" w:type="pct"/>
            <w:tcBorders>
              <w:top w:val="single" w:sz="6" w:space="0" w:color="auto"/>
            </w:tcBorders>
            <w:vAlign w:val="bottom"/>
          </w:tcPr>
          <w:p w:rsidR="00E10845" w:rsidRPr="00E17EEF" w:rsidRDefault="00E10845" w:rsidP="008B63A3">
            <w:pPr>
              <w:pStyle w:val="TableBodyText"/>
              <w:rPr>
                <w:b/>
                <w:sz w:val="18"/>
                <w:szCs w:val="18"/>
              </w:rPr>
            </w:pPr>
            <w:r w:rsidRPr="00E17EEF">
              <w:rPr>
                <w:b/>
                <w:sz w:val="18"/>
                <w:szCs w:val="18"/>
              </w:rPr>
              <w:t>5.0</w:t>
            </w:r>
          </w:p>
        </w:tc>
        <w:tc>
          <w:tcPr>
            <w:tcW w:w="507" w:type="pct"/>
            <w:tcBorders>
              <w:top w:val="single" w:sz="6" w:space="0" w:color="auto"/>
            </w:tcBorders>
            <w:vAlign w:val="bottom"/>
          </w:tcPr>
          <w:p w:rsidR="00E10845" w:rsidRPr="00E17EEF" w:rsidRDefault="00E10845" w:rsidP="008B63A3">
            <w:pPr>
              <w:pStyle w:val="TableBodyText"/>
              <w:rPr>
                <w:b/>
                <w:sz w:val="18"/>
                <w:szCs w:val="18"/>
              </w:rPr>
            </w:pPr>
            <w:r w:rsidRPr="00E17EEF">
              <w:rPr>
                <w:b/>
                <w:sz w:val="18"/>
                <w:szCs w:val="18"/>
              </w:rPr>
              <w:t>4.9</w:t>
            </w:r>
          </w:p>
        </w:tc>
        <w:tc>
          <w:tcPr>
            <w:tcW w:w="507" w:type="pct"/>
            <w:tcBorders>
              <w:top w:val="single" w:sz="6" w:space="0" w:color="auto"/>
            </w:tcBorders>
            <w:vAlign w:val="bottom"/>
          </w:tcPr>
          <w:p w:rsidR="00E10845" w:rsidRPr="00E17EEF" w:rsidRDefault="00E10845" w:rsidP="008B63A3">
            <w:pPr>
              <w:pStyle w:val="TableBodyText"/>
              <w:rPr>
                <w:b/>
                <w:sz w:val="18"/>
                <w:szCs w:val="18"/>
              </w:rPr>
            </w:pPr>
            <w:r w:rsidRPr="00E17EEF">
              <w:rPr>
                <w:b/>
                <w:sz w:val="18"/>
                <w:szCs w:val="18"/>
              </w:rPr>
              <w:t>4.4</w:t>
            </w:r>
          </w:p>
        </w:tc>
        <w:tc>
          <w:tcPr>
            <w:tcW w:w="505" w:type="pct"/>
            <w:tcBorders>
              <w:top w:val="single" w:sz="6" w:space="0" w:color="auto"/>
            </w:tcBorders>
            <w:vAlign w:val="bottom"/>
          </w:tcPr>
          <w:p w:rsidR="00E10845" w:rsidRPr="00E17EEF" w:rsidRDefault="00E10845" w:rsidP="008B63A3">
            <w:pPr>
              <w:pStyle w:val="TableBodyText"/>
              <w:rPr>
                <w:b/>
                <w:sz w:val="18"/>
                <w:szCs w:val="18"/>
              </w:rPr>
            </w:pPr>
            <w:r w:rsidRPr="00E17EEF">
              <w:rPr>
                <w:b/>
                <w:sz w:val="18"/>
                <w:szCs w:val="18"/>
              </w:rPr>
              <w:t>4.8</w:t>
            </w:r>
          </w:p>
        </w:tc>
      </w:tr>
      <w:tr w:rsidR="00E10845" w:rsidRPr="006C5A80" w:rsidTr="008B63A3">
        <w:tc>
          <w:tcPr>
            <w:tcW w:w="1960" w:type="pct"/>
            <w:vAlign w:val="bottom"/>
          </w:tcPr>
          <w:p w:rsidR="00E10845" w:rsidRPr="00267504" w:rsidRDefault="00E10845" w:rsidP="008B63A3">
            <w:pPr>
              <w:pStyle w:val="TableBodyText"/>
              <w:jc w:val="left"/>
              <w:rPr>
                <w:sz w:val="18"/>
                <w:szCs w:val="18"/>
              </w:rPr>
            </w:pPr>
            <w:r w:rsidRPr="00267504">
              <w:rPr>
                <w:sz w:val="18"/>
                <w:szCs w:val="18"/>
              </w:rPr>
              <w:t>Horticulture and fruit growing</w:t>
            </w:r>
          </w:p>
        </w:tc>
        <w:tc>
          <w:tcPr>
            <w:tcW w:w="507" w:type="pct"/>
            <w:vAlign w:val="bottom"/>
          </w:tcPr>
          <w:p w:rsidR="00E10845" w:rsidRPr="00E17EEF" w:rsidRDefault="00E10845" w:rsidP="008B63A3">
            <w:pPr>
              <w:pStyle w:val="TableBodyText"/>
              <w:rPr>
                <w:sz w:val="18"/>
                <w:szCs w:val="18"/>
              </w:rPr>
            </w:pPr>
            <w:r w:rsidRPr="00E17EEF">
              <w:rPr>
                <w:sz w:val="18"/>
                <w:szCs w:val="18"/>
              </w:rPr>
              <w:t>0.4</w:t>
            </w:r>
          </w:p>
        </w:tc>
        <w:tc>
          <w:tcPr>
            <w:tcW w:w="507" w:type="pct"/>
            <w:vAlign w:val="bottom"/>
          </w:tcPr>
          <w:p w:rsidR="00E10845" w:rsidRPr="00E17EEF" w:rsidRDefault="00E10845" w:rsidP="008B63A3">
            <w:pPr>
              <w:pStyle w:val="TableBodyText"/>
              <w:rPr>
                <w:sz w:val="18"/>
                <w:szCs w:val="18"/>
              </w:rPr>
            </w:pPr>
            <w:r w:rsidRPr="00E17EEF">
              <w:rPr>
                <w:sz w:val="18"/>
                <w:szCs w:val="18"/>
              </w:rPr>
              <w:t>0.5</w:t>
            </w:r>
          </w:p>
        </w:tc>
        <w:tc>
          <w:tcPr>
            <w:tcW w:w="507" w:type="pct"/>
            <w:vAlign w:val="bottom"/>
          </w:tcPr>
          <w:p w:rsidR="00E10845" w:rsidRPr="00E17EEF" w:rsidRDefault="00E10845" w:rsidP="008B63A3">
            <w:pPr>
              <w:pStyle w:val="TableBodyText"/>
              <w:rPr>
                <w:sz w:val="18"/>
                <w:szCs w:val="18"/>
              </w:rPr>
            </w:pPr>
            <w:r w:rsidRPr="00E17EEF">
              <w:rPr>
                <w:sz w:val="18"/>
                <w:szCs w:val="18"/>
              </w:rPr>
              <w:t>0.7</w:t>
            </w:r>
          </w:p>
        </w:tc>
        <w:tc>
          <w:tcPr>
            <w:tcW w:w="507" w:type="pct"/>
            <w:vAlign w:val="bottom"/>
          </w:tcPr>
          <w:p w:rsidR="00E10845" w:rsidRPr="00E17EEF" w:rsidRDefault="00E10845" w:rsidP="008B63A3">
            <w:pPr>
              <w:pStyle w:val="TableBodyText"/>
              <w:rPr>
                <w:sz w:val="18"/>
                <w:szCs w:val="18"/>
              </w:rPr>
            </w:pPr>
            <w:r w:rsidRPr="00E17EEF">
              <w:rPr>
                <w:sz w:val="18"/>
                <w:szCs w:val="18"/>
              </w:rPr>
              <w:t>0.6</w:t>
            </w:r>
          </w:p>
        </w:tc>
        <w:tc>
          <w:tcPr>
            <w:tcW w:w="507" w:type="pct"/>
            <w:vAlign w:val="bottom"/>
          </w:tcPr>
          <w:p w:rsidR="00E10845" w:rsidRPr="00E17EEF" w:rsidRDefault="00E10845" w:rsidP="008B63A3">
            <w:pPr>
              <w:pStyle w:val="TableBodyText"/>
              <w:rPr>
                <w:sz w:val="18"/>
                <w:szCs w:val="18"/>
              </w:rPr>
            </w:pPr>
            <w:r w:rsidRPr="00E17EEF">
              <w:rPr>
                <w:sz w:val="18"/>
                <w:szCs w:val="18"/>
              </w:rPr>
              <w:t>0.5</w:t>
            </w:r>
          </w:p>
        </w:tc>
        <w:tc>
          <w:tcPr>
            <w:tcW w:w="505" w:type="pct"/>
            <w:vAlign w:val="bottom"/>
          </w:tcPr>
          <w:p w:rsidR="00E10845" w:rsidRPr="00E17EEF" w:rsidRDefault="00E10845" w:rsidP="008B63A3">
            <w:pPr>
              <w:pStyle w:val="TableBodyText"/>
              <w:rPr>
                <w:sz w:val="18"/>
                <w:szCs w:val="18"/>
              </w:rPr>
            </w:pPr>
            <w:r w:rsidRPr="00E17EEF">
              <w:rPr>
                <w:sz w:val="18"/>
                <w:szCs w:val="18"/>
              </w:rPr>
              <w:t>0.5</w:t>
            </w:r>
          </w:p>
        </w:tc>
      </w:tr>
      <w:tr w:rsidR="00E10845" w:rsidRPr="006C5A80" w:rsidTr="008B63A3">
        <w:tc>
          <w:tcPr>
            <w:tcW w:w="1960" w:type="pct"/>
            <w:vAlign w:val="bottom"/>
          </w:tcPr>
          <w:p w:rsidR="00E10845" w:rsidRPr="00267504" w:rsidRDefault="00E10845" w:rsidP="008B63A3">
            <w:pPr>
              <w:pStyle w:val="TableBodyText"/>
              <w:jc w:val="left"/>
              <w:rPr>
                <w:sz w:val="18"/>
                <w:szCs w:val="18"/>
              </w:rPr>
            </w:pPr>
            <w:r w:rsidRPr="00267504">
              <w:rPr>
                <w:sz w:val="18"/>
                <w:szCs w:val="18"/>
              </w:rPr>
              <w:t>Sheep, beef cattle and grain farming</w:t>
            </w:r>
          </w:p>
        </w:tc>
        <w:tc>
          <w:tcPr>
            <w:tcW w:w="507" w:type="pct"/>
            <w:vAlign w:val="bottom"/>
          </w:tcPr>
          <w:p w:rsidR="00E10845" w:rsidRPr="00E17EEF" w:rsidRDefault="00E10845" w:rsidP="008B63A3">
            <w:pPr>
              <w:pStyle w:val="TableBodyText"/>
              <w:rPr>
                <w:sz w:val="18"/>
                <w:szCs w:val="18"/>
              </w:rPr>
            </w:pPr>
            <w:r w:rsidRPr="00E17EEF">
              <w:rPr>
                <w:sz w:val="18"/>
                <w:szCs w:val="18"/>
              </w:rPr>
              <w:t>1.2</w:t>
            </w:r>
          </w:p>
        </w:tc>
        <w:tc>
          <w:tcPr>
            <w:tcW w:w="507" w:type="pct"/>
            <w:vAlign w:val="bottom"/>
          </w:tcPr>
          <w:p w:rsidR="00E10845" w:rsidRPr="00E17EEF" w:rsidRDefault="00E10845" w:rsidP="008B63A3">
            <w:pPr>
              <w:pStyle w:val="TableBodyText"/>
              <w:rPr>
                <w:sz w:val="18"/>
                <w:szCs w:val="18"/>
              </w:rPr>
            </w:pPr>
            <w:r w:rsidRPr="00E17EEF">
              <w:rPr>
                <w:sz w:val="18"/>
                <w:szCs w:val="18"/>
              </w:rPr>
              <w:t>1.6</w:t>
            </w:r>
          </w:p>
        </w:tc>
        <w:tc>
          <w:tcPr>
            <w:tcW w:w="507" w:type="pct"/>
            <w:vAlign w:val="bottom"/>
          </w:tcPr>
          <w:p w:rsidR="00E10845" w:rsidRPr="00E17EEF" w:rsidRDefault="00E10845" w:rsidP="008B63A3">
            <w:pPr>
              <w:pStyle w:val="TableBodyText"/>
              <w:rPr>
                <w:sz w:val="18"/>
                <w:szCs w:val="18"/>
              </w:rPr>
            </w:pPr>
            <w:r w:rsidRPr="00E17EEF">
              <w:rPr>
                <w:sz w:val="18"/>
                <w:szCs w:val="18"/>
              </w:rPr>
              <w:t>1.7</w:t>
            </w:r>
          </w:p>
        </w:tc>
        <w:tc>
          <w:tcPr>
            <w:tcW w:w="507" w:type="pct"/>
            <w:vAlign w:val="bottom"/>
          </w:tcPr>
          <w:p w:rsidR="00E10845" w:rsidRPr="00E17EEF" w:rsidRDefault="00E10845" w:rsidP="008B63A3">
            <w:pPr>
              <w:pStyle w:val="TableBodyText"/>
              <w:rPr>
                <w:sz w:val="18"/>
                <w:szCs w:val="18"/>
              </w:rPr>
            </w:pPr>
            <w:r w:rsidRPr="00E17EEF">
              <w:rPr>
                <w:sz w:val="18"/>
                <w:szCs w:val="18"/>
              </w:rPr>
              <w:t>1.7</w:t>
            </w:r>
          </w:p>
        </w:tc>
        <w:tc>
          <w:tcPr>
            <w:tcW w:w="507" w:type="pct"/>
            <w:vAlign w:val="bottom"/>
          </w:tcPr>
          <w:p w:rsidR="00E10845" w:rsidRPr="00E17EEF" w:rsidRDefault="00E10845" w:rsidP="008B63A3">
            <w:pPr>
              <w:pStyle w:val="TableBodyText"/>
              <w:rPr>
                <w:sz w:val="18"/>
                <w:szCs w:val="18"/>
              </w:rPr>
            </w:pPr>
            <w:r w:rsidRPr="00E17EEF">
              <w:rPr>
                <w:sz w:val="18"/>
                <w:szCs w:val="18"/>
              </w:rPr>
              <w:t>1.5</w:t>
            </w:r>
          </w:p>
        </w:tc>
        <w:tc>
          <w:tcPr>
            <w:tcW w:w="505" w:type="pct"/>
            <w:vAlign w:val="bottom"/>
          </w:tcPr>
          <w:p w:rsidR="00E10845" w:rsidRPr="00E17EEF" w:rsidRDefault="00E10845" w:rsidP="008B63A3">
            <w:pPr>
              <w:pStyle w:val="TableBodyText"/>
              <w:rPr>
                <w:sz w:val="18"/>
                <w:szCs w:val="18"/>
              </w:rPr>
            </w:pPr>
            <w:r w:rsidRPr="00E17EEF">
              <w:rPr>
                <w:sz w:val="18"/>
                <w:szCs w:val="18"/>
              </w:rPr>
              <w:t>1.6</w:t>
            </w:r>
          </w:p>
        </w:tc>
      </w:tr>
      <w:tr w:rsidR="00E10845" w:rsidRPr="006C5A80" w:rsidTr="008B63A3">
        <w:tc>
          <w:tcPr>
            <w:tcW w:w="1960" w:type="pct"/>
            <w:vAlign w:val="bottom"/>
          </w:tcPr>
          <w:p w:rsidR="00E10845" w:rsidRPr="00267504" w:rsidRDefault="00E10845" w:rsidP="008B63A3">
            <w:pPr>
              <w:pStyle w:val="TableBodyText"/>
              <w:jc w:val="left"/>
              <w:rPr>
                <w:sz w:val="18"/>
                <w:szCs w:val="18"/>
              </w:rPr>
            </w:pPr>
            <w:r w:rsidRPr="00267504">
              <w:rPr>
                <w:sz w:val="18"/>
                <w:szCs w:val="18"/>
              </w:rPr>
              <w:t>Other crop growing</w:t>
            </w:r>
          </w:p>
        </w:tc>
        <w:tc>
          <w:tcPr>
            <w:tcW w:w="507" w:type="pct"/>
            <w:vAlign w:val="bottom"/>
          </w:tcPr>
          <w:p w:rsidR="00E10845" w:rsidRPr="00E17EEF" w:rsidRDefault="00E10845" w:rsidP="008B63A3">
            <w:pPr>
              <w:pStyle w:val="TableBodyText"/>
              <w:rPr>
                <w:sz w:val="18"/>
                <w:szCs w:val="18"/>
              </w:rPr>
            </w:pPr>
            <w:r>
              <w:rPr>
                <w:sz w:val="18"/>
                <w:szCs w:val="18"/>
              </w:rPr>
              <w:t>&lt;</w:t>
            </w:r>
            <w:r w:rsidRPr="00E17EEF">
              <w:rPr>
                <w:sz w:val="18"/>
                <w:szCs w:val="18"/>
              </w:rPr>
              <w:t>0.1</w:t>
            </w:r>
          </w:p>
        </w:tc>
        <w:tc>
          <w:tcPr>
            <w:tcW w:w="507" w:type="pct"/>
            <w:vAlign w:val="bottom"/>
          </w:tcPr>
          <w:p w:rsidR="00E10845" w:rsidRPr="00E17EEF" w:rsidRDefault="00E10845" w:rsidP="008B63A3">
            <w:pPr>
              <w:pStyle w:val="TableBodyText"/>
              <w:rPr>
                <w:sz w:val="18"/>
                <w:szCs w:val="18"/>
              </w:rPr>
            </w:pPr>
            <w:r>
              <w:rPr>
                <w:sz w:val="18"/>
                <w:szCs w:val="18"/>
              </w:rPr>
              <w:t>&lt;</w:t>
            </w:r>
            <w:r w:rsidRPr="00E17EEF">
              <w:rPr>
                <w:sz w:val="18"/>
                <w:szCs w:val="18"/>
              </w:rPr>
              <w:t>0.1</w:t>
            </w:r>
          </w:p>
        </w:tc>
        <w:tc>
          <w:tcPr>
            <w:tcW w:w="507" w:type="pct"/>
            <w:vAlign w:val="bottom"/>
          </w:tcPr>
          <w:p w:rsidR="00E10845" w:rsidRPr="00E17EEF" w:rsidRDefault="00E10845" w:rsidP="008B63A3">
            <w:pPr>
              <w:pStyle w:val="TableBodyText"/>
              <w:rPr>
                <w:sz w:val="18"/>
                <w:szCs w:val="18"/>
              </w:rPr>
            </w:pPr>
            <w:r>
              <w:rPr>
                <w:sz w:val="18"/>
                <w:szCs w:val="18"/>
              </w:rPr>
              <w:t>&lt;</w:t>
            </w:r>
            <w:r w:rsidRPr="00E17EEF">
              <w:rPr>
                <w:sz w:val="18"/>
                <w:szCs w:val="18"/>
              </w:rPr>
              <w:t>0.1</w:t>
            </w:r>
          </w:p>
        </w:tc>
        <w:tc>
          <w:tcPr>
            <w:tcW w:w="507" w:type="pct"/>
            <w:vAlign w:val="bottom"/>
          </w:tcPr>
          <w:p w:rsidR="00E10845" w:rsidRPr="00E17EEF" w:rsidRDefault="00E10845" w:rsidP="008B63A3">
            <w:pPr>
              <w:pStyle w:val="TableBodyText"/>
              <w:rPr>
                <w:sz w:val="18"/>
                <w:szCs w:val="18"/>
              </w:rPr>
            </w:pPr>
            <w:r>
              <w:rPr>
                <w:sz w:val="18"/>
                <w:szCs w:val="18"/>
              </w:rPr>
              <w:t>&lt;</w:t>
            </w:r>
            <w:r w:rsidRPr="00E17EEF">
              <w:rPr>
                <w:sz w:val="18"/>
                <w:szCs w:val="18"/>
              </w:rPr>
              <w:t>0.1</w:t>
            </w:r>
          </w:p>
        </w:tc>
        <w:tc>
          <w:tcPr>
            <w:tcW w:w="507" w:type="pct"/>
            <w:shd w:val="clear" w:color="auto" w:fill="auto"/>
            <w:vAlign w:val="bottom"/>
          </w:tcPr>
          <w:p w:rsidR="00E10845" w:rsidRPr="00E17EEF" w:rsidRDefault="00E10845" w:rsidP="008B63A3">
            <w:pPr>
              <w:pStyle w:val="TableBodyText"/>
              <w:rPr>
                <w:sz w:val="18"/>
                <w:szCs w:val="18"/>
              </w:rPr>
            </w:pPr>
            <w:r>
              <w:rPr>
                <w:sz w:val="18"/>
                <w:szCs w:val="18"/>
              </w:rPr>
              <w:t>&lt;</w:t>
            </w:r>
            <w:r w:rsidRPr="00E17EEF">
              <w:rPr>
                <w:sz w:val="18"/>
                <w:szCs w:val="18"/>
              </w:rPr>
              <w:t>0.1</w:t>
            </w:r>
          </w:p>
        </w:tc>
        <w:tc>
          <w:tcPr>
            <w:tcW w:w="505" w:type="pct"/>
            <w:shd w:val="clear" w:color="auto" w:fill="auto"/>
            <w:vAlign w:val="bottom"/>
          </w:tcPr>
          <w:p w:rsidR="00E10845" w:rsidRPr="00E17EEF" w:rsidRDefault="00E10845" w:rsidP="008B63A3">
            <w:pPr>
              <w:pStyle w:val="TableBodyText"/>
              <w:rPr>
                <w:sz w:val="18"/>
                <w:szCs w:val="18"/>
              </w:rPr>
            </w:pPr>
            <w:r>
              <w:rPr>
                <w:sz w:val="18"/>
                <w:szCs w:val="18"/>
              </w:rPr>
              <w:t>&lt;</w:t>
            </w:r>
            <w:r w:rsidRPr="00E17EEF">
              <w:rPr>
                <w:sz w:val="18"/>
                <w:szCs w:val="18"/>
              </w:rPr>
              <w:t>0.1</w:t>
            </w:r>
          </w:p>
        </w:tc>
      </w:tr>
      <w:tr w:rsidR="00E10845" w:rsidRPr="006C5A80" w:rsidTr="008B63A3">
        <w:tc>
          <w:tcPr>
            <w:tcW w:w="1960" w:type="pct"/>
            <w:vAlign w:val="bottom"/>
          </w:tcPr>
          <w:p w:rsidR="00E10845" w:rsidRPr="00267504" w:rsidRDefault="00E10845" w:rsidP="008B63A3">
            <w:pPr>
              <w:pStyle w:val="TableBodyText"/>
              <w:jc w:val="left"/>
              <w:rPr>
                <w:sz w:val="18"/>
                <w:szCs w:val="18"/>
              </w:rPr>
            </w:pPr>
            <w:r w:rsidRPr="00267504">
              <w:rPr>
                <w:sz w:val="18"/>
                <w:szCs w:val="18"/>
              </w:rPr>
              <w:t>Dairy cattle farming</w:t>
            </w:r>
          </w:p>
        </w:tc>
        <w:tc>
          <w:tcPr>
            <w:tcW w:w="507" w:type="pct"/>
            <w:vAlign w:val="bottom"/>
          </w:tcPr>
          <w:p w:rsidR="00E10845" w:rsidRPr="00E17EEF" w:rsidRDefault="00E10845" w:rsidP="008B63A3">
            <w:pPr>
              <w:pStyle w:val="TableBodyText"/>
              <w:rPr>
                <w:sz w:val="18"/>
                <w:szCs w:val="18"/>
              </w:rPr>
            </w:pPr>
            <w:r w:rsidRPr="00E17EEF">
              <w:rPr>
                <w:sz w:val="18"/>
                <w:szCs w:val="18"/>
              </w:rPr>
              <w:t>0.2</w:t>
            </w:r>
          </w:p>
        </w:tc>
        <w:tc>
          <w:tcPr>
            <w:tcW w:w="507" w:type="pct"/>
            <w:vAlign w:val="bottom"/>
          </w:tcPr>
          <w:p w:rsidR="00E10845" w:rsidRPr="00E17EEF" w:rsidRDefault="00E10845" w:rsidP="008B63A3">
            <w:pPr>
              <w:pStyle w:val="TableBodyText"/>
              <w:rPr>
                <w:sz w:val="18"/>
                <w:szCs w:val="18"/>
              </w:rPr>
            </w:pPr>
            <w:r w:rsidRPr="00E17EEF">
              <w:rPr>
                <w:sz w:val="18"/>
                <w:szCs w:val="18"/>
              </w:rPr>
              <w:t>0.2</w:t>
            </w:r>
          </w:p>
        </w:tc>
        <w:tc>
          <w:tcPr>
            <w:tcW w:w="507" w:type="pct"/>
            <w:vAlign w:val="bottom"/>
          </w:tcPr>
          <w:p w:rsidR="00E10845" w:rsidRPr="00E17EEF" w:rsidRDefault="00E10845" w:rsidP="008B63A3">
            <w:pPr>
              <w:pStyle w:val="TableBodyText"/>
              <w:rPr>
                <w:sz w:val="18"/>
                <w:szCs w:val="18"/>
              </w:rPr>
            </w:pPr>
            <w:r w:rsidRPr="00E17EEF">
              <w:rPr>
                <w:sz w:val="18"/>
                <w:szCs w:val="18"/>
              </w:rPr>
              <w:t>0.2</w:t>
            </w:r>
          </w:p>
        </w:tc>
        <w:tc>
          <w:tcPr>
            <w:tcW w:w="507" w:type="pct"/>
            <w:vAlign w:val="bottom"/>
          </w:tcPr>
          <w:p w:rsidR="00E10845" w:rsidRPr="00E17EEF" w:rsidRDefault="00E10845" w:rsidP="008B63A3">
            <w:pPr>
              <w:pStyle w:val="TableBodyText"/>
              <w:rPr>
                <w:sz w:val="18"/>
                <w:szCs w:val="18"/>
              </w:rPr>
            </w:pPr>
            <w:r w:rsidRPr="00E17EEF">
              <w:rPr>
                <w:sz w:val="18"/>
                <w:szCs w:val="18"/>
              </w:rPr>
              <w:t>0.2</w:t>
            </w:r>
          </w:p>
        </w:tc>
        <w:tc>
          <w:tcPr>
            <w:tcW w:w="507" w:type="pct"/>
            <w:shd w:val="clear" w:color="auto" w:fill="auto"/>
            <w:vAlign w:val="bottom"/>
          </w:tcPr>
          <w:p w:rsidR="00E10845" w:rsidRPr="00E17EEF" w:rsidRDefault="00E10845" w:rsidP="008B63A3">
            <w:pPr>
              <w:pStyle w:val="TableBodyText"/>
              <w:rPr>
                <w:sz w:val="18"/>
                <w:szCs w:val="18"/>
              </w:rPr>
            </w:pPr>
            <w:r w:rsidRPr="00E17EEF">
              <w:rPr>
                <w:sz w:val="18"/>
                <w:szCs w:val="18"/>
              </w:rPr>
              <w:t>0.2</w:t>
            </w:r>
          </w:p>
        </w:tc>
        <w:tc>
          <w:tcPr>
            <w:tcW w:w="505" w:type="pct"/>
            <w:shd w:val="clear" w:color="auto" w:fill="auto"/>
            <w:vAlign w:val="bottom"/>
          </w:tcPr>
          <w:p w:rsidR="00E10845" w:rsidRPr="00E17EEF" w:rsidRDefault="00E10845" w:rsidP="008B63A3">
            <w:pPr>
              <w:pStyle w:val="TableBodyText"/>
              <w:rPr>
                <w:sz w:val="18"/>
                <w:szCs w:val="18"/>
              </w:rPr>
            </w:pPr>
            <w:r w:rsidRPr="00E17EEF">
              <w:rPr>
                <w:sz w:val="18"/>
                <w:szCs w:val="18"/>
              </w:rPr>
              <w:t>0.2</w:t>
            </w:r>
          </w:p>
        </w:tc>
      </w:tr>
      <w:tr w:rsidR="00E10845" w:rsidRPr="006C5A80" w:rsidTr="008B63A3">
        <w:tc>
          <w:tcPr>
            <w:tcW w:w="1960" w:type="pct"/>
            <w:vAlign w:val="bottom"/>
          </w:tcPr>
          <w:p w:rsidR="00E10845" w:rsidRPr="00267504" w:rsidRDefault="00E10845" w:rsidP="008B63A3">
            <w:pPr>
              <w:pStyle w:val="TableBodyText"/>
              <w:jc w:val="left"/>
              <w:rPr>
                <w:sz w:val="18"/>
                <w:szCs w:val="18"/>
              </w:rPr>
            </w:pPr>
            <w:r w:rsidRPr="00267504">
              <w:rPr>
                <w:sz w:val="18"/>
                <w:szCs w:val="18"/>
              </w:rPr>
              <w:t>Other livestock farming</w:t>
            </w:r>
          </w:p>
        </w:tc>
        <w:tc>
          <w:tcPr>
            <w:tcW w:w="507" w:type="pct"/>
            <w:vAlign w:val="bottom"/>
          </w:tcPr>
          <w:p w:rsidR="00E10845" w:rsidRPr="00E17EEF" w:rsidRDefault="00E10845" w:rsidP="008B63A3">
            <w:pPr>
              <w:pStyle w:val="TableBodyText"/>
              <w:rPr>
                <w:sz w:val="18"/>
                <w:szCs w:val="18"/>
              </w:rPr>
            </w:pPr>
            <w:r w:rsidRPr="00E17EEF">
              <w:rPr>
                <w:sz w:val="18"/>
                <w:szCs w:val="18"/>
              </w:rPr>
              <w:t>0.1</w:t>
            </w:r>
          </w:p>
        </w:tc>
        <w:tc>
          <w:tcPr>
            <w:tcW w:w="507" w:type="pct"/>
            <w:vAlign w:val="bottom"/>
          </w:tcPr>
          <w:p w:rsidR="00E10845" w:rsidRPr="00E17EEF" w:rsidRDefault="00E10845" w:rsidP="008B63A3">
            <w:pPr>
              <w:pStyle w:val="TableBodyText"/>
              <w:rPr>
                <w:sz w:val="18"/>
                <w:szCs w:val="18"/>
              </w:rPr>
            </w:pPr>
            <w:r w:rsidRPr="00E17EEF">
              <w:rPr>
                <w:sz w:val="18"/>
                <w:szCs w:val="18"/>
              </w:rPr>
              <w:t>0.2</w:t>
            </w:r>
          </w:p>
        </w:tc>
        <w:tc>
          <w:tcPr>
            <w:tcW w:w="507" w:type="pct"/>
            <w:vAlign w:val="bottom"/>
          </w:tcPr>
          <w:p w:rsidR="00E10845" w:rsidRPr="00E17EEF" w:rsidRDefault="00E10845" w:rsidP="008B63A3">
            <w:pPr>
              <w:pStyle w:val="TableBodyText"/>
              <w:rPr>
                <w:sz w:val="18"/>
                <w:szCs w:val="18"/>
              </w:rPr>
            </w:pPr>
            <w:r w:rsidRPr="00E17EEF">
              <w:rPr>
                <w:sz w:val="18"/>
                <w:szCs w:val="18"/>
              </w:rPr>
              <w:t>0.2</w:t>
            </w:r>
          </w:p>
        </w:tc>
        <w:tc>
          <w:tcPr>
            <w:tcW w:w="507" w:type="pct"/>
            <w:vAlign w:val="bottom"/>
          </w:tcPr>
          <w:p w:rsidR="00E10845" w:rsidRPr="00E17EEF" w:rsidRDefault="00E10845" w:rsidP="008B63A3">
            <w:pPr>
              <w:pStyle w:val="TableBodyText"/>
              <w:rPr>
                <w:sz w:val="18"/>
                <w:szCs w:val="18"/>
              </w:rPr>
            </w:pPr>
            <w:r w:rsidRPr="00E17EEF">
              <w:rPr>
                <w:sz w:val="18"/>
                <w:szCs w:val="18"/>
              </w:rPr>
              <w:t>0.2</w:t>
            </w:r>
          </w:p>
        </w:tc>
        <w:tc>
          <w:tcPr>
            <w:tcW w:w="507" w:type="pct"/>
            <w:shd w:val="clear" w:color="auto" w:fill="auto"/>
            <w:vAlign w:val="bottom"/>
          </w:tcPr>
          <w:p w:rsidR="00E10845" w:rsidRPr="00E17EEF" w:rsidRDefault="00E10845" w:rsidP="008B63A3">
            <w:pPr>
              <w:pStyle w:val="TableBodyText"/>
              <w:rPr>
                <w:sz w:val="18"/>
                <w:szCs w:val="18"/>
              </w:rPr>
            </w:pPr>
            <w:r w:rsidRPr="00E17EEF">
              <w:rPr>
                <w:sz w:val="18"/>
                <w:szCs w:val="18"/>
              </w:rPr>
              <w:t>0.2</w:t>
            </w:r>
          </w:p>
        </w:tc>
        <w:tc>
          <w:tcPr>
            <w:tcW w:w="505" w:type="pct"/>
            <w:shd w:val="clear" w:color="auto" w:fill="auto"/>
            <w:vAlign w:val="bottom"/>
          </w:tcPr>
          <w:p w:rsidR="00E10845" w:rsidRPr="00E17EEF" w:rsidRDefault="00E10845" w:rsidP="008B63A3">
            <w:pPr>
              <w:pStyle w:val="TableBodyText"/>
              <w:rPr>
                <w:sz w:val="18"/>
                <w:szCs w:val="18"/>
              </w:rPr>
            </w:pPr>
            <w:r w:rsidRPr="00E17EEF">
              <w:rPr>
                <w:sz w:val="18"/>
                <w:szCs w:val="18"/>
              </w:rPr>
              <w:t>0.2</w:t>
            </w:r>
          </w:p>
        </w:tc>
      </w:tr>
      <w:tr w:rsidR="00E10845" w:rsidRPr="006C5A80" w:rsidTr="008B63A3">
        <w:tc>
          <w:tcPr>
            <w:tcW w:w="1960" w:type="pct"/>
            <w:vAlign w:val="bottom"/>
          </w:tcPr>
          <w:p w:rsidR="00E10845" w:rsidRPr="00267504" w:rsidRDefault="00E10845" w:rsidP="008B63A3">
            <w:pPr>
              <w:pStyle w:val="TableBodyText"/>
              <w:jc w:val="left"/>
              <w:rPr>
                <w:sz w:val="18"/>
                <w:szCs w:val="18"/>
              </w:rPr>
            </w:pPr>
            <w:r w:rsidRPr="00267504">
              <w:rPr>
                <w:sz w:val="18"/>
                <w:szCs w:val="18"/>
              </w:rPr>
              <w:t>Aquaculture and fishing</w:t>
            </w:r>
          </w:p>
        </w:tc>
        <w:tc>
          <w:tcPr>
            <w:tcW w:w="507" w:type="pct"/>
            <w:vAlign w:val="bottom"/>
          </w:tcPr>
          <w:p w:rsidR="00E10845" w:rsidRPr="00E17EEF" w:rsidRDefault="00E10845" w:rsidP="008B63A3">
            <w:pPr>
              <w:pStyle w:val="TableBodyText"/>
              <w:rPr>
                <w:sz w:val="18"/>
                <w:szCs w:val="18"/>
              </w:rPr>
            </w:pPr>
            <w:r w:rsidRPr="00E17EEF">
              <w:rPr>
                <w:sz w:val="18"/>
                <w:szCs w:val="18"/>
              </w:rPr>
              <w:t>0.8</w:t>
            </w:r>
          </w:p>
        </w:tc>
        <w:tc>
          <w:tcPr>
            <w:tcW w:w="507" w:type="pct"/>
            <w:vAlign w:val="bottom"/>
          </w:tcPr>
          <w:p w:rsidR="00E10845" w:rsidRPr="00E17EEF" w:rsidRDefault="00E10845" w:rsidP="008B63A3">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E10845" w:rsidRPr="00E17EEF" w:rsidRDefault="00E10845" w:rsidP="008B63A3">
            <w:pPr>
              <w:pStyle w:val="TableBodyText"/>
              <w:rPr>
                <w:sz w:val="18"/>
                <w:szCs w:val="18"/>
              </w:rPr>
            </w:pPr>
            <w:r>
              <w:rPr>
                <w:sz w:val="18"/>
                <w:szCs w:val="18"/>
              </w:rPr>
              <w:t>&lt;</w:t>
            </w:r>
            <w:r w:rsidRPr="00E17EEF">
              <w:rPr>
                <w:sz w:val="18"/>
                <w:szCs w:val="18"/>
              </w:rPr>
              <w:t>0.1</w:t>
            </w:r>
          </w:p>
        </w:tc>
        <w:tc>
          <w:tcPr>
            <w:tcW w:w="507" w:type="pct"/>
            <w:vAlign w:val="bottom"/>
          </w:tcPr>
          <w:p w:rsidR="00E10845" w:rsidRPr="00E17EEF" w:rsidRDefault="00E10845" w:rsidP="008B63A3">
            <w:pPr>
              <w:pStyle w:val="TableBodyText"/>
              <w:rPr>
                <w:sz w:val="18"/>
                <w:szCs w:val="18"/>
              </w:rPr>
            </w:pPr>
            <w:r w:rsidRPr="00E17EEF">
              <w:rPr>
                <w:sz w:val="18"/>
                <w:szCs w:val="18"/>
              </w:rPr>
              <w:t>0.7</w:t>
            </w:r>
          </w:p>
        </w:tc>
        <w:tc>
          <w:tcPr>
            <w:tcW w:w="507" w:type="pct"/>
            <w:shd w:val="clear" w:color="auto" w:fill="auto"/>
            <w:vAlign w:val="bottom"/>
          </w:tcPr>
          <w:p w:rsidR="00E10845" w:rsidRPr="00E17EEF" w:rsidRDefault="00E10845" w:rsidP="008B63A3">
            <w:pPr>
              <w:pStyle w:val="TableBodyText"/>
              <w:rPr>
                <w:sz w:val="18"/>
                <w:szCs w:val="18"/>
              </w:rPr>
            </w:pPr>
            <w:r w:rsidRPr="00E17EEF">
              <w:rPr>
                <w:sz w:val="18"/>
                <w:szCs w:val="18"/>
              </w:rPr>
              <w:t>0.6</w:t>
            </w:r>
          </w:p>
        </w:tc>
        <w:tc>
          <w:tcPr>
            <w:tcW w:w="505" w:type="pct"/>
            <w:shd w:val="clear" w:color="auto" w:fill="auto"/>
            <w:vAlign w:val="bottom"/>
          </w:tcPr>
          <w:p w:rsidR="00E10845" w:rsidRPr="00E17EEF" w:rsidRDefault="00E10845" w:rsidP="008B63A3">
            <w:pPr>
              <w:pStyle w:val="TableBodyText"/>
              <w:rPr>
                <w:sz w:val="18"/>
                <w:szCs w:val="18"/>
              </w:rPr>
            </w:pPr>
            <w:r w:rsidRPr="00E17EEF">
              <w:rPr>
                <w:sz w:val="18"/>
                <w:szCs w:val="18"/>
              </w:rPr>
              <w:t>0.7</w:t>
            </w:r>
          </w:p>
        </w:tc>
      </w:tr>
      <w:tr w:rsidR="00E10845" w:rsidRPr="006C5A80" w:rsidTr="008B63A3">
        <w:tc>
          <w:tcPr>
            <w:tcW w:w="1960" w:type="pct"/>
            <w:vAlign w:val="bottom"/>
          </w:tcPr>
          <w:p w:rsidR="00E10845" w:rsidRPr="00267504" w:rsidRDefault="00E10845" w:rsidP="008B63A3">
            <w:pPr>
              <w:pStyle w:val="TableBodyText"/>
              <w:jc w:val="left"/>
              <w:rPr>
                <w:sz w:val="18"/>
                <w:szCs w:val="18"/>
              </w:rPr>
            </w:pPr>
            <w:r w:rsidRPr="00267504">
              <w:rPr>
                <w:sz w:val="18"/>
                <w:szCs w:val="18"/>
              </w:rPr>
              <w:t>Forestry and logging</w:t>
            </w:r>
          </w:p>
        </w:tc>
        <w:tc>
          <w:tcPr>
            <w:tcW w:w="507" w:type="pct"/>
            <w:vAlign w:val="bottom"/>
          </w:tcPr>
          <w:p w:rsidR="00E10845" w:rsidRPr="00E17EEF" w:rsidRDefault="00E10845" w:rsidP="008B63A3">
            <w:pPr>
              <w:pStyle w:val="TableBodyText"/>
              <w:rPr>
                <w:sz w:val="18"/>
                <w:szCs w:val="18"/>
              </w:rPr>
            </w:pPr>
            <w:r w:rsidRPr="00E17EEF">
              <w:rPr>
                <w:sz w:val="18"/>
                <w:szCs w:val="18"/>
              </w:rPr>
              <w:t>0.2</w:t>
            </w:r>
          </w:p>
        </w:tc>
        <w:tc>
          <w:tcPr>
            <w:tcW w:w="507" w:type="pct"/>
            <w:vAlign w:val="bottom"/>
          </w:tcPr>
          <w:p w:rsidR="00E10845" w:rsidRPr="00E17EEF" w:rsidRDefault="00E10845" w:rsidP="008B63A3">
            <w:pPr>
              <w:pStyle w:val="TableBodyText"/>
              <w:rPr>
                <w:sz w:val="18"/>
                <w:szCs w:val="18"/>
              </w:rPr>
            </w:pPr>
            <w:r w:rsidRPr="00E17EEF">
              <w:rPr>
                <w:sz w:val="18"/>
                <w:szCs w:val="18"/>
              </w:rPr>
              <w:t>0.3</w:t>
            </w:r>
          </w:p>
        </w:tc>
        <w:tc>
          <w:tcPr>
            <w:tcW w:w="507" w:type="pct"/>
            <w:vAlign w:val="bottom"/>
          </w:tcPr>
          <w:p w:rsidR="00E10845" w:rsidRPr="00E17EEF" w:rsidRDefault="00E10845" w:rsidP="008B63A3">
            <w:pPr>
              <w:pStyle w:val="TableBodyText"/>
              <w:rPr>
                <w:sz w:val="18"/>
                <w:szCs w:val="18"/>
              </w:rPr>
            </w:pPr>
            <w:r w:rsidRPr="00E17EEF">
              <w:rPr>
                <w:sz w:val="18"/>
                <w:szCs w:val="18"/>
              </w:rPr>
              <w:t>0.3</w:t>
            </w:r>
          </w:p>
        </w:tc>
        <w:tc>
          <w:tcPr>
            <w:tcW w:w="507" w:type="pct"/>
            <w:vAlign w:val="bottom"/>
          </w:tcPr>
          <w:p w:rsidR="00E10845" w:rsidRPr="00E17EEF" w:rsidRDefault="00E10845" w:rsidP="008B63A3">
            <w:pPr>
              <w:pStyle w:val="TableBodyText"/>
              <w:rPr>
                <w:sz w:val="18"/>
                <w:szCs w:val="18"/>
              </w:rPr>
            </w:pPr>
            <w:r w:rsidRPr="00E17EEF">
              <w:rPr>
                <w:sz w:val="18"/>
                <w:szCs w:val="18"/>
              </w:rPr>
              <w:t>0.3</w:t>
            </w:r>
          </w:p>
        </w:tc>
        <w:tc>
          <w:tcPr>
            <w:tcW w:w="507" w:type="pct"/>
            <w:shd w:val="clear" w:color="auto" w:fill="auto"/>
            <w:vAlign w:val="bottom"/>
          </w:tcPr>
          <w:p w:rsidR="00E10845" w:rsidRPr="00E17EEF" w:rsidRDefault="00E10845" w:rsidP="008B63A3">
            <w:pPr>
              <w:pStyle w:val="TableBodyText"/>
              <w:rPr>
                <w:sz w:val="18"/>
                <w:szCs w:val="18"/>
              </w:rPr>
            </w:pPr>
            <w:r w:rsidRPr="00E17EEF">
              <w:rPr>
                <w:sz w:val="18"/>
                <w:szCs w:val="18"/>
              </w:rPr>
              <w:t>0.3</w:t>
            </w:r>
          </w:p>
        </w:tc>
        <w:tc>
          <w:tcPr>
            <w:tcW w:w="505" w:type="pct"/>
            <w:shd w:val="clear" w:color="auto" w:fill="auto"/>
            <w:vAlign w:val="bottom"/>
          </w:tcPr>
          <w:p w:rsidR="00E10845" w:rsidRPr="00E17EEF" w:rsidRDefault="00E10845" w:rsidP="008B63A3">
            <w:pPr>
              <w:pStyle w:val="TableBodyText"/>
              <w:rPr>
                <w:sz w:val="18"/>
                <w:szCs w:val="18"/>
              </w:rPr>
            </w:pPr>
            <w:r w:rsidRPr="00E17EEF">
              <w:rPr>
                <w:sz w:val="18"/>
                <w:szCs w:val="18"/>
              </w:rPr>
              <w:t>0.3</w:t>
            </w:r>
          </w:p>
        </w:tc>
      </w:tr>
      <w:tr w:rsidR="00E10845" w:rsidRPr="006C5A80" w:rsidTr="008B63A3">
        <w:tc>
          <w:tcPr>
            <w:tcW w:w="1960" w:type="pct"/>
            <w:vAlign w:val="bottom"/>
          </w:tcPr>
          <w:p w:rsidR="00E10845" w:rsidRPr="00267504" w:rsidRDefault="00E10845" w:rsidP="008B63A3">
            <w:pPr>
              <w:pStyle w:val="TableBodyText"/>
              <w:jc w:val="left"/>
              <w:rPr>
                <w:sz w:val="18"/>
                <w:szCs w:val="18"/>
              </w:rPr>
            </w:pPr>
            <w:r w:rsidRPr="00267504">
              <w:rPr>
                <w:sz w:val="18"/>
                <w:szCs w:val="18"/>
              </w:rPr>
              <w:t>Primary production support services</w:t>
            </w:r>
          </w:p>
        </w:tc>
        <w:tc>
          <w:tcPr>
            <w:tcW w:w="507" w:type="pct"/>
            <w:vAlign w:val="bottom"/>
          </w:tcPr>
          <w:p w:rsidR="00E10845" w:rsidRPr="00E17EEF" w:rsidRDefault="00E10845" w:rsidP="008B63A3">
            <w:pPr>
              <w:pStyle w:val="TableBodyText"/>
              <w:rPr>
                <w:sz w:val="18"/>
                <w:szCs w:val="18"/>
              </w:rPr>
            </w:pPr>
            <w:r w:rsidRPr="00E17EEF">
              <w:rPr>
                <w:sz w:val="18"/>
                <w:szCs w:val="18"/>
              </w:rPr>
              <w:t>0.8</w:t>
            </w:r>
          </w:p>
        </w:tc>
        <w:tc>
          <w:tcPr>
            <w:tcW w:w="507" w:type="pct"/>
            <w:vAlign w:val="bottom"/>
          </w:tcPr>
          <w:p w:rsidR="00E10845" w:rsidRPr="00E17EEF" w:rsidRDefault="00E10845" w:rsidP="008B63A3">
            <w:pPr>
              <w:pStyle w:val="TableBodyText"/>
              <w:rPr>
                <w:sz w:val="18"/>
                <w:szCs w:val="18"/>
              </w:rPr>
            </w:pPr>
            <w:r w:rsidRPr="00E17EEF">
              <w:rPr>
                <w:sz w:val="18"/>
                <w:szCs w:val="18"/>
              </w:rPr>
              <w:t>1.7</w:t>
            </w:r>
          </w:p>
        </w:tc>
        <w:tc>
          <w:tcPr>
            <w:tcW w:w="507" w:type="pct"/>
            <w:vAlign w:val="bottom"/>
          </w:tcPr>
          <w:p w:rsidR="00E10845" w:rsidRPr="00E17EEF" w:rsidRDefault="00E10845" w:rsidP="008B63A3">
            <w:pPr>
              <w:pStyle w:val="TableBodyText"/>
              <w:rPr>
                <w:sz w:val="18"/>
                <w:szCs w:val="18"/>
              </w:rPr>
            </w:pPr>
            <w:r w:rsidRPr="00E17EEF">
              <w:rPr>
                <w:sz w:val="18"/>
                <w:szCs w:val="18"/>
              </w:rPr>
              <w:t>1.8</w:t>
            </w:r>
          </w:p>
        </w:tc>
        <w:tc>
          <w:tcPr>
            <w:tcW w:w="507" w:type="pct"/>
            <w:vAlign w:val="bottom"/>
          </w:tcPr>
          <w:p w:rsidR="00E10845" w:rsidRPr="00E17EEF" w:rsidRDefault="00E10845" w:rsidP="008B63A3">
            <w:pPr>
              <w:pStyle w:val="TableBodyText"/>
              <w:rPr>
                <w:sz w:val="18"/>
                <w:szCs w:val="18"/>
              </w:rPr>
            </w:pPr>
            <w:r w:rsidRPr="00E17EEF">
              <w:rPr>
                <w:sz w:val="18"/>
                <w:szCs w:val="18"/>
              </w:rPr>
              <w:t>1.2</w:t>
            </w:r>
          </w:p>
        </w:tc>
        <w:tc>
          <w:tcPr>
            <w:tcW w:w="507" w:type="pct"/>
            <w:shd w:val="clear" w:color="auto" w:fill="auto"/>
            <w:vAlign w:val="bottom"/>
          </w:tcPr>
          <w:p w:rsidR="00E10845" w:rsidRPr="00E17EEF" w:rsidRDefault="00E10845" w:rsidP="008B63A3">
            <w:pPr>
              <w:pStyle w:val="TableBodyText"/>
              <w:rPr>
                <w:sz w:val="18"/>
                <w:szCs w:val="18"/>
              </w:rPr>
            </w:pPr>
            <w:r w:rsidRPr="00E17EEF">
              <w:rPr>
                <w:sz w:val="18"/>
                <w:szCs w:val="18"/>
              </w:rPr>
              <w:t>1.1</w:t>
            </w:r>
          </w:p>
        </w:tc>
        <w:tc>
          <w:tcPr>
            <w:tcW w:w="505" w:type="pct"/>
            <w:shd w:val="clear" w:color="auto" w:fill="auto"/>
            <w:vAlign w:val="bottom"/>
          </w:tcPr>
          <w:p w:rsidR="00E10845" w:rsidRPr="00E17EEF" w:rsidRDefault="00E10845" w:rsidP="008B63A3">
            <w:pPr>
              <w:pStyle w:val="TableBodyText"/>
              <w:rPr>
                <w:sz w:val="18"/>
                <w:szCs w:val="18"/>
              </w:rPr>
            </w:pPr>
            <w:r w:rsidRPr="00E17EEF">
              <w:rPr>
                <w:sz w:val="18"/>
                <w:szCs w:val="18"/>
              </w:rPr>
              <w:t>1.2</w:t>
            </w:r>
          </w:p>
        </w:tc>
      </w:tr>
      <w:tr w:rsidR="00E10845" w:rsidRPr="006C5A80" w:rsidTr="008B63A3">
        <w:tc>
          <w:tcPr>
            <w:tcW w:w="1960" w:type="pct"/>
            <w:vAlign w:val="bottom"/>
          </w:tcPr>
          <w:p w:rsidR="00E10845" w:rsidRPr="00E17EEF" w:rsidRDefault="00E10845" w:rsidP="008B63A3">
            <w:pPr>
              <w:pStyle w:val="TableBodyText"/>
              <w:jc w:val="left"/>
              <w:rPr>
                <w:b/>
                <w:sz w:val="18"/>
                <w:szCs w:val="18"/>
              </w:rPr>
            </w:pPr>
            <w:r w:rsidRPr="00E17EEF">
              <w:rPr>
                <w:b/>
                <w:sz w:val="18"/>
                <w:szCs w:val="18"/>
              </w:rPr>
              <w:t>Mining</w:t>
            </w:r>
          </w:p>
        </w:tc>
        <w:tc>
          <w:tcPr>
            <w:tcW w:w="507" w:type="pct"/>
            <w:vAlign w:val="bottom"/>
          </w:tcPr>
          <w:p w:rsidR="00E10845" w:rsidRPr="00E17EEF" w:rsidRDefault="00E10845" w:rsidP="008B63A3">
            <w:pPr>
              <w:pStyle w:val="TableBodyText"/>
              <w:rPr>
                <w:b/>
                <w:sz w:val="18"/>
                <w:szCs w:val="18"/>
              </w:rPr>
            </w:pPr>
            <w:r w:rsidRPr="00E17EEF">
              <w:rPr>
                <w:b/>
                <w:sz w:val="18"/>
                <w:szCs w:val="18"/>
              </w:rPr>
              <w:t>0.2</w:t>
            </w:r>
          </w:p>
        </w:tc>
        <w:tc>
          <w:tcPr>
            <w:tcW w:w="507" w:type="pct"/>
            <w:vAlign w:val="bottom"/>
          </w:tcPr>
          <w:p w:rsidR="00E10845" w:rsidRPr="00E17EEF" w:rsidRDefault="00E10845" w:rsidP="008B63A3">
            <w:pPr>
              <w:pStyle w:val="TableBodyText"/>
              <w:rPr>
                <w:b/>
                <w:sz w:val="18"/>
                <w:szCs w:val="18"/>
              </w:rPr>
            </w:pPr>
            <w:r w:rsidRPr="00E17EEF">
              <w:rPr>
                <w:b/>
                <w:sz w:val="18"/>
                <w:szCs w:val="18"/>
              </w:rPr>
              <w:t>0.2</w:t>
            </w:r>
          </w:p>
        </w:tc>
        <w:tc>
          <w:tcPr>
            <w:tcW w:w="507" w:type="pct"/>
            <w:vAlign w:val="bottom"/>
          </w:tcPr>
          <w:p w:rsidR="00E10845" w:rsidRPr="00E17EEF" w:rsidRDefault="00E10845" w:rsidP="008B63A3">
            <w:pPr>
              <w:pStyle w:val="TableBodyText"/>
              <w:rPr>
                <w:b/>
                <w:sz w:val="18"/>
                <w:szCs w:val="18"/>
              </w:rPr>
            </w:pPr>
            <w:r w:rsidRPr="00E17EEF">
              <w:rPr>
                <w:b/>
                <w:sz w:val="18"/>
                <w:szCs w:val="18"/>
              </w:rPr>
              <w:t>0.2</w:t>
            </w:r>
          </w:p>
        </w:tc>
        <w:tc>
          <w:tcPr>
            <w:tcW w:w="507" w:type="pct"/>
            <w:vAlign w:val="bottom"/>
          </w:tcPr>
          <w:p w:rsidR="00E10845" w:rsidRPr="00E17EEF" w:rsidRDefault="00E10845" w:rsidP="008B63A3">
            <w:pPr>
              <w:pStyle w:val="TableBodyText"/>
              <w:rPr>
                <w:b/>
                <w:sz w:val="18"/>
                <w:szCs w:val="18"/>
              </w:rPr>
            </w:pPr>
            <w:r w:rsidRPr="00E17EEF">
              <w:rPr>
                <w:b/>
                <w:sz w:val="18"/>
                <w:szCs w:val="18"/>
              </w:rPr>
              <w:t>0.2</w:t>
            </w:r>
          </w:p>
        </w:tc>
        <w:tc>
          <w:tcPr>
            <w:tcW w:w="507" w:type="pct"/>
            <w:shd w:val="clear" w:color="auto" w:fill="auto"/>
            <w:vAlign w:val="bottom"/>
          </w:tcPr>
          <w:p w:rsidR="00E10845" w:rsidRPr="00E17EEF" w:rsidRDefault="00E10845" w:rsidP="008B63A3">
            <w:pPr>
              <w:pStyle w:val="TableBodyText"/>
              <w:rPr>
                <w:b/>
                <w:sz w:val="18"/>
                <w:szCs w:val="18"/>
              </w:rPr>
            </w:pPr>
            <w:r w:rsidRPr="00E17EEF">
              <w:rPr>
                <w:b/>
                <w:sz w:val="18"/>
                <w:szCs w:val="18"/>
              </w:rPr>
              <w:t>0.2</w:t>
            </w:r>
          </w:p>
        </w:tc>
        <w:tc>
          <w:tcPr>
            <w:tcW w:w="505" w:type="pct"/>
            <w:shd w:val="clear" w:color="auto" w:fill="auto"/>
            <w:vAlign w:val="bottom"/>
          </w:tcPr>
          <w:p w:rsidR="00E10845" w:rsidRPr="00E17EEF" w:rsidRDefault="00E10845" w:rsidP="008B63A3">
            <w:pPr>
              <w:pStyle w:val="TableBodyText"/>
              <w:rPr>
                <w:b/>
                <w:sz w:val="18"/>
                <w:szCs w:val="18"/>
              </w:rPr>
            </w:pPr>
            <w:r w:rsidRPr="00E17EEF">
              <w:rPr>
                <w:b/>
                <w:sz w:val="18"/>
                <w:szCs w:val="18"/>
              </w:rPr>
              <w:t>0.2</w:t>
            </w:r>
          </w:p>
        </w:tc>
      </w:tr>
      <w:tr w:rsidR="00E10845" w:rsidRPr="006C5A80" w:rsidTr="008B63A3">
        <w:tc>
          <w:tcPr>
            <w:tcW w:w="1960" w:type="pct"/>
            <w:vAlign w:val="bottom"/>
          </w:tcPr>
          <w:p w:rsidR="00E10845" w:rsidRPr="00E17EEF" w:rsidRDefault="00E10845" w:rsidP="008B63A3">
            <w:pPr>
              <w:pStyle w:val="TableBodyText"/>
              <w:jc w:val="left"/>
              <w:rPr>
                <w:b/>
                <w:sz w:val="18"/>
                <w:szCs w:val="18"/>
              </w:rPr>
            </w:pPr>
            <w:r w:rsidRPr="00E17EEF">
              <w:rPr>
                <w:b/>
                <w:sz w:val="18"/>
                <w:szCs w:val="18"/>
              </w:rPr>
              <w:t>Manufacturing</w:t>
            </w:r>
          </w:p>
        </w:tc>
        <w:tc>
          <w:tcPr>
            <w:tcW w:w="507" w:type="pct"/>
            <w:vAlign w:val="bottom"/>
          </w:tcPr>
          <w:p w:rsidR="00E10845" w:rsidRPr="00E17EEF" w:rsidRDefault="00E10845" w:rsidP="008B63A3">
            <w:pPr>
              <w:pStyle w:val="TableBodyText"/>
              <w:rPr>
                <w:b/>
                <w:sz w:val="18"/>
                <w:szCs w:val="18"/>
              </w:rPr>
            </w:pPr>
            <w:r w:rsidRPr="00E17EEF">
              <w:rPr>
                <w:b/>
                <w:sz w:val="18"/>
                <w:szCs w:val="18"/>
              </w:rPr>
              <w:t>4.1</w:t>
            </w:r>
          </w:p>
        </w:tc>
        <w:tc>
          <w:tcPr>
            <w:tcW w:w="507" w:type="pct"/>
            <w:vAlign w:val="bottom"/>
          </w:tcPr>
          <w:p w:rsidR="00E10845" w:rsidRPr="00E17EEF" w:rsidRDefault="00E10845" w:rsidP="008B63A3">
            <w:pPr>
              <w:pStyle w:val="TableBodyText"/>
              <w:rPr>
                <w:b/>
                <w:sz w:val="18"/>
                <w:szCs w:val="18"/>
              </w:rPr>
            </w:pPr>
            <w:r w:rsidRPr="00E17EEF">
              <w:rPr>
                <w:b/>
                <w:sz w:val="18"/>
                <w:szCs w:val="18"/>
              </w:rPr>
              <w:t>4.6</w:t>
            </w:r>
          </w:p>
        </w:tc>
        <w:tc>
          <w:tcPr>
            <w:tcW w:w="507" w:type="pct"/>
            <w:vAlign w:val="bottom"/>
          </w:tcPr>
          <w:p w:rsidR="00E10845" w:rsidRPr="00E17EEF" w:rsidRDefault="00E10845" w:rsidP="008B63A3">
            <w:pPr>
              <w:pStyle w:val="TableBodyText"/>
              <w:rPr>
                <w:b/>
                <w:sz w:val="18"/>
                <w:szCs w:val="18"/>
              </w:rPr>
            </w:pPr>
            <w:r w:rsidRPr="00E17EEF">
              <w:rPr>
                <w:b/>
                <w:sz w:val="18"/>
                <w:szCs w:val="18"/>
              </w:rPr>
              <w:t>4.6</w:t>
            </w:r>
          </w:p>
        </w:tc>
        <w:tc>
          <w:tcPr>
            <w:tcW w:w="507" w:type="pct"/>
            <w:vAlign w:val="bottom"/>
          </w:tcPr>
          <w:p w:rsidR="00E10845" w:rsidRPr="00E17EEF" w:rsidRDefault="00E10845" w:rsidP="008B63A3">
            <w:pPr>
              <w:pStyle w:val="TableBodyText"/>
              <w:rPr>
                <w:b/>
                <w:sz w:val="18"/>
                <w:szCs w:val="18"/>
              </w:rPr>
            </w:pPr>
            <w:r w:rsidRPr="00E17EEF">
              <w:rPr>
                <w:b/>
                <w:sz w:val="18"/>
                <w:szCs w:val="18"/>
              </w:rPr>
              <w:t>4.5</w:t>
            </w:r>
          </w:p>
        </w:tc>
        <w:tc>
          <w:tcPr>
            <w:tcW w:w="507" w:type="pct"/>
            <w:shd w:val="clear" w:color="auto" w:fill="auto"/>
            <w:vAlign w:val="bottom"/>
          </w:tcPr>
          <w:p w:rsidR="00E10845" w:rsidRPr="00E17EEF" w:rsidRDefault="00E10845" w:rsidP="008B63A3">
            <w:pPr>
              <w:pStyle w:val="TableBodyText"/>
              <w:rPr>
                <w:b/>
                <w:sz w:val="18"/>
                <w:szCs w:val="18"/>
              </w:rPr>
            </w:pPr>
            <w:r w:rsidRPr="00E17EEF">
              <w:rPr>
                <w:b/>
                <w:sz w:val="18"/>
                <w:szCs w:val="18"/>
              </w:rPr>
              <w:t>4.0</w:t>
            </w:r>
          </w:p>
        </w:tc>
        <w:tc>
          <w:tcPr>
            <w:tcW w:w="505" w:type="pct"/>
            <w:shd w:val="clear" w:color="auto" w:fill="auto"/>
            <w:vAlign w:val="bottom"/>
          </w:tcPr>
          <w:p w:rsidR="00E10845" w:rsidRPr="00E17EEF" w:rsidRDefault="00E10845" w:rsidP="008B63A3">
            <w:pPr>
              <w:pStyle w:val="TableBodyText"/>
              <w:rPr>
                <w:b/>
                <w:sz w:val="18"/>
                <w:szCs w:val="18"/>
              </w:rPr>
            </w:pPr>
            <w:r w:rsidRPr="00E17EEF">
              <w:rPr>
                <w:b/>
                <w:sz w:val="18"/>
                <w:szCs w:val="18"/>
              </w:rPr>
              <w:t>4.4</w:t>
            </w:r>
          </w:p>
        </w:tc>
      </w:tr>
      <w:tr w:rsidR="00E10845" w:rsidRPr="006C5A80" w:rsidTr="008B63A3">
        <w:tc>
          <w:tcPr>
            <w:tcW w:w="1960" w:type="pct"/>
            <w:vAlign w:val="bottom"/>
          </w:tcPr>
          <w:p w:rsidR="00E10845" w:rsidRPr="00267504" w:rsidRDefault="00E10845" w:rsidP="008B63A3">
            <w:pPr>
              <w:pStyle w:val="TableBodyText"/>
              <w:jc w:val="left"/>
              <w:rPr>
                <w:sz w:val="18"/>
                <w:szCs w:val="18"/>
              </w:rPr>
            </w:pPr>
            <w:r w:rsidRPr="00267504">
              <w:rPr>
                <w:sz w:val="18"/>
                <w:szCs w:val="18"/>
              </w:rPr>
              <w:t>Food, beverages and tobacco</w:t>
            </w:r>
          </w:p>
        </w:tc>
        <w:tc>
          <w:tcPr>
            <w:tcW w:w="507" w:type="pct"/>
            <w:vAlign w:val="bottom"/>
          </w:tcPr>
          <w:p w:rsidR="00E10845" w:rsidRPr="00E17EEF" w:rsidRDefault="00E10845" w:rsidP="008B63A3">
            <w:pPr>
              <w:pStyle w:val="TableBodyText"/>
              <w:rPr>
                <w:sz w:val="18"/>
                <w:szCs w:val="18"/>
              </w:rPr>
            </w:pPr>
            <w:r w:rsidRPr="00E17EEF">
              <w:rPr>
                <w:sz w:val="18"/>
                <w:szCs w:val="18"/>
              </w:rPr>
              <w:t>0.1</w:t>
            </w:r>
          </w:p>
        </w:tc>
        <w:tc>
          <w:tcPr>
            <w:tcW w:w="507" w:type="pct"/>
            <w:vAlign w:val="bottom"/>
          </w:tcPr>
          <w:p w:rsidR="00E10845" w:rsidRPr="00E17EEF" w:rsidRDefault="00E10845" w:rsidP="008B63A3">
            <w:pPr>
              <w:pStyle w:val="TableBodyText"/>
              <w:rPr>
                <w:sz w:val="18"/>
                <w:szCs w:val="18"/>
              </w:rPr>
            </w:pPr>
            <w:r w:rsidRPr="00E17EEF">
              <w:rPr>
                <w:sz w:val="18"/>
                <w:szCs w:val="18"/>
              </w:rPr>
              <w:t>0.2</w:t>
            </w:r>
          </w:p>
        </w:tc>
        <w:tc>
          <w:tcPr>
            <w:tcW w:w="507" w:type="pct"/>
            <w:vAlign w:val="bottom"/>
          </w:tcPr>
          <w:p w:rsidR="00E10845" w:rsidRPr="00E17EEF" w:rsidRDefault="00E10845" w:rsidP="008B63A3">
            <w:pPr>
              <w:pStyle w:val="TableBodyText"/>
              <w:rPr>
                <w:sz w:val="18"/>
                <w:szCs w:val="18"/>
              </w:rPr>
            </w:pPr>
            <w:r w:rsidRPr="00E17EEF">
              <w:rPr>
                <w:sz w:val="18"/>
                <w:szCs w:val="18"/>
              </w:rPr>
              <w:t>0.2</w:t>
            </w:r>
          </w:p>
        </w:tc>
        <w:tc>
          <w:tcPr>
            <w:tcW w:w="507" w:type="pct"/>
            <w:vAlign w:val="bottom"/>
          </w:tcPr>
          <w:p w:rsidR="00E10845" w:rsidRPr="00E17EEF" w:rsidRDefault="00E10845" w:rsidP="008B63A3">
            <w:pPr>
              <w:pStyle w:val="TableBodyText"/>
              <w:rPr>
                <w:sz w:val="18"/>
                <w:szCs w:val="18"/>
              </w:rPr>
            </w:pPr>
            <w:r w:rsidRPr="00E17EEF">
              <w:rPr>
                <w:sz w:val="18"/>
                <w:szCs w:val="18"/>
              </w:rPr>
              <w:t>0.2</w:t>
            </w:r>
          </w:p>
        </w:tc>
        <w:tc>
          <w:tcPr>
            <w:tcW w:w="507" w:type="pct"/>
            <w:shd w:val="clear" w:color="auto" w:fill="auto"/>
            <w:vAlign w:val="bottom"/>
          </w:tcPr>
          <w:p w:rsidR="00E10845" w:rsidRPr="00E17EEF" w:rsidRDefault="00E10845" w:rsidP="008B63A3">
            <w:pPr>
              <w:pStyle w:val="TableBodyText"/>
              <w:rPr>
                <w:sz w:val="18"/>
                <w:szCs w:val="18"/>
              </w:rPr>
            </w:pPr>
            <w:r w:rsidRPr="00E17EEF">
              <w:rPr>
                <w:sz w:val="18"/>
                <w:szCs w:val="18"/>
              </w:rPr>
              <w:t>0.2</w:t>
            </w:r>
          </w:p>
        </w:tc>
        <w:tc>
          <w:tcPr>
            <w:tcW w:w="505" w:type="pct"/>
            <w:shd w:val="clear" w:color="auto" w:fill="auto"/>
            <w:vAlign w:val="bottom"/>
          </w:tcPr>
          <w:p w:rsidR="00E10845" w:rsidRPr="00E17EEF" w:rsidRDefault="00E10845" w:rsidP="008B63A3">
            <w:pPr>
              <w:pStyle w:val="TableBodyText"/>
              <w:rPr>
                <w:sz w:val="18"/>
                <w:szCs w:val="18"/>
              </w:rPr>
            </w:pPr>
            <w:r w:rsidRPr="00E17EEF">
              <w:rPr>
                <w:sz w:val="18"/>
                <w:szCs w:val="18"/>
              </w:rPr>
              <w:t>0.2</w:t>
            </w:r>
          </w:p>
        </w:tc>
      </w:tr>
      <w:tr w:rsidR="00E10845" w:rsidRPr="006C5A80" w:rsidTr="008B63A3">
        <w:tc>
          <w:tcPr>
            <w:tcW w:w="1960" w:type="pct"/>
            <w:vAlign w:val="bottom"/>
          </w:tcPr>
          <w:p w:rsidR="00E10845" w:rsidRPr="00267504" w:rsidRDefault="00E10845" w:rsidP="008B63A3">
            <w:pPr>
              <w:pStyle w:val="TableBodyText"/>
              <w:jc w:val="left"/>
              <w:rPr>
                <w:sz w:val="18"/>
                <w:szCs w:val="18"/>
              </w:rPr>
            </w:pPr>
            <w:r w:rsidRPr="00267504">
              <w:rPr>
                <w:sz w:val="18"/>
                <w:szCs w:val="18"/>
              </w:rPr>
              <w:t>Textile, leather, clothing and footwear</w:t>
            </w:r>
          </w:p>
        </w:tc>
        <w:tc>
          <w:tcPr>
            <w:tcW w:w="507" w:type="pct"/>
            <w:vAlign w:val="bottom"/>
          </w:tcPr>
          <w:p w:rsidR="00E10845" w:rsidRPr="00E17EEF" w:rsidRDefault="00E10845" w:rsidP="008B63A3">
            <w:pPr>
              <w:pStyle w:val="TableBodyText"/>
              <w:rPr>
                <w:sz w:val="18"/>
                <w:szCs w:val="18"/>
              </w:rPr>
            </w:pPr>
            <w:r w:rsidRPr="00E17EEF">
              <w:rPr>
                <w:sz w:val="18"/>
                <w:szCs w:val="18"/>
              </w:rPr>
              <w:t>0.7</w:t>
            </w:r>
          </w:p>
        </w:tc>
        <w:tc>
          <w:tcPr>
            <w:tcW w:w="507" w:type="pct"/>
            <w:vAlign w:val="bottom"/>
          </w:tcPr>
          <w:p w:rsidR="00E10845" w:rsidRPr="00E17EEF" w:rsidRDefault="00E10845" w:rsidP="008B63A3">
            <w:pPr>
              <w:pStyle w:val="TableBodyText"/>
              <w:rPr>
                <w:sz w:val="18"/>
                <w:szCs w:val="18"/>
              </w:rPr>
            </w:pPr>
            <w:r w:rsidRPr="00E17EEF">
              <w:rPr>
                <w:sz w:val="18"/>
                <w:szCs w:val="18"/>
              </w:rPr>
              <w:t>0.8</w:t>
            </w:r>
          </w:p>
        </w:tc>
        <w:tc>
          <w:tcPr>
            <w:tcW w:w="507" w:type="pct"/>
            <w:vAlign w:val="bottom"/>
          </w:tcPr>
          <w:p w:rsidR="00E10845" w:rsidRPr="00E17EEF" w:rsidRDefault="00E10845" w:rsidP="008B63A3">
            <w:pPr>
              <w:pStyle w:val="TableBodyText"/>
              <w:rPr>
                <w:sz w:val="18"/>
                <w:szCs w:val="18"/>
              </w:rPr>
            </w:pPr>
            <w:r w:rsidRPr="00E17EEF">
              <w:rPr>
                <w:sz w:val="18"/>
                <w:szCs w:val="18"/>
              </w:rPr>
              <w:t>0.9</w:t>
            </w:r>
          </w:p>
        </w:tc>
        <w:tc>
          <w:tcPr>
            <w:tcW w:w="507" w:type="pct"/>
            <w:vAlign w:val="bottom"/>
          </w:tcPr>
          <w:p w:rsidR="00E10845" w:rsidRPr="00E17EEF" w:rsidRDefault="00E10845" w:rsidP="008B63A3">
            <w:pPr>
              <w:pStyle w:val="TableBodyText"/>
              <w:rPr>
                <w:sz w:val="18"/>
                <w:szCs w:val="18"/>
              </w:rPr>
            </w:pPr>
            <w:r w:rsidRPr="00E17EEF">
              <w:rPr>
                <w:sz w:val="18"/>
                <w:szCs w:val="18"/>
              </w:rPr>
              <w:t>0.9</w:t>
            </w:r>
          </w:p>
        </w:tc>
        <w:tc>
          <w:tcPr>
            <w:tcW w:w="507" w:type="pct"/>
            <w:shd w:val="clear" w:color="auto" w:fill="auto"/>
            <w:vAlign w:val="bottom"/>
          </w:tcPr>
          <w:p w:rsidR="00E10845" w:rsidRPr="00E17EEF" w:rsidRDefault="00E10845" w:rsidP="008B63A3">
            <w:pPr>
              <w:pStyle w:val="TableBodyText"/>
              <w:rPr>
                <w:sz w:val="18"/>
                <w:szCs w:val="18"/>
              </w:rPr>
            </w:pPr>
            <w:r w:rsidRPr="00E17EEF">
              <w:rPr>
                <w:sz w:val="18"/>
                <w:szCs w:val="18"/>
              </w:rPr>
              <w:t>0.8</w:t>
            </w:r>
          </w:p>
        </w:tc>
        <w:tc>
          <w:tcPr>
            <w:tcW w:w="505" w:type="pct"/>
            <w:shd w:val="clear" w:color="auto" w:fill="auto"/>
            <w:vAlign w:val="bottom"/>
          </w:tcPr>
          <w:p w:rsidR="00E10845" w:rsidRPr="00E17EEF" w:rsidRDefault="00E10845" w:rsidP="008B63A3">
            <w:pPr>
              <w:pStyle w:val="TableBodyText"/>
              <w:rPr>
                <w:sz w:val="18"/>
                <w:szCs w:val="18"/>
              </w:rPr>
            </w:pPr>
            <w:r w:rsidRPr="00E17EEF">
              <w:rPr>
                <w:sz w:val="18"/>
                <w:szCs w:val="18"/>
              </w:rPr>
              <w:t>0.9</w:t>
            </w:r>
          </w:p>
        </w:tc>
      </w:tr>
      <w:tr w:rsidR="00E10845" w:rsidRPr="006C5A80" w:rsidTr="008B63A3">
        <w:tc>
          <w:tcPr>
            <w:tcW w:w="1960" w:type="pct"/>
            <w:vAlign w:val="bottom"/>
          </w:tcPr>
          <w:p w:rsidR="00E10845" w:rsidRPr="00267504" w:rsidRDefault="00E10845" w:rsidP="008B63A3">
            <w:pPr>
              <w:pStyle w:val="TableBodyText"/>
              <w:jc w:val="left"/>
              <w:rPr>
                <w:sz w:val="18"/>
                <w:szCs w:val="18"/>
              </w:rPr>
            </w:pPr>
            <w:r w:rsidRPr="00267504">
              <w:rPr>
                <w:sz w:val="18"/>
                <w:szCs w:val="18"/>
              </w:rPr>
              <w:t>Wood and paper products</w:t>
            </w:r>
          </w:p>
        </w:tc>
        <w:tc>
          <w:tcPr>
            <w:tcW w:w="507" w:type="pct"/>
            <w:vAlign w:val="bottom"/>
          </w:tcPr>
          <w:p w:rsidR="00E10845" w:rsidRPr="00E17EEF" w:rsidRDefault="00E10845" w:rsidP="008B63A3">
            <w:pPr>
              <w:pStyle w:val="TableBodyText"/>
              <w:rPr>
                <w:sz w:val="18"/>
                <w:szCs w:val="18"/>
              </w:rPr>
            </w:pPr>
            <w:r w:rsidRPr="00E17EEF">
              <w:rPr>
                <w:sz w:val="18"/>
                <w:szCs w:val="18"/>
              </w:rPr>
              <w:t>0.3</w:t>
            </w:r>
          </w:p>
        </w:tc>
        <w:tc>
          <w:tcPr>
            <w:tcW w:w="507" w:type="pct"/>
            <w:vAlign w:val="bottom"/>
          </w:tcPr>
          <w:p w:rsidR="00E10845" w:rsidRPr="00E17EEF" w:rsidRDefault="00E10845" w:rsidP="008B63A3">
            <w:pPr>
              <w:pStyle w:val="TableBodyText"/>
              <w:rPr>
                <w:sz w:val="18"/>
                <w:szCs w:val="18"/>
              </w:rPr>
            </w:pPr>
            <w:r w:rsidRPr="00E17EEF">
              <w:rPr>
                <w:sz w:val="18"/>
                <w:szCs w:val="18"/>
              </w:rPr>
              <w:t>0.3</w:t>
            </w:r>
          </w:p>
        </w:tc>
        <w:tc>
          <w:tcPr>
            <w:tcW w:w="507" w:type="pct"/>
            <w:vAlign w:val="bottom"/>
          </w:tcPr>
          <w:p w:rsidR="00E10845" w:rsidRPr="00E17EEF" w:rsidRDefault="00E10845" w:rsidP="008B63A3">
            <w:pPr>
              <w:pStyle w:val="TableBodyText"/>
              <w:rPr>
                <w:sz w:val="18"/>
                <w:szCs w:val="18"/>
              </w:rPr>
            </w:pPr>
            <w:r w:rsidRPr="00E17EEF">
              <w:rPr>
                <w:sz w:val="18"/>
                <w:szCs w:val="18"/>
              </w:rPr>
              <w:t>0.3</w:t>
            </w:r>
          </w:p>
        </w:tc>
        <w:tc>
          <w:tcPr>
            <w:tcW w:w="507" w:type="pct"/>
            <w:vAlign w:val="bottom"/>
          </w:tcPr>
          <w:p w:rsidR="00E10845" w:rsidRPr="00E17EEF" w:rsidRDefault="00E10845" w:rsidP="008B63A3">
            <w:pPr>
              <w:pStyle w:val="TableBodyText"/>
              <w:rPr>
                <w:sz w:val="18"/>
                <w:szCs w:val="18"/>
              </w:rPr>
            </w:pPr>
            <w:r w:rsidRPr="00E17EEF">
              <w:rPr>
                <w:sz w:val="18"/>
                <w:szCs w:val="18"/>
              </w:rPr>
              <w:t>0.3</w:t>
            </w:r>
          </w:p>
        </w:tc>
        <w:tc>
          <w:tcPr>
            <w:tcW w:w="507" w:type="pct"/>
            <w:shd w:val="clear" w:color="auto" w:fill="auto"/>
            <w:vAlign w:val="bottom"/>
          </w:tcPr>
          <w:p w:rsidR="00E10845" w:rsidRPr="00E17EEF" w:rsidRDefault="00E10845" w:rsidP="008B63A3">
            <w:pPr>
              <w:pStyle w:val="TableBodyText"/>
              <w:rPr>
                <w:sz w:val="18"/>
                <w:szCs w:val="18"/>
              </w:rPr>
            </w:pPr>
            <w:r w:rsidRPr="00E17EEF">
              <w:rPr>
                <w:sz w:val="18"/>
                <w:szCs w:val="18"/>
              </w:rPr>
              <w:t>0.3</w:t>
            </w:r>
          </w:p>
        </w:tc>
        <w:tc>
          <w:tcPr>
            <w:tcW w:w="505" w:type="pct"/>
            <w:shd w:val="clear" w:color="auto" w:fill="auto"/>
            <w:vAlign w:val="bottom"/>
          </w:tcPr>
          <w:p w:rsidR="00E10845" w:rsidRPr="00E17EEF" w:rsidRDefault="00E10845" w:rsidP="008B63A3">
            <w:pPr>
              <w:pStyle w:val="TableBodyText"/>
              <w:rPr>
                <w:sz w:val="18"/>
                <w:szCs w:val="18"/>
              </w:rPr>
            </w:pPr>
            <w:r w:rsidRPr="00E17EEF">
              <w:rPr>
                <w:sz w:val="18"/>
                <w:szCs w:val="18"/>
              </w:rPr>
              <w:t>0.3</w:t>
            </w:r>
          </w:p>
        </w:tc>
      </w:tr>
      <w:tr w:rsidR="00E10845" w:rsidRPr="006C5A80" w:rsidTr="008B63A3">
        <w:tc>
          <w:tcPr>
            <w:tcW w:w="1960" w:type="pct"/>
            <w:vAlign w:val="bottom"/>
          </w:tcPr>
          <w:p w:rsidR="00E10845" w:rsidRPr="00267504" w:rsidRDefault="00E10845" w:rsidP="008B63A3">
            <w:pPr>
              <w:pStyle w:val="TableBodyText"/>
              <w:jc w:val="left"/>
              <w:rPr>
                <w:sz w:val="18"/>
                <w:szCs w:val="18"/>
              </w:rPr>
            </w:pPr>
            <w:r w:rsidRPr="00267504">
              <w:rPr>
                <w:sz w:val="18"/>
                <w:szCs w:val="18"/>
              </w:rPr>
              <w:t>Printing and recorded media</w:t>
            </w:r>
          </w:p>
        </w:tc>
        <w:tc>
          <w:tcPr>
            <w:tcW w:w="507" w:type="pct"/>
            <w:vAlign w:val="bottom"/>
          </w:tcPr>
          <w:p w:rsidR="00E10845" w:rsidRPr="00E17EEF" w:rsidRDefault="00E10845" w:rsidP="008B63A3">
            <w:pPr>
              <w:pStyle w:val="TableBodyText"/>
              <w:rPr>
                <w:sz w:val="18"/>
                <w:szCs w:val="18"/>
              </w:rPr>
            </w:pPr>
            <w:r w:rsidRPr="00E17EEF">
              <w:rPr>
                <w:sz w:val="18"/>
                <w:szCs w:val="18"/>
              </w:rPr>
              <w:t>0.2</w:t>
            </w:r>
          </w:p>
        </w:tc>
        <w:tc>
          <w:tcPr>
            <w:tcW w:w="507" w:type="pct"/>
            <w:vAlign w:val="bottom"/>
          </w:tcPr>
          <w:p w:rsidR="00E10845" w:rsidRPr="00E17EEF" w:rsidRDefault="00E10845" w:rsidP="008B63A3">
            <w:pPr>
              <w:pStyle w:val="TableBodyText"/>
              <w:rPr>
                <w:sz w:val="18"/>
                <w:szCs w:val="18"/>
              </w:rPr>
            </w:pPr>
            <w:r w:rsidRPr="00E17EEF">
              <w:rPr>
                <w:sz w:val="18"/>
                <w:szCs w:val="18"/>
              </w:rPr>
              <w:t>0.2</w:t>
            </w:r>
          </w:p>
        </w:tc>
        <w:tc>
          <w:tcPr>
            <w:tcW w:w="507" w:type="pct"/>
            <w:vAlign w:val="bottom"/>
          </w:tcPr>
          <w:p w:rsidR="00E10845" w:rsidRPr="00E17EEF" w:rsidRDefault="00E10845" w:rsidP="008B63A3">
            <w:pPr>
              <w:pStyle w:val="TableBodyText"/>
              <w:rPr>
                <w:sz w:val="18"/>
                <w:szCs w:val="18"/>
              </w:rPr>
            </w:pPr>
            <w:r w:rsidRPr="00E17EEF">
              <w:rPr>
                <w:sz w:val="18"/>
                <w:szCs w:val="18"/>
              </w:rPr>
              <w:t>0.2</w:t>
            </w:r>
          </w:p>
        </w:tc>
        <w:tc>
          <w:tcPr>
            <w:tcW w:w="507" w:type="pct"/>
            <w:vAlign w:val="bottom"/>
          </w:tcPr>
          <w:p w:rsidR="00E10845" w:rsidRPr="00E17EEF" w:rsidRDefault="00E10845" w:rsidP="008B63A3">
            <w:pPr>
              <w:pStyle w:val="TableBodyText"/>
              <w:rPr>
                <w:sz w:val="18"/>
                <w:szCs w:val="18"/>
              </w:rPr>
            </w:pPr>
            <w:r w:rsidRPr="00E17EEF">
              <w:rPr>
                <w:sz w:val="18"/>
                <w:szCs w:val="18"/>
              </w:rPr>
              <w:t>0.2</w:t>
            </w:r>
          </w:p>
        </w:tc>
        <w:tc>
          <w:tcPr>
            <w:tcW w:w="507" w:type="pct"/>
            <w:shd w:val="clear" w:color="auto" w:fill="auto"/>
            <w:vAlign w:val="bottom"/>
          </w:tcPr>
          <w:p w:rsidR="00E10845" w:rsidRPr="00E17EEF" w:rsidRDefault="00E10845" w:rsidP="008B63A3">
            <w:pPr>
              <w:pStyle w:val="TableBodyText"/>
              <w:rPr>
                <w:sz w:val="18"/>
                <w:szCs w:val="18"/>
              </w:rPr>
            </w:pPr>
            <w:r w:rsidRPr="00E17EEF">
              <w:rPr>
                <w:sz w:val="18"/>
                <w:szCs w:val="18"/>
              </w:rPr>
              <w:t>0.2</w:t>
            </w:r>
          </w:p>
        </w:tc>
        <w:tc>
          <w:tcPr>
            <w:tcW w:w="505" w:type="pct"/>
            <w:shd w:val="clear" w:color="auto" w:fill="auto"/>
            <w:vAlign w:val="bottom"/>
          </w:tcPr>
          <w:p w:rsidR="00E10845" w:rsidRPr="00E17EEF" w:rsidRDefault="00E10845" w:rsidP="008B63A3">
            <w:pPr>
              <w:pStyle w:val="TableBodyText"/>
              <w:rPr>
                <w:sz w:val="18"/>
                <w:szCs w:val="18"/>
              </w:rPr>
            </w:pPr>
            <w:r w:rsidRPr="00E17EEF">
              <w:rPr>
                <w:sz w:val="18"/>
                <w:szCs w:val="18"/>
              </w:rPr>
              <w:t>0.2</w:t>
            </w:r>
          </w:p>
        </w:tc>
      </w:tr>
      <w:tr w:rsidR="00E10845" w:rsidRPr="006C5A80" w:rsidTr="008B63A3">
        <w:tc>
          <w:tcPr>
            <w:tcW w:w="1960" w:type="pct"/>
            <w:vAlign w:val="bottom"/>
          </w:tcPr>
          <w:p w:rsidR="00E10845" w:rsidRPr="00267504" w:rsidRDefault="00E10845" w:rsidP="008B63A3">
            <w:pPr>
              <w:pStyle w:val="TableBodyText"/>
              <w:jc w:val="left"/>
              <w:rPr>
                <w:sz w:val="18"/>
                <w:szCs w:val="18"/>
              </w:rPr>
            </w:pPr>
            <w:r w:rsidRPr="00267504">
              <w:rPr>
                <w:sz w:val="18"/>
                <w:szCs w:val="18"/>
              </w:rPr>
              <w:t>Petroleum, coal, chemical and rubber products</w:t>
            </w:r>
          </w:p>
        </w:tc>
        <w:tc>
          <w:tcPr>
            <w:tcW w:w="507" w:type="pct"/>
            <w:vAlign w:val="bottom"/>
          </w:tcPr>
          <w:p w:rsidR="00E10845" w:rsidRPr="00E17EEF" w:rsidRDefault="00E10845" w:rsidP="008B63A3">
            <w:pPr>
              <w:pStyle w:val="TableBodyText"/>
              <w:rPr>
                <w:sz w:val="18"/>
                <w:szCs w:val="18"/>
              </w:rPr>
            </w:pPr>
            <w:r w:rsidRPr="00E17EEF">
              <w:rPr>
                <w:sz w:val="18"/>
                <w:szCs w:val="18"/>
              </w:rPr>
              <w:t>0.1</w:t>
            </w:r>
          </w:p>
        </w:tc>
        <w:tc>
          <w:tcPr>
            <w:tcW w:w="507" w:type="pct"/>
            <w:vAlign w:val="bottom"/>
          </w:tcPr>
          <w:p w:rsidR="00E10845" w:rsidRPr="00E17EEF" w:rsidRDefault="00E10845" w:rsidP="008B63A3">
            <w:pPr>
              <w:pStyle w:val="TableBodyText"/>
              <w:rPr>
                <w:sz w:val="18"/>
                <w:szCs w:val="18"/>
              </w:rPr>
            </w:pPr>
            <w:r w:rsidRPr="00E17EEF">
              <w:rPr>
                <w:sz w:val="18"/>
                <w:szCs w:val="18"/>
              </w:rPr>
              <w:t>0.2</w:t>
            </w:r>
          </w:p>
        </w:tc>
        <w:tc>
          <w:tcPr>
            <w:tcW w:w="507" w:type="pct"/>
            <w:vAlign w:val="bottom"/>
          </w:tcPr>
          <w:p w:rsidR="00E10845" w:rsidRPr="00E17EEF" w:rsidRDefault="00E10845" w:rsidP="008B63A3">
            <w:pPr>
              <w:pStyle w:val="TableBodyText"/>
              <w:rPr>
                <w:sz w:val="18"/>
                <w:szCs w:val="18"/>
              </w:rPr>
            </w:pPr>
            <w:r w:rsidRPr="00E17EEF">
              <w:rPr>
                <w:sz w:val="18"/>
                <w:szCs w:val="18"/>
              </w:rPr>
              <w:t>0.1</w:t>
            </w:r>
          </w:p>
        </w:tc>
        <w:tc>
          <w:tcPr>
            <w:tcW w:w="507" w:type="pct"/>
            <w:vAlign w:val="bottom"/>
          </w:tcPr>
          <w:p w:rsidR="00E10845" w:rsidRPr="00E17EEF" w:rsidRDefault="00E10845" w:rsidP="008B63A3">
            <w:pPr>
              <w:pStyle w:val="TableBodyText"/>
              <w:rPr>
                <w:sz w:val="18"/>
                <w:szCs w:val="18"/>
              </w:rPr>
            </w:pPr>
            <w:r w:rsidRPr="00E17EEF">
              <w:rPr>
                <w:sz w:val="18"/>
                <w:szCs w:val="18"/>
              </w:rPr>
              <w:t>0.1</w:t>
            </w:r>
          </w:p>
        </w:tc>
        <w:tc>
          <w:tcPr>
            <w:tcW w:w="507" w:type="pct"/>
            <w:shd w:val="clear" w:color="auto" w:fill="auto"/>
            <w:vAlign w:val="bottom"/>
          </w:tcPr>
          <w:p w:rsidR="00E10845" w:rsidRPr="00E17EEF" w:rsidRDefault="00E10845" w:rsidP="008B63A3">
            <w:pPr>
              <w:pStyle w:val="TableBodyText"/>
              <w:rPr>
                <w:sz w:val="18"/>
                <w:szCs w:val="18"/>
              </w:rPr>
            </w:pPr>
            <w:r w:rsidRPr="00E17EEF">
              <w:rPr>
                <w:sz w:val="18"/>
                <w:szCs w:val="18"/>
              </w:rPr>
              <w:t>0.1</w:t>
            </w:r>
          </w:p>
        </w:tc>
        <w:tc>
          <w:tcPr>
            <w:tcW w:w="505" w:type="pct"/>
            <w:shd w:val="clear" w:color="auto" w:fill="auto"/>
            <w:vAlign w:val="bottom"/>
          </w:tcPr>
          <w:p w:rsidR="00E10845" w:rsidRPr="00E17EEF" w:rsidRDefault="00E10845" w:rsidP="008B63A3">
            <w:pPr>
              <w:pStyle w:val="TableBodyText"/>
              <w:rPr>
                <w:sz w:val="18"/>
                <w:szCs w:val="18"/>
              </w:rPr>
            </w:pPr>
            <w:r w:rsidRPr="00E17EEF">
              <w:rPr>
                <w:sz w:val="18"/>
                <w:szCs w:val="18"/>
              </w:rPr>
              <w:t>0.1</w:t>
            </w:r>
          </w:p>
        </w:tc>
      </w:tr>
      <w:tr w:rsidR="00E10845" w:rsidRPr="006C5A80" w:rsidTr="008B63A3">
        <w:tc>
          <w:tcPr>
            <w:tcW w:w="1960" w:type="pct"/>
            <w:vAlign w:val="bottom"/>
          </w:tcPr>
          <w:p w:rsidR="00E10845" w:rsidRPr="00267504" w:rsidRDefault="00E10845" w:rsidP="007303C2">
            <w:pPr>
              <w:pStyle w:val="TableBodyText"/>
              <w:jc w:val="left"/>
              <w:rPr>
                <w:sz w:val="18"/>
                <w:szCs w:val="18"/>
              </w:rPr>
            </w:pPr>
            <w:r w:rsidRPr="00267504">
              <w:rPr>
                <w:sz w:val="18"/>
                <w:szCs w:val="18"/>
              </w:rPr>
              <w:t>Non-</w:t>
            </w:r>
            <w:r w:rsidR="007303C2">
              <w:rPr>
                <w:sz w:val="18"/>
                <w:szCs w:val="18"/>
              </w:rPr>
              <w:t>m</w:t>
            </w:r>
            <w:r w:rsidR="007303C2" w:rsidRPr="00267504">
              <w:rPr>
                <w:sz w:val="18"/>
                <w:szCs w:val="18"/>
              </w:rPr>
              <w:t xml:space="preserve">etallic </w:t>
            </w:r>
            <w:r w:rsidRPr="00267504">
              <w:rPr>
                <w:sz w:val="18"/>
                <w:szCs w:val="18"/>
              </w:rPr>
              <w:t>mineral products</w:t>
            </w:r>
          </w:p>
        </w:tc>
        <w:tc>
          <w:tcPr>
            <w:tcW w:w="507" w:type="pct"/>
            <w:vAlign w:val="bottom"/>
          </w:tcPr>
          <w:p w:rsidR="00E10845" w:rsidRPr="00E17EEF" w:rsidRDefault="00E10845" w:rsidP="008B63A3">
            <w:pPr>
              <w:pStyle w:val="TableBodyText"/>
              <w:rPr>
                <w:sz w:val="18"/>
                <w:szCs w:val="18"/>
              </w:rPr>
            </w:pPr>
            <w:r w:rsidRPr="00E17EEF">
              <w:rPr>
                <w:sz w:val="18"/>
                <w:szCs w:val="18"/>
              </w:rPr>
              <w:t>0.2</w:t>
            </w:r>
          </w:p>
        </w:tc>
        <w:tc>
          <w:tcPr>
            <w:tcW w:w="507" w:type="pct"/>
            <w:vAlign w:val="bottom"/>
          </w:tcPr>
          <w:p w:rsidR="00E10845" w:rsidRPr="00E17EEF" w:rsidRDefault="00E10845" w:rsidP="008B63A3">
            <w:pPr>
              <w:pStyle w:val="TableBodyText"/>
              <w:rPr>
                <w:sz w:val="18"/>
                <w:szCs w:val="18"/>
              </w:rPr>
            </w:pPr>
            <w:r w:rsidRPr="00E17EEF">
              <w:rPr>
                <w:sz w:val="18"/>
                <w:szCs w:val="18"/>
              </w:rPr>
              <w:t>0.2</w:t>
            </w:r>
          </w:p>
        </w:tc>
        <w:tc>
          <w:tcPr>
            <w:tcW w:w="507" w:type="pct"/>
            <w:vAlign w:val="bottom"/>
          </w:tcPr>
          <w:p w:rsidR="00E10845" w:rsidRPr="00E17EEF" w:rsidRDefault="00E10845" w:rsidP="008B63A3">
            <w:pPr>
              <w:pStyle w:val="TableBodyText"/>
              <w:rPr>
                <w:sz w:val="18"/>
                <w:szCs w:val="18"/>
              </w:rPr>
            </w:pPr>
            <w:r w:rsidRPr="00E17EEF">
              <w:rPr>
                <w:sz w:val="18"/>
                <w:szCs w:val="18"/>
              </w:rPr>
              <w:t>0.2</w:t>
            </w:r>
          </w:p>
        </w:tc>
        <w:tc>
          <w:tcPr>
            <w:tcW w:w="507" w:type="pct"/>
            <w:vAlign w:val="bottom"/>
          </w:tcPr>
          <w:p w:rsidR="00E10845" w:rsidRPr="00E17EEF" w:rsidRDefault="00E10845" w:rsidP="008B63A3">
            <w:pPr>
              <w:pStyle w:val="TableBodyText"/>
              <w:rPr>
                <w:sz w:val="18"/>
                <w:szCs w:val="18"/>
              </w:rPr>
            </w:pPr>
            <w:r w:rsidRPr="00E17EEF">
              <w:rPr>
                <w:sz w:val="18"/>
                <w:szCs w:val="18"/>
              </w:rPr>
              <w:t>0.2</w:t>
            </w:r>
          </w:p>
        </w:tc>
        <w:tc>
          <w:tcPr>
            <w:tcW w:w="507" w:type="pct"/>
            <w:shd w:val="clear" w:color="auto" w:fill="auto"/>
            <w:vAlign w:val="bottom"/>
          </w:tcPr>
          <w:p w:rsidR="00E10845" w:rsidRPr="00E17EEF" w:rsidRDefault="00E10845" w:rsidP="008B63A3">
            <w:pPr>
              <w:pStyle w:val="TableBodyText"/>
              <w:rPr>
                <w:sz w:val="18"/>
                <w:szCs w:val="18"/>
              </w:rPr>
            </w:pPr>
            <w:r w:rsidRPr="00E17EEF">
              <w:rPr>
                <w:sz w:val="18"/>
                <w:szCs w:val="18"/>
              </w:rPr>
              <w:t>0.2</w:t>
            </w:r>
          </w:p>
        </w:tc>
        <w:tc>
          <w:tcPr>
            <w:tcW w:w="505" w:type="pct"/>
            <w:shd w:val="clear" w:color="auto" w:fill="auto"/>
            <w:vAlign w:val="bottom"/>
          </w:tcPr>
          <w:p w:rsidR="00E10845" w:rsidRPr="00E17EEF" w:rsidRDefault="00E10845" w:rsidP="008B63A3">
            <w:pPr>
              <w:pStyle w:val="TableBodyText"/>
              <w:rPr>
                <w:sz w:val="18"/>
                <w:szCs w:val="18"/>
              </w:rPr>
            </w:pPr>
            <w:r w:rsidRPr="00E17EEF">
              <w:rPr>
                <w:sz w:val="18"/>
                <w:szCs w:val="18"/>
              </w:rPr>
              <w:t>0.2</w:t>
            </w:r>
          </w:p>
        </w:tc>
      </w:tr>
      <w:tr w:rsidR="00E10845" w:rsidRPr="006C5A80" w:rsidTr="008B63A3">
        <w:tc>
          <w:tcPr>
            <w:tcW w:w="1960" w:type="pct"/>
            <w:vAlign w:val="bottom"/>
          </w:tcPr>
          <w:p w:rsidR="00E10845" w:rsidRPr="00267504" w:rsidRDefault="00E10845" w:rsidP="008B63A3">
            <w:pPr>
              <w:pStyle w:val="TableBodyText"/>
              <w:jc w:val="left"/>
              <w:rPr>
                <w:sz w:val="18"/>
                <w:szCs w:val="18"/>
              </w:rPr>
            </w:pPr>
            <w:r w:rsidRPr="00267504">
              <w:rPr>
                <w:sz w:val="18"/>
                <w:szCs w:val="18"/>
              </w:rPr>
              <w:t>Metal and fabricated metal products</w:t>
            </w:r>
          </w:p>
        </w:tc>
        <w:tc>
          <w:tcPr>
            <w:tcW w:w="507" w:type="pct"/>
            <w:vAlign w:val="bottom"/>
          </w:tcPr>
          <w:p w:rsidR="00E10845" w:rsidRPr="00E17EEF" w:rsidRDefault="00E10845" w:rsidP="008B63A3">
            <w:pPr>
              <w:pStyle w:val="TableBodyText"/>
              <w:rPr>
                <w:sz w:val="18"/>
                <w:szCs w:val="18"/>
              </w:rPr>
            </w:pPr>
            <w:r w:rsidRPr="00E17EEF">
              <w:rPr>
                <w:sz w:val="18"/>
                <w:szCs w:val="18"/>
              </w:rPr>
              <w:t>1.1</w:t>
            </w:r>
          </w:p>
        </w:tc>
        <w:tc>
          <w:tcPr>
            <w:tcW w:w="507" w:type="pct"/>
            <w:vAlign w:val="bottom"/>
          </w:tcPr>
          <w:p w:rsidR="00E10845" w:rsidRPr="00E17EEF" w:rsidRDefault="00E10845" w:rsidP="008B63A3">
            <w:pPr>
              <w:pStyle w:val="TableBodyText"/>
              <w:rPr>
                <w:sz w:val="18"/>
                <w:szCs w:val="18"/>
              </w:rPr>
            </w:pPr>
            <w:r w:rsidRPr="00E17EEF">
              <w:rPr>
                <w:sz w:val="18"/>
                <w:szCs w:val="18"/>
              </w:rPr>
              <w:t>1.1</w:t>
            </w:r>
          </w:p>
        </w:tc>
        <w:tc>
          <w:tcPr>
            <w:tcW w:w="507" w:type="pct"/>
            <w:vAlign w:val="bottom"/>
          </w:tcPr>
          <w:p w:rsidR="00E10845" w:rsidRPr="00E17EEF" w:rsidRDefault="00E10845" w:rsidP="008B63A3">
            <w:pPr>
              <w:pStyle w:val="TableBodyText"/>
              <w:rPr>
                <w:sz w:val="18"/>
                <w:szCs w:val="18"/>
              </w:rPr>
            </w:pPr>
            <w:r w:rsidRPr="00E17EEF">
              <w:rPr>
                <w:sz w:val="18"/>
                <w:szCs w:val="18"/>
              </w:rPr>
              <w:t>1.1</w:t>
            </w:r>
          </w:p>
        </w:tc>
        <w:tc>
          <w:tcPr>
            <w:tcW w:w="507" w:type="pct"/>
            <w:vAlign w:val="bottom"/>
          </w:tcPr>
          <w:p w:rsidR="00E10845" w:rsidRPr="00E17EEF" w:rsidRDefault="00E10845" w:rsidP="008B63A3">
            <w:pPr>
              <w:pStyle w:val="TableBodyText"/>
              <w:rPr>
                <w:sz w:val="18"/>
                <w:szCs w:val="18"/>
              </w:rPr>
            </w:pPr>
            <w:r w:rsidRPr="00E17EEF">
              <w:rPr>
                <w:sz w:val="18"/>
                <w:szCs w:val="18"/>
              </w:rPr>
              <w:t>1.0</w:t>
            </w:r>
          </w:p>
        </w:tc>
        <w:tc>
          <w:tcPr>
            <w:tcW w:w="507" w:type="pct"/>
            <w:shd w:val="clear" w:color="auto" w:fill="auto"/>
            <w:vAlign w:val="bottom"/>
          </w:tcPr>
          <w:p w:rsidR="00E10845" w:rsidRPr="00E17EEF" w:rsidRDefault="00E10845" w:rsidP="008B63A3">
            <w:pPr>
              <w:pStyle w:val="TableBodyText"/>
              <w:rPr>
                <w:sz w:val="18"/>
                <w:szCs w:val="18"/>
              </w:rPr>
            </w:pPr>
            <w:r w:rsidRPr="00E17EEF">
              <w:rPr>
                <w:sz w:val="18"/>
                <w:szCs w:val="18"/>
              </w:rPr>
              <w:t>0.9</w:t>
            </w:r>
          </w:p>
        </w:tc>
        <w:tc>
          <w:tcPr>
            <w:tcW w:w="505" w:type="pct"/>
            <w:shd w:val="clear" w:color="auto" w:fill="auto"/>
            <w:vAlign w:val="bottom"/>
          </w:tcPr>
          <w:p w:rsidR="00E10845" w:rsidRPr="00E17EEF" w:rsidRDefault="00E10845" w:rsidP="008B63A3">
            <w:pPr>
              <w:pStyle w:val="TableBodyText"/>
              <w:rPr>
                <w:sz w:val="18"/>
                <w:szCs w:val="18"/>
              </w:rPr>
            </w:pPr>
            <w:r w:rsidRPr="00E17EEF">
              <w:rPr>
                <w:sz w:val="18"/>
                <w:szCs w:val="18"/>
              </w:rPr>
              <w:t>1.0</w:t>
            </w:r>
          </w:p>
        </w:tc>
      </w:tr>
      <w:tr w:rsidR="00E10845" w:rsidRPr="006C5A80" w:rsidTr="008B63A3">
        <w:tc>
          <w:tcPr>
            <w:tcW w:w="1960" w:type="pct"/>
            <w:vAlign w:val="bottom"/>
          </w:tcPr>
          <w:p w:rsidR="00E10845" w:rsidRPr="00267504" w:rsidRDefault="00E10845" w:rsidP="008B63A3">
            <w:pPr>
              <w:pStyle w:val="TableBodyText"/>
              <w:jc w:val="left"/>
              <w:rPr>
                <w:sz w:val="18"/>
                <w:szCs w:val="18"/>
              </w:rPr>
            </w:pPr>
            <w:r w:rsidRPr="00267504">
              <w:rPr>
                <w:sz w:val="18"/>
                <w:szCs w:val="18"/>
              </w:rPr>
              <w:t>Motor vehicle and parts</w:t>
            </w:r>
          </w:p>
        </w:tc>
        <w:tc>
          <w:tcPr>
            <w:tcW w:w="507" w:type="pct"/>
            <w:vAlign w:val="bottom"/>
          </w:tcPr>
          <w:p w:rsidR="00E10845" w:rsidRPr="00E17EEF" w:rsidRDefault="00E10845" w:rsidP="008B63A3">
            <w:pPr>
              <w:pStyle w:val="TableBodyText"/>
              <w:rPr>
                <w:sz w:val="18"/>
                <w:szCs w:val="18"/>
              </w:rPr>
            </w:pPr>
            <w:r w:rsidRPr="00E17EEF">
              <w:rPr>
                <w:sz w:val="18"/>
                <w:szCs w:val="18"/>
              </w:rPr>
              <w:t>0.1</w:t>
            </w:r>
          </w:p>
        </w:tc>
        <w:tc>
          <w:tcPr>
            <w:tcW w:w="507" w:type="pct"/>
            <w:vAlign w:val="bottom"/>
          </w:tcPr>
          <w:p w:rsidR="00E10845" w:rsidRPr="00E17EEF" w:rsidRDefault="00E10845" w:rsidP="008B63A3">
            <w:pPr>
              <w:pStyle w:val="TableBodyText"/>
              <w:rPr>
                <w:sz w:val="18"/>
                <w:szCs w:val="18"/>
              </w:rPr>
            </w:pPr>
            <w:r w:rsidRPr="00E17EEF">
              <w:rPr>
                <w:sz w:val="18"/>
                <w:szCs w:val="18"/>
              </w:rPr>
              <w:t>0.1</w:t>
            </w:r>
          </w:p>
        </w:tc>
        <w:tc>
          <w:tcPr>
            <w:tcW w:w="507" w:type="pct"/>
            <w:vAlign w:val="bottom"/>
          </w:tcPr>
          <w:p w:rsidR="00E10845" w:rsidRPr="00E17EEF" w:rsidRDefault="00E10845" w:rsidP="008B63A3">
            <w:pPr>
              <w:pStyle w:val="TableBodyText"/>
              <w:rPr>
                <w:sz w:val="18"/>
                <w:szCs w:val="18"/>
              </w:rPr>
            </w:pPr>
            <w:r w:rsidRPr="00E17EEF">
              <w:rPr>
                <w:sz w:val="18"/>
                <w:szCs w:val="18"/>
              </w:rPr>
              <w:t>0.1</w:t>
            </w:r>
          </w:p>
        </w:tc>
        <w:tc>
          <w:tcPr>
            <w:tcW w:w="507" w:type="pct"/>
            <w:vAlign w:val="bottom"/>
          </w:tcPr>
          <w:p w:rsidR="00E10845" w:rsidRPr="00E17EEF" w:rsidRDefault="00E10845" w:rsidP="008B63A3">
            <w:pPr>
              <w:pStyle w:val="TableBodyText"/>
              <w:rPr>
                <w:sz w:val="18"/>
                <w:szCs w:val="18"/>
              </w:rPr>
            </w:pPr>
            <w:r>
              <w:rPr>
                <w:sz w:val="18"/>
                <w:szCs w:val="18"/>
              </w:rPr>
              <w:t>&lt;</w:t>
            </w:r>
            <w:r w:rsidRPr="00E17EEF">
              <w:rPr>
                <w:sz w:val="18"/>
                <w:szCs w:val="18"/>
              </w:rPr>
              <w:t>0.1</w:t>
            </w:r>
          </w:p>
        </w:tc>
        <w:tc>
          <w:tcPr>
            <w:tcW w:w="507" w:type="pct"/>
            <w:shd w:val="clear" w:color="auto" w:fill="auto"/>
            <w:vAlign w:val="bottom"/>
          </w:tcPr>
          <w:p w:rsidR="00E10845" w:rsidRPr="00E17EEF" w:rsidRDefault="00E10845" w:rsidP="008B63A3">
            <w:pPr>
              <w:pStyle w:val="TableBodyText"/>
              <w:rPr>
                <w:sz w:val="18"/>
                <w:szCs w:val="18"/>
              </w:rPr>
            </w:pPr>
            <w:r>
              <w:rPr>
                <w:sz w:val="18"/>
                <w:szCs w:val="18"/>
              </w:rPr>
              <w:t>&lt;</w:t>
            </w:r>
            <w:r w:rsidRPr="00E17EEF">
              <w:rPr>
                <w:sz w:val="18"/>
                <w:szCs w:val="18"/>
              </w:rPr>
              <w:t>0.1</w:t>
            </w:r>
          </w:p>
        </w:tc>
        <w:tc>
          <w:tcPr>
            <w:tcW w:w="505" w:type="pct"/>
            <w:shd w:val="clear" w:color="auto" w:fill="auto"/>
            <w:vAlign w:val="bottom"/>
          </w:tcPr>
          <w:p w:rsidR="00E10845" w:rsidRPr="00E17EEF" w:rsidRDefault="00E10845" w:rsidP="008B63A3">
            <w:pPr>
              <w:pStyle w:val="TableBodyText"/>
              <w:rPr>
                <w:sz w:val="18"/>
                <w:szCs w:val="18"/>
              </w:rPr>
            </w:pPr>
            <w:r>
              <w:rPr>
                <w:sz w:val="18"/>
                <w:szCs w:val="18"/>
              </w:rPr>
              <w:t>&lt;</w:t>
            </w:r>
            <w:r w:rsidRPr="00E17EEF">
              <w:rPr>
                <w:sz w:val="18"/>
                <w:szCs w:val="18"/>
              </w:rPr>
              <w:t>0.1</w:t>
            </w:r>
          </w:p>
        </w:tc>
      </w:tr>
      <w:tr w:rsidR="00E10845" w:rsidRPr="006C5A80" w:rsidTr="008B63A3">
        <w:tc>
          <w:tcPr>
            <w:tcW w:w="1960" w:type="pct"/>
            <w:vAlign w:val="bottom"/>
          </w:tcPr>
          <w:p w:rsidR="00E10845" w:rsidRPr="00267504" w:rsidRDefault="00E10845" w:rsidP="008B63A3">
            <w:pPr>
              <w:pStyle w:val="TableBodyText"/>
              <w:jc w:val="left"/>
              <w:rPr>
                <w:sz w:val="18"/>
                <w:szCs w:val="18"/>
              </w:rPr>
            </w:pPr>
            <w:r w:rsidRPr="00267504">
              <w:rPr>
                <w:sz w:val="18"/>
                <w:szCs w:val="18"/>
              </w:rPr>
              <w:t>Other transport equipment</w:t>
            </w:r>
          </w:p>
        </w:tc>
        <w:tc>
          <w:tcPr>
            <w:tcW w:w="507" w:type="pct"/>
            <w:vAlign w:val="bottom"/>
          </w:tcPr>
          <w:p w:rsidR="00E10845" w:rsidRPr="00E17EEF" w:rsidRDefault="00E10845" w:rsidP="008B63A3">
            <w:pPr>
              <w:pStyle w:val="TableBodyText"/>
              <w:rPr>
                <w:sz w:val="18"/>
                <w:szCs w:val="18"/>
              </w:rPr>
            </w:pPr>
            <w:r w:rsidRPr="00E17EEF">
              <w:rPr>
                <w:sz w:val="18"/>
                <w:szCs w:val="18"/>
              </w:rPr>
              <w:t>0.4</w:t>
            </w:r>
          </w:p>
        </w:tc>
        <w:tc>
          <w:tcPr>
            <w:tcW w:w="507" w:type="pct"/>
            <w:vAlign w:val="bottom"/>
          </w:tcPr>
          <w:p w:rsidR="00E10845" w:rsidRPr="00E17EEF" w:rsidRDefault="00E10845" w:rsidP="008B63A3">
            <w:pPr>
              <w:pStyle w:val="TableBodyText"/>
              <w:rPr>
                <w:sz w:val="18"/>
                <w:szCs w:val="18"/>
              </w:rPr>
            </w:pPr>
            <w:r w:rsidRPr="00E17EEF">
              <w:rPr>
                <w:sz w:val="18"/>
                <w:szCs w:val="18"/>
              </w:rPr>
              <w:t>0.5</w:t>
            </w:r>
          </w:p>
        </w:tc>
        <w:tc>
          <w:tcPr>
            <w:tcW w:w="507" w:type="pct"/>
            <w:vAlign w:val="bottom"/>
          </w:tcPr>
          <w:p w:rsidR="00E10845" w:rsidRPr="00E17EEF" w:rsidRDefault="00E10845" w:rsidP="008B63A3">
            <w:pPr>
              <w:pStyle w:val="TableBodyText"/>
              <w:rPr>
                <w:sz w:val="18"/>
                <w:szCs w:val="18"/>
              </w:rPr>
            </w:pPr>
            <w:r w:rsidRPr="00E17EEF">
              <w:rPr>
                <w:sz w:val="18"/>
                <w:szCs w:val="18"/>
              </w:rPr>
              <w:t>0.5</w:t>
            </w:r>
          </w:p>
        </w:tc>
        <w:tc>
          <w:tcPr>
            <w:tcW w:w="507" w:type="pct"/>
            <w:vAlign w:val="bottom"/>
          </w:tcPr>
          <w:p w:rsidR="00E10845" w:rsidRPr="00E17EEF" w:rsidRDefault="00E10845" w:rsidP="008B63A3">
            <w:pPr>
              <w:pStyle w:val="TableBodyText"/>
              <w:rPr>
                <w:sz w:val="18"/>
                <w:szCs w:val="18"/>
              </w:rPr>
            </w:pPr>
            <w:r w:rsidRPr="00E17EEF">
              <w:rPr>
                <w:sz w:val="18"/>
                <w:szCs w:val="18"/>
              </w:rPr>
              <w:t>0.4</w:t>
            </w:r>
          </w:p>
        </w:tc>
        <w:tc>
          <w:tcPr>
            <w:tcW w:w="507" w:type="pct"/>
            <w:shd w:val="clear" w:color="auto" w:fill="auto"/>
            <w:vAlign w:val="bottom"/>
          </w:tcPr>
          <w:p w:rsidR="00E10845" w:rsidRPr="00E17EEF" w:rsidRDefault="00E10845" w:rsidP="008B63A3">
            <w:pPr>
              <w:pStyle w:val="TableBodyText"/>
              <w:rPr>
                <w:sz w:val="18"/>
                <w:szCs w:val="18"/>
              </w:rPr>
            </w:pPr>
            <w:r w:rsidRPr="00E17EEF">
              <w:rPr>
                <w:sz w:val="18"/>
                <w:szCs w:val="18"/>
              </w:rPr>
              <w:t>0.4</w:t>
            </w:r>
          </w:p>
        </w:tc>
        <w:tc>
          <w:tcPr>
            <w:tcW w:w="505" w:type="pct"/>
            <w:shd w:val="clear" w:color="auto" w:fill="auto"/>
            <w:vAlign w:val="bottom"/>
          </w:tcPr>
          <w:p w:rsidR="00E10845" w:rsidRPr="00E17EEF" w:rsidRDefault="00E10845" w:rsidP="008B63A3">
            <w:pPr>
              <w:pStyle w:val="TableBodyText"/>
              <w:rPr>
                <w:sz w:val="18"/>
                <w:szCs w:val="18"/>
              </w:rPr>
            </w:pPr>
            <w:r w:rsidRPr="00E17EEF">
              <w:rPr>
                <w:sz w:val="18"/>
                <w:szCs w:val="18"/>
              </w:rPr>
              <w:t>0.4</w:t>
            </w:r>
          </w:p>
        </w:tc>
      </w:tr>
      <w:tr w:rsidR="00E10845" w:rsidRPr="006C5A80" w:rsidTr="008B63A3">
        <w:tc>
          <w:tcPr>
            <w:tcW w:w="1960" w:type="pct"/>
            <w:vAlign w:val="bottom"/>
          </w:tcPr>
          <w:p w:rsidR="00E10845" w:rsidRPr="00267504" w:rsidRDefault="00E10845" w:rsidP="008B63A3">
            <w:pPr>
              <w:pStyle w:val="TableBodyText"/>
              <w:jc w:val="left"/>
              <w:rPr>
                <w:sz w:val="18"/>
                <w:szCs w:val="18"/>
              </w:rPr>
            </w:pPr>
            <w:r w:rsidRPr="00267504">
              <w:rPr>
                <w:sz w:val="18"/>
                <w:szCs w:val="18"/>
              </w:rPr>
              <w:t>Machinery and equipment manufacturing</w:t>
            </w:r>
          </w:p>
        </w:tc>
        <w:tc>
          <w:tcPr>
            <w:tcW w:w="507" w:type="pct"/>
            <w:vAlign w:val="bottom"/>
          </w:tcPr>
          <w:p w:rsidR="00E10845" w:rsidRPr="00E17EEF" w:rsidRDefault="00E10845" w:rsidP="008B63A3">
            <w:pPr>
              <w:pStyle w:val="TableBodyText"/>
              <w:rPr>
                <w:sz w:val="18"/>
                <w:szCs w:val="18"/>
              </w:rPr>
            </w:pPr>
            <w:r w:rsidRPr="00E17EEF">
              <w:rPr>
                <w:sz w:val="18"/>
                <w:szCs w:val="18"/>
              </w:rPr>
              <w:t>0.3</w:t>
            </w:r>
          </w:p>
        </w:tc>
        <w:tc>
          <w:tcPr>
            <w:tcW w:w="507" w:type="pct"/>
            <w:vAlign w:val="bottom"/>
          </w:tcPr>
          <w:p w:rsidR="00E10845" w:rsidRPr="00E17EEF" w:rsidRDefault="00E10845" w:rsidP="008B63A3">
            <w:pPr>
              <w:pStyle w:val="TableBodyText"/>
              <w:rPr>
                <w:sz w:val="18"/>
                <w:szCs w:val="18"/>
              </w:rPr>
            </w:pPr>
            <w:r w:rsidRPr="00E17EEF">
              <w:rPr>
                <w:sz w:val="18"/>
                <w:szCs w:val="18"/>
              </w:rPr>
              <w:t>0.3</w:t>
            </w:r>
          </w:p>
        </w:tc>
        <w:tc>
          <w:tcPr>
            <w:tcW w:w="507" w:type="pct"/>
            <w:vAlign w:val="bottom"/>
          </w:tcPr>
          <w:p w:rsidR="00E10845" w:rsidRPr="00E17EEF" w:rsidRDefault="00E10845" w:rsidP="008B63A3">
            <w:pPr>
              <w:pStyle w:val="TableBodyText"/>
              <w:rPr>
                <w:sz w:val="18"/>
                <w:szCs w:val="18"/>
              </w:rPr>
            </w:pPr>
            <w:r w:rsidRPr="00E17EEF">
              <w:rPr>
                <w:sz w:val="18"/>
                <w:szCs w:val="18"/>
              </w:rPr>
              <w:t>0.3</w:t>
            </w:r>
          </w:p>
        </w:tc>
        <w:tc>
          <w:tcPr>
            <w:tcW w:w="507" w:type="pct"/>
            <w:vAlign w:val="bottom"/>
          </w:tcPr>
          <w:p w:rsidR="00E10845" w:rsidRPr="00E17EEF" w:rsidRDefault="00E10845" w:rsidP="008B63A3">
            <w:pPr>
              <w:pStyle w:val="TableBodyText"/>
              <w:rPr>
                <w:sz w:val="18"/>
                <w:szCs w:val="18"/>
              </w:rPr>
            </w:pPr>
            <w:r w:rsidRPr="00E17EEF">
              <w:rPr>
                <w:sz w:val="18"/>
                <w:szCs w:val="18"/>
              </w:rPr>
              <w:t>0.3</w:t>
            </w:r>
          </w:p>
        </w:tc>
        <w:tc>
          <w:tcPr>
            <w:tcW w:w="507" w:type="pct"/>
            <w:shd w:val="clear" w:color="auto" w:fill="auto"/>
            <w:vAlign w:val="bottom"/>
          </w:tcPr>
          <w:p w:rsidR="00E10845" w:rsidRPr="00E17EEF" w:rsidRDefault="00E10845" w:rsidP="008B63A3">
            <w:pPr>
              <w:pStyle w:val="TableBodyText"/>
              <w:rPr>
                <w:sz w:val="18"/>
                <w:szCs w:val="18"/>
              </w:rPr>
            </w:pPr>
            <w:r w:rsidRPr="00E17EEF">
              <w:rPr>
                <w:sz w:val="18"/>
                <w:szCs w:val="18"/>
              </w:rPr>
              <w:t>0.3</w:t>
            </w:r>
          </w:p>
        </w:tc>
        <w:tc>
          <w:tcPr>
            <w:tcW w:w="505" w:type="pct"/>
            <w:shd w:val="clear" w:color="auto" w:fill="auto"/>
            <w:vAlign w:val="bottom"/>
          </w:tcPr>
          <w:p w:rsidR="00E10845" w:rsidRPr="00E17EEF" w:rsidRDefault="00E10845" w:rsidP="008B63A3">
            <w:pPr>
              <w:pStyle w:val="TableBodyText"/>
              <w:rPr>
                <w:sz w:val="18"/>
                <w:szCs w:val="18"/>
              </w:rPr>
            </w:pPr>
            <w:r w:rsidRPr="00E17EEF">
              <w:rPr>
                <w:sz w:val="18"/>
                <w:szCs w:val="18"/>
              </w:rPr>
              <w:t>0.3</w:t>
            </w:r>
          </w:p>
        </w:tc>
      </w:tr>
      <w:tr w:rsidR="00E10845" w:rsidRPr="006C5A80" w:rsidTr="008B63A3">
        <w:tc>
          <w:tcPr>
            <w:tcW w:w="1960" w:type="pct"/>
            <w:vAlign w:val="bottom"/>
          </w:tcPr>
          <w:p w:rsidR="00E10845" w:rsidRPr="00267504" w:rsidRDefault="00E10845" w:rsidP="008B63A3">
            <w:pPr>
              <w:pStyle w:val="TableBodyText"/>
              <w:jc w:val="left"/>
              <w:rPr>
                <w:sz w:val="18"/>
                <w:szCs w:val="18"/>
              </w:rPr>
            </w:pPr>
            <w:r w:rsidRPr="00267504">
              <w:rPr>
                <w:sz w:val="18"/>
                <w:szCs w:val="18"/>
              </w:rPr>
              <w:t>Furniture and other manufacturing</w:t>
            </w:r>
          </w:p>
        </w:tc>
        <w:tc>
          <w:tcPr>
            <w:tcW w:w="507" w:type="pct"/>
            <w:vAlign w:val="bottom"/>
          </w:tcPr>
          <w:p w:rsidR="00E10845" w:rsidRPr="00E17EEF" w:rsidRDefault="00E10845" w:rsidP="008B63A3">
            <w:pPr>
              <w:pStyle w:val="TableBodyText"/>
              <w:rPr>
                <w:sz w:val="18"/>
                <w:szCs w:val="18"/>
              </w:rPr>
            </w:pPr>
            <w:r w:rsidRPr="00E17EEF">
              <w:rPr>
                <w:sz w:val="18"/>
                <w:szCs w:val="18"/>
              </w:rPr>
              <w:t>0.5</w:t>
            </w:r>
          </w:p>
        </w:tc>
        <w:tc>
          <w:tcPr>
            <w:tcW w:w="507" w:type="pct"/>
            <w:vAlign w:val="bottom"/>
          </w:tcPr>
          <w:p w:rsidR="00E10845" w:rsidRPr="00E17EEF" w:rsidRDefault="00E10845" w:rsidP="008B63A3">
            <w:pPr>
              <w:pStyle w:val="TableBodyText"/>
              <w:rPr>
                <w:sz w:val="18"/>
                <w:szCs w:val="18"/>
              </w:rPr>
            </w:pPr>
            <w:r w:rsidRPr="00E17EEF">
              <w:rPr>
                <w:sz w:val="18"/>
                <w:szCs w:val="18"/>
              </w:rPr>
              <w:t>0.6</w:t>
            </w:r>
          </w:p>
        </w:tc>
        <w:tc>
          <w:tcPr>
            <w:tcW w:w="507" w:type="pct"/>
            <w:vAlign w:val="bottom"/>
          </w:tcPr>
          <w:p w:rsidR="00E10845" w:rsidRPr="00E17EEF" w:rsidRDefault="00E10845" w:rsidP="008B63A3">
            <w:pPr>
              <w:pStyle w:val="TableBodyText"/>
              <w:rPr>
                <w:sz w:val="18"/>
                <w:szCs w:val="18"/>
              </w:rPr>
            </w:pPr>
            <w:r w:rsidRPr="00E17EEF">
              <w:rPr>
                <w:sz w:val="18"/>
                <w:szCs w:val="18"/>
              </w:rPr>
              <w:t>0.6</w:t>
            </w:r>
          </w:p>
        </w:tc>
        <w:tc>
          <w:tcPr>
            <w:tcW w:w="507" w:type="pct"/>
            <w:vAlign w:val="bottom"/>
          </w:tcPr>
          <w:p w:rsidR="00E10845" w:rsidRPr="00E17EEF" w:rsidRDefault="00E10845" w:rsidP="008B63A3">
            <w:pPr>
              <w:pStyle w:val="TableBodyText"/>
              <w:rPr>
                <w:sz w:val="18"/>
                <w:szCs w:val="18"/>
              </w:rPr>
            </w:pPr>
            <w:r w:rsidRPr="00E17EEF">
              <w:rPr>
                <w:sz w:val="18"/>
                <w:szCs w:val="18"/>
              </w:rPr>
              <w:t>0.7</w:t>
            </w:r>
          </w:p>
        </w:tc>
        <w:tc>
          <w:tcPr>
            <w:tcW w:w="507" w:type="pct"/>
            <w:shd w:val="clear" w:color="auto" w:fill="auto"/>
            <w:vAlign w:val="bottom"/>
          </w:tcPr>
          <w:p w:rsidR="00E10845" w:rsidRPr="00E17EEF" w:rsidRDefault="00E10845" w:rsidP="008B63A3">
            <w:pPr>
              <w:pStyle w:val="TableBodyText"/>
              <w:rPr>
                <w:sz w:val="18"/>
                <w:szCs w:val="18"/>
              </w:rPr>
            </w:pPr>
            <w:r w:rsidRPr="00E17EEF">
              <w:rPr>
                <w:sz w:val="18"/>
                <w:szCs w:val="18"/>
              </w:rPr>
              <w:t>0.6</w:t>
            </w:r>
          </w:p>
        </w:tc>
        <w:tc>
          <w:tcPr>
            <w:tcW w:w="505" w:type="pct"/>
            <w:shd w:val="clear" w:color="auto" w:fill="auto"/>
            <w:vAlign w:val="bottom"/>
          </w:tcPr>
          <w:p w:rsidR="00E10845" w:rsidRPr="00E17EEF" w:rsidRDefault="00E10845" w:rsidP="008B63A3">
            <w:pPr>
              <w:pStyle w:val="TableBodyText"/>
              <w:rPr>
                <w:sz w:val="18"/>
                <w:szCs w:val="18"/>
              </w:rPr>
            </w:pPr>
            <w:r w:rsidRPr="00E17EEF">
              <w:rPr>
                <w:sz w:val="18"/>
                <w:szCs w:val="18"/>
              </w:rPr>
              <w:t>0.7</w:t>
            </w:r>
          </w:p>
        </w:tc>
      </w:tr>
      <w:tr w:rsidR="00E10845" w:rsidRPr="006C5A80" w:rsidTr="008B63A3">
        <w:tc>
          <w:tcPr>
            <w:tcW w:w="1960" w:type="pct"/>
            <w:vAlign w:val="bottom"/>
          </w:tcPr>
          <w:p w:rsidR="00E10845" w:rsidRPr="00E17EEF" w:rsidRDefault="00E10845" w:rsidP="008B63A3">
            <w:pPr>
              <w:pStyle w:val="TableBodyText"/>
              <w:jc w:val="left"/>
              <w:rPr>
                <w:b/>
                <w:sz w:val="18"/>
                <w:szCs w:val="18"/>
              </w:rPr>
            </w:pPr>
            <w:r w:rsidRPr="00E17EEF">
              <w:rPr>
                <w:b/>
                <w:sz w:val="18"/>
                <w:szCs w:val="18"/>
              </w:rPr>
              <w:t>Services</w:t>
            </w:r>
          </w:p>
        </w:tc>
        <w:tc>
          <w:tcPr>
            <w:tcW w:w="507" w:type="pct"/>
            <w:vAlign w:val="bottom"/>
          </w:tcPr>
          <w:p w:rsidR="00E10845" w:rsidRPr="00E17EEF" w:rsidRDefault="00E10845" w:rsidP="008B63A3">
            <w:pPr>
              <w:pStyle w:val="TableBodyText"/>
              <w:rPr>
                <w:b/>
                <w:sz w:val="18"/>
                <w:szCs w:val="18"/>
              </w:rPr>
            </w:pPr>
            <w:r w:rsidRPr="00E17EEF">
              <w:rPr>
                <w:b/>
                <w:sz w:val="18"/>
                <w:szCs w:val="18"/>
              </w:rPr>
              <w:t>113.4</w:t>
            </w:r>
          </w:p>
        </w:tc>
        <w:tc>
          <w:tcPr>
            <w:tcW w:w="507" w:type="pct"/>
            <w:vAlign w:val="bottom"/>
          </w:tcPr>
          <w:p w:rsidR="00E10845" w:rsidRPr="00E17EEF" w:rsidRDefault="00E10845" w:rsidP="008B63A3">
            <w:pPr>
              <w:pStyle w:val="TableBodyText"/>
              <w:rPr>
                <w:b/>
                <w:sz w:val="18"/>
                <w:szCs w:val="18"/>
              </w:rPr>
            </w:pPr>
            <w:r w:rsidRPr="00E17EEF">
              <w:rPr>
                <w:b/>
                <w:sz w:val="18"/>
                <w:szCs w:val="18"/>
              </w:rPr>
              <w:t>136.8</w:t>
            </w:r>
          </w:p>
        </w:tc>
        <w:tc>
          <w:tcPr>
            <w:tcW w:w="507" w:type="pct"/>
            <w:vAlign w:val="bottom"/>
          </w:tcPr>
          <w:p w:rsidR="00E10845" w:rsidRPr="00E17EEF" w:rsidRDefault="00E10845" w:rsidP="008B63A3">
            <w:pPr>
              <w:pStyle w:val="TableBodyText"/>
              <w:rPr>
                <w:b/>
                <w:sz w:val="18"/>
                <w:szCs w:val="18"/>
              </w:rPr>
            </w:pPr>
            <w:r w:rsidRPr="00E17EEF">
              <w:rPr>
                <w:b/>
                <w:sz w:val="18"/>
                <w:szCs w:val="18"/>
              </w:rPr>
              <w:t>150.3</w:t>
            </w:r>
          </w:p>
        </w:tc>
        <w:tc>
          <w:tcPr>
            <w:tcW w:w="507" w:type="pct"/>
            <w:vAlign w:val="bottom"/>
          </w:tcPr>
          <w:p w:rsidR="00E10845" w:rsidRPr="00E17EEF" w:rsidRDefault="00E10845" w:rsidP="008B63A3">
            <w:pPr>
              <w:pStyle w:val="TableBodyText"/>
              <w:rPr>
                <w:b/>
                <w:sz w:val="18"/>
                <w:szCs w:val="18"/>
              </w:rPr>
            </w:pPr>
            <w:r w:rsidRPr="00E17EEF">
              <w:rPr>
                <w:b/>
                <w:sz w:val="18"/>
                <w:szCs w:val="18"/>
              </w:rPr>
              <w:t>148.9</w:t>
            </w:r>
          </w:p>
        </w:tc>
        <w:tc>
          <w:tcPr>
            <w:tcW w:w="507" w:type="pct"/>
            <w:shd w:val="clear" w:color="auto" w:fill="auto"/>
            <w:vAlign w:val="bottom"/>
          </w:tcPr>
          <w:p w:rsidR="00E10845" w:rsidRPr="00E17EEF" w:rsidRDefault="00E10845" w:rsidP="008B63A3">
            <w:pPr>
              <w:pStyle w:val="TableBodyText"/>
              <w:rPr>
                <w:b/>
                <w:sz w:val="18"/>
                <w:szCs w:val="18"/>
              </w:rPr>
            </w:pPr>
            <w:r w:rsidRPr="00E17EEF">
              <w:rPr>
                <w:b/>
                <w:sz w:val="18"/>
                <w:szCs w:val="18"/>
              </w:rPr>
              <w:t>133.6</w:t>
            </w:r>
          </w:p>
        </w:tc>
        <w:tc>
          <w:tcPr>
            <w:tcW w:w="505" w:type="pct"/>
            <w:shd w:val="clear" w:color="auto" w:fill="auto"/>
            <w:vAlign w:val="bottom"/>
          </w:tcPr>
          <w:p w:rsidR="00E10845" w:rsidRPr="00E17EEF" w:rsidRDefault="00E10845" w:rsidP="008B63A3">
            <w:pPr>
              <w:pStyle w:val="TableBodyText"/>
              <w:rPr>
                <w:b/>
                <w:sz w:val="18"/>
                <w:szCs w:val="18"/>
              </w:rPr>
            </w:pPr>
            <w:r w:rsidRPr="00E17EEF">
              <w:rPr>
                <w:b/>
                <w:sz w:val="18"/>
                <w:szCs w:val="18"/>
              </w:rPr>
              <w:t>145.0</w:t>
            </w:r>
          </w:p>
        </w:tc>
      </w:tr>
      <w:tr w:rsidR="00E10845" w:rsidRPr="006C5A80" w:rsidTr="008B63A3">
        <w:tc>
          <w:tcPr>
            <w:tcW w:w="1960" w:type="pct"/>
            <w:vAlign w:val="bottom"/>
          </w:tcPr>
          <w:p w:rsidR="00E10845" w:rsidRPr="00267504" w:rsidRDefault="00E10845" w:rsidP="008B63A3">
            <w:pPr>
              <w:pStyle w:val="TableBodyText"/>
              <w:jc w:val="left"/>
              <w:rPr>
                <w:sz w:val="18"/>
                <w:szCs w:val="18"/>
              </w:rPr>
            </w:pPr>
            <w:r w:rsidRPr="00267504">
              <w:rPr>
                <w:sz w:val="18"/>
                <w:szCs w:val="18"/>
              </w:rPr>
              <w:t>Electricity, gas, water and waste services</w:t>
            </w:r>
          </w:p>
        </w:tc>
        <w:tc>
          <w:tcPr>
            <w:tcW w:w="507" w:type="pct"/>
            <w:vAlign w:val="bottom"/>
          </w:tcPr>
          <w:p w:rsidR="00E10845" w:rsidRPr="00E17EEF" w:rsidRDefault="00E10845" w:rsidP="008B63A3">
            <w:pPr>
              <w:pStyle w:val="TableBodyText"/>
              <w:rPr>
                <w:sz w:val="18"/>
                <w:szCs w:val="18"/>
              </w:rPr>
            </w:pPr>
            <w:r w:rsidRPr="00E17EEF">
              <w:rPr>
                <w:sz w:val="18"/>
                <w:szCs w:val="18"/>
              </w:rPr>
              <w:t>0.2</w:t>
            </w:r>
          </w:p>
        </w:tc>
        <w:tc>
          <w:tcPr>
            <w:tcW w:w="507" w:type="pct"/>
            <w:vAlign w:val="bottom"/>
          </w:tcPr>
          <w:p w:rsidR="00E10845" w:rsidRPr="00E17EEF" w:rsidRDefault="00E10845" w:rsidP="008B63A3">
            <w:pPr>
              <w:pStyle w:val="TableBodyText"/>
              <w:rPr>
                <w:sz w:val="18"/>
                <w:szCs w:val="18"/>
              </w:rPr>
            </w:pPr>
            <w:r w:rsidRPr="00E17EEF">
              <w:rPr>
                <w:sz w:val="18"/>
                <w:szCs w:val="18"/>
              </w:rPr>
              <w:t>0.2</w:t>
            </w:r>
          </w:p>
        </w:tc>
        <w:tc>
          <w:tcPr>
            <w:tcW w:w="507" w:type="pct"/>
            <w:vAlign w:val="bottom"/>
          </w:tcPr>
          <w:p w:rsidR="00E10845" w:rsidRPr="00E17EEF" w:rsidRDefault="00E10845" w:rsidP="008B63A3">
            <w:pPr>
              <w:pStyle w:val="TableBodyText"/>
              <w:rPr>
                <w:sz w:val="18"/>
                <w:szCs w:val="18"/>
              </w:rPr>
            </w:pPr>
            <w:r w:rsidRPr="00E17EEF">
              <w:rPr>
                <w:sz w:val="18"/>
                <w:szCs w:val="18"/>
              </w:rPr>
              <w:t>0.3</w:t>
            </w:r>
          </w:p>
        </w:tc>
        <w:tc>
          <w:tcPr>
            <w:tcW w:w="507" w:type="pct"/>
            <w:vAlign w:val="bottom"/>
          </w:tcPr>
          <w:p w:rsidR="00E10845" w:rsidRPr="00E17EEF" w:rsidRDefault="00E10845" w:rsidP="008B63A3">
            <w:pPr>
              <w:pStyle w:val="TableBodyText"/>
              <w:rPr>
                <w:sz w:val="18"/>
                <w:szCs w:val="18"/>
              </w:rPr>
            </w:pPr>
            <w:r w:rsidRPr="00E17EEF">
              <w:rPr>
                <w:sz w:val="18"/>
                <w:szCs w:val="18"/>
              </w:rPr>
              <w:t>0.2</w:t>
            </w:r>
          </w:p>
        </w:tc>
        <w:tc>
          <w:tcPr>
            <w:tcW w:w="507" w:type="pct"/>
            <w:shd w:val="clear" w:color="auto" w:fill="auto"/>
            <w:vAlign w:val="bottom"/>
          </w:tcPr>
          <w:p w:rsidR="00E10845" w:rsidRPr="00E17EEF" w:rsidRDefault="00E10845" w:rsidP="008B63A3">
            <w:pPr>
              <w:pStyle w:val="TableBodyText"/>
              <w:rPr>
                <w:sz w:val="18"/>
                <w:szCs w:val="18"/>
              </w:rPr>
            </w:pPr>
            <w:r w:rsidRPr="00E17EEF">
              <w:rPr>
                <w:sz w:val="18"/>
                <w:szCs w:val="18"/>
              </w:rPr>
              <w:t>0.2</w:t>
            </w:r>
          </w:p>
        </w:tc>
        <w:tc>
          <w:tcPr>
            <w:tcW w:w="505" w:type="pct"/>
            <w:shd w:val="clear" w:color="auto" w:fill="auto"/>
            <w:vAlign w:val="bottom"/>
          </w:tcPr>
          <w:p w:rsidR="00E10845" w:rsidRPr="00E17EEF" w:rsidRDefault="00E10845" w:rsidP="008B63A3">
            <w:pPr>
              <w:pStyle w:val="TableBodyText"/>
              <w:rPr>
                <w:sz w:val="18"/>
                <w:szCs w:val="18"/>
              </w:rPr>
            </w:pPr>
            <w:r w:rsidRPr="00E17EEF">
              <w:rPr>
                <w:sz w:val="18"/>
                <w:szCs w:val="18"/>
              </w:rPr>
              <w:t>0.2</w:t>
            </w:r>
          </w:p>
        </w:tc>
      </w:tr>
      <w:tr w:rsidR="00E10845" w:rsidRPr="006C5A80" w:rsidTr="008B63A3">
        <w:tc>
          <w:tcPr>
            <w:tcW w:w="1960" w:type="pct"/>
            <w:vAlign w:val="bottom"/>
          </w:tcPr>
          <w:p w:rsidR="00E10845" w:rsidRPr="00267504" w:rsidRDefault="00E10845" w:rsidP="008B63A3">
            <w:pPr>
              <w:pStyle w:val="TableBodyText"/>
              <w:jc w:val="left"/>
              <w:rPr>
                <w:sz w:val="18"/>
                <w:szCs w:val="18"/>
              </w:rPr>
            </w:pPr>
            <w:r w:rsidRPr="00267504">
              <w:rPr>
                <w:sz w:val="18"/>
                <w:szCs w:val="18"/>
              </w:rPr>
              <w:t>Construction</w:t>
            </w:r>
          </w:p>
        </w:tc>
        <w:tc>
          <w:tcPr>
            <w:tcW w:w="507" w:type="pct"/>
            <w:vAlign w:val="bottom"/>
          </w:tcPr>
          <w:p w:rsidR="00E10845" w:rsidRPr="00E17EEF" w:rsidRDefault="00E10845" w:rsidP="008B63A3">
            <w:pPr>
              <w:pStyle w:val="TableBodyText"/>
              <w:rPr>
                <w:sz w:val="18"/>
                <w:szCs w:val="18"/>
              </w:rPr>
            </w:pPr>
            <w:r w:rsidRPr="00E17EEF">
              <w:rPr>
                <w:sz w:val="18"/>
                <w:szCs w:val="18"/>
              </w:rPr>
              <w:t>42.2</w:t>
            </w:r>
          </w:p>
        </w:tc>
        <w:tc>
          <w:tcPr>
            <w:tcW w:w="507" w:type="pct"/>
            <w:vAlign w:val="bottom"/>
          </w:tcPr>
          <w:p w:rsidR="00E10845" w:rsidRPr="00E17EEF" w:rsidRDefault="00E10845" w:rsidP="008B63A3">
            <w:pPr>
              <w:pStyle w:val="TableBodyText"/>
              <w:rPr>
                <w:sz w:val="18"/>
                <w:szCs w:val="18"/>
              </w:rPr>
            </w:pPr>
            <w:r w:rsidRPr="00E17EEF">
              <w:rPr>
                <w:sz w:val="18"/>
                <w:szCs w:val="18"/>
              </w:rPr>
              <w:t>48.5</w:t>
            </w:r>
          </w:p>
        </w:tc>
        <w:tc>
          <w:tcPr>
            <w:tcW w:w="507" w:type="pct"/>
            <w:vAlign w:val="bottom"/>
          </w:tcPr>
          <w:p w:rsidR="00E10845" w:rsidRPr="00E17EEF" w:rsidRDefault="00E10845" w:rsidP="008B63A3">
            <w:pPr>
              <w:pStyle w:val="TableBodyText"/>
              <w:rPr>
                <w:sz w:val="18"/>
                <w:szCs w:val="18"/>
              </w:rPr>
            </w:pPr>
            <w:r w:rsidRPr="00E17EEF">
              <w:rPr>
                <w:sz w:val="18"/>
                <w:szCs w:val="18"/>
              </w:rPr>
              <w:t>50.4</w:t>
            </w:r>
          </w:p>
        </w:tc>
        <w:tc>
          <w:tcPr>
            <w:tcW w:w="507" w:type="pct"/>
            <w:vAlign w:val="bottom"/>
          </w:tcPr>
          <w:p w:rsidR="00E10845" w:rsidRPr="00E17EEF" w:rsidRDefault="00E10845" w:rsidP="008B63A3">
            <w:pPr>
              <w:pStyle w:val="TableBodyText"/>
              <w:rPr>
                <w:sz w:val="18"/>
                <w:szCs w:val="18"/>
              </w:rPr>
            </w:pPr>
            <w:r w:rsidRPr="00E17EEF">
              <w:rPr>
                <w:sz w:val="18"/>
                <w:szCs w:val="18"/>
              </w:rPr>
              <w:t>52.1</w:t>
            </w:r>
          </w:p>
        </w:tc>
        <w:tc>
          <w:tcPr>
            <w:tcW w:w="507" w:type="pct"/>
            <w:shd w:val="clear" w:color="auto" w:fill="auto"/>
            <w:vAlign w:val="bottom"/>
          </w:tcPr>
          <w:p w:rsidR="00E10845" w:rsidRPr="00E17EEF" w:rsidRDefault="00E10845" w:rsidP="008B63A3">
            <w:pPr>
              <w:pStyle w:val="TableBodyText"/>
              <w:rPr>
                <w:sz w:val="18"/>
                <w:szCs w:val="18"/>
              </w:rPr>
            </w:pPr>
            <w:r w:rsidRPr="00E17EEF">
              <w:rPr>
                <w:sz w:val="18"/>
                <w:szCs w:val="18"/>
              </w:rPr>
              <w:t>46.8</w:t>
            </w:r>
          </w:p>
        </w:tc>
        <w:tc>
          <w:tcPr>
            <w:tcW w:w="505" w:type="pct"/>
            <w:shd w:val="clear" w:color="auto" w:fill="auto"/>
            <w:vAlign w:val="bottom"/>
          </w:tcPr>
          <w:p w:rsidR="00E10845" w:rsidRPr="00E17EEF" w:rsidRDefault="00E10845" w:rsidP="008B63A3">
            <w:pPr>
              <w:pStyle w:val="TableBodyText"/>
              <w:rPr>
                <w:sz w:val="18"/>
                <w:szCs w:val="18"/>
              </w:rPr>
            </w:pPr>
            <w:r w:rsidRPr="00E17EEF">
              <w:rPr>
                <w:sz w:val="18"/>
                <w:szCs w:val="18"/>
              </w:rPr>
              <w:t>50.8</w:t>
            </w:r>
          </w:p>
        </w:tc>
      </w:tr>
      <w:tr w:rsidR="00E10845" w:rsidRPr="006C5A80" w:rsidTr="008B63A3">
        <w:tc>
          <w:tcPr>
            <w:tcW w:w="1960" w:type="pct"/>
            <w:vAlign w:val="bottom"/>
          </w:tcPr>
          <w:p w:rsidR="00E10845" w:rsidRPr="00267504" w:rsidRDefault="00E10845" w:rsidP="008B63A3">
            <w:pPr>
              <w:pStyle w:val="TableBodyText"/>
              <w:jc w:val="left"/>
              <w:rPr>
                <w:sz w:val="18"/>
                <w:szCs w:val="18"/>
              </w:rPr>
            </w:pPr>
            <w:r w:rsidRPr="00267504">
              <w:rPr>
                <w:sz w:val="18"/>
                <w:szCs w:val="18"/>
              </w:rPr>
              <w:t>Wholesale trade</w:t>
            </w:r>
          </w:p>
        </w:tc>
        <w:tc>
          <w:tcPr>
            <w:tcW w:w="507" w:type="pct"/>
            <w:vAlign w:val="bottom"/>
          </w:tcPr>
          <w:p w:rsidR="00E10845" w:rsidRPr="00E17EEF" w:rsidRDefault="00E10845" w:rsidP="008B63A3">
            <w:pPr>
              <w:pStyle w:val="TableBodyText"/>
              <w:rPr>
                <w:sz w:val="18"/>
                <w:szCs w:val="18"/>
              </w:rPr>
            </w:pPr>
            <w:r w:rsidRPr="00E17EEF">
              <w:rPr>
                <w:sz w:val="18"/>
                <w:szCs w:val="18"/>
              </w:rPr>
              <w:t>0.9</w:t>
            </w:r>
          </w:p>
        </w:tc>
        <w:tc>
          <w:tcPr>
            <w:tcW w:w="507" w:type="pct"/>
            <w:vAlign w:val="bottom"/>
          </w:tcPr>
          <w:p w:rsidR="00E10845" w:rsidRPr="00E17EEF" w:rsidRDefault="00E10845" w:rsidP="008B63A3">
            <w:pPr>
              <w:pStyle w:val="TableBodyText"/>
              <w:rPr>
                <w:sz w:val="18"/>
                <w:szCs w:val="18"/>
              </w:rPr>
            </w:pPr>
            <w:r w:rsidRPr="00E17EEF">
              <w:rPr>
                <w:sz w:val="18"/>
                <w:szCs w:val="18"/>
              </w:rPr>
              <w:t>1.1</w:t>
            </w:r>
          </w:p>
        </w:tc>
        <w:tc>
          <w:tcPr>
            <w:tcW w:w="507" w:type="pct"/>
            <w:vAlign w:val="bottom"/>
          </w:tcPr>
          <w:p w:rsidR="00E10845" w:rsidRPr="00E17EEF" w:rsidRDefault="00E10845" w:rsidP="008B63A3">
            <w:pPr>
              <w:pStyle w:val="TableBodyText"/>
              <w:rPr>
                <w:sz w:val="18"/>
                <w:szCs w:val="18"/>
              </w:rPr>
            </w:pPr>
            <w:r w:rsidRPr="00E17EEF">
              <w:rPr>
                <w:sz w:val="18"/>
                <w:szCs w:val="18"/>
              </w:rPr>
              <w:t>1.1</w:t>
            </w:r>
          </w:p>
        </w:tc>
        <w:tc>
          <w:tcPr>
            <w:tcW w:w="507" w:type="pct"/>
            <w:vAlign w:val="bottom"/>
          </w:tcPr>
          <w:p w:rsidR="00E10845" w:rsidRPr="00E17EEF" w:rsidRDefault="00E10845" w:rsidP="008B63A3">
            <w:pPr>
              <w:pStyle w:val="TableBodyText"/>
              <w:rPr>
                <w:sz w:val="18"/>
                <w:szCs w:val="18"/>
              </w:rPr>
            </w:pPr>
            <w:r w:rsidRPr="00E17EEF">
              <w:rPr>
                <w:sz w:val="18"/>
                <w:szCs w:val="18"/>
              </w:rPr>
              <w:t>1.2</w:t>
            </w:r>
          </w:p>
        </w:tc>
        <w:tc>
          <w:tcPr>
            <w:tcW w:w="507" w:type="pct"/>
            <w:shd w:val="clear" w:color="auto" w:fill="auto"/>
            <w:vAlign w:val="bottom"/>
          </w:tcPr>
          <w:p w:rsidR="00E10845" w:rsidRPr="00E17EEF" w:rsidRDefault="00E10845" w:rsidP="008B63A3">
            <w:pPr>
              <w:pStyle w:val="TableBodyText"/>
              <w:rPr>
                <w:sz w:val="18"/>
                <w:szCs w:val="18"/>
              </w:rPr>
            </w:pPr>
            <w:r w:rsidRPr="00E17EEF">
              <w:rPr>
                <w:sz w:val="18"/>
                <w:szCs w:val="18"/>
              </w:rPr>
              <w:t>1.1</w:t>
            </w:r>
          </w:p>
        </w:tc>
        <w:tc>
          <w:tcPr>
            <w:tcW w:w="505" w:type="pct"/>
            <w:shd w:val="clear" w:color="auto" w:fill="auto"/>
            <w:vAlign w:val="bottom"/>
          </w:tcPr>
          <w:p w:rsidR="00E10845" w:rsidRPr="00E17EEF" w:rsidRDefault="00E10845" w:rsidP="008B63A3">
            <w:pPr>
              <w:pStyle w:val="TableBodyText"/>
              <w:rPr>
                <w:sz w:val="18"/>
                <w:szCs w:val="18"/>
              </w:rPr>
            </w:pPr>
            <w:r w:rsidRPr="00E17EEF">
              <w:rPr>
                <w:sz w:val="18"/>
                <w:szCs w:val="18"/>
              </w:rPr>
              <w:t>1.2</w:t>
            </w:r>
          </w:p>
        </w:tc>
      </w:tr>
      <w:tr w:rsidR="00E10845" w:rsidRPr="006C5A80" w:rsidTr="008B63A3">
        <w:tc>
          <w:tcPr>
            <w:tcW w:w="1960" w:type="pct"/>
            <w:vAlign w:val="bottom"/>
          </w:tcPr>
          <w:p w:rsidR="00E10845" w:rsidRPr="00267504" w:rsidRDefault="00E10845" w:rsidP="008B63A3">
            <w:pPr>
              <w:pStyle w:val="TableBodyText"/>
              <w:jc w:val="left"/>
              <w:rPr>
                <w:sz w:val="18"/>
                <w:szCs w:val="18"/>
              </w:rPr>
            </w:pPr>
            <w:r w:rsidRPr="00267504">
              <w:rPr>
                <w:sz w:val="18"/>
                <w:szCs w:val="18"/>
              </w:rPr>
              <w:t>Retail trade</w:t>
            </w:r>
          </w:p>
        </w:tc>
        <w:tc>
          <w:tcPr>
            <w:tcW w:w="507" w:type="pct"/>
            <w:vAlign w:val="bottom"/>
          </w:tcPr>
          <w:p w:rsidR="00E10845" w:rsidRPr="00E17EEF" w:rsidRDefault="00E10845" w:rsidP="008B63A3">
            <w:pPr>
              <w:pStyle w:val="TableBodyText"/>
              <w:rPr>
                <w:sz w:val="18"/>
                <w:szCs w:val="18"/>
              </w:rPr>
            </w:pPr>
            <w:r w:rsidRPr="00E17EEF">
              <w:rPr>
                <w:sz w:val="18"/>
                <w:szCs w:val="18"/>
              </w:rPr>
              <w:t>1.9</w:t>
            </w:r>
          </w:p>
        </w:tc>
        <w:tc>
          <w:tcPr>
            <w:tcW w:w="507" w:type="pct"/>
            <w:vAlign w:val="bottom"/>
          </w:tcPr>
          <w:p w:rsidR="00E10845" w:rsidRPr="00E17EEF" w:rsidRDefault="00E10845" w:rsidP="008B63A3">
            <w:pPr>
              <w:pStyle w:val="TableBodyText"/>
              <w:rPr>
                <w:sz w:val="18"/>
                <w:szCs w:val="18"/>
              </w:rPr>
            </w:pPr>
            <w:r w:rsidRPr="00E17EEF">
              <w:rPr>
                <w:sz w:val="18"/>
                <w:szCs w:val="18"/>
              </w:rPr>
              <w:t>2.5</w:t>
            </w:r>
          </w:p>
        </w:tc>
        <w:tc>
          <w:tcPr>
            <w:tcW w:w="507" w:type="pct"/>
            <w:vAlign w:val="bottom"/>
          </w:tcPr>
          <w:p w:rsidR="00E10845" w:rsidRPr="00E17EEF" w:rsidRDefault="00E10845" w:rsidP="008B63A3">
            <w:pPr>
              <w:pStyle w:val="TableBodyText"/>
              <w:rPr>
                <w:sz w:val="18"/>
                <w:szCs w:val="18"/>
              </w:rPr>
            </w:pPr>
            <w:r w:rsidRPr="00E17EEF">
              <w:rPr>
                <w:sz w:val="18"/>
                <w:szCs w:val="18"/>
              </w:rPr>
              <w:t>2.8</w:t>
            </w:r>
          </w:p>
        </w:tc>
        <w:tc>
          <w:tcPr>
            <w:tcW w:w="507" w:type="pct"/>
            <w:vAlign w:val="bottom"/>
          </w:tcPr>
          <w:p w:rsidR="00E10845" w:rsidRPr="00E17EEF" w:rsidRDefault="00E10845" w:rsidP="008B63A3">
            <w:pPr>
              <w:pStyle w:val="TableBodyText"/>
              <w:rPr>
                <w:sz w:val="18"/>
                <w:szCs w:val="18"/>
              </w:rPr>
            </w:pPr>
            <w:r w:rsidRPr="00E17EEF">
              <w:rPr>
                <w:sz w:val="18"/>
                <w:szCs w:val="18"/>
              </w:rPr>
              <w:t>2.9</w:t>
            </w:r>
          </w:p>
        </w:tc>
        <w:tc>
          <w:tcPr>
            <w:tcW w:w="507" w:type="pct"/>
            <w:shd w:val="clear" w:color="auto" w:fill="auto"/>
            <w:vAlign w:val="bottom"/>
          </w:tcPr>
          <w:p w:rsidR="00E10845" w:rsidRPr="00E17EEF" w:rsidRDefault="00E10845" w:rsidP="008B63A3">
            <w:pPr>
              <w:pStyle w:val="TableBodyText"/>
              <w:rPr>
                <w:sz w:val="18"/>
                <w:szCs w:val="18"/>
              </w:rPr>
            </w:pPr>
            <w:r w:rsidRPr="00E17EEF">
              <w:rPr>
                <w:sz w:val="18"/>
                <w:szCs w:val="18"/>
              </w:rPr>
              <w:t>2.6</w:t>
            </w:r>
          </w:p>
        </w:tc>
        <w:tc>
          <w:tcPr>
            <w:tcW w:w="505" w:type="pct"/>
            <w:shd w:val="clear" w:color="auto" w:fill="auto"/>
            <w:vAlign w:val="bottom"/>
          </w:tcPr>
          <w:p w:rsidR="00E10845" w:rsidRPr="00E17EEF" w:rsidRDefault="00E10845" w:rsidP="008B63A3">
            <w:pPr>
              <w:pStyle w:val="TableBodyText"/>
              <w:rPr>
                <w:sz w:val="18"/>
                <w:szCs w:val="18"/>
              </w:rPr>
            </w:pPr>
            <w:r w:rsidRPr="00E17EEF">
              <w:rPr>
                <w:sz w:val="18"/>
                <w:szCs w:val="18"/>
              </w:rPr>
              <w:t>2.8</w:t>
            </w:r>
          </w:p>
        </w:tc>
      </w:tr>
      <w:tr w:rsidR="00E10845" w:rsidRPr="006C5A80" w:rsidTr="008B63A3">
        <w:tc>
          <w:tcPr>
            <w:tcW w:w="1960" w:type="pct"/>
            <w:vAlign w:val="bottom"/>
          </w:tcPr>
          <w:p w:rsidR="00E10845" w:rsidRPr="00267504" w:rsidRDefault="00E10845" w:rsidP="008B63A3">
            <w:pPr>
              <w:pStyle w:val="TableBodyText"/>
              <w:jc w:val="left"/>
              <w:rPr>
                <w:sz w:val="18"/>
                <w:szCs w:val="18"/>
              </w:rPr>
            </w:pPr>
            <w:r w:rsidRPr="00267504">
              <w:rPr>
                <w:sz w:val="18"/>
                <w:szCs w:val="18"/>
              </w:rPr>
              <w:t>Accommodation and food services</w:t>
            </w:r>
          </w:p>
        </w:tc>
        <w:tc>
          <w:tcPr>
            <w:tcW w:w="507" w:type="pct"/>
            <w:vAlign w:val="bottom"/>
          </w:tcPr>
          <w:p w:rsidR="00E10845" w:rsidRPr="00E17EEF" w:rsidRDefault="00E10845" w:rsidP="008B63A3">
            <w:pPr>
              <w:pStyle w:val="TableBodyText"/>
              <w:rPr>
                <w:sz w:val="18"/>
                <w:szCs w:val="18"/>
              </w:rPr>
            </w:pPr>
            <w:r w:rsidRPr="00E17EEF">
              <w:rPr>
                <w:sz w:val="18"/>
                <w:szCs w:val="18"/>
              </w:rPr>
              <w:t>0.7</w:t>
            </w:r>
          </w:p>
        </w:tc>
        <w:tc>
          <w:tcPr>
            <w:tcW w:w="507" w:type="pct"/>
            <w:vAlign w:val="bottom"/>
          </w:tcPr>
          <w:p w:rsidR="00E10845" w:rsidRPr="00E17EEF" w:rsidRDefault="00E10845" w:rsidP="008B63A3">
            <w:pPr>
              <w:pStyle w:val="TableBodyText"/>
              <w:rPr>
                <w:sz w:val="18"/>
                <w:szCs w:val="18"/>
              </w:rPr>
            </w:pPr>
            <w:r w:rsidRPr="00E17EEF">
              <w:rPr>
                <w:sz w:val="18"/>
                <w:szCs w:val="18"/>
              </w:rPr>
              <w:t>0.9</w:t>
            </w:r>
          </w:p>
        </w:tc>
        <w:tc>
          <w:tcPr>
            <w:tcW w:w="507" w:type="pct"/>
            <w:vAlign w:val="bottom"/>
          </w:tcPr>
          <w:p w:rsidR="00E10845" w:rsidRPr="00E17EEF" w:rsidRDefault="00E10845" w:rsidP="008B63A3">
            <w:pPr>
              <w:pStyle w:val="TableBodyText"/>
              <w:rPr>
                <w:sz w:val="18"/>
                <w:szCs w:val="18"/>
              </w:rPr>
            </w:pPr>
            <w:r w:rsidRPr="00E17EEF">
              <w:rPr>
                <w:sz w:val="18"/>
                <w:szCs w:val="18"/>
              </w:rPr>
              <w:t>1.0</w:t>
            </w:r>
          </w:p>
        </w:tc>
        <w:tc>
          <w:tcPr>
            <w:tcW w:w="507" w:type="pct"/>
            <w:vAlign w:val="bottom"/>
          </w:tcPr>
          <w:p w:rsidR="00E10845" w:rsidRPr="00E17EEF" w:rsidRDefault="00E10845" w:rsidP="008B63A3">
            <w:pPr>
              <w:pStyle w:val="TableBodyText"/>
              <w:rPr>
                <w:sz w:val="18"/>
                <w:szCs w:val="18"/>
              </w:rPr>
            </w:pPr>
            <w:r w:rsidRPr="00E17EEF">
              <w:rPr>
                <w:sz w:val="18"/>
                <w:szCs w:val="18"/>
              </w:rPr>
              <w:t>1.0</w:t>
            </w:r>
          </w:p>
        </w:tc>
        <w:tc>
          <w:tcPr>
            <w:tcW w:w="507" w:type="pct"/>
            <w:shd w:val="clear" w:color="auto" w:fill="auto"/>
            <w:vAlign w:val="bottom"/>
          </w:tcPr>
          <w:p w:rsidR="00E10845" w:rsidRPr="00E17EEF" w:rsidRDefault="00E10845" w:rsidP="008B63A3">
            <w:pPr>
              <w:pStyle w:val="TableBodyText"/>
              <w:rPr>
                <w:sz w:val="18"/>
                <w:szCs w:val="18"/>
              </w:rPr>
            </w:pPr>
            <w:r w:rsidRPr="00E17EEF">
              <w:rPr>
                <w:sz w:val="18"/>
                <w:szCs w:val="18"/>
              </w:rPr>
              <w:t>0.9</w:t>
            </w:r>
          </w:p>
        </w:tc>
        <w:tc>
          <w:tcPr>
            <w:tcW w:w="505" w:type="pct"/>
            <w:shd w:val="clear" w:color="auto" w:fill="auto"/>
            <w:vAlign w:val="bottom"/>
          </w:tcPr>
          <w:p w:rsidR="00E10845" w:rsidRPr="00E17EEF" w:rsidRDefault="00E10845" w:rsidP="008B63A3">
            <w:pPr>
              <w:pStyle w:val="TableBodyText"/>
              <w:rPr>
                <w:sz w:val="18"/>
                <w:szCs w:val="18"/>
              </w:rPr>
            </w:pPr>
            <w:r w:rsidRPr="00E17EEF">
              <w:rPr>
                <w:sz w:val="18"/>
                <w:szCs w:val="18"/>
              </w:rPr>
              <w:t>1.0</w:t>
            </w:r>
          </w:p>
        </w:tc>
      </w:tr>
      <w:tr w:rsidR="00E10845" w:rsidRPr="006C5A80" w:rsidTr="008B63A3">
        <w:tc>
          <w:tcPr>
            <w:tcW w:w="1960" w:type="pct"/>
            <w:vAlign w:val="bottom"/>
          </w:tcPr>
          <w:p w:rsidR="00E10845" w:rsidRPr="00267504" w:rsidRDefault="00E10845" w:rsidP="008B63A3">
            <w:pPr>
              <w:pStyle w:val="TableBodyText"/>
              <w:jc w:val="left"/>
              <w:rPr>
                <w:sz w:val="18"/>
                <w:szCs w:val="18"/>
              </w:rPr>
            </w:pPr>
            <w:r w:rsidRPr="00267504">
              <w:rPr>
                <w:sz w:val="18"/>
                <w:szCs w:val="18"/>
              </w:rPr>
              <w:t>Transport, postal and warehousing</w:t>
            </w:r>
          </w:p>
        </w:tc>
        <w:tc>
          <w:tcPr>
            <w:tcW w:w="507" w:type="pct"/>
            <w:vAlign w:val="bottom"/>
          </w:tcPr>
          <w:p w:rsidR="00E10845" w:rsidRPr="00E17EEF" w:rsidRDefault="00E10845" w:rsidP="008B63A3">
            <w:pPr>
              <w:pStyle w:val="TableBodyText"/>
              <w:rPr>
                <w:sz w:val="18"/>
                <w:szCs w:val="18"/>
              </w:rPr>
            </w:pPr>
            <w:r w:rsidRPr="00E17EEF">
              <w:rPr>
                <w:sz w:val="18"/>
                <w:szCs w:val="18"/>
              </w:rPr>
              <w:t>9.6</w:t>
            </w:r>
          </w:p>
        </w:tc>
        <w:tc>
          <w:tcPr>
            <w:tcW w:w="507" w:type="pct"/>
            <w:vAlign w:val="bottom"/>
          </w:tcPr>
          <w:p w:rsidR="00E10845" w:rsidRPr="00E17EEF" w:rsidRDefault="00E10845" w:rsidP="008B63A3">
            <w:pPr>
              <w:pStyle w:val="TableBodyText"/>
              <w:rPr>
                <w:sz w:val="18"/>
                <w:szCs w:val="18"/>
              </w:rPr>
            </w:pPr>
            <w:r w:rsidRPr="00E17EEF">
              <w:rPr>
                <w:sz w:val="18"/>
                <w:szCs w:val="18"/>
              </w:rPr>
              <w:t>11.1</w:t>
            </w:r>
          </w:p>
        </w:tc>
        <w:tc>
          <w:tcPr>
            <w:tcW w:w="507" w:type="pct"/>
            <w:vAlign w:val="bottom"/>
          </w:tcPr>
          <w:p w:rsidR="00E10845" w:rsidRPr="00E17EEF" w:rsidRDefault="00E10845" w:rsidP="008B63A3">
            <w:pPr>
              <w:pStyle w:val="TableBodyText"/>
              <w:rPr>
                <w:sz w:val="18"/>
                <w:szCs w:val="18"/>
              </w:rPr>
            </w:pPr>
            <w:r w:rsidRPr="00E17EEF">
              <w:rPr>
                <w:sz w:val="18"/>
                <w:szCs w:val="18"/>
              </w:rPr>
              <w:t>12.4</w:t>
            </w:r>
          </w:p>
        </w:tc>
        <w:tc>
          <w:tcPr>
            <w:tcW w:w="507" w:type="pct"/>
            <w:vAlign w:val="bottom"/>
          </w:tcPr>
          <w:p w:rsidR="00E10845" w:rsidRPr="00E17EEF" w:rsidRDefault="00E10845" w:rsidP="008B63A3">
            <w:pPr>
              <w:pStyle w:val="TableBodyText"/>
              <w:rPr>
                <w:sz w:val="18"/>
                <w:szCs w:val="18"/>
              </w:rPr>
            </w:pPr>
            <w:r w:rsidRPr="00E17EEF">
              <w:rPr>
                <w:sz w:val="18"/>
                <w:szCs w:val="18"/>
              </w:rPr>
              <w:t>12.6</w:t>
            </w:r>
          </w:p>
        </w:tc>
        <w:tc>
          <w:tcPr>
            <w:tcW w:w="507" w:type="pct"/>
            <w:shd w:val="clear" w:color="auto" w:fill="auto"/>
            <w:vAlign w:val="bottom"/>
          </w:tcPr>
          <w:p w:rsidR="00E10845" w:rsidRPr="00E17EEF" w:rsidRDefault="00E10845" w:rsidP="008B63A3">
            <w:pPr>
              <w:pStyle w:val="TableBodyText"/>
              <w:rPr>
                <w:sz w:val="18"/>
                <w:szCs w:val="18"/>
              </w:rPr>
            </w:pPr>
            <w:r w:rsidRPr="00E17EEF">
              <w:rPr>
                <w:sz w:val="18"/>
                <w:szCs w:val="18"/>
              </w:rPr>
              <w:t>11.3</w:t>
            </w:r>
          </w:p>
        </w:tc>
        <w:tc>
          <w:tcPr>
            <w:tcW w:w="505" w:type="pct"/>
            <w:shd w:val="clear" w:color="auto" w:fill="auto"/>
            <w:vAlign w:val="bottom"/>
          </w:tcPr>
          <w:p w:rsidR="00E10845" w:rsidRPr="00E17EEF" w:rsidRDefault="00E10845" w:rsidP="008B63A3">
            <w:pPr>
              <w:pStyle w:val="TableBodyText"/>
              <w:rPr>
                <w:sz w:val="18"/>
                <w:szCs w:val="18"/>
              </w:rPr>
            </w:pPr>
            <w:r w:rsidRPr="00E17EEF">
              <w:rPr>
                <w:sz w:val="18"/>
                <w:szCs w:val="18"/>
              </w:rPr>
              <w:t>12.3</w:t>
            </w:r>
          </w:p>
        </w:tc>
      </w:tr>
      <w:tr w:rsidR="00E10845" w:rsidRPr="006C5A80" w:rsidTr="008B63A3">
        <w:tc>
          <w:tcPr>
            <w:tcW w:w="1960" w:type="pct"/>
            <w:vAlign w:val="bottom"/>
          </w:tcPr>
          <w:p w:rsidR="00E10845" w:rsidRPr="00267504" w:rsidRDefault="00E10845" w:rsidP="008B63A3">
            <w:pPr>
              <w:pStyle w:val="TableBodyText"/>
              <w:jc w:val="left"/>
              <w:rPr>
                <w:sz w:val="18"/>
                <w:szCs w:val="18"/>
              </w:rPr>
            </w:pPr>
            <w:r w:rsidRPr="00267504">
              <w:rPr>
                <w:sz w:val="18"/>
                <w:szCs w:val="18"/>
              </w:rPr>
              <w:t>Information, media and telecommunications</w:t>
            </w:r>
          </w:p>
        </w:tc>
        <w:tc>
          <w:tcPr>
            <w:tcW w:w="507" w:type="pct"/>
            <w:vAlign w:val="bottom"/>
          </w:tcPr>
          <w:p w:rsidR="00E10845" w:rsidRPr="00E17EEF" w:rsidRDefault="00E10845" w:rsidP="008B63A3">
            <w:pPr>
              <w:pStyle w:val="TableBodyText"/>
              <w:rPr>
                <w:sz w:val="18"/>
                <w:szCs w:val="18"/>
              </w:rPr>
            </w:pPr>
            <w:r w:rsidRPr="00E17EEF">
              <w:rPr>
                <w:sz w:val="18"/>
                <w:szCs w:val="18"/>
              </w:rPr>
              <w:t>1.1</w:t>
            </w:r>
          </w:p>
        </w:tc>
        <w:tc>
          <w:tcPr>
            <w:tcW w:w="507" w:type="pct"/>
            <w:vAlign w:val="bottom"/>
          </w:tcPr>
          <w:p w:rsidR="00E10845" w:rsidRPr="00E17EEF" w:rsidRDefault="00E10845" w:rsidP="008B63A3">
            <w:pPr>
              <w:pStyle w:val="TableBodyText"/>
              <w:rPr>
                <w:sz w:val="18"/>
                <w:szCs w:val="18"/>
              </w:rPr>
            </w:pPr>
            <w:r w:rsidRPr="00E17EEF">
              <w:rPr>
                <w:sz w:val="18"/>
                <w:szCs w:val="18"/>
              </w:rPr>
              <w:t>1.4</w:t>
            </w:r>
          </w:p>
        </w:tc>
        <w:tc>
          <w:tcPr>
            <w:tcW w:w="507" w:type="pct"/>
            <w:vAlign w:val="bottom"/>
          </w:tcPr>
          <w:p w:rsidR="00E10845" w:rsidRPr="00E17EEF" w:rsidRDefault="00E10845" w:rsidP="008B63A3">
            <w:pPr>
              <w:pStyle w:val="TableBodyText"/>
              <w:rPr>
                <w:sz w:val="18"/>
                <w:szCs w:val="18"/>
              </w:rPr>
            </w:pPr>
            <w:r w:rsidRPr="00E17EEF">
              <w:rPr>
                <w:sz w:val="18"/>
                <w:szCs w:val="18"/>
              </w:rPr>
              <w:t>1.5</w:t>
            </w:r>
          </w:p>
        </w:tc>
        <w:tc>
          <w:tcPr>
            <w:tcW w:w="507" w:type="pct"/>
            <w:vAlign w:val="bottom"/>
          </w:tcPr>
          <w:p w:rsidR="00E10845" w:rsidRPr="00E17EEF" w:rsidRDefault="00E10845" w:rsidP="008B63A3">
            <w:pPr>
              <w:pStyle w:val="TableBodyText"/>
              <w:rPr>
                <w:sz w:val="18"/>
                <w:szCs w:val="18"/>
              </w:rPr>
            </w:pPr>
            <w:r w:rsidRPr="00E17EEF">
              <w:rPr>
                <w:sz w:val="18"/>
                <w:szCs w:val="18"/>
              </w:rPr>
              <w:t>1.4</w:t>
            </w:r>
          </w:p>
        </w:tc>
        <w:tc>
          <w:tcPr>
            <w:tcW w:w="507" w:type="pct"/>
            <w:shd w:val="clear" w:color="auto" w:fill="auto"/>
            <w:vAlign w:val="bottom"/>
          </w:tcPr>
          <w:p w:rsidR="00E10845" w:rsidRPr="00E17EEF" w:rsidRDefault="00E10845" w:rsidP="008B63A3">
            <w:pPr>
              <w:pStyle w:val="TableBodyText"/>
              <w:rPr>
                <w:sz w:val="18"/>
                <w:szCs w:val="18"/>
              </w:rPr>
            </w:pPr>
            <w:r w:rsidRPr="00E17EEF">
              <w:rPr>
                <w:sz w:val="18"/>
                <w:szCs w:val="18"/>
              </w:rPr>
              <w:t>1.2</w:t>
            </w:r>
          </w:p>
        </w:tc>
        <w:tc>
          <w:tcPr>
            <w:tcW w:w="505" w:type="pct"/>
            <w:shd w:val="clear" w:color="auto" w:fill="auto"/>
            <w:vAlign w:val="bottom"/>
          </w:tcPr>
          <w:p w:rsidR="00E10845" w:rsidRPr="00E17EEF" w:rsidRDefault="00E10845" w:rsidP="008B63A3">
            <w:pPr>
              <w:pStyle w:val="TableBodyText"/>
              <w:rPr>
                <w:sz w:val="18"/>
                <w:szCs w:val="18"/>
              </w:rPr>
            </w:pPr>
            <w:r w:rsidRPr="00E17EEF">
              <w:rPr>
                <w:sz w:val="18"/>
                <w:szCs w:val="18"/>
              </w:rPr>
              <w:t>1.4</w:t>
            </w:r>
          </w:p>
        </w:tc>
      </w:tr>
      <w:tr w:rsidR="00E10845" w:rsidRPr="006C5A80" w:rsidTr="008B63A3">
        <w:tc>
          <w:tcPr>
            <w:tcW w:w="1960" w:type="pct"/>
            <w:vAlign w:val="bottom"/>
          </w:tcPr>
          <w:p w:rsidR="00E10845" w:rsidRPr="00267504" w:rsidRDefault="00E10845" w:rsidP="008B63A3">
            <w:pPr>
              <w:pStyle w:val="TableBodyText"/>
              <w:jc w:val="left"/>
              <w:rPr>
                <w:sz w:val="18"/>
                <w:szCs w:val="18"/>
              </w:rPr>
            </w:pPr>
            <w:r w:rsidRPr="00267504">
              <w:rPr>
                <w:sz w:val="18"/>
                <w:szCs w:val="18"/>
              </w:rPr>
              <w:t>Financial and insurance services</w:t>
            </w:r>
          </w:p>
        </w:tc>
        <w:tc>
          <w:tcPr>
            <w:tcW w:w="507" w:type="pct"/>
            <w:vAlign w:val="bottom"/>
          </w:tcPr>
          <w:p w:rsidR="00E10845" w:rsidRPr="00E17EEF" w:rsidRDefault="00E10845" w:rsidP="008B63A3">
            <w:pPr>
              <w:pStyle w:val="TableBodyText"/>
              <w:rPr>
                <w:sz w:val="18"/>
                <w:szCs w:val="18"/>
              </w:rPr>
            </w:pPr>
            <w:r w:rsidRPr="00E17EEF">
              <w:rPr>
                <w:sz w:val="18"/>
                <w:szCs w:val="18"/>
              </w:rPr>
              <w:t>4.5</w:t>
            </w:r>
          </w:p>
        </w:tc>
        <w:tc>
          <w:tcPr>
            <w:tcW w:w="507" w:type="pct"/>
            <w:vAlign w:val="bottom"/>
          </w:tcPr>
          <w:p w:rsidR="00E10845" w:rsidRPr="00E17EEF" w:rsidRDefault="00E10845" w:rsidP="008B63A3">
            <w:pPr>
              <w:pStyle w:val="TableBodyText"/>
              <w:rPr>
                <w:sz w:val="18"/>
                <w:szCs w:val="18"/>
              </w:rPr>
            </w:pPr>
            <w:r w:rsidRPr="00E17EEF">
              <w:rPr>
                <w:sz w:val="18"/>
                <w:szCs w:val="18"/>
              </w:rPr>
              <w:t>5.6</w:t>
            </w:r>
          </w:p>
        </w:tc>
        <w:tc>
          <w:tcPr>
            <w:tcW w:w="507" w:type="pct"/>
            <w:vAlign w:val="bottom"/>
          </w:tcPr>
          <w:p w:rsidR="00E10845" w:rsidRPr="00E17EEF" w:rsidRDefault="00E10845" w:rsidP="008B63A3">
            <w:pPr>
              <w:pStyle w:val="TableBodyText"/>
              <w:rPr>
                <w:sz w:val="18"/>
                <w:szCs w:val="18"/>
              </w:rPr>
            </w:pPr>
            <w:r w:rsidRPr="00E17EEF">
              <w:rPr>
                <w:sz w:val="18"/>
                <w:szCs w:val="18"/>
              </w:rPr>
              <w:t>6.0</w:t>
            </w:r>
          </w:p>
        </w:tc>
        <w:tc>
          <w:tcPr>
            <w:tcW w:w="507" w:type="pct"/>
            <w:vAlign w:val="bottom"/>
          </w:tcPr>
          <w:p w:rsidR="00E10845" w:rsidRPr="00E17EEF" w:rsidRDefault="00E10845" w:rsidP="008B63A3">
            <w:pPr>
              <w:pStyle w:val="TableBodyText"/>
              <w:rPr>
                <w:sz w:val="18"/>
                <w:szCs w:val="18"/>
              </w:rPr>
            </w:pPr>
            <w:r w:rsidRPr="00E17EEF">
              <w:rPr>
                <w:sz w:val="18"/>
                <w:szCs w:val="18"/>
              </w:rPr>
              <w:t>5.6</w:t>
            </w:r>
          </w:p>
        </w:tc>
        <w:tc>
          <w:tcPr>
            <w:tcW w:w="507" w:type="pct"/>
            <w:shd w:val="clear" w:color="auto" w:fill="auto"/>
            <w:vAlign w:val="bottom"/>
          </w:tcPr>
          <w:p w:rsidR="00E10845" w:rsidRPr="00E17EEF" w:rsidRDefault="00E10845" w:rsidP="008B63A3">
            <w:pPr>
              <w:pStyle w:val="TableBodyText"/>
              <w:rPr>
                <w:sz w:val="18"/>
                <w:szCs w:val="18"/>
              </w:rPr>
            </w:pPr>
            <w:r w:rsidRPr="00E17EEF">
              <w:rPr>
                <w:sz w:val="18"/>
                <w:szCs w:val="18"/>
              </w:rPr>
              <w:t>5.0</w:t>
            </w:r>
          </w:p>
        </w:tc>
        <w:tc>
          <w:tcPr>
            <w:tcW w:w="505" w:type="pct"/>
            <w:shd w:val="clear" w:color="auto" w:fill="auto"/>
            <w:vAlign w:val="bottom"/>
          </w:tcPr>
          <w:p w:rsidR="00E10845" w:rsidRPr="00E17EEF" w:rsidRDefault="00E10845" w:rsidP="008B63A3">
            <w:pPr>
              <w:pStyle w:val="TableBodyText"/>
              <w:rPr>
                <w:sz w:val="18"/>
                <w:szCs w:val="18"/>
              </w:rPr>
            </w:pPr>
            <w:r w:rsidRPr="00E17EEF">
              <w:rPr>
                <w:sz w:val="18"/>
                <w:szCs w:val="18"/>
              </w:rPr>
              <w:t>5.5</w:t>
            </w:r>
          </w:p>
        </w:tc>
      </w:tr>
      <w:tr w:rsidR="00E10845" w:rsidRPr="006C5A80" w:rsidTr="008B63A3">
        <w:tc>
          <w:tcPr>
            <w:tcW w:w="1960" w:type="pct"/>
            <w:vAlign w:val="bottom"/>
          </w:tcPr>
          <w:p w:rsidR="00E10845" w:rsidRPr="00267504" w:rsidRDefault="00E10845" w:rsidP="008B63A3">
            <w:pPr>
              <w:pStyle w:val="TableBodyText"/>
              <w:jc w:val="left"/>
              <w:rPr>
                <w:sz w:val="18"/>
                <w:szCs w:val="18"/>
              </w:rPr>
            </w:pPr>
            <w:r w:rsidRPr="00267504">
              <w:rPr>
                <w:sz w:val="18"/>
                <w:szCs w:val="18"/>
              </w:rPr>
              <w:t>Property, professional and administrative services</w:t>
            </w:r>
          </w:p>
        </w:tc>
        <w:tc>
          <w:tcPr>
            <w:tcW w:w="507" w:type="pct"/>
            <w:vAlign w:val="bottom"/>
          </w:tcPr>
          <w:p w:rsidR="00E10845" w:rsidRPr="00E17EEF" w:rsidRDefault="00E10845" w:rsidP="008B63A3">
            <w:pPr>
              <w:pStyle w:val="TableBodyText"/>
              <w:rPr>
                <w:sz w:val="18"/>
                <w:szCs w:val="18"/>
              </w:rPr>
            </w:pPr>
            <w:r w:rsidRPr="00E17EEF">
              <w:rPr>
                <w:sz w:val="18"/>
                <w:szCs w:val="18"/>
              </w:rPr>
              <w:t>28.4</w:t>
            </w:r>
          </w:p>
        </w:tc>
        <w:tc>
          <w:tcPr>
            <w:tcW w:w="507" w:type="pct"/>
            <w:vAlign w:val="bottom"/>
          </w:tcPr>
          <w:p w:rsidR="00E10845" w:rsidRPr="00E17EEF" w:rsidRDefault="00E10845" w:rsidP="008B63A3">
            <w:pPr>
              <w:pStyle w:val="TableBodyText"/>
              <w:rPr>
                <w:sz w:val="18"/>
                <w:szCs w:val="18"/>
              </w:rPr>
            </w:pPr>
            <w:r w:rsidRPr="00E17EEF">
              <w:rPr>
                <w:sz w:val="18"/>
                <w:szCs w:val="18"/>
              </w:rPr>
              <w:t>35.1</w:t>
            </w:r>
          </w:p>
        </w:tc>
        <w:tc>
          <w:tcPr>
            <w:tcW w:w="507" w:type="pct"/>
            <w:vAlign w:val="bottom"/>
          </w:tcPr>
          <w:p w:rsidR="00E10845" w:rsidRPr="00E17EEF" w:rsidRDefault="00E10845" w:rsidP="008B63A3">
            <w:pPr>
              <w:pStyle w:val="TableBodyText"/>
              <w:rPr>
                <w:sz w:val="18"/>
                <w:szCs w:val="18"/>
              </w:rPr>
            </w:pPr>
            <w:r w:rsidRPr="00E17EEF">
              <w:rPr>
                <w:sz w:val="18"/>
                <w:szCs w:val="18"/>
              </w:rPr>
              <w:t>39.7</w:t>
            </w:r>
          </w:p>
        </w:tc>
        <w:tc>
          <w:tcPr>
            <w:tcW w:w="507" w:type="pct"/>
            <w:vAlign w:val="bottom"/>
          </w:tcPr>
          <w:p w:rsidR="00E10845" w:rsidRPr="00E17EEF" w:rsidRDefault="00E10845" w:rsidP="008B63A3">
            <w:pPr>
              <w:pStyle w:val="TableBodyText"/>
              <w:rPr>
                <w:sz w:val="18"/>
                <w:szCs w:val="18"/>
              </w:rPr>
            </w:pPr>
            <w:r w:rsidRPr="00E17EEF">
              <w:rPr>
                <w:sz w:val="18"/>
                <w:szCs w:val="18"/>
              </w:rPr>
              <w:t>38.4</w:t>
            </w:r>
          </w:p>
        </w:tc>
        <w:tc>
          <w:tcPr>
            <w:tcW w:w="507" w:type="pct"/>
            <w:shd w:val="clear" w:color="auto" w:fill="auto"/>
            <w:vAlign w:val="bottom"/>
          </w:tcPr>
          <w:p w:rsidR="00E10845" w:rsidRPr="00E17EEF" w:rsidRDefault="00E10845" w:rsidP="008B63A3">
            <w:pPr>
              <w:pStyle w:val="TableBodyText"/>
              <w:rPr>
                <w:sz w:val="18"/>
                <w:szCs w:val="18"/>
              </w:rPr>
            </w:pPr>
            <w:r w:rsidRPr="00E17EEF">
              <w:rPr>
                <w:sz w:val="18"/>
                <w:szCs w:val="18"/>
              </w:rPr>
              <w:t>34.5</w:t>
            </w:r>
          </w:p>
        </w:tc>
        <w:tc>
          <w:tcPr>
            <w:tcW w:w="505" w:type="pct"/>
            <w:shd w:val="clear" w:color="auto" w:fill="auto"/>
            <w:vAlign w:val="bottom"/>
          </w:tcPr>
          <w:p w:rsidR="00E10845" w:rsidRPr="00E17EEF" w:rsidRDefault="00E10845" w:rsidP="008B63A3">
            <w:pPr>
              <w:pStyle w:val="TableBodyText"/>
              <w:rPr>
                <w:sz w:val="18"/>
                <w:szCs w:val="18"/>
              </w:rPr>
            </w:pPr>
            <w:r w:rsidRPr="00E17EEF">
              <w:rPr>
                <w:sz w:val="18"/>
                <w:szCs w:val="18"/>
              </w:rPr>
              <w:t>37.4</w:t>
            </w:r>
          </w:p>
        </w:tc>
      </w:tr>
      <w:tr w:rsidR="00E10845" w:rsidRPr="006C5A80" w:rsidTr="008B63A3">
        <w:tc>
          <w:tcPr>
            <w:tcW w:w="1960" w:type="pct"/>
            <w:vAlign w:val="bottom"/>
          </w:tcPr>
          <w:p w:rsidR="00E10845" w:rsidRPr="00267504" w:rsidRDefault="00E10845" w:rsidP="008B63A3">
            <w:pPr>
              <w:pStyle w:val="TableBodyText"/>
              <w:jc w:val="left"/>
              <w:rPr>
                <w:sz w:val="18"/>
                <w:szCs w:val="18"/>
              </w:rPr>
            </w:pPr>
            <w:r w:rsidRPr="00267504">
              <w:rPr>
                <w:sz w:val="18"/>
                <w:szCs w:val="18"/>
              </w:rPr>
              <w:t>Public administration and safety</w:t>
            </w:r>
          </w:p>
        </w:tc>
        <w:tc>
          <w:tcPr>
            <w:tcW w:w="507" w:type="pct"/>
            <w:vAlign w:val="bottom"/>
          </w:tcPr>
          <w:p w:rsidR="00E10845" w:rsidRPr="00E17EEF" w:rsidRDefault="00E10845" w:rsidP="008B63A3">
            <w:pPr>
              <w:pStyle w:val="TableBodyText"/>
              <w:rPr>
                <w:sz w:val="18"/>
                <w:szCs w:val="18"/>
              </w:rPr>
            </w:pPr>
            <w:r w:rsidRPr="00E17EEF">
              <w:rPr>
                <w:sz w:val="18"/>
                <w:szCs w:val="18"/>
              </w:rPr>
              <w:t>0.7</w:t>
            </w:r>
          </w:p>
        </w:tc>
        <w:tc>
          <w:tcPr>
            <w:tcW w:w="507" w:type="pct"/>
            <w:vAlign w:val="bottom"/>
          </w:tcPr>
          <w:p w:rsidR="00E10845" w:rsidRPr="00E17EEF" w:rsidRDefault="00E10845" w:rsidP="008B63A3">
            <w:pPr>
              <w:pStyle w:val="TableBodyText"/>
              <w:rPr>
                <w:sz w:val="18"/>
                <w:szCs w:val="18"/>
              </w:rPr>
            </w:pPr>
            <w:r w:rsidRPr="00E17EEF">
              <w:rPr>
                <w:sz w:val="18"/>
                <w:szCs w:val="18"/>
              </w:rPr>
              <w:t>0.8</w:t>
            </w:r>
          </w:p>
        </w:tc>
        <w:tc>
          <w:tcPr>
            <w:tcW w:w="507" w:type="pct"/>
            <w:vAlign w:val="bottom"/>
          </w:tcPr>
          <w:p w:rsidR="00E10845" w:rsidRPr="00E17EEF" w:rsidRDefault="00E10845" w:rsidP="008B63A3">
            <w:pPr>
              <w:pStyle w:val="TableBodyText"/>
              <w:rPr>
                <w:sz w:val="18"/>
                <w:szCs w:val="18"/>
              </w:rPr>
            </w:pPr>
            <w:r w:rsidRPr="00E17EEF">
              <w:rPr>
                <w:sz w:val="18"/>
                <w:szCs w:val="18"/>
              </w:rPr>
              <w:t>0.9</w:t>
            </w:r>
          </w:p>
        </w:tc>
        <w:tc>
          <w:tcPr>
            <w:tcW w:w="507" w:type="pct"/>
            <w:vAlign w:val="bottom"/>
          </w:tcPr>
          <w:p w:rsidR="00E10845" w:rsidRPr="00E17EEF" w:rsidRDefault="00E10845" w:rsidP="008B63A3">
            <w:pPr>
              <w:pStyle w:val="TableBodyText"/>
              <w:rPr>
                <w:sz w:val="18"/>
                <w:szCs w:val="18"/>
              </w:rPr>
            </w:pPr>
            <w:r w:rsidRPr="00E17EEF">
              <w:rPr>
                <w:sz w:val="18"/>
                <w:szCs w:val="18"/>
              </w:rPr>
              <w:t>0.8</w:t>
            </w:r>
          </w:p>
        </w:tc>
        <w:tc>
          <w:tcPr>
            <w:tcW w:w="507" w:type="pct"/>
            <w:shd w:val="clear" w:color="auto" w:fill="auto"/>
            <w:vAlign w:val="bottom"/>
          </w:tcPr>
          <w:p w:rsidR="00E10845" w:rsidRPr="00E17EEF" w:rsidRDefault="00E10845" w:rsidP="008B63A3">
            <w:pPr>
              <w:pStyle w:val="TableBodyText"/>
              <w:rPr>
                <w:sz w:val="18"/>
                <w:szCs w:val="18"/>
              </w:rPr>
            </w:pPr>
            <w:r w:rsidRPr="00E17EEF">
              <w:rPr>
                <w:sz w:val="18"/>
                <w:szCs w:val="18"/>
              </w:rPr>
              <w:t>0.7</w:t>
            </w:r>
          </w:p>
        </w:tc>
        <w:tc>
          <w:tcPr>
            <w:tcW w:w="505" w:type="pct"/>
            <w:shd w:val="clear" w:color="auto" w:fill="auto"/>
            <w:vAlign w:val="bottom"/>
          </w:tcPr>
          <w:p w:rsidR="00E10845" w:rsidRPr="00E17EEF" w:rsidRDefault="00E10845" w:rsidP="008B63A3">
            <w:pPr>
              <w:pStyle w:val="TableBodyText"/>
              <w:rPr>
                <w:sz w:val="18"/>
                <w:szCs w:val="18"/>
              </w:rPr>
            </w:pPr>
            <w:r w:rsidRPr="00E17EEF">
              <w:rPr>
                <w:sz w:val="18"/>
                <w:szCs w:val="18"/>
              </w:rPr>
              <w:t>0.8</w:t>
            </w:r>
          </w:p>
        </w:tc>
      </w:tr>
      <w:tr w:rsidR="00E10845" w:rsidRPr="006C5A80" w:rsidTr="008B63A3">
        <w:tc>
          <w:tcPr>
            <w:tcW w:w="1960" w:type="pct"/>
            <w:vAlign w:val="bottom"/>
          </w:tcPr>
          <w:p w:rsidR="00E10845" w:rsidRPr="00267504" w:rsidRDefault="00E10845" w:rsidP="008B63A3">
            <w:pPr>
              <w:pStyle w:val="TableBodyText"/>
              <w:jc w:val="left"/>
              <w:rPr>
                <w:sz w:val="18"/>
                <w:szCs w:val="18"/>
              </w:rPr>
            </w:pPr>
            <w:r w:rsidRPr="00267504">
              <w:rPr>
                <w:sz w:val="18"/>
                <w:szCs w:val="18"/>
              </w:rPr>
              <w:t>Education and training</w:t>
            </w:r>
          </w:p>
        </w:tc>
        <w:tc>
          <w:tcPr>
            <w:tcW w:w="507" w:type="pct"/>
            <w:vAlign w:val="bottom"/>
          </w:tcPr>
          <w:p w:rsidR="00E10845" w:rsidRPr="00E17EEF" w:rsidRDefault="00E10845" w:rsidP="008B63A3">
            <w:pPr>
              <w:pStyle w:val="TableBodyText"/>
              <w:rPr>
                <w:sz w:val="18"/>
                <w:szCs w:val="18"/>
              </w:rPr>
            </w:pPr>
            <w:r w:rsidRPr="00E17EEF">
              <w:rPr>
                <w:sz w:val="18"/>
                <w:szCs w:val="18"/>
              </w:rPr>
              <w:t>3.7</w:t>
            </w:r>
          </w:p>
        </w:tc>
        <w:tc>
          <w:tcPr>
            <w:tcW w:w="507" w:type="pct"/>
            <w:vAlign w:val="bottom"/>
          </w:tcPr>
          <w:p w:rsidR="00E10845" w:rsidRPr="00E17EEF" w:rsidRDefault="00E10845" w:rsidP="008B63A3">
            <w:pPr>
              <w:pStyle w:val="TableBodyText"/>
              <w:rPr>
                <w:sz w:val="18"/>
                <w:szCs w:val="18"/>
              </w:rPr>
            </w:pPr>
            <w:r w:rsidRPr="00E17EEF">
              <w:rPr>
                <w:sz w:val="18"/>
                <w:szCs w:val="18"/>
              </w:rPr>
              <w:t>4.8</w:t>
            </w:r>
          </w:p>
        </w:tc>
        <w:tc>
          <w:tcPr>
            <w:tcW w:w="507" w:type="pct"/>
            <w:vAlign w:val="bottom"/>
          </w:tcPr>
          <w:p w:rsidR="00E10845" w:rsidRPr="00E17EEF" w:rsidRDefault="00E10845" w:rsidP="008B63A3">
            <w:pPr>
              <w:pStyle w:val="TableBodyText"/>
              <w:rPr>
                <w:sz w:val="18"/>
                <w:szCs w:val="18"/>
              </w:rPr>
            </w:pPr>
            <w:r w:rsidRPr="00E17EEF">
              <w:rPr>
                <w:sz w:val="18"/>
                <w:szCs w:val="18"/>
              </w:rPr>
              <w:t>5.4</w:t>
            </w:r>
          </w:p>
        </w:tc>
        <w:tc>
          <w:tcPr>
            <w:tcW w:w="507" w:type="pct"/>
            <w:vAlign w:val="bottom"/>
          </w:tcPr>
          <w:p w:rsidR="00E10845" w:rsidRPr="00E17EEF" w:rsidRDefault="00E10845" w:rsidP="008B63A3">
            <w:pPr>
              <w:pStyle w:val="TableBodyText"/>
              <w:rPr>
                <w:sz w:val="18"/>
                <w:szCs w:val="18"/>
              </w:rPr>
            </w:pPr>
            <w:r w:rsidRPr="00E17EEF">
              <w:rPr>
                <w:sz w:val="18"/>
                <w:szCs w:val="18"/>
              </w:rPr>
              <w:t>5.4</w:t>
            </w:r>
          </w:p>
        </w:tc>
        <w:tc>
          <w:tcPr>
            <w:tcW w:w="507" w:type="pct"/>
            <w:shd w:val="clear" w:color="auto" w:fill="auto"/>
            <w:vAlign w:val="bottom"/>
          </w:tcPr>
          <w:p w:rsidR="00E10845" w:rsidRPr="00E17EEF" w:rsidRDefault="00E10845" w:rsidP="008B63A3">
            <w:pPr>
              <w:pStyle w:val="TableBodyText"/>
              <w:rPr>
                <w:sz w:val="18"/>
                <w:szCs w:val="18"/>
              </w:rPr>
            </w:pPr>
            <w:r w:rsidRPr="00E17EEF">
              <w:rPr>
                <w:sz w:val="18"/>
                <w:szCs w:val="18"/>
              </w:rPr>
              <w:t>4.8</w:t>
            </w:r>
          </w:p>
        </w:tc>
        <w:tc>
          <w:tcPr>
            <w:tcW w:w="505" w:type="pct"/>
            <w:shd w:val="clear" w:color="auto" w:fill="auto"/>
            <w:vAlign w:val="bottom"/>
          </w:tcPr>
          <w:p w:rsidR="00E10845" w:rsidRPr="00E17EEF" w:rsidRDefault="00E10845" w:rsidP="008B63A3">
            <w:pPr>
              <w:pStyle w:val="TableBodyText"/>
              <w:rPr>
                <w:sz w:val="18"/>
                <w:szCs w:val="18"/>
              </w:rPr>
            </w:pPr>
            <w:r w:rsidRPr="00E17EEF">
              <w:rPr>
                <w:sz w:val="18"/>
                <w:szCs w:val="18"/>
              </w:rPr>
              <w:t>5.3</w:t>
            </w:r>
          </w:p>
        </w:tc>
      </w:tr>
      <w:tr w:rsidR="00E10845" w:rsidRPr="006C5A80" w:rsidTr="008B63A3">
        <w:tc>
          <w:tcPr>
            <w:tcW w:w="1960" w:type="pct"/>
            <w:vAlign w:val="bottom"/>
          </w:tcPr>
          <w:p w:rsidR="00E10845" w:rsidRPr="00267504" w:rsidRDefault="00E10845" w:rsidP="008B63A3">
            <w:pPr>
              <w:pStyle w:val="TableBodyText"/>
              <w:jc w:val="left"/>
              <w:rPr>
                <w:sz w:val="18"/>
                <w:szCs w:val="18"/>
              </w:rPr>
            </w:pPr>
            <w:r w:rsidRPr="00267504">
              <w:rPr>
                <w:sz w:val="18"/>
                <w:szCs w:val="18"/>
              </w:rPr>
              <w:t>Health care and social assistance</w:t>
            </w:r>
          </w:p>
        </w:tc>
        <w:tc>
          <w:tcPr>
            <w:tcW w:w="507" w:type="pct"/>
            <w:vAlign w:val="bottom"/>
          </w:tcPr>
          <w:p w:rsidR="00E10845" w:rsidRPr="00E17EEF" w:rsidRDefault="00E10845" w:rsidP="008B63A3">
            <w:pPr>
              <w:pStyle w:val="TableBodyText"/>
              <w:rPr>
                <w:sz w:val="18"/>
                <w:szCs w:val="18"/>
              </w:rPr>
            </w:pPr>
            <w:r w:rsidRPr="00E17EEF">
              <w:rPr>
                <w:sz w:val="18"/>
                <w:szCs w:val="18"/>
              </w:rPr>
              <w:t>8.0</w:t>
            </w:r>
          </w:p>
        </w:tc>
        <w:tc>
          <w:tcPr>
            <w:tcW w:w="507" w:type="pct"/>
            <w:vAlign w:val="bottom"/>
          </w:tcPr>
          <w:p w:rsidR="00E10845" w:rsidRPr="00E17EEF" w:rsidRDefault="00E10845" w:rsidP="008B63A3">
            <w:pPr>
              <w:pStyle w:val="TableBodyText"/>
              <w:rPr>
                <w:sz w:val="18"/>
                <w:szCs w:val="18"/>
              </w:rPr>
            </w:pPr>
            <w:r w:rsidRPr="00E17EEF">
              <w:rPr>
                <w:sz w:val="18"/>
                <w:szCs w:val="18"/>
              </w:rPr>
              <w:t>10.4</w:t>
            </w:r>
          </w:p>
        </w:tc>
        <w:tc>
          <w:tcPr>
            <w:tcW w:w="507" w:type="pct"/>
            <w:vAlign w:val="bottom"/>
          </w:tcPr>
          <w:p w:rsidR="00E10845" w:rsidRPr="00E17EEF" w:rsidRDefault="00E10845" w:rsidP="008B63A3">
            <w:pPr>
              <w:pStyle w:val="TableBodyText"/>
              <w:rPr>
                <w:sz w:val="18"/>
                <w:szCs w:val="18"/>
              </w:rPr>
            </w:pPr>
            <w:r w:rsidRPr="00E17EEF">
              <w:rPr>
                <w:sz w:val="18"/>
                <w:szCs w:val="18"/>
              </w:rPr>
              <w:t>12.7</w:t>
            </w:r>
          </w:p>
        </w:tc>
        <w:tc>
          <w:tcPr>
            <w:tcW w:w="507" w:type="pct"/>
            <w:vAlign w:val="bottom"/>
          </w:tcPr>
          <w:p w:rsidR="00E10845" w:rsidRPr="00E17EEF" w:rsidRDefault="00E10845" w:rsidP="008B63A3">
            <w:pPr>
              <w:pStyle w:val="TableBodyText"/>
              <w:rPr>
                <w:sz w:val="18"/>
                <w:szCs w:val="18"/>
              </w:rPr>
            </w:pPr>
            <w:r w:rsidRPr="00E17EEF">
              <w:rPr>
                <w:sz w:val="18"/>
                <w:szCs w:val="18"/>
              </w:rPr>
              <w:t>10.4</w:t>
            </w:r>
          </w:p>
        </w:tc>
        <w:tc>
          <w:tcPr>
            <w:tcW w:w="507" w:type="pct"/>
            <w:shd w:val="clear" w:color="auto" w:fill="auto"/>
            <w:vAlign w:val="bottom"/>
          </w:tcPr>
          <w:p w:rsidR="00E10845" w:rsidRPr="00E17EEF" w:rsidRDefault="00E10845" w:rsidP="008B63A3">
            <w:pPr>
              <w:pStyle w:val="TableBodyText"/>
              <w:rPr>
                <w:sz w:val="18"/>
                <w:szCs w:val="18"/>
              </w:rPr>
            </w:pPr>
            <w:r w:rsidRPr="00E17EEF">
              <w:rPr>
                <w:sz w:val="18"/>
                <w:szCs w:val="18"/>
              </w:rPr>
              <w:t>9.4</w:t>
            </w:r>
          </w:p>
        </w:tc>
        <w:tc>
          <w:tcPr>
            <w:tcW w:w="505" w:type="pct"/>
            <w:shd w:val="clear" w:color="auto" w:fill="auto"/>
            <w:vAlign w:val="bottom"/>
          </w:tcPr>
          <w:p w:rsidR="00E10845" w:rsidRPr="00E17EEF" w:rsidRDefault="00E10845" w:rsidP="008B63A3">
            <w:pPr>
              <w:pStyle w:val="TableBodyText"/>
              <w:rPr>
                <w:sz w:val="18"/>
                <w:szCs w:val="18"/>
              </w:rPr>
            </w:pPr>
            <w:r w:rsidRPr="00E17EEF">
              <w:rPr>
                <w:sz w:val="18"/>
                <w:szCs w:val="18"/>
              </w:rPr>
              <w:t>10.2</w:t>
            </w:r>
          </w:p>
        </w:tc>
      </w:tr>
      <w:tr w:rsidR="00E10845" w:rsidRPr="006C5A80" w:rsidTr="008B63A3">
        <w:tc>
          <w:tcPr>
            <w:tcW w:w="1960" w:type="pct"/>
            <w:vAlign w:val="bottom"/>
          </w:tcPr>
          <w:p w:rsidR="00E10845" w:rsidRPr="00267504" w:rsidRDefault="00E10845" w:rsidP="008B63A3">
            <w:pPr>
              <w:pStyle w:val="TableBodyText"/>
              <w:jc w:val="left"/>
              <w:rPr>
                <w:sz w:val="18"/>
                <w:szCs w:val="18"/>
              </w:rPr>
            </w:pPr>
            <w:r w:rsidRPr="00267504">
              <w:rPr>
                <w:sz w:val="18"/>
                <w:szCs w:val="18"/>
              </w:rPr>
              <w:t>Arts and recreation services</w:t>
            </w:r>
          </w:p>
        </w:tc>
        <w:tc>
          <w:tcPr>
            <w:tcW w:w="507" w:type="pct"/>
            <w:vAlign w:val="bottom"/>
          </w:tcPr>
          <w:p w:rsidR="00E10845" w:rsidRPr="00E17EEF" w:rsidRDefault="00E10845" w:rsidP="008B63A3">
            <w:pPr>
              <w:pStyle w:val="TableBodyText"/>
              <w:rPr>
                <w:sz w:val="18"/>
                <w:szCs w:val="18"/>
              </w:rPr>
            </w:pPr>
            <w:r w:rsidRPr="00E17EEF">
              <w:rPr>
                <w:sz w:val="18"/>
                <w:szCs w:val="18"/>
              </w:rPr>
              <w:t>4.4</w:t>
            </w:r>
          </w:p>
        </w:tc>
        <w:tc>
          <w:tcPr>
            <w:tcW w:w="507" w:type="pct"/>
            <w:vAlign w:val="bottom"/>
          </w:tcPr>
          <w:p w:rsidR="00E10845" w:rsidRPr="00E17EEF" w:rsidRDefault="00E10845" w:rsidP="008B63A3">
            <w:pPr>
              <w:pStyle w:val="TableBodyText"/>
              <w:rPr>
                <w:sz w:val="18"/>
                <w:szCs w:val="18"/>
              </w:rPr>
            </w:pPr>
            <w:r w:rsidRPr="00E17EEF">
              <w:rPr>
                <w:sz w:val="18"/>
                <w:szCs w:val="18"/>
              </w:rPr>
              <w:t>5.9</w:t>
            </w:r>
          </w:p>
        </w:tc>
        <w:tc>
          <w:tcPr>
            <w:tcW w:w="507" w:type="pct"/>
            <w:vAlign w:val="bottom"/>
          </w:tcPr>
          <w:p w:rsidR="00E10845" w:rsidRPr="00E17EEF" w:rsidRDefault="00E10845" w:rsidP="008B63A3">
            <w:pPr>
              <w:pStyle w:val="TableBodyText"/>
              <w:rPr>
                <w:sz w:val="18"/>
                <w:szCs w:val="18"/>
              </w:rPr>
            </w:pPr>
            <w:r w:rsidRPr="00E17EEF">
              <w:rPr>
                <w:sz w:val="18"/>
                <w:szCs w:val="18"/>
              </w:rPr>
              <w:t>6.3</w:t>
            </w:r>
          </w:p>
        </w:tc>
        <w:tc>
          <w:tcPr>
            <w:tcW w:w="507" w:type="pct"/>
            <w:vAlign w:val="bottom"/>
          </w:tcPr>
          <w:p w:rsidR="00E10845" w:rsidRPr="00E17EEF" w:rsidRDefault="00E10845" w:rsidP="008B63A3">
            <w:pPr>
              <w:pStyle w:val="TableBodyText"/>
              <w:rPr>
                <w:sz w:val="18"/>
                <w:szCs w:val="18"/>
              </w:rPr>
            </w:pPr>
            <w:r w:rsidRPr="00E17EEF">
              <w:rPr>
                <w:sz w:val="18"/>
                <w:szCs w:val="18"/>
              </w:rPr>
              <w:t>6.1</w:t>
            </w:r>
          </w:p>
        </w:tc>
        <w:tc>
          <w:tcPr>
            <w:tcW w:w="507" w:type="pct"/>
            <w:shd w:val="clear" w:color="auto" w:fill="auto"/>
            <w:vAlign w:val="bottom"/>
          </w:tcPr>
          <w:p w:rsidR="00E10845" w:rsidRPr="00E17EEF" w:rsidRDefault="00E10845" w:rsidP="008B63A3">
            <w:pPr>
              <w:pStyle w:val="TableBodyText"/>
              <w:rPr>
                <w:sz w:val="18"/>
                <w:szCs w:val="18"/>
              </w:rPr>
            </w:pPr>
            <w:r w:rsidRPr="00E17EEF">
              <w:rPr>
                <w:sz w:val="18"/>
                <w:szCs w:val="18"/>
              </w:rPr>
              <w:t>5.5</w:t>
            </w:r>
          </w:p>
        </w:tc>
        <w:tc>
          <w:tcPr>
            <w:tcW w:w="505" w:type="pct"/>
            <w:shd w:val="clear" w:color="auto" w:fill="auto"/>
            <w:vAlign w:val="bottom"/>
          </w:tcPr>
          <w:p w:rsidR="00E10845" w:rsidRPr="00E17EEF" w:rsidRDefault="00E10845" w:rsidP="008B63A3">
            <w:pPr>
              <w:pStyle w:val="TableBodyText"/>
              <w:rPr>
                <w:sz w:val="18"/>
                <w:szCs w:val="18"/>
              </w:rPr>
            </w:pPr>
            <w:r w:rsidRPr="00E17EEF">
              <w:rPr>
                <w:sz w:val="18"/>
                <w:szCs w:val="18"/>
              </w:rPr>
              <w:t>5.9</w:t>
            </w:r>
          </w:p>
        </w:tc>
      </w:tr>
      <w:tr w:rsidR="00E10845" w:rsidRPr="006C5A80" w:rsidTr="008B63A3">
        <w:tc>
          <w:tcPr>
            <w:tcW w:w="1960" w:type="pct"/>
            <w:vAlign w:val="bottom"/>
          </w:tcPr>
          <w:p w:rsidR="00E10845" w:rsidRPr="00267504" w:rsidRDefault="00E10845" w:rsidP="008B63A3">
            <w:pPr>
              <w:pStyle w:val="TableBodyText"/>
              <w:jc w:val="left"/>
              <w:rPr>
                <w:sz w:val="18"/>
                <w:szCs w:val="18"/>
              </w:rPr>
            </w:pPr>
            <w:r w:rsidRPr="00267504">
              <w:rPr>
                <w:sz w:val="18"/>
                <w:szCs w:val="18"/>
              </w:rPr>
              <w:t>Other services</w:t>
            </w:r>
          </w:p>
        </w:tc>
        <w:tc>
          <w:tcPr>
            <w:tcW w:w="507" w:type="pct"/>
            <w:vAlign w:val="bottom"/>
          </w:tcPr>
          <w:p w:rsidR="00E10845" w:rsidRPr="00E17EEF" w:rsidRDefault="00E10845" w:rsidP="008B63A3">
            <w:pPr>
              <w:pStyle w:val="TableBodyText"/>
              <w:rPr>
                <w:sz w:val="18"/>
                <w:szCs w:val="18"/>
              </w:rPr>
            </w:pPr>
            <w:r w:rsidRPr="00E17EEF">
              <w:rPr>
                <w:sz w:val="18"/>
                <w:szCs w:val="18"/>
              </w:rPr>
              <w:t>6.9</w:t>
            </w:r>
          </w:p>
        </w:tc>
        <w:tc>
          <w:tcPr>
            <w:tcW w:w="507" w:type="pct"/>
            <w:vAlign w:val="bottom"/>
          </w:tcPr>
          <w:p w:rsidR="00E10845" w:rsidRPr="00E17EEF" w:rsidRDefault="00E10845" w:rsidP="008B63A3">
            <w:pPr>
              <w:pStyle w:val="TableBodyText"/>
              <w:rPr>
                <w:sz w:val="18"/>
                <w:szCs w:val="18"/>
              </w:rPr>
            </w:pPr>
            <w:r w:rsidRPr="00E17EEF">
              <w:rPr>
                <w:sz w:val="18"/>
                <w:szCs w:val="18"/>
              </w:rPr>
              <w:t>8.6</w:t>
            </w:r>
          </w:p>
        </w:tc>
        <w:tc>
          <w:tcPr>
            <w:tcW w:w="507" w:type="pct"/>
            <w:vAlign w:val="bottom"/>
          </w:tcPr>
          <w:p w:rsidR="00E10845" w:rsidRPr="00E17EEF" w:rsidRDefault="00E10845" w:rsidP="008B63A3">
            <w:pPr>
              <w:pStyle w:val="TableBodyText"/>
              <w:rPr>
                <w:sz w:val="18"/>
                <w:szCs w:val="18"/>
              </w:rPr>
            </w:pPr>
            <w:r w:rsidRPr="00E17EEF">
              <w:rPr>
                <w:sz w:val="18"/>
                <w:szCs w:val="18"/>
              </w:rPr>
              <w:t>9.9</w:t>
            </w:r>
          </w:p>
        </w:tc>
        <w:tc>
          <w:tcPr>
            <w:tcW w:w="507" w:type="pct"/>
            <w:vAlign w:val="bottom"/>
          </w:tcPr>
          <w:p w:rsidR="00E10845" w:rsidRPr="00E17EEF" w:rsidRDefault="00E10845" w:rsidP="008B63A3">
            <w:pPr>
              <w:pStyle w:val="TableBodyText"/>
              <w:rPr>
                <w:sz w:val="18"/>
                <w:szCs w:val="18"/>
              </w:rPr>
            </w:pPr>
            <w:r w:rsidRPr="00E17EEF">
              <w:rPr>
                <w:sz w:val="18"/>
                <w:szCs w:val="18"/>
              </w:rPr>
              <w:t>10.6</w:t>
            </w:r>
          </w:p>
        </w:tc>
        <w:tc>
          <w:tcPr>
            <w:tcW w:w="507" w:type="pct"/>
            <w:shd w:val="clear" w:color="auto" w:fill="auto"/>
            <w:vAlign w:val="bottom"/>
          </w:tcPr>
          <w:p w:rsidR="00E10845" w:rsidRPr="00E17EEF" w:rsidRDefault="00E10845" w:rsidP="008B63A3">
            <w:pPr>
              <w:pStyle w:val="TableBodyText"/>
              <w:rPr>
                <w:sz w:val="18"/>
                <w:szCs w:val="18"/>
              </w:rPr>
            </w:pPr>
            <w:r w:rsidRPr="00E17EEF">
              <w:rPr>
                <w:sz w:val="18"/>
                <w:szCs w:val="18"/>
              </w:rPr>
              <w:t>9.5</w:t>
            </w:r>
          </w:p>
        </w:tc>
        <w:tc>
          <w:tcPr>
            <w:tcW w:w="505" w:type="pct"/>
            <w:shd w:val="clear" w:color="auto" w:fill="auto"/>
            <w:vAlign w:val="bottom"/>
          </w:tcPr>
          <w:p w:rsidR="00E10845" w:rsidRPr="00E17EEF" w:rsidRDefault="00E10845" w:rsidP="008B63A3">
            <w:pPr>
              <w:pStyle w:val="TableBodyText"/>
              <w:rPr>
                <w:sz w:val="18"/>
                <w:szCs w:val="18"/>
              </w:rPr>
            </w:pPr>
            <w:r w:rsidRPr="00E17EEF">
              <w:rPr>
                <w:sz w:val="18"/>
                <w:szCs w:val="18"/>
              </w:rPr>
              <w:t>10.3</w:t>
            </w:r>
          </w:p>
        </w:tc>
      </w:tr>
      <w:tr w:rsidR="00E10845" w:rsidRPr="006C5A80" w:rsidTr="008B63A3">
        <w:tc>
          <w:tcPr>
            <w:tcW w:w="1960" w:type="pct"/>
            <w:vAlign w:val="bottom"/>
          </w:tcPr>
          <w:p w:rsidR="00E10845" w:rsidRPr="00267504" w:rsidRDefault="00E10845" w:rsidP="008B63A3">
            <w:pPr>
              <w:pStyle w:val="TableBodyText"/>
              <w:jc w:val="left"/>
              <w:rPr>
                <w:sz w:val="18"/>
                <w:szCs w:val="18"/>
              </w:rPr>
            </w:pPr>
            <w:r w:rsidRPr="00267504">
              <w:rPr>
                <w:sz w:val="18"/>
                <w:szCs w:val="18"/>
              </w:rPr>
              <w:t>Unallocated other</w:t>
            </w:r>
            <w:r w:rsidRPr="00682BD4">
              <w:rPr>
                <w:rStyle w:val="NoteLabel"/>
                <w:szCs w:val="18"/>
              </w:rPr>
              <w:t>a</w:t>
            </w:r>
          </w:p>
        </w:tc>
        <w:tc>
          <w:tcPr>
            <w:tcW w:w="507" w:type="pct"/>
            <w:vAlign w:val="bottom"/>
          </w:tcPr>
          <w:p w:rsidR="00E10845" w:rsidRPr="00E17EEF" w:rsidRDefault="00E10845" w:rsidP="008B63A3">
            <w:pPr>
              <w:pStyle w:val="TableBodyText"/>
              <w:rPr>
                <w:sz w:val="18"/>
                <w:szCs w:val="18"/>
              </w:rPr>
            </w:pPr>
            <w:r w:rsidRPr="00E17EEF">
              <w:rPr>
                <w:sz w:val="18"/>
                <w:szCs w:val="18"/>
              </w:rPr>
              <w:t>18.5</w:t>
            </w:r>
          </w:p>
        </w:tc>
        <w:tc>
          <w:tcPr>
            <w:tcW w:w="507" w:type="pct"/>
            <w:vAlign w:val="bottom"/>
          </w:tcPr>
          <w:p w:rsidR="00E10845" w:rsidRPr="00E17EEF" w:rsidRDefault="00E10845" w:rsidP="008B63A3">
            <w:pPr>
              <w:pStyle w:val="TableBodyText"/>
              <w:rPr>
                <w:sz w:val="18"/>
                <w:szCs w:val="18"/>
              </w:rPr>
            </w:pPr>
            <w:r w:rsidRPr="00E17EEF">
              <w:rPr>
                <w:sz w:val="18"/>
                <w:szCs w:val="18"/>
              </w:rPr>
              <w:t>28.8</w:t>
            </w:r>
          </w:p>
        </w:tc>
        <w:tc>
          <w:tcPr>
            <w:tcW w:w="507" w:type="pct"/>
            <w:vAlign w:val="bottom"/>
          </w:tcPr>
          <w:p w:rsidR="00E10845" w:rsidRPr="00E17EEF" w:rsidRDefault="00E10845" w:rsidP="008B63A3">
            <w:pPr>
              <w:pStyle w:val="TableBodyText"/>
              <w:rPr>
                <w:sz w:val="18"/>
                <w:szCs w:val="18"/>
              </w:rPr>
            </w:pPr>
            <w:r w:rsidRPr="00E17EEF">
              <w:rPr>
                <w:sz w:val="18"/>
                <w:szCs w:val="18"/>
              </w:rPr>
              <w:t>34.8</w:t>
            </w:r>
          </w:p>
        </w:tc>
        <w:tc>
          <w:tcPr>
            <w:tcW w:w="507" w:type="pct"/>
            <w:vAlign w:val="bottom"/>
          </w:tcPr>
          <w:p w:rsidR="00E10845" w:rsidRPr="00E17EEF" w:rsidRDefault="00E10845" w:rsidP="008B63A3">
            <w:pPr>
              <w:pStyle w:val="TableBodyText"/>
              <w:rPr>
                <w:sz w:val="18"/>
                <w:szCs w:val="18"/>
              </w:rPr>
            </w:pPr>
            <w:r w:rsidRPr="00E17EEF">
              <w:rPr>
                <w:sz w:val="18"/>
                <w:szCs w:val="18"/>
              </w:rPr>
              <w:t>36.5</w:t>
            </w:r>
          </w:p>
        </w:tc>
        <w:tc>
          <w:tcPr>
            <w:tcW w:w="507" w:type="pct"/>
            <w:shd w:val="clear" w:color="auto" w:fill="auto"/>
            <w:vAlign w:val="bottom"/>
          </w:tcPr>
          <w:p w:rsidR="00E10845" w:rsidRPr="00E17EEF" w:rsidRDefault="00E10845" w:rsidP="008B63A3">
            <w:pPr>
              <w:pStyle w:val="TableBodyText"/>
              <w:rPr>
                <w:sz w:val="18"/>
                <w:szCs w:val="18"/>
              </w:rPr>
            </w:pPr>
            <w:r w:rsidRPr="00E17EEF">
              <w:rPr>
                <w:sz w:val="18"/>
                <w:szCs w:val="18"/>
              </w:rPr>
              <w:t>32.8</w:t>
            </w:r>
          </w:p>
        </w:tc>
        <w:tc>
          <w:tcPr>
            <w:tcW w:w="505" w:type="pct"/>
            <w:shd w:val="clear" w:color="auto" w:fill="auto"/>
            <w:vAlign w:val="bottom"/>
          </w:tcPr>
          <w:p w:rsidR="00E10845" w:rsidRPr="00E17EEF" w:rsidRDefault="00E10845" w:rsidP="008B63A3">
            <w:pPr>
              <w:pStyle w:val="TableBodyText"/>
              <w:rPr>
                <w:sz w:val="18"/>
                <w:szCs w:val="18"/>
              </w:rPr>
            </w:pPr>
            <w:r w:rsidRPr="00E17EEF">
              <w:rPr>
                <w:sz w:val="18"/>
                <w:szCs w:val="18"/>
              </w:rPr>
              <w:t>35.6</w:t>
            </w:r>
          </w:p>
        </w:tc>
      </w:tr>
      <w:tr w:rsidR="00E10845" w:rsidRPr="006C5A80" w:rsidTr="008B63A3">
        <w:tc>
          <w:tcPr>
            <w:tcW w:w="1960" w:type="pct"/>
            <w:tcBorders>
              <w:bottom w:val="single" w:sz="4" w:space="0" w:color="auto"/>
            </w:tcBorders>
            <w:vAlign w:val="bottom"/>
          </w:tcPr>
          <w:p w:rsidR="00E10845" w:rsidRPr="00267504" w:rsidRDefault="00E10845" w:rsidP="008B63A3">
            <w:pPr>
              <w:pStyle w:val="TableBodyText"/>
              <w:jc w:val="left"/>
              <w:rPr>
                <w:b/>
                <w:bCs/>
                <w:sz w:val="18"/>
                <w:szCs w:val="18"/>
              </w:rPr>
            </w:pPr>
            <w:r w:rsidRPr="00267504">
              <w:rPr>
                <w:b/>
                <w:bCs/>
                <w:sz w:val="18"/>
                <w:szCs w:val="18"/>
              </w:rPr>
              <w:t>Total</w:t>
            </w:r>
          </w:p>
        </w:tc>
        <w:tc>
          <w:tcPr>
            <w:tcW w:w="507" w:type="pct"/>
            <w:tcBorders>
              <w:bottom w:val="single" w:sz="4" w:space="0" w:color="auto"/>
            </w:tcBorders>
            <w:vAlign w:val="bottom"/>
          </w:tcPr>
          <w:p w:rsidR="00E10845" w:rsidRPr="00A619D9" w:rsidRDefault="00E10845" w:rsidP="008B63A3">
            <w:pPr>
              <w:pStyle w:val="TableBodyText"/>
              <w:rPr>
                <w:b/>
                <w:sz w:val="18"/>
                <w:szCs w:val="18"/>
              </w:rPr>
            </w:pPr>
            <w:r w:rsidRPr="00A619D9">
              <w:rPr>
                <w:b/>
                <w:sz w:val="18"/>
                <w:szCs w:val="18"/>
              </w:rPr>
              <w:t>140.0</w:t>
            </w:r>
          </w:p>
        </w:tc>
        <w:tc>
          <w:tcPr>
            <w:tcW w:w="507" w:type="pct"/>
            <w:tcBorders>
              <w:bottom w:val="single" w:sz="4" w:space="0" w:color="auto"/>
            </w:tcBorders>
            <w:vAlign w:val="bottom"/>
          </w:tcPr>
          <w:p w:rsidR="00E10845" w:rsidRPr="00A619D9" w:rsidRDefault="00E10845" w:rsidP="008B63A3">
            <w:pPr>
              <w:pStyle w:val="TableBodyText"/>
              <w:rPr>
                <w:b/>
                <w:sz w:val="18"/>
                <w:szCs w:val="18"/>
              </w:rPr>
            </w:pPr>
            <w:r w:rsidRPr="00A619D9">
              <w:rPr>
                <w:b/>
                <w:sz w:val="18"/>
                <w:szCs w:val="18"/>
              </w:rPr>
              <w:t>175.0</w:t>
            </w:r>
          </w:p>
        </w:tc>
        <w:tc>
          <w:tcPr>
            <w:tcW w:w="507" w:type="pct"/>
            <w:tcBorders>
              <w:bottom w:val="single" w:sz="4" w:space="0" w:color="auto"/>
            </w:tcBorders>
            <w:vAlign w:val="bottom"/>
          </w:tcPr>
          <w:p w:rsidR="00E10845" w:rsidRPr="00A619D9" w:rsidRDefault="00E10845" w:rsidP="008B63A3">
            <w:pPr>
              <w:pStyle w:val="TableBodyText"/>
              <w:rPr>
                <w:b/>
                <w:sz w:val="18"/>
                <w:szCs w:val="18"/>
              </w:rPr>
            </w:pPr>
            <w:r w:rsidRPr="00A619D9">
              <w:rPr>
                <w:b/>
                <w:sz w:val="18"/>
                <w:szCs w:val="18"/>
              </w:rPr>
              <w:t>195.0</w:t>
            </w:r>
          </w:p>
        </w:tc>
        <w:tc>
          <w:tcPr>
            <w:tcW w:w="507" w:type="pct"/>
            <w:tcBorders>
              <w:bottom w:val="single" w:sz="4" w:space="0" w:color="auto"/>
            </w:tcBorders>
            <w:vAlign w:val="bottom"/>
          </w:tcPr>
          <w:p w:rsidR="00E10845" w:rsidRPr="00A619D9" w:rsidRDefault="00E10845" w:rsidP="008B63A3">
            <w:pPr>
              <w:pStyle w:val="TableBodyText"/>
              <w:rPr>
                <w:b/>
                <w:sz w:val="18"/>
                <w:szCs w:val="18"/>
              </w:rPr>
            </w:pPr>
            <w:r w:rsidRPr="00A619D9">
              <w:rPr>
                <w:b/>
                <w:sz w:val="18"/>
                <w:szCs w:val="18"/>
              </w:rPr>
              <w:t>195.0</w:t>
            </w:r>
          </w:p>
        </w:tc>
        <w:tc>
          <w:tcPr>
            <w:tcW w:w="507" w:type="pct"/>
            <w:tcBorders>
              <w:bottom w:val="single" w:sz="4" w:space="0" w:color="auto"/>
            </w:tcBorders>
            <w:shd w:val="clear" w:color="auto" w:fill="auto"/>
            <w:vAlign w:val="bottom"/>
          </w:tcPr>
          <w:p w:rsidR="00E10845" w:rsidRPr="00A619D9" w:rsidRDefault="00E10845" w:rsidP="008B63A3">
            <w:pPr>
              <w:pStyle w:val="TableBodyText"/>
              <w:rPr>
                <w:b/>
                <w:sz w:val="18"/>
                <w:szCs w:val="18"/>
              </w:rPr>
            </w:pPr>
            <w:r w:rsidRPr="00A619D9">
              <w:rPr>
                <w:b/>
                <w:sz w:val="18"/>
                <w:szCs w:val="18"/>
              </w:rPr>
              <w:t>175.0</w:t>
            </w:r>
          </w:p>
        </w:tc>
        <w:tc>
          <w:tcPr>
            <w:tcW w:w="505" w:type="pct"/>
            <w:tcBorders>
              <w:bottom w:val="single" w:sz="4" w:space="0" w:color="auto"/>
            </w:tcBorders>
            <w:shd w:val="clear" w:color="auto" w:fill="auto"/>
            <w:vAlign w:val="bottom"/>
          </w:tcPr>
          <w:p w:rsidR="00E10845" w:rsidRPr="00A619D9" w:rsidRDefault="00E10845" w:rsidP="008B63A3">
            <w:pPr>
              <w:pStyle w:val="TableBodyText"/>
              <w:rPr>
                <w:b/>
                <w:sz w:val="18"/>
                <w:szCs w:val="18"/>
              </w:rPr>
            </w:pPr>
            <w:r w:rsidRPr="00A619D9">
              <w:rPr>
                <w:b/>
                <w:sz w:val="18"/>
                <w:szCs w:val="18"/>
              </w:rPr>
              <w:t>190.0</w:t>
            </w:r>
          </w:p>
        </w:tc>
      </w:tr>
    </w:tbl>
    <w:p w:rsidR="00E10845" w:rsidRDefault="00E10845" w:rsidP="00E10845">
      <w:pPr>
        <w:pStyle w:val="Note"/>
      </w:pPr>
      <w:r w:rsidRPr="008E77FE">
        <w:rPr>
          <w:rStyle w:val="NoteLabel"/>
        </w:rPr>
        <w:t>a</w:t>
      </w:r>
      <w:r>
        <w:t xml:space="preserve"> </w:t>
      </w:r>
      <w:r w:rsidRPr="002476ED">
        <w:t>Unallocated includes general programs where details of beneficiaries are unknown</w:t>
      </w:r>
      <w:r>
        <w:t>.</w:t>
      </w:r>
    </w:p>
    <w:p w:rsidR="00E10845" w:rsidRPr="008E77FE" w:rsidRDefault="00E10845" w:rsidP="00E10845">
      <w:pPr>
        <w:pStyle w:val="Source"/>
      </w:pPr>
      <w:r>
        <w:rPr>
          <w:i/>
        </w:rPr>
        <w:t>Sources</w:t>
      </w:r>
      <w:r>
        <w:t xml:space="preserve">: </w:t>
      </w:r>
      <w:r w:rsidRPr="002476ED">
        <w:t>Commission estimates based on</w:t>
      </w:r>
      <w:r>
        <w:t xml:space="preserve"> Tax Expenditure Statement 2012, Australian Government 2013</w:t>
      </w:r>
      <w:r w:rsidRPr="002476ED">
        <w:t>, p.</w:t>
      </w:r>
      <w:r w:rsidR="00C7652A">
        <w:t> </w:t>
      </w:r>
      <w:r>
        <w:t>92</w:t>
      </w:r>
      <w:r w:rsidRPr="002476ED">
        <w:t xml:space="preserve">, item </w:t>
      </w:r>
      <w:r>
        <w:t>B55</w:t>
      </w:r>
      <w:r w:rsidRPr="002476ED">
        <w:t>; Industry classification derived from detailed ATO data by ANZSIC industry</w:t>
      </w:r>
      <w:r>
        <w:t>.</w:t>
      </w:r>
    </w:p>
    <w:p w:rsidR="00CC6BDE" w:rsidRDefault="00FA09C3" w:rsidP="00CC6BDE">
      <w:pPr>
        <w:pStyle w:val="Heading2"/>
      </w:pPr>
      <w:r>
        <w:lastRenderedPageBreak/>
        <w:t>A.</w:t>
      </w:r>
      <w:r>
        <w:rPr>
          <w:noProof/>
        </w:rPr>
        <w:t>16</w:t>
      </w:r>
      <w:r w:rsidR="00CC6BDE">
        <w:tab/>
        <w:t>Offshore Banking Unit tax concession</w:t>
      </w:r>
    </w:p>
    <w:p w:rsidR="00CC6BDE" w:rsidRDefault="00CC6BDE" w:rsidP="00CC6BDE">
      <w:pPr>
        <w:pStyle w:val="BodyText"/>
      </w:pPr>
      <w:r>
        <w:t>The Offshore Banking Unit (OBU) tax concession was introduced in 1992. The concession was extended in 1997 to include fund managers and life insurance companies in order to facilitate greater non-bank competition for offshore business.</w:t>
      </w:r>
    </w:p>
    <w:p w:rsidR="00CC6BDE" w:rsidRDefault="00CC6BDE" w:rsidP="00CC6BDE">
      <w:pPr>
        <w:pStyle w:val="BodyText"/>
      </w:pPr>
      <w:r>
        <w:t xml:space="preserve">Under the concession, income (other than capital gains) derived by an OBU from offshore banking activities is taxed at a concessional rate of 10 per cent. Interest paid by an OBU on qualifying offshore borrowings, and gold fees paid by an OBU on certain offshore gold borrowings, are exempt from withholding tax </w:t>
      </w:r>
      <w:r w:rsidRPr="00DD3B0A">
        <w:t>(</w:t>
      </w:r>
      <w:r w:rsidRPr="002D4BCB">
        <w:t>Tax Expenditure Statement, Australian Government</w:t>
      </w:r>
      <w:r>
        <w:t> </w:t>
      </w:r>
      <w:r w:rsidRPr="002D4BCB">
        <w:t>2013, Item B10</w:t>
      </w:r>
      <w:r w:rsidRPr="00DD3B0A">
        <w:t>)</w:t>
      </w:r>
      <w:r>
        <w:t>.</w:t>
      </w:r>
    </w:p>
    <w:p w:rsidR="00CC6BDE" w:rsidRDefault="00CC6BDE" w:rsidP="00CC6BDE">
      <w:pPr>
        <w:pStyle w:val="BodyText"/>
      </w:pPr>
      <w:r>
        <w:t xml:space="preserve">The taxation concession selectively benefits certain financial institutions and has been allocated to the </w:t>
      </w:r>
      <w:r w:rsidRPr="00746C69">
        <w:rPr>
          <w:i/>
        </w:rPr>
        <w:t xml:space="preserve">Financial </w:t>
      </w:r>
      <w:r>
        <w:rPr>
          <w:i/>
        </w:rPr>
        <w:t>and</w:t>
      </w:r>
      <w:r w:rsidRPr="00746C69">
        <w:rPr>
          <w:i/>
        </w:rPr>
        <w:t xml:space="preserve"> insurance services</w:t>
      </w:r>
      <w:r>
        <w:t xml:space="preserve"> industry grouping in the Commission’s ANZSIC-based classification (table A.16).</w:t>
      </w:r>
    </w:p>
    <w:p w:rsidR="00CC6BDE" w:rsidRDefault="00CC6BDE" w:rsidP="00CC6BDE">
      <w:pPr>
        <w:pStyle w:val="TableTitle"/>
      </w:pPr>
      <w:r>
        <w:rPr>
          <w:b w:val="0"/>
        </w:rPr>
        <w:t xml:space="preserve">Table </w:t>
      </w:r>
      <w:r w:rsidR="00FA09C3">
        <w:rPr>
          <w:b w:val="0"/>
        </w:rPr>
        <w:t>A.</w:t>
      </w:r>
      <w:r w:rsidR="00FA09C3">
        <w:rPr>
          <w:b w:val="0"/>
          <w:noProof/>
        </w:rPr>
        <w:t>16</w:t>
      </w:r>
      <w:r w:rsidR="001A5D30">
        <w:tab/>
        <w:t>Allocation of Offshore Banking U</w:t>
      </w:r>
      <w:r>
        <w:t>nit tax concession</w:t>
      </w:r>
      <w:r w:rsidR="001A5D30" w:rsidRPr="001A5D30">
        <w:t xml:space="preserve"> to industry</w:t>
      </w:r>
      <w:r>
        <w:t>, 2006</w:t>
      </w:r>
      <w:r>
        <w:noBreakHyphen/>
        <w:t>07 to 2011</w:t>
      </w:r>
      <w:r>
        <w:noBreakHyphen/>
        <w:t>12</w:t>
      </w:r>
    </w:p>
    <w:p w:rsidR="00CC6BDE" w:rsidRDefault="00CC6BDE" w:rsidP="00CC6BDE">
      <w:pPr>
        <w:pStyle w:val="Subtitle"/>
      </w:pPr>
      <w:r>
        <w:t>$ million (nominal)</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CC6BDE" w:rsidRPr="00AF699A" w:rsidTr="008B63A3">
        <w:tc>
          <w:tcPr>
            <w:tcW w:w="1958" w:type="pct"/>
            <w:tcBorders>
              <w:top w:val="single" w:sz="6" w:space="0" w:color="auto"/>
              <w:bottom w:val="single" w:sz="6" w:space="0" w:color="auto"/>
            </w:tcBorders>
          </w:tcPr>
          <w:p w:rsidR="00CC6BDE" w:rsidRPr="00AF699A" w:rsidRDefault="00CC6BDE" w:rsidP="008B63A3">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CC6BDE" w:rsidRPr="00AF699A" w:rsidRDefault="00CC6BDE" w:rsidP="008B63A3">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CC6BDE" w:rsidRPr="00AF699A" w:rsidRDefault="00CC6BDE" w:rsidP="008B63A3">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CC6BDE" w:rsidRPr="00AF699A" w:rsidRDefault="00CC6BDE" w:rsidP="008B63A3">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CC6BDE" w:rsidRPr="00AF699A" w:rsidRDefault="00CC6BDE" w:rsidP="008B63A3">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CC6BDE" w:rsidRPr="00AF699A" w:rsidRDefault="00CC6BDE" w:rsidP="008B63A3">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CC6BDE" w:rsidRPr="00AF699A" w:rsidRDefault="00CC6BDE" w:rsidP="008B63A3">
            <w:pPr>
              <w:pStyle w:val="TableColumnHeading"/>
              <w:ind w:right="28"/>
              <w:rPr>
                <w:rFonts w:cs="Arial"/>
                <w:sz w:val="18"/>
                <w:szCs w:val="18"/>
              </w:rPr>
            </w:pPr>
            <w:r w:rsidRPr="00AF699A">
              <w:rPr>
                <w:rFonts w:cs="Arial"/>
                <w:sz w:val="18"/>
                <w:szCs w:val="18"/>
              </w:rPr>
              <w:t>2011-12</w:t>
            </w:r>
          </w:p>
        </w:tc>
      </w:tr>
      <w:tr w:rsidR="00CC6BDE" w:rsidRPr="006C5A80" w:rsidTr="008B63A3">
        <w:tc>
          <w:tcPr>
            <w:tcW w:w="1958" w:type="pct"/>
            <w:tcBorders>
              <w:top w:val="single" w:sz="6" w:space="0" w:color="auto"/>
              <w:bottom w:val="single" w:sz="4" w:space="0" w:color="auto"/>
            </w:tcBorders>
            <w:vAlign w:val="bottom"/>
          </w:tcPr>
          <w:p w:rsidR="00CC6BDE" w:rsidRPr="00A676EB" w:rsidRDefault="00CC6BDE" w:rsidP="008B63A3">
            <w:pPr>
              <w:pStyle w:val="TableBodyText"/>
              <w:jc w:val="left"/>
            </w:pPr>
            <w:r w:rsidRPr="00A676EB">
              <w:t>Financial and insurance services</w:t>
            </w:r>
          </w:p>
        </w:tc>
        <w:tc>
          <w:tcPr>
            <w:tcW w:w="507" w:type="pct"/>
            <w:tcBorders>
              <w:top w:val="single" w:sz="6" w:space="0" w:color="auto"/>
              <w:bottom w:val="single" w:sz="4" w:space="0" w:color="auto"/>
            </w:tcBorders>
            <w:vAlign w:val="bottom"/>
          </w:tcPr>
          <w:p w:rsidR="00CC6BDE" w:rsidRPr="00A676EB" w:rsidRDefault="00CC6BDE" w:rsidP="008B63A3">
            <w:pPr>
              <w:pStyle w:val="TableBodyText"/>
            </w:pPr>
            <w:r w:rsidRPr="00A676EB">
              <w:t>160</w:t>
            </w:r>
            <w:r>
              <w:t>.0</w:t>
            </w:r>
          </w:p>
        </w:tc>
        <w:tc>
          <w:tcPr>
            <w:tcW w:w="507" w:type="pct"/>
            <w:tcBorders>
              <w:top w:val="single" w:sz="6" w:space="0" w:color="auto"/>
              <w:bottom w:val="single" w:sz="4" w:space="0" w:color="auto"/>
            </w:tcBorders>
            <w:vAlign w:val="bottom"/>
          </w:tcPr>
          <w:p w:rsidR="00CC6BDE" w:rsidRPr="00A676EB" w:rsidRDefault="00CC6BDE" w:rsidP="008B63A3">
            <w:pPr>
              <w:pStyle w:val="TableBodyText"/>
            </w:pPr>
            <w:r w:rsidRPr="00A676EB">
              <w:t>320</w:t>
            </w:r>
            <w:r>
              <w:t>.0</w:t>
            </w:r>
          </w:p>
        </w:tc>
        <w:tc>
          <w:tcPr>
            <w:tcW w:w="507" w:type="pct"/>
            <w:tcBorders>
              <w:top w:val="single" w:sz="6" w:space="0" w:color="auto"/>
              <w:bottom w:val="single" w:sz="4" w:space="0" w:color="auto"/>
            </w:tcBorders>
            <w:vAlign w:val="bottom"/>
          </w:tcPr>
          <w:p w:rsidR="00CC6BDE" w:rsidRPr="00A676EB" w:rsidRDefault="00CC6BDE" w:rsidP="008B63A3">
            <w:pPr>
              <w:pStyle w:val="TableBodyText"/>
            </w:pPr>
            <w:r w:rsidRPr="00A676EB">
              <w:t>265</w:t>
            </w:r>
            <w:r>
              <w:t>.0</w:t>
            </w:r>
          </w:p>
        </w:tc>
        <w:tc>
          <w:tcPr>
            <w:tcW w:w="507" w:type="pct"/>
            <w:tcBorders>
              <w:top w:val="single" w:sz="6" w:space="0" w:color="auto"/>
              <w:bottom w:val="single" w:sz="4" w:space="0" w:color="auto"/>
            </w:tcBorders>
            <w:vAlign w:val="bottom"/>
          </w:tcPr>
          <w:p w:rsidR="00CC6BDE" w:rsidRPr="00A676EB" w:rsidRDefault="00CC6BDE" w:rsidP="008B63A3">
            <w:pPr>
              <w:pStyle w:val="TableBodyText"/>
            </w:pPr>
            <w:r w:rsidRPr="00A676EB">
              <w:t>240</w:t>
            </w:r>
            <w:r>
              <w:t>.0</w:t>
            </w:r>
          </w:p>
        </w:tc>
        <w:tc>
          <w:tcPr>
            <w:tcW w:w="507" w:type="pct"/>
            <w:tcBorders>
              <w:top w:val="single" w:sz="6" w:space="0" w:color="auto"/>
              <w:bottom w:val="single" w:sz="4" w:space="0" w:color="auto"/>
            </w:tcBorders>
            <w:vAlign w:val="bottom"/>
          </w:tcPr>
          <w:p w:rsidR="00CC6BDE" w:rsidRPr="00A676EB" w:rsidRDefault="00CC6BDE" w:rsidP="008B63A3">
            <w:pPr>
              <w:pStyle w:val="TableBodyText"/>
            </w:pPr>
            <w:r w:rsidRPr="00A676EB">
              <w:t>170</w:t>
            </w:r>
            <w:r>
              <w:t>.0</w:t>
            </w:r>
          </w:p>
        </w:tc>
        <w:tc>
          <w:tcPr>
            <w:tcW w:w="507" w:type="pct"/>
            <w:tcBorders>
              <w:top w:val="single" w:sz="6" w:space="0" w:color="auto"/>
              <w:bottom w:val="single" w:sz="4" w:space="0" w:color="auto"/>
            </w:tcBorders>
            <w:vAlign w:val="bottom"/>
          </w:tcPr>
          <w:p w:rsidR="00CC6BDE" w:rsidRPr="00A676EB" w:rsidRDefault="00CC6BDE" w:rsidP="008B63A3">
            <w:pPr>
              <w:pStyle w:val="TableBodyText"/>
            </w:pPr>
            <w:r w:rsidRPr="00A676EB">
              <w:t>185</w:t>
            </w:r>
            <w:r>
              <w:t>.0</w:t>
            </w:r>
          </w:p>
        </w:tc>
      </w:tr>
    </w:tbl>
    <w:p w:rsidR="00CC6BDE" w:rsidRPr="008E77FE" w:rsidRDefault="00CC6BDE" w:rsidP="00CC6BDE">
      <w:pPr>
        <w:pStyle w:val="Source"/>
      </w:pPr>
      <w:r>
        <w:rPr>
          <w:i/>
        </w:rPr>
        <w:t>Source</w:t>
      </w:r>
      <w:r>
        <w:t>: Commission estimates based on Tax Expenditure Statement 2012, Australian Government 2013</w:t>
      </w:r>
      <w:r w:rsidRPr="006F501D">
        <w:t>, p.</w:t>
      </w:r>
      <w:r w:rsidR="00C057BD">
        <w:t> </w:t>
      </w:r>
      <w:r>
        <w:t>70</w:t>
      </w:r>
      <w:r w:rsidRPr="006F501D">
        <w:t>, item B10</w:t>
      </w:r>
      <w:r>
        <w:t>.</w:t>
      </w:r>
    </w:p>
    <w:p w:rsidR="0062157F" w:rsidRDefault="00FA09C3" w:rsidP="0062157F">
      <w:pPr>
        <w:pStyle w:val="Heading2"/>
      </w:pPr>
      <w:r>
        <w:t>A.</w:t>
      </w:r>
      <w:r>
        <w:rPr>
          <w:noProof/>
        </w:rPr>
        <w:t>17</w:t>
      </w:r>
      <w:r w:rsidR="0062157F">
        <w:tab/>
        <w:t>Steel Transformation Plan</w:t>
      </w:r>
    </w:p>
    <w:p w:rsidR="0062157F" w:rsidRPr="000A03CE" w:rsidRDefault="0062157F" w:rsidP="0062157F">
      <w:pPr>
        <w:pStyle w:val="BodyText"/>
      </w:pPr>
      <w:r w:rsidRPr="000A03CE">
        <w:t>On 10 July 2011, the Australian Government announced the $300 million Steel Transformation Plan (Plan)</w:t>
      </w:r>
      <w:r>
        <w:t xml:space="preserve"> (</w:t>
      </w:r>
      <w:r w:rsidRPr="002D4BCB">
        <w:t>AusIndustry 2013k</w:t>
      </w:r>
      <w:r w:rsidR="00BF6BF7">
        <w:t>)</w:t>
      </w:r>
      <w:r w:rsidRPr="000A03CE">
        <w:t xml:space="preserve">. The Plan aims to encourage investment, innovation and competitiveness in the Australian steel manufacturing industry in order to assist the industry to transform into an efficient and economically sustainable industry in a low carbon economy. The Plan </w:t>
      </w:r>
      <w:r w:rsidR="009F6267">
        <w:t>intend</w:t>
      </w:r>
      <w:r w:rsidR="009F6267" w:rsidRPr="000A03CE">
        <w:t xml:space="preserve">s </w:t>
      </w:r>
      <w:r w:rsidRPr="000A03CE">
        <w:t>to achieve this in a way that improves environmental outcomes and promotes the development of workforce skills.</w:t>
      </w:r>
      <w:r>
        <w:t xml:space="preserve"> </w:t>
      </w:r>
      <w:r w:rsidRPr="000A03CE">
        <w:t xml:space="preserve">The Plan </w:t>
      </w:r>
      <w:r>
        <w:t>wa</w:t>
      </w:r>
      <w:r w:rsidRPr="000A03CE">
        <w:t xml:space="preserve">s scheduled to commence on 1 July 2012 and </w:t>
      </w:r>
      <w:r>
        <w:t>to</w:t>
      </w:r>
      <w:r w:rsidRPr="000A03CE">
        <w:t xml:space="preserve"> conclude on 31 December 2016.</w:t>
      </w:r>
    </w:p>
    <w:p w:rsidR="0062157F" w:rsidRPr="000A03CE" w:rsidRDefault="0062157F" w:rsidP="0062157F">
      <w:pPr>
        <w:pStyle w:val="BodyText"/>
      </w:pPr>
      <w:r>
        <w:t>However, o</w:t>
      </w:r>
      <w:r w:rsidRPr="000A03CE">
        <w:t>n 22 August 2011, the Australian Government announced that a new advance facility would be introduced into the Plan to allow eligible participants to draw down an advance of their future entitlements under the scheme.</w:t>
      </w:r>
    </w:p>
    <w:p w:rsidR="0062157F" w:rsidRPr="000A03CE" w:rsidRDefault="0062157F" w:rsidP="0062157F">
      <w:pPr>
        <w:pStyle w:val="BodyText"/>
      </w:pPr>
      <w:r w:rsidRPr="000A03CE">
        <w:t>Industry participants can apply if they are a constitutional corporation that manufactures steel in Australia using either of the following methods:</w:t>
      </w:r>
    </w:p>
    <w:p w:rsidR="0062157F" w:rsidRPr="000A03CE" w:rsidRDefault="0062157F" w:rsidP="0062157F">
      <w:pPr>
        <w:pStyle w:val="ListBullet"/>
      </w:pPr>
      <w:r w:rsidRPr="000A03CE">
        <w:lastRenderedPageBreak/>
        <w:t>integrated iron and steel manufacturing that involves the physical and chemical transformation of iron ore into crude carbon steel;</w:t>
      </w:r>
      <w:r w:rsidR="009F6267">
        <w:t xml:space="preserve"> or</w:t>
      </w:r>
    </w:p>
    <w:p w:rsidR="0062157F" w:rsidRPr="000A03CE" w:rsidRDefault="0062157F" w:rsidP="0062157F">
      <w:pPr>
        <w:pStyle w:val="ListBullet"/>
      </w:pPr>
      <w:r w:rsidRPr="000A03CE">
        <w:t>physical and chemical transformation of cold ferrous feed into crude carbon steel</w:t>
      </w:r>
      <w:r w:rsidR="009F6267">
        <w:t>.</w:t>
      </w:r>
    </w:p>
    <w:p w:rsidR="0062157F" w:rsidRDefault="009F6267" w:rsidP="00B15E67">
      <w:pPr>
        <w:pStyle w:val="BodyText"/>
      </w:pPr>
      <w:r>
        <w:t>Applicants must have</w:t>
      </w:r>
      <w:r w:rsidR="0062157F" w:rsidRPr="000A03CE">
        <w:t xml:space="preserve"> produced at least 500 000 tonnes of crude carbon steel in Australia using either of those methods in both the 2009</w:t>
      </w:r>
      <w:r>
        <w:noBreakHyphen/>
      </w:r>
      <w:r w:rsidR="0062157F" w:rsidRPr="000A03CE">
        <w:t>10 and 2010</w:t>
      </w:r>
      <w:r>
        <w:noBreakHyphen/>
      </w:r>
      <w:r w:rsidR="0062157F" w:rsidRPr="000A03CE">
        <w:t>11 financial years.</w:t>
      </w:r>
    </w:p>
    <w:p w:rsidR="0045797C" w:rsidRPr="000A03CE" w:rsidRDefault="0045797C" w:rsidP="00B15E67">
      <w:pPr>
        <w:pStyle w:val="BodyText"/>
      </w:pPr>
      <w:r>
        <w:t xml:space="preserve">Funding for the plan has been allocated to the </w:t>
      </w:r>
      <w:r w:rsidRPr="0045797C">
        <w:rPr>
          <w:i/>
        </w:rPr>
        <w:t>Metal and fabricated metal products</w:t>
      </w:r>
      <w:r>
        <w:t xml:space="preserve"> industry grouping in the Commission’s ANZSIC-based classification (table A.17).</w:t>
      </w:r>
    </w:p>
    <w:p w:rsidR="0062157F" w:rsidRDefault="0062157F" w:rsidP="0062157F">
      <w:pPr>
        <w:pStyle w:val="TableTitle"/>
      </w:pPr>
      <w:r>
        <w:rPr>
          <w:b w:val="0"/>
        </w:rPr>
        <w:t xml:space="preserve">Table </w:t>
      </w:r>
      <w:r w:rsidR="00FA09C3">
        <w:rPr>
          <w:b w:val="0"/>
        </w:rPr>
        <w:t>A.</w:t>
      </w:r>
      <w:r w:rsidR="00FA09C3">
        <w:rPr>
          <w:b w:val="0"/>
          <w:noProof/>
        </w:rPr>
        <w:t>17</w:t>
      </w:r>
      <w:r>
        <w:tab/>
        <w:t>Allocation of Steel Transformation Plan</w:t>
      </w:r>
      <w:r w:rsidR="009F6267">
        <w:t xml:space="preserve"> to industry</w:t>
      </w:r>
      <w:r>
        <w:t>, 2006</w:t>
      </w:r>
      <w:r>
        <w:noBreakHyphen/>
        <w:t>07 to 2011</w:t>
      </w:r>
      <w:r>
        <w:noBreakHyphen/>
        <w:t>12</w:t>
      </w:r>
    </w:p>
    <w:p w:rsidR="0062157F" w:rsidRDefault="0062157F" w:rsidP="0062157F">
      <w:pPr>
        <w:pStyle w:val="Subtitle"/>
      </w:pPr>
      <w:r>
        <w:t>$</w:t>
      </w:r>
      <w:r w:rsidR="000E1A26">
        <w:t xml:space="preserve"> </w:t>
      </w:r>
      <w:r>
        <w:t xml:space="preserve">million (nominal) </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62157F" w:rsidRPr="00AF699A" w:rsidTr="008B63A3">
        <w:tc>
          <w:tcPr>
            <w:tcW w:w="1958" w:type="pct"/>
            <w:tcBorders>
              <w:top w:val="single" w:sz="6" w:space="0" w:color="auto"/>
              <w:bottom w:val="single" w:sz="6" w:space="0" w:color="auto"/>
            </w:tcBorders>
          </w:tcPr>
          <w:p w:rsidR="0062157F" w:rsidRPr="00AF699A" w:rsidRDefault="0062157F" w:rsidP="008B63A3">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62157F" w:rsidRPr="00AF699A" w:rsidRDefault="0062157F" w:rsidP="008B63A3">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62157F" w:rsidRPr="00AF699A" w:rsidRDefault="0062157F" w:rsidP="008B63A3">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62157F" w:rsidRPr="00AF699A" w:rsidRDefault="0062157F" w:rsidP="008B63A3">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62157F" w:rsidRPr="00AF699A" w:rsidRDefault="0062157F" w:rsidP="008B63A3">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62157F" w:rsidRPr="00AF699A" w:rsidRDefault="0062157F" w:rsidP="008B63A3">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62157F" w:rsidRPr="00AF699A" w:rsidRDefault="0062157F" w:rsidP="008B63A3">
            <w:pPr>
              <w:pStyle w:val="TableColumnHeading"/>
              <w:ind w:right="28"/>
              <w:rPr>
                <w:rFonts w:cs="Arial"/>
                <w:sz w:val="18"/>
                <w:szCs w:val="18"/>
              </w:rPr>
            </w:pPr>
            <w:r w:rsidRPr="00AF699A">
              <w:rPr>
                <w:rFonts w:cs="Arial"/>
                <w:sz w:val="18"/>
                <w:szCs w:val="18"/>
              </w:rPr>
              <w:t>2011-12</w:t>
            </w:r>
          </w:p>
        </w:tc>
      </w:tr>
      <w:tr w:rsidR="0062157F" w:rsidRPr="006C5A80" w:rsidTr="008B63A3">
        <w:tc>
          <w:tcPr>
            <w:tcW w:w="1958" w:type="pct"/>
            <w:tcBorders>
              <w:bottom w:val="single" w:sz="4" w:space="0" w:color="auto"/>
            </w:tcBorders>
            <w:vAlign w:val="bottom"/>
          </w:tcPr>
          <w:p w:rsidR="0062157F" w:rsidRPr="00B7394E" w:rsidRDefault="0062157F" w:rsidP="008B63A3">
            <w:pPr>
              <w:pStyle w:val="TableBodyText"/>
              <w:jc w:val="left"/>
            </w:pPr>
            <w:r w:rsidRPr="00B7394E">
              <w:t>Metal and fabricated metal products</w:t>
            </w:r>
          </w:p>
        </w:tc>
        <w:tc>
          <w:tcPr>
            <w:tcW w:w="507" w:type="pct"/>
            <w:tcBorders>
              <w:bottom w:val="single" w:sz="4" w:space="0" w:color="auto"/>
            </w:tcBorders>
            <w:vAlign w:val="bottom"/>
          </w:tcPr>
          <w:p w:rsidR="0062157F" w:rsidRPr="00B7394E" w:rsidRDefault="0062157F" w:rsidP="008B63A3">
            <w:pPr>
              <w:pStyle w:val="TableBodyText"/>
            </w:pPr>
            <w:r>
              <w:noBreakHyphen/>
            </w:r>
          </w:p>
        </w:tc>
        <w:tc>
          <w:tcPr>
            <w:tcW w:w="507" w:type="pct"/>
            <w:tcBorders>
              <w:bottom w:val="single" w:sz="4" w:space="0" w:color="auto"/>
            </w:tcBorders>
            <w:vAlign w:val="bottom"/>
          </w:tcPr>
          <w:p w:rsidR="0062157F" w:rsidRPr="00B7394E" w:rsidRDefault="0062157F" w:rsidP="008B63A3">
            <w:pPr>
              <w:pStyle w:val="TableBodyText"/>
            </w:pPr>
            <w:r>
              <w:noBreakHyphen/>
            </w:r>
          </w:p>
        </w:tc>
        <w:tc>
          <w:tcPr>
            <w:tcW w:w="507" w:type="pct"/>
            <w:tcBorders>
              <w:bottom w:val="single" w:sz="4" w:space="0" w:color="auto"/>
            </w:tcBorders>
            <w:vAlign w:val="bottom"/>
          </w:tcPr>
          <w:p w:rsidR="0062157F" w:rsidRPr="00B7394E" w:rsidRDefault="0062157F" w:rsidP="008B63A3">
            <w:pPr>
              <w:pStyle w:val="TableBodyText"/>
            </w:pPr>
            <w:r>
              <w:noBreakHyphen/>
            </w:r>
          </w:p>
        </w:tc>
        <w:tc>
          <w:tcPr>
            <w:tcW w:w="507" w:type="pct"/>
            <w:tcBorders>
              <w:bottom w:val="single" w:sz="4" w:space="0" w:color="auto"/>
            </w:tcBorders>
            <w:vAlign w:val="bottom"/>
          </w:tcPr>
          <w:p w:rsidR="0062157F" w:rsidRPr="00B7394E" w:rsidRDefault="0062157F" w:rsidP="008B63A3">
            <w:pPr>
              <w:pStyle w:val="TableBodyText"/>
            </w:pPr>
            <w:r>
              <w:noBreakHyphen/>
            </w:r>
          </w:p>
        </w:tc>
        <w:tc>
          <w:tcPr>
            <w:tcW w:w="507" w:type="pct"/>
            <w:tcBorders>
              <w:bottom w:val="single" w:sz="4" w:space="0" w:color="auto"/>
            </w:tcBorders>
            <w:shd w:val="clear" w:color="auto" w:fill="auto"/>
            <w:vAlign w:val="bottom"/>
          </w:tcPr>
          <w:p w:rsidR="0062157F" w:rsidRPr="00B7394E" w:rsidRDefault="0062157F" w:rsidP="008B63A3">
            <w:pPr>
              <w:pStyle w:val="TableBodyText"/>
            </w:pPr>
            <w:r>
              <w:noBreakHyphen/>
            </w:r>
          </w:p>
        </w:tc>
        <w:tc>
          <w:tcPr>
            <w:tcW w:w="507" w:type="pct"/>
            <w:tcBorders>
              <w:bottom w:val="single" w:sz="4" w:space="0" w:color="auto"/>
            </w:tcBorders>
            <w:shd w:val="clear" w:color="auto" w:fill="auto"/>
            <w:vAlign w:val="bottom"/>
          </w:tcPr>
          <w:p w:rsidR="0062157F" w:rsidRPr="00B7394E" w:rsidRDefault="0062157F" w:rsidP="008B63A3">
            <w:pPr>
              <w:pStyle w:val="TableBodyText"/>
            </w:pPr>
            <w:r w:rsidRPr="00B7394E">
              <w:t>164</w:t>
            </w:r>
            <w:r>
              <w:t>.0</w:t>
            </w:r>
          </w:p>
        </w:tc>
      </w:tr>
    </w:tbl>
    <w:p w:rsidR="0062157F" w:rsidRDefault="0062157F" w:rsidP="0062157F">
      <w:pPr>
        <w:pStyle w:val="Note"/>
      </w:pPr>
      <w:r w:rsidRPr="00A2379F">
        <w:noBreakHyphen/>
        <w:t xml:space="preserve"> </w:t>
      </w:r>
      <w:r>
        <w:t>Nil.</w:t>
      </w:r>
    </w:p>
    <w:p w:rsidR="0062157F" w:rsidRPr="008E77FE" w:rsidRDefault="0062157F" w:rsidP="0062157F">
      <w:pPr>
        <w:pStyle w:val="Source"/>
      </w:pPr>
      <w:r>
        <w:rPr>
          <w:i/>
        </w:rPr>
        <w:t>Source</w:t>
      </w:r>
      <w:r>
        <w:t>: Commission estimates based on detailed DIISR data by ANZSIC industry.</w:t>
      </w:r>
    </w:p>
    <w:p w:rsidR="00533EAF" w:rsidRPr="00865E3D" w:rsidRDefault="00FA09C3" w:rsidP="00533EAF">
      <w:pPr>
        <w:pStyle w:val="Heading2"/>
      </w:pPr>
      <w:r>
        <w:t>A.</w:t>
      </w:r>
      <w:r>
        <w:rPr>
          <w:noProof/>
        </w:rPr>
        <w:t>18</w:t>
      </w:r>
      <w:r w:rsidR="00533EAF">
        <w:tab/>
      </w:r>
      <w:r w:rsidR="00533EAF" w:rsidRPr="00865E3D">
        <w:t>Small business capital gains tax rollover relief (sale of business)</w:t>
      </w:r>
    </w:p>
    <w:p w:rsidR="00533EAF" w:rsidRDefault="00533EAF" w:rsidP="00533EAF">
      <w:pPr>
        <w:pStyle w:val="BodyText"/>
      </w:pPr>
      <w:r>
        <w:t xml:space="preserve">The small business capital gains tax rollover relief is available for capital gains arising from the disposal of active small business assets if the proceeds of the sale are used to purchase other active small business assets. Active assets include assets used in carrying on a business and intangible assets inherently connected with a business (for example, goodwill). An eligible small business is one where the net value of assets that the taxpayer and connected entities own is no more than $6 million, or where the aggregated annual turnover is less than $2 million </w:t>
      </w:r>
      <w:r w:rsidRPr="00DD3B0A">
        <w:t>(</w:t>
      </w:r>
      <w:r w:rsidRPr="002D4BCB">
        <w:t>Tax Expenditure Statement, Australian Government 2013, Item E24</w:t>
      </w:r>
      <w:r w:rsidRPr="00DD3B0A">
        <w:t>)</w:t>
      </w:r>
      <w:r>
        <w:t>.</w:t>
      </w:r>
    </w:p>
    <w:p w:rsidR="00533EAF" w:rsidRDefault="00533EAF" w:rsidP="00533EAF">
      <w:pPr>
        <w:pStyle w:val="BodyText"/>
      </w:pPr>
      <w:r>
        <w:t>The Commission has obtained data from the ATO for the program by ANZSIC industry. The industry shares from the ATO data have been used to allocate Treasury estimates of total revenue forgone for the concession to the Commission’s ANZSIC-based industry groupings (table A.18).</w:t>
      </w:r>
    </w:p>
    <w:p w:rsidR="00533EAF" w:rsidRDefault="00533EAF" w:rsidP="00533EAF">
      <w:pPr>
        <w:pStyle w:val="TableTitle"/>
      </w:pPr>
      <w:r>
        <w:rPr>
          <w:b w:val="0"/>
        </w:rPr>
        <w:lastRenderedPageBreak/>
        <w:t xml:space="preserve">Table </w:t>
      </w:r>
      <w:r w:rsidR="00FA09C3">
        <w:rPr>
          <w:b w:val="0"/>
        </w:rPr>
        <w:t>A.</w:t>
      </w:r>
      <w:r w:rsidR="00FA09C3">
        <w:rPr>
          <w:b w:val="0"/>
          <w:noProof/>
        </w:rPr>
        <w:t>18</w:t>
      </w:r>
      <w:r>
        <w:tab/>
        <w:t xml:space="preserve">Allocation of </w:t>
      </w:r>
      <w:r w:rsidR="000948D1">
        <w:t xml:space="preserve">small </w:t>
      </w:r>
      <w:r>
        <w:t xml:space="preserve">business </w:t>
      </w:r>
      <w:r w:rsidR="00B02634">
        <w:t>capital gains tax</w:t>
      </w:r>
      <w:r>
        <w:t xml:space="preserve"> rollover </w:t>
      </w:r>
      <w:r w:rsidR="001A5D30">
        <w:t xml:space="preserve">relief (sale of business) </w:t>
      </w:r>
      <w:r w:rsidR="001A5D30" w:rsidRPr="001A5D30">
        <w:t>to industry</w:t>
      </w:r>
      <w:r>
        <w:t>, 2006</w:t>
      </w:r>
      <w:r>
        <w:noBreakHyphen/>
        <w:t>07 to 2011</w:t>
      </w:r>
      <w:r>
        <w:noBreakHyphen/>
        <w:t>12</w:t>
      </w:r>
    </w:p>
    <w:p w:rsidR="00533EAF" w:rsidRDefault="00533EAF" w:rsidP="00533EAF">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533EAF" w:rsidRPr="00AF699A" w:rsidTr="008B63A3">
        <w:tc>
          <w:tcPr>
            <w:tcW w:w="1960" w:type="pct"/>
            <w:tcBorders>
              <w:top w:val="single" w:sz="6" w:space="0" w:color="auto"/>
              <w:bottom w:val="single" w:sz="6" w:space="0" w:color="auto"/>
            </w:tcBorders>
          </w:tcPr>
          <w:p w:rsidR="00533EAF" w:rsidRPr="00AF699A" w:rsidRDefault="00533EAF" w:rsidP="008B63A3">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533EAF" w:rsidRPr="00AF699A" w:rsidRDefault="00533EAF" w:rsidP="008B63A3">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533EAF" w:rsidRPr="00AF699A" w:rsidRDefault="00533EAF" w:rsidP="008B63A3">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533EAF" w:rsidRPr="00AF699A" w:rsidRDefault="00533EAF" w:rsidP="008B63A3">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533EAF" w:rsidRPr="00AF699A" w:rsidRDefault="00533EAF" w:rsidP="008B63A3">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533EAF" w:rsidRPr="00AF699A" w:rsidRDefault="00533EAF" w:rsidP="008B63A3">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533EAF" w:rsidRPr="00AF699A" w:rsidRDefault="00533EAF" w:rsidP="008B63A3">
            <w:pPr>
              <w:pStyle w:val="TableColumnHeading"/>
              <w:ind w:right="28"/>
              <w:rPr>
                <w:rFonts w:cs="Arial"/>
                <w:sz w:val="18"/>
                <w:szCs w:val="18"/>
              </w:rPr>
            </w:pPr>
            <w:r w:rsidRPr="00AF699A">
              <w:rPr>
                <w:rFonts w:cs="Arial"/>
                <w:sz w:val="18"/>
                <w:szCs w:val="18"/>
              </w:rPr>
              <w:t>2011-12</w:t>
            </w:r>
          </w:p>
        </w:tc>
      </w:tr>
      <w:tr w:rsidR="00533EAF" w:rsidRPr="006C5A80" w:rsidTr="008B63A3">
        <w:tc>
          <w:tcPr>
            <w:tcW w:w="1960" w:type="pct"/>
            <w:tcBorders>
              <w:top w:val="single" w:sz="6" w:space="0" w:color="auto"/>
            </w:tcBorders>
            <w:vAlign w:val="bottom"/>
          </w:tcPr>
          <w:p w:rsidR="00533EAF" w:rsidRPr="00C66BD3" w:rsidRDefault="00533EAF" w:rsidP="008B63A3">
            <w:pPr>
              <w:pStyle w:val="TableBodyText"/>
              <w:jc w:val="left"/>
              <w:rPr>
                <w:b/>
                <w:sz w:val="18"/>
                <w:szCs w:val="18"/>
              </w:rPr>
            </w:pPr>
            <w:r w:rsidRPr="00C66BD3">
              <w:rPr>
                <w:b/>
                <w:sz w:val="18"/>
                <w:szCs w:val="18"/>
              </w:rPr>
              <w:t>Primary production</w:t>
            </w:r>
          </w:p>
        </w:tc>
        <w:tc>
          <w:tcPr>
            <w:tcW w:w="507" w:type="pct"/>
            <w:tcBorders>
              <w:top w:val="single" w:sz="6" w:space="0" w:color="auto"/>
            </w:tcBorders>
            <w:vAlign w:val="bottom"/>
          </w:tcPr>
          <w:p w:rsidR="00533EAF" w:rsidRPr="00A7780F" w:rsidRDefault="00533EAF" w:rsidP="008B63A3">
            <w:pPr>
              <w:pStyle w:val="TableBodyText"/>
              <w:rPr>
                <w:b/>
                <w:sz w:val="18"/>
                <w:szCs w:val="18"/>
              </w:rPr>
            </w:pPr>
            <w:r w:rsidRPr="00A7780F">
              <w:rPr>
                <w:b/>
                <w:sz w:val="18"/>
                <w:szCs w:val="18"/>
              </w:rPr>
              <w:t>18.5</w:t>
            </w:r>
          </w:p>
        </w:tc>
        <w:tc>
          <w:tcPr>
            <w:tcW w:w="507" w:type="pct"/>
            <w:tcBorders>
              <w:top w:val="single" w:sz="6" w:space="0" w:color="auto"/>
            </w:tcBorders>
            <w:vAlign w:val="bottom"/>
          </w:tcPr>
          <w:p w:rsidR="00533EAF" w:rsidRPr="00A7780F" w:rsidRDefault="00533EAF" w:rsidP="008B63A3">
            <w:pPr>
              <w:pStyle w:val="TableBodyText"/>
              <w:rPr>
                <w:b/>
                <w:sz w:val="18"/>
                <w:szCs w:val="18"/>
              </w:rPr>
            </w:pPr>
            <w:r w:rsidRPr="00A7780F">
              <w:rPr>
                <w:b/>
                <w:sz w:val="18"/>
                <w:szCs w:val="18"/>
              </w:rPr>
              <w:t>26.6</w:t>
            </w:r>
          </w:p>
        </w:tc>
        <w:tc>
          <w:tcPr>
            <w:tcW w:w="507" w:type="pct"/>
            <w:tcBorders>
              <w:top w:val="single" w:sz="6" w:space="0" w:color="auto"/>
            </w:tcBorders>
            <w:vAlign w:val="bottom"/>
          </w:tcPr>
          <w:p w:rsidR="00533EAF" w:rsidRPr="00A7780F" w:rsidRDefault="00533EAF" w:rsidP="008B63A3">
            <w:pPr>
              <w:pStyle w:val="TableBodyText"/>
              <w:rPr>
                <w:b/>
                <w:sz w:val="18"/>
                <w:szCs w:val="18"/>
              </w:rPr>
            </w:pPr>
            <w:r w:rsidRPr="00A7780F">
              <w:rPr>
                <w:b/>
                <w:sz w:val="18"/>
                <w:szCs w:val="18"/>
              </w:rPr>
              <w:t>46.7</w:t>
            </w:r>
          </w:p>
        </w:tc>
        <w:tc>
          <w:tcPr>
            <w:tcW w:w="507" w:type="pct"/>
            <w:tcBorders>
              <w:top w:val="single" w:sz="6" w:space="0" w:color="auto"/>
            </w:tcBorders>
            <w:vAlign w:val="bottom"/>
          </w:tcPr>
          <w:p w:rsidR="00533EAF" w:rsidRPr="00A7780F" w:rsidRDefault="00533EAF" w:rsidP="008B63A3">
            <w:pPr>
              <w:pStyle w:val="TableBodyText"/>
              <w:rPr>
                <w:b/>
                <w:sz w:val="18"/>
                <w:szCs w:val="18"/>
              </w:rPr>
            </w:pPr>
            <w:r w:rsidRPr="00A7780F">
              <w:rPr>
                <w:b/>
                <w:sz w:val="18"/>
                <w:szCs w:val="18"/>
              </w:rPr>
              <w:t>25.8</w:t>
            </w:r>
          </w:p>
        </w:tc>
        <w:tc>
          <w:tcPr>
            <w:tcW w:w="507" w:type="pct"/>
            <w:tcBorders>
              <w:top w:val="single" w:sz="6" w:space="0" w:color="auto"/>
            </w:tcBorders>
            <w:vAlign w:val="bottom"/>
          </w:tcPr>
          <w:p w:rsidR="00533EAF" w:rsidRPr="00A7780F" w:rsidRDefault="00533EAF" w:rsidP="008B63A3">
            <w:pPr>
              <w:pStyle w:val="TableBodyText"/>
              <w:rPr>
                <w:b/>
                <w:sz w:val="18"/>
                <w:szCs w:val="18"/>
              </w:rPr>
            </w:pPr>
            <w:r w:rsidRPr="00A7780F">
              <w:rPr>
                <w:b/>
                <w:sz w:val="18"/>
                <w:szCs w:val="18"/>
              </w:rPr>
              <w:t>23.2</w:t>
            </w:r>
          </w:p>
        </w:tc>
        <w:tc>
          <w:tcPr>
            <w:tcW w:w="505" w:type="pct"/>
            <w:tcBorders>
              <w:top w:val="single" w:sz="6" w:space="0" w:color="auto"/>
            </w:tcBorders>
            <w:vAlign w:val="bottom"/>
          </w:tcPr>
          <w:p w:rsidR="00533EAF" w:rsidRPr="00A7780F" w:rsidRDefault="00533EAF" w:rsidP="008B63A3">
            <w:pPr>
              <w:pStyle w:val="TableBodyText"/>
              <w:rPr>
                <w:b/>
                <w:sz w:val="18"/>
                <w:szCs w:val="18"/>
              </w:rPr>
            </w:pPr>
            <w:r w:rsidRPr="00A7780F">
              <w:rPr>
                <w:b/>
                <w:sz w:val="18"/>
                <w:szCs w:val="18"/>
              </w:rPr>
              <w:t>20.6</w:t>
            </w:r>
          </w:p>
        </w:tc>
      </w:tr>
      <w:tr w:rsidR="00533EAF" w:rsidRPr="006C5A80" w:rsidTr="008B63A3">
        <w:tc>
          <w:tcPr>
            <w:tcW w:w="1960" w:type="pct"/>
            <w:vAlign w:val="bottom"/>
          </w:tcPr>
          <w:p w:rsidR="00533EAF" w:rsidRPr="00C66BD3" w:rsidRDefault="00533EAF" w:rsidP="008B63A3">
            <w:pPr>
              <w:pStyle w:val="TableBodyText"/>
              <w:jc w:val="left"/>
              <w:rPr>
                <w:sz w:val="18"/>
                <w:szCs w:val="18"/>
              </w:rPr>
            </w:pPr>
            <w:r w:rsidRPr="00C66BD3">
              <w:rPr>
                <w:sz w:val="18"/>
                <w:szCs w:val="18"/>
              </w:rPr>
              <w:t>Horticulture and fruit growing</w:t>
            </w:r>
          </w:p>
        </w:tc>
        <w:tc>
          <w:tcPr>
            <w:tcW w:w="507" w:type="pct"/>
            <w:vAlign w:val="bottom"/>
          </w:tcPr>
          <w:p w:rsidR="00533EAF" w:rsidRPr="00A7780F" w:rsidRDefault="00533EAF" w:rsidP="008B63A3">
            <w:pPr>
              <w:pStyle w:val="TableBodyText"/>
              <w:rPr>
                <w:sz w:val="18"/>
                <w:szCs w:val="18"/>
              </w:rPr>
            </w:pPr>
            <w:r w:rsidRPr="00A7780F">
              <w:rPr>
                <w:sz w:val="18"/>
                <w:szCs w:val="18"/>
              </w:rPr>
              <w:t>1.3</w:t>
            </w:r>
          </w:p>
        </w:tc>
        <w:tc>
          <w:tcPr>
            <w:tcW w:w="507" w:type="pct"/>
            <w:vAlign w:val="bottom"/>
          </w:tcPr>
          <w:p w:rsidR="00533EAF" w:rsidRPr="00A7780F" w:rsidRDefault="00533EAF" w:rsidP="008B63A3">
            <w:pPr>
              <w:pStyle w:val="TableBodyText"/>
              <w:rPr>
                <w:sz w:val="18"/>
                <w:szCs w:val="18"/>
              </w:rPr>
            </w:pPr>
            <w:r w:rsidRPr="00A7780F">
              <w:rPr>
                <w:sz w:val="18"/>
                <w:szCs w:val="18"/>
              </w:rPr>
              <w:t>1.7</w:t>
            </w:r>
          </w:p>
        </w:tc>
        <w:tc>
          <w:tcPr>
            <w:tcW w:w="507" w:type="pct"/>
            <w:vAlign w:val="bottom"/>
          </w:tcPr>
          <w:p w:rsidR="00533EAF" w:rsidRPr="00A7780F" w:rsidRDefault="00533EAF" w:rsidP="008B63A3">
            <w:pPr>
              <w:pStyle w:val="TableBodyText"/>
              <w:rPr>
                <w:sz w:val="18"/>
                <w:szCs w:val="18"/>
              </w:rPr>
            </w:pPr>
            <w:r w:rsidRPr="00A7780F">
              <w:rPr>
                <w:sz w:val="18"/>
                <w:szCs w:val="18"/>
              </w:rPr>
              <w:t>1.7</w:t>
            </w:r>
          </w:p>
        </w:tc>
        <w:tc>
          <w:tcPr>
            <w:tcW w:w="507" w:type="pct"/>
            <w:vAlign w:val="bottom"/>
          </w:tcPr>
          <w:p w:rsidR="00533EAF" w:rsidRPr="00A7780F" w:rsidRDefault="00533EAF" w:rsidP="008B63A3">
            <w:pPr>
              <w:pStyle w:val="TableBodyText"/>
              <w:rPr>
                <w:sz w:val="18"/>
                <w:szCs w:val="18"/>
              </w:rPr>
            </w:pPr>
            <w:r w:rsidRPr="00A7780F">
              <w:rPr>
                <w:sz w:val="18"/>
                <w:szCs w:val="18"/>
              </w:rPr>
              <w:t>1.2</w:t>
            </w:r>
          </w:p>
        </w:tc>
        <w:tc>
          <w:tcPr>
            <w:tcW w:w="507" w:type="pct"/>
            <w:vAlign w:val="bottom"/>
          </w:tcPr>
          <w:p w:rsidR="00533EAF" w:rsidRPr="00A7780F" w:rsidRDefault="00533EAF" w:rsidP="008B63A3">
            <w:pPr>
              <w:pStyle w:val="TableBodyText"/>
              <w:rPr>
                <w:sz w:val="18"/>
                <w:szCs w:val="18"/>
              </w:rPr>
            </w:pPr>
            <w:r w:rsidRPr="00A7780F">
              <w:rPr>
                <w:sz w:val="18"/>
                <w:szCs w:val="18"/>
              </w:rPr>
              <w:t>1.1</w:t>
            </w:r>
          </w:p>
        </w:tc>
        <w:tc>
          <w:tcPr>
            <w:tcW w:w="505" w:type="pct"/>
            <w:vAlign w:val="bottom"/>
          </w:tcPr>
          <w:p w:rsidR="00533EAF" w:rsidRPr="00A7780F" w:rsidRDefault="00533EAF" w:rsidP="008B63A3">
            <w:pPr>
              <w:pStyle w:val="TableBodyText"/>
              <w:rPr>
                <w:sz w:val="18"/>
                <w:szCs w:val="18"/>
              </w:rPr>
            </w:pPr>
            <w:r w:rsidRPr="00A7780F">
              <w:rPr>
                <w:sz w:val="18"/>
                <w:szCs w:val="18"/>
              </w:rPr>
              <w:t>1.0</w:t>
            </w:r>
          </w:p>
        </w:tc>
      </w:tr>
      <w:tr w:rsidR="00533EAF" w:rsidRPr="006C5A80" w:rsidTr="008B63A3">
        <w:tc>
          <w:tcPr>
            <w:tcW w:w="1960" w:type="pct"/>
            <w:vAlign w:val="bottom"/>
          </w:tcPr>
          <w:p w:rsidR="00533EAF" w:rsidRPr="00C66BD3" w:rsidRDefault="00533EAF" w:rsidP="008B63A3">
            <w:pPr>
              <w:pStyle w:val="TableBodyText"/>
              <w:jc w:val="left"/>
              <w:rPr>
                <w:sz w:val="18"/>
                <w:szCs w:val="18"/>
              </w:rPr>
            </w:pPr>
            <w:r w:rsidRPr="00C66BD3">
              <w:rPr>
                <w:sz w:val="18"/>
                <w:szCs w:val="18"/>
              </w:rPr>
              <w:t>Sheep, beef cattle and grain farming</w:t>
            </w:r>
          </w:p>
        </w:tc>
        <w:tc>
          <w:tcPr>
            <w:tcW w:w="507" w:type="pct"/>
            <w:vAlign w:val="bottom"/>
          </w:tcPr>
          <w:p w:rsidR="00533EAF" w:rsidRPr="00A7780F" w:rsidRDefault="00533EAF" w:rsidP="008B63A3">
            <w:pPr>
              <w:pStyle w:val="TableBodyText"/>
              <w:rPr>
                <w:sz w:val="18"/>
                <w:szCs w:val="18"/>
              </w:rPr>
            </w:pPr>
            <w:r w:rsidRPr="00A7780F">
              <w:rPr>
                <w:sz w:val="18"/>
                <w:szCs w:val="18"/>
              </w:rPr>
              <w:t>12.2</w:t>
            </w:r>
          </w:p>
        </w:tc>
        <w:tc>
          <w:tcPr>
            <w:tcW w:w="507" w:type="pct"/>
            <w:vAlign w:val="bottom"/>
          </w:tcPr>
          <w:p w:rsidR="00533EAF" w:rsidRPr="00A7780F" w:rsidRDefault="00533EAF" w:rsidP="008B63A3">
            <w:pPr>
              <w:pStyle w:val="TableBodyText"/>
              <w:rPr>
                <w:sz w:val="18"/>
                <w:szCs w:val="18"/>
              </w:rPr>
            </w:pPr>
            <w:r w:rsidRPr="00A7780F">
              <w:rPr>
                <w:sz w:val="18"/>
                <w:szCs w:val="18"/>
              </w:rPr>
              <w:t>15.8</w:t>
            </w:r>
          </w:p>
        </w:tc>
        <w:tc>
          <w:tcPr>
            <w:tcW w:w="507" w:type="pct"/>
            <w:vAlign w:val="bottom"/>
          </w:tcPr>
          <w:p w:rsidR="00533EAF" w:rsidRPr="00A7780F" w:rsidRDefault="00533EAF" w:rsidP="008B63A3">
            <w:pPr>
              <w:pStyle w:val="TableBodyText"/>
              <w:rPr>
                <w:sz w:val="18"/>
                <w:szCs w:val="18"/>
              </w:rPr>
            </w:pPr>
            <w:r w:rsidRPr="00A7780F">
              <w:rPr>
                <w:sz w:val="18"/>
                <w:szCs w:val="18"/>
              </w:rPr>
              <w:t>35.0</w:t>
            </w:r>
          </w:p>
        </w:tc>
        <w:tc>
          <w:tcPr>
            <w:tcW w:w="507" w:type="pct"/>
            <w:vAlign w:val="bottom"/>
          </w:tcPr>
          <w:p w:rsidR="00533EAF" w:rsidRPr="00A7780F" w:rsidRDefault="00533EAF" w:rsidP="008B63A3">
            <w:pPr>
              <w:pStyle w:val="TableBodyText"/>
              <w:rPr>
                <w:sz w:val="18"/>
                <w:szCs w:val="18"/>
              </w:rPr>
            </w:pPr>
            <w:r w:rsidRPr="00A7780F">
              <w:rPr>
                <w:sz w:val="18"/>
                <w:szCs w:val="18"/>
              </w:rPr>
              <w:t>17.8</w:t>
            </w:r>
          </w:p>
        </w:tc>
        <w:tc>
          <w:tcPr>
            <w:tcW w:w="507" w:type="pct"/>
            <w:vAlign w:val="bottom"/>
          </w:tcPr>
          <w:p w:rsidR="00533EAF" w:rsidRPr="00A7780F" w:rsidRDefault="00533EAF" w:rsidP="008B63A3">
            <w:pPr>
              <w:pStyle w:val="TableBodyText"/>
              <w:rPr>
                <w:sz w:val="18"/>
                <w:szCs w:val="18"/>
              </w:rPr>
            </w:pPr>
            <w:r w:rsidRPr="00A7780F">
              <w:rPr>
                <w:sz w:val="18"/>
                <w:szCs w:val="18"/>
              </w:rPr>
              <w:t>16.0</w:t>
            </w:r>
          </w:p>
        </w:tc>
        <w:tc>
          <w:tcPr>
            <w:tcW w:w="505" w:type="pct"/>
            <w:vAlign w:val="bottom"/>
          </w:tcPr>
          <w:p w:rsidR="00533EAF" w:rsidRPr="00A7780F" w:rsidRDefault="00533EAF" w:rsidP="008B63A3">
            <w:pPr>
              <w:pStyle w:val="TableBodyText"/>
              <w:rPr>
                <w:sz w:val="18"/>
                <w:szCs w:val="18"/>
              </w:rPr>
            </w:pPr>
            <w:r w:rsidRPr="00A7780F">
              <w:rPr>
                <w:sz w:val="18"/>
                <w:szCs w:val="18"/>
              </w:rPr>
              <w:t>14.3</w:t>
            </w:r>
          </w:p>
        </w:tc>
      </w:tr>
      <w:tr w:rsidR="00533EAF" w:rsidRPr="006C5A80" w:rsidTr="008B63A3">
        <w:tc>
          <w:tcPr>
            <w:tcW w:w="1960" w:type="pct"/>
            <w:vAlign w:val="bottom"/>
          </w:tcPr>
          <w:p w:rsidR="00533EAF" w:rsidRPr="00C66BD3" w:rsidRDefault="00533EAF" w:rsidP="008B63A3">
            <w:pPr>
              <w:pStyle w:val="TableBodyText"/>
              <w:jc w:val="left"/>
              <w:rPr>
                <w:sz w:val="18"/>
                <w:szCs w:val="18"/>
              </w:rPr>
            </w:pPr>
            <w:r w:rsidRPr="00C66BD3">
              <w:rPr>
                <w:sz w:val="18"/>
                <w:szCs w:val="18"/>
              </w:rPr>
              <w:t>Other crop growing</w:t>
            </w:r>
          </w:p>
        </w:tc>
        <w:tc>
          <w:tcPr>
            <w:tcW w:w="507" w:type="pct"/>
            <w:vAlign w:val="bottom"/>
          </w:tcPr>
          <w:p w:rsidR="00533EAF" w:rsidRPr="00A7780F" w:rsidRDefault="00533EAF" w:rsidP="008B63A3">
            <w:pPr>
              <w:pStyle w:val="TableBodyText"/>
              <w:rPr>
                <w:sz w:val="18"/>
                <w:szCs w:val="18"/>
              </w:rPr>
            </w:pPr>
            <w:r w:rsidRPr="00A7780F">
              <w:rPr>
                <w:sz w:val="18"/>
                <w:szCs w:val="18"/>
              </w:rPr>
              <w:t>0.6</w:t>
            </w:r>
          </w:p>
        </w:tc>
        <w:tc>
          <w:tcPr>
            <w:tcW w:w="507" w:type="pct"/>
            <w:vAlign w:val="bottom"/>
          </w:tcPr>
          <w:p w:rsidR="00533EAF" w:rsidRPr="00A7780F" w:rsidRDefault="00533EAF" w:rsidP="008B63A3">
            <w:pPr>
              <w:pStyle w:val="TableBodyText"/>
              <w:rPr>
                <w:sz w:val="18"/>
                <w:szCs w:val="18"/>
              </w:rPr>
            </w:pPr>
            <w:r w:rsidRPr="00A7780F">
              <w:rPr>
                <w:sz w:val="18"/>
                <w:szCs w:val="18"/>
              </w:rPr>
              <w:t>1.7</w:t>
            </w:r>
          </w:p>
        </w:tc>
        <w:tc>
          <w:tcPr>
            <w:tcW w:w="507" w:type="pct"/>
            <w:vAlign w:val="bottom"/>
          </w:tcPr>
          <w:p w:rsidR="00533EAF" w:rsidRPr="00A7780F" w:rsidRDefault="00533EAF" w:rsidP="008B63A3">
            <w:pPr>
              <w:pStyle w:val="TableBodyText"/>
              <w:rPr>
                <w:sz w:val="18"/>
                <w:szCs w:val="18"/>
              </w:rPr>
            </w:pPr>
            <w:r w:rsidRPr="00A7780F">
              <w:rPr>
                <w:sz w:val="18"/>
                <w:szCs w:val="18"/>
              </w:rPr>
              <w:t>2.0</w:t>
            </w:r>
          </w:p>
        </w:tc>
        <w:tc>
          <w:tcPr>
            <w:tcW w:w="507" w:type="pct"/>
            <w:vAlign w:val="bottom"/>
          </w:tcPr>
          <w:p w:rsidR="00533EAF" w:rsidRPr="00A7780F" w:rsidRDefault="00533EAF" w:rsidP="008B63A3">
            <w:pPr>
              <w:pStyle w:val="TableBodyText"/>
              <w:rPr>
                <w:sz w:val="18"/>
                <w:szCs w:val="18"/>
              </w:rPr>
            </w:pPr>
            <w:r w:rsidRPr="00A7780F">
              <w:rPr>
                <w:sz w:val="18"/>
                <w:szCs w:val="18"/>
              </w:rPr>
              <w:t>1.0</w:t>
            </w:r>
          </w:p>
        </w:tc>
        <w:tc>
          <w:tcPr>
            <w:tcW w:w="507" w:type="pct"/>
            <w:shd w:val="clear" w:color="auto" w:fill="auto"/>
            <w:vAlign w:val="bottom"/>
          </w:tcPr>
          <w:p w:rsidR="00533EAF" w:rsidRPr="00A7780F" w:rsidRDefault="00533EAF" w:rsidP="008B63A3">
            <w:pPr>
              <w:pStyle w:val="TableBodyText"/>
              <w:rPr>
                <w:sz w:val="18"/>
                <w:szCs w:val="18"/>
              </w:rPr>
            </w:pPr>
            <w:r w:rsidRPr="00A7780F">
              <w:rPr>
                <w:sz w:val="18"/>
                <w:szCs w:val="18"/>
              </w:rPr>
              <w:t>0.9</w:t>
            </w:r>
          </w:p>
        </w:tc>
        <w:tc>
          <w:tcPr>
            <w:tcW w:w="505" w:type="pct"/>
            <w:shd w:val="clear" w:color="auto" w:fill="auto"/>
            <w:vAlign w:val="bottom"/>
          </w:tcPr>
          <w:p w:rsidR="00533EAF" w:rsidRPr="00A7780F" w:rsidRDefault="00533EAF" w:rsidP="008B63A3">
            <w:pPr>
              <w:pStyle w:val="TableBodyText"/>
              <w:rPr>
                <w:sz w:val="18"/>
                <w:szCs w:val="18"/>
              </w:rPr>
            </w:pPr>
            <w:r w:rsidRPr="00A7780F">
              <w:rPr>
                <w:sz w:val="18"/>
                <w:szCs w:val="18"/>
              </w:rPr>
              <w:t>0.8</w:t>
            </w:r>
          </w:p>
        </w:tc>
      </w:tr>
      <w:tr w:rsidR="00533EAF" w:rsidRPr="006C5A80" w:rsidTr="008B63A3">
        <w:tc>
          <w:tcPr>
            <w:tcW w:w="1960" w:type="pct"/>
            <w:vAlign w:val="bottom"/>
          </w:tcPr>
          <w:p w:rsidR="00533EAF" w:rsidRPr="00C66BD3" w:rsidRDefault="00533EAF" w:rsidP="008B63A3">
            <w:pPr>
              <w:pStyle w:val="TableBodyText"/>
              <w:jc w:val="left"/>
              <w:rPr>
                <w:sz w:val="18"/>
                <w:szCs w:val="18"/>
              </w:rPr>
            </w:pPr>
            <w:r w:rsidRPr="00C66BD3">
              <w:rPr>
                <w:sz w:val="18"/>
                <w:szCs w:val="18"/>
              </w:rPr>
              <w:t>Dairy cattle farming</w:t>
            </w:r>
          </w:p>
        </w:tc>
        <w:tc>
          <w:tcPr>
            <w:tcW w:w="507" w:type="pct"/>
            <w:vAlign w:val="bottom"/>
          </w:tcPr>
          <w:p w:rsidR="00533EAF" w:rsidRPr="00A7780F" w:rsidRDefault="00533EAF" w:rsidP="008B63A3">
            <w:pPr>
              <w:pStyle w:val="TableBodyText"/>
              <w:rPr>
                <w:sz w:val="18"/>
                <w:szCs w:val="18"/>
              </w:rPr>
            </w:pPr>
            <w:r w:rsidRPr="00A7780F">
              <w:rPr>
                <w:sz w:val="18"/>
                <w:szCs w:val="18"/>
              </w:rPr>
              <w:t>1.1</w:t>
            </w:r>
          </w:p>
        </w:tc>
        <w:tc>
          <w:tcPr>
            <w:tcW w:w="507" w:type="pct"/>
            <w:vAlign w:val="bottom"/>
          </w:tcPr>
          <w:p w:rsidR="00533EAF" w:rsidRPr="00A7780F" w:rsidRDefault="00533EAF" w:rsidP="008B63A3">
            <w:pPr>
              <w:pStyle w:val="TableBodyText"/>
              <w:rPr>
                <w:sz w:val="18"/>
                <w:szCs w:val="18"/>
              </w:rPr>
            </w:pPr>
            <w:r w:rsidRPr="00A7780F">
              <w:rPr>
                <w:sz w:val="18"/>
                <w:szCs w:val="18"/>
              </w:rPr>
              <w:t>2.1</w:t>
            </w:r>
          </w:p>
        </w:tc>
        <w:tc>
          <w:tcPr>
            <w:tcW w:w="507" w:type="pct"/>
            <w:vAlign w:val="bottom"/>
          </w:tcPr>
          <w:p w:rsidR="00533EAF" w:rsidRPr="00A7780F" w:rsidRDefault="00533EAF" w:rsidP="008B63A3">
            <w:pPr>
              <w:pStyle w:val="TableBodyText"/>
              <w:rPr>
                <w:sz w:val="18"/>
                <w:szCs w:val="18"/>
              </w:rPr>
            </w:pPr>
            <w:r w:rsidRPr="00A7780F">
              <w:rPr>
                <w:sz w:val="18"/>
                <w:szCs w:val="18"/>
              </w:rPr>
              <w:t>2.8</w:t>
            </w:r>
          </w:p>
        </w:tc>
        <w:tc>
          <w:tcPr>
            <w:tcW w:w="507" w:type="pct"/>
            <w:vAlign w:val="bottom"/>
          </w:tcPr>
          <w:p w:rsidR="00533EAF" w:rsidRPr="00A7780F" w:rsidRDefault="00533EAF" w:rsidP="008B63A3">
            <w:pPr>
              <w:pStyle w:val="TableBodyText"/>
              <w:rPr>
                <w:sz w:val="18"/>
                <w:szCs w:val="18"/>
              </w:rPr>
            </w:pPr>
            <w:r w:rsidRPr="00A7780F">
              <w:rPr>
                <w:sz w:val="18"/>
                <w:szCs w:val="18"/>
              </w:rPr>
              <w:t>0.9</w:t>
            </w:r>
          </w:p>
        </w:tc>
        <w:tc>
          <w:tcPr>
            <w:tcW w:w="507" w:type="pct"/>
            <w:shd w:val="clear" w:color="auto" w:fill="auto"/>
            <w:vAlign w:val="bottom"/>
          </w:tcPr>
          <w:p w:rsidR="00533EAF" w:rsidRPr="00A7780F" w:rsidRDefault="00533EAF" w:rsidP="008B63A3">
            <w:pPr>
              <w:pStyle w:val="TableBodyText"/>
              <w:rPr>
                <w:sz w:val="18"/>
                <w:szCs w:val="18"/>
              </w:rPr>
            </w:pPr>
            <w:r w:rsidRPr="00A7780F">
              <w:rPr>
                <w:sz w:val="18"/>
                <w:szCs w:val="18"/>
              </w:rPr>
              <w:t>0.8</w:t>
            </w:r>
          </w:p>
        </w:tc>
        <w:tc>
          <w:tcPr>
            <w:tcW w:w="505" w:type="pct"/>
            <w:shd w:val="clear" w:color="auto" w:fill="auto"/>
            <w:vAlign w:val="bottom"/>
          </w:tcPr>
          <w:p w:rsidR="00533EAF" w:rsidRPr="00A7780F" w:rsidRDefault="00533EAF" w:rsidP="008B63A3">
            <w:pPr>
              <w:pStyle w:val="TableBodyText"/>
              <w:rPr>
                <w:sz w:val="18"/>
                <w:szCs w:val="18"/>
              </w:rPr>
            </w:pPr>
            <w:r w:rsidRPr="00A7780F">
              <w:rPr>
                <w:sz w:val="18"/>
                <w:szCs w:val="18"/>
              </w:rPr>
              <w:t>0.7</w:t>
            </w:r>
          </w:p>
        </w:tc>
      </w:tr>
      <w:tr w:rsidR="00533EAF" w:rsidRPr="006C5A80" w:rsidTr="008B63A3">
        <w:tc>
          <w:tcPr>
            <w:tcW w:w="1960" w:type="pct"/>
            <w:vAlign w:val="bottom"/>
          </w:tcPr>
          <w:p w:rsidR="00533EAF" w:rsidRPr="00C66BD3" w:rsidRDefault="00533EAF" w:rsidP="008B63A3">
            <w:pPr>
              <w:pStyle w:val="TableBodyText"/>
              <w:jc w:val="left"/>
              <w:rPr>
                <w:sz w:val="18"/>
                <w:szCs w:val="18"/>
              </w:rPr>
            </w:pPr>
            <w:r w:rsidRPr="00C66BD3">
              <w:rPr>
                <w:sz w:val="18"/>
                <w:szCs w:val="18"/>
              </w:rPr>
              <w:t>Other livestock farming</w:t>
            </w:r>
          </w:p>
        </w:tc>
        <w:tc>
          <w:tcPr>
            <w:tcW w:w="507" w:type="pct"/>
            <w:vAlign w:val="bottom"/>
          </w:tcPr>
          <w:p w:rsidR="00533EAF" w:rsidRPr="00A7780F" w:rsidRDefault="00533EAF" w:rsidP="008B63A3">
            <w:pPr>
              <w:pStyle w:val="TableBodyText"/>
              <w:rPr>
                <w:sz w:val="18"/>
                <w:szCs w:val="18"/>
              </w:rPr>
            </w:pPr>
            <w:r w:rsidRPr="00A7780F">
              <w:rPr>
                <w:sz w:val="18"/>
                <w:szCs w:val="18"/>
              </w:rPr>
              <w:t>1.3</w:t>
            </w:r>
          </w:p>
        </w:tc>
        <w:tc>
          <w:tcPr>
            <w:tcW w:w="507" w:type="pct"/>
            <w:vAlign w:val="bottom"/>
          </w:tcPr>
          <w:p w:rsidR="00533EAF" w:rsidRPr="00A7780F" w:rsidRDefault="00533EAF" w:rsidP="008B63A3">
            <w:pPr>
              <w:pStyle w:val="TableBodyText"/>
              <w:rPr>
                <w:sz w:val="18"/>
                <w:szCs w:val="18"/>
              </w:rPr>
            </w:pPr>
            <w:r w:rsidRPr="00A7780F">
              <w:rPr>
                <w:sz w:val="18"/>
                <w:szCs w:val="18"/>
              </w:rPr>
              <w:t>0.9</w:t>
            </w:r>
          </w:p>
        </w:tc>
        <w:tc>
          <w:tcPr>
            <w:tcW w:w="507" w:type="pct"/>
            <w:vAlign w:val="bottom"/>
          </w:tcPr>
          <w:p w:rsidR="00533EAF" w:rsidRPr="00A7780F" w:rsidRDefault="00533EAF" w:rsidP="008B63A3">
            <w:pPr>
              <w:pStyle w:val="TableBodyText"/>
              <w:rPr>
                <w:sz w:val="18"/>
                <w:szCs w:val="18"/>
              </w:rPr>
            </w:pPr>
            <w:r w:rsidRPr="00A7780F">
              <w:rPr>
                <w:sz w:val="18"/>
                <w:szCs w:val="18"/>
              </w:rPr>
              <w:t>0.5</w:t>
            </w:r>
          </w:p>
        </w:tc>
        <w:tc>
          <w:tcPr>
            <w:tcW w:w="507" w:type="pct"/>
            <w:vAlign w:val="bottom"/>
          </w:tcPr>
          <w:p w:rsidR="00533EAF" w:rsidRPr="00A7780F" w:rsidRDefault="00533EAF" w:rsidP="008B63A3">
            <w:pPr>
              <w:pStyle w:val="TableBodyText"/>
              <w:rPr>
                <w:sz w:val="18"/>
                <w:szCs w:val="18"/>
              </w:rPr>
            </w:pPr>
            <w:r w:rsidRPr="00A7780F">
              <w:rPr>
                <w:sz w:val="18"/>
                <w:szCs w:val="18"/>
              </w:rPr>
              <w:t>0.4</w:t>
            </w:r>
          </w:p>
        </w:tc>
        <w:tc>
          <w:tcPr>
            <w:tcW w:w="507" w:type="pct"/>
            <w:shd w:val="clear" w:color="auto" w:fill="auto"/>
            <w:vAlign w:val="bottom"/>
          </w:tcPr>
          <w:p w:rsidR="00533EAF" w:rsidRPr="00A7780F" w:rsidRDefault="00533EAF" w:rsidP="008B63A3">
            <w:pPr>
              <w:pStyle w:val="TableBodyText"/>
              <w:rPr>
                <w:sz w:val="18"/>
                <w:szCs w:val="18"/>
              </w:rPr>
            </w:pPr>
            <w:r w:rsidRPr="00A7780F">
              <w:rPr>
                <w:sz w:val="18"/>
                <w:szCs w:val="18"/>
              </w:rPr>
              <w:t>0.4</w:t>
            </w:r>
          </w:p>
        </w:tc>
        <w:tc>
          <w:tcPr>
            <w:tcW w:w="505" w:type="pct"/>
            <w:shd w:val="clear" w:color="auto" w:fill="auto"/>
            <w:vAlign w:val="bottom"/>
          </w:tcPr>
          <w:p w:rsidR="00533EAF" w:rsidRPr="00A7780F" w:rsidRDefault="00533EAF" w:rsidP="008B63A3">
            <w:pPr>
              <w:pStyle w:val="TableBodyText"/>
              <w:rPr>
                <w:sz w:val="18"/>
                <w:szCs w:val="18"/>
              </w:rPr>
            </w:pPr>
            <w:r w:rsidRPr="00A7780F">
              <w:rPr>
                <w:sz w:val="18"/>
                <w:szCs w:val="18"/>
              </w:rPr>
              <w:t>0.3</w:t>
            </w:r>
          </w:p>
        </w:tc>
      </w:tr>
      <w:tr w:rsidR="00533EAF" w:rsidRPr="006C5A80" w:rsidTr="008B63A3">
        <w:tc>
          <w:tcPr>
            <w:tcW w:w="1960" w:type="pct"/>
            <w:vAlign w:val="bottom"/>
          </w:tcPr>
          <w:p w:rsidR="00533EAF" w:rsidRPr="00C66BD3" w:rsidRDefault="00533EAF" w:rsidP="008B63A3">
            <w:pPr>
              <w:pStyle w:val="TableBodyText"/>
              <w:jc w:val="left"/>
              <w:rPr>
                <w:sz w:val="18"/>
                <w:szCs w:val="18"/>
              </w:rPr>
            </w:pPr>
            <w:r w:rsidRPr="00C66BD3">
              <w:rPr>
                <w:sz w:val="18"/>
                <w:szCs w:val="18"/>
              </w:rPr>
              <w:t>Aquaculture and fishing</w:t>
            </w:r>
          </w:p>
        </w:tc>
        <w:tc>
          <w:tcPr>
            <w:tcW w:w="507" w:type="pct"/>
            <w:vAlign w:val="bottom"/>
          </w:tcPr>
          <w:p w:rsidR="00533EAF" w:rsidRPr="00A7780F" w:rsidRDefault="00533EAF" w:rsidP="008B63A3">
            <w:pPr>
              <w:pStyle w:val="TableBodyText"/>
              <w:rPr>
                <w:sz w:val="18"/>
                <w:szCs w:val="18"/>
              </w:rPr>
            </w:pPr>
            <w:r w:rsidRPr="00A7780F">
              <w:rPr>
                <w:sz w:val="18"/>
                <w:szCs w:val="18"/>
              </w:rPr>
              <w:t>0.5</w:t>
            </w:r>
          </w:p>
        </w:tc>
        <w:tc>
          <w:tcPr>
            <w:tcW w:w="507" w:type="pct"/>
            <w:vAlign w:val="bottom"/>
          </w:tcPr>
          <w:p w:rsidR="00533EAF" w:rsidRPr="00A7780F" w:rsidRDefault="00533EAF" w:rsidP="008B63A3">
            <w:pPr>
              <w:pStyle w:val="TableBodyText"/>
              <w:rPr>
                <w:sz w:val="18"/>
                <w:szCs w:val="18"/>
              </w:rPr>
            </w:pPr>
            <w:r w:rsidRPr="00A7780F">
              <w:rPr>
                <w:sz w:val="18"/>
                <w:szCs w:val="18"/>
              </w:rPr>
              <w:noBreakHyphen/>
            </w:r>
          </w:p>
        </w:tc>
        <w:tc>
          <w:tcPr>
            <w:tcW w:w="507" w:type="pct"/>
            <w:vAlign w:val="bottom"/>
          </w:tcPr>
          <w:p w:rsidR="00533EAF" w:rsidRPr="00A7780F" w:rsidRDefault="00533EAF" w:rsidP="008B63A3">
            <w:pPr>
              <w:pStyle w:val="TableBodyText"/>
              <w:rPr>
                <w:sz w:val="18"/>
                <w:szCs w:val="18"/>
              </w:rPr>
            </w:pPr>
            <w:r w:rsidRPr="00A7780F">
              <w:rPr>
                <w:sz w:val="18"/>
                <w:szCs w:val="18"/>
              </w:rPr>
              <w:noBreakHyphen/>
            </w:r>
          </w:p>
        </w:tc>
        <w:tc>
          <w:tcPr>
            <w:tcW w:w="507" w:type="pct"/>
            <w:vAlign w:val="bottom"/>
          </w:tcPr>
          <w:p w:rsidR="00533EAF" w:rsidRPr="00A7780F" w:rsidRDefault="00533EAF" w:rsidP="008B63A3">
            <w:pPr>
              <w:pStyle w:val="TableBodyText"/>
              <w:rPr>
                <w:sz w:val="18"/>
                <w:szCs w:val="18"/>
              </w:rPr>
            </w:pPr>
            <w:r w:rsidRPr="00A7780F">
              <w:rPr>
                <w:sz w:val="18"/>
                <w:szCs w:val="18"/>
              </w:rPr>
              <w:t>0.4</w:t>
            </w:r>
          </w:p>
        </w:tc>
        <w:tc>
          <w:tcPr>
            <w:tcW w:w="507" w:type="pct"/>
            <w:shd w:val="clear" w:color="auto" w:fill="auto"/>
            <w:vAlign w:val="bottom"/>
          </w:tcPr>
          <w:p w:rsidR="00533EAF" w:rsidRPr="00A7780F" w:rsidRDefault="00533EAF" w:rsidP="008B63A3">
            <w:pPr>
              <w:pStyle w:val="TableBodyText"/>
              <w:rPr>
                <w:sz w:val="18"/>
                <w:szCs w:val="18"/>
              </w:rPr>
            </w:pPr>
            <w:r w:rsidRPr="00A7780F">
              <w:rPr>
                <w:sz w:val="18"/>
                <w:szCs w:val="18"/>
              </w:rPr>
              <w:t>0.3</w:t>
            </w:r>
          </w:p>
        </w:tc>
        <w:tc>
          <w:tcPr>
            <w:tcW w:w="505" w:type="pct"/>
            <w:shd w:val="clear" w:color="auto" w:fill="auto"/>
            <w:vAlign w:val="bottom"/>
          </w:tcPr>
          <w:p w:rsidR="00533EAF" w:rsidRPr="00A7780F" w:rsidRDefault="00533EAF" w:rsidP="008B63A3">
            <w:pPr>
              <w:pStyle w:val="TableBodyText"/>
              <w:rPr>
                <w:sz w:val="18"/>
                <w:szCs w:val="18"/>
              </w:rPr>
            </w:pPr>
            <w:r w:rsidRPr="00A7780F">
              <w:rPr>
                <w:sz w:val="18"/>
                <w:szCs w:val="18"/>
              </w:rPr>
              <w:t>0.3</w:t>
            </w:r>
          </w:p>
        </w:tc>
      </w:tr>
      <w:tr w:rsidR="00533EAF" w:rsidRPr="006C5A80" w:rsidTr="008B63A3">
        <w:tc>
          <w:tcPr>
            <w:tcW w:w="1960" w:type="pct"/>
            <w:vAlign w:val="bottom"/>
          </w:tcPr>
          <w:p w:rsidR="00533EAF" w:rsidRPr="00C66BD3" w:rsidRDefault="00533EAF" w:rsidP="008B63A3">
            <w:pPr>
              <w:pStyle w:val="TableBodyText"/>
              <w:jc w:val="left"/>
              <w:rPr>
                <w:sz w:val="18"/>
                <w:szCs w:val="18"/>
              </w:rPr>
            </w:pPr>
            <w:r w:rsidRPr="00C66BD3">
              <w:rPr>
                <w:sz w:val="18"/>
                <w:szCs w:val="18"/>
              </w:rPr>
              <w:t>Forestry and logging</w:t>
            </w:r>
          </w:p>
        </w:tc>
        <w:tc>
          <w:tcPr>
            <w:tcW w:w="507" w:type="pct"/>
            <w:vAlign w:val="bottom"/>
          </w:tcPr>
          <w:p w:rsidR="00533EAF" w:rsidRPr="00A7780F" w:rsidRDefault="00533EAF" w:rsidP="008B63A3">
            <w:pPr>
              <w:pStyle w:val="TableBodyText"/>
              <w:rPr>
                <w:sz w:val="18"/>
                <w:szCs w:val="18"/>
              </w:rPr>
            </w:pPr>
            <w:r w:rsidRPr="00A7780F">
              <w:rPr>
                <w:sz w:val="18"/>
                <w:szCs w:val="18"/>
              </w:rPr>
              <w:t>0.9</w:t>
            </w:r>
          </w:p>
        </w:tc>
        <w:tc>
          <w:tcPr>
            <w:tcW w:w="507" w:type="pct"/>
            <w:vAlign w:val="bottom"/>
          </w:tcPr>
          <w:p w:rsidR="00533EAF" w:rsidRPr="00A7780F" w:rsidRDefault="00533EAF" w:rsidP="008B63A3">
            <w:pPr>
              <w:pStyle w:val="TableBodyText"/>
              <w:rPr>
                <w:sz w:val="18"/>
                <w:szCs w:val="18"/>
              </w:rPr>
            </w:pPr>
            <w:r w:rsidRPr="00A7780F">
              <w:rPr>
                <w:sz w:val="18"/>
                <w:szCs w:val="18"/>
              </w:rPr>
              <w:t>3.2</w:t>
            </w:r>
          </w:p>
        </w:tc>
        <w:tc>
          <w:tcPr>
            <w:tcW w:w="507" w:type="pct"/>
            <w:vAlign w:val="bottom"/>
          </w:tcPr>
          <w:p w:rsidR="00533EAF" w:rsidRPr="00A7780F" w:rsidRDefault="00533EAF" w:rsidP="008B63A3">
            <w:pPr>
              <w:pStyle w:val="TableBodyText"/>
              <w:rPr>
                <w:sz w:val="18"/>
                <w:szCs w:val="18"/>
              </w:rPr>
            </w:pPr>
            <w:r w:rsidRPr="00A7780F">
              <w:rPr>
                <w:sz w:val="18"/>
                <w:szCs w:val="18"/>
              </w:rPr>
              <w:t>2.2</w:t>
            </w:r>
          </w:p>
        </w:tc>
        <w:tc>
          <w:tcPr>
            <w:tcW w:w="507" w:type="pct"/>
            <w:vAlign w:val="bottom"/>
          </w:tcPr>
          <w:p w:rsidR="00533EAF" w:rsidRPr="00A7780F" w:rsidRDefault="00533EAF" w:rsidP="008B63A3">
            <w:pPr>
              <w:pStyle w:val="TableBodyText"/>
              <w:rPr>
                <w:sz w:val="18"/>
                <w:szCs w:val="18"/>
              </w:rPr>
            </w:pPr>
            <w:r w:rsidRPr="00A7780F">
              <w:rPr>
                <w:sz w:val="18"/>
                <w:szCs w:val="18"/>
              </w:rPr>
              <w:t>2.1</w:t>
            </w:r>
          </w:p>
        </w:tc>
        <w:tc>
          <w:tcPr>
            <w:tcW w:w="507" w:type="pct"/>
            <w:shd w:val="clear" w:color="auto" w:fill="auto"/>
            <w:vAlign w:val="bottom"/>
          </w:tcPr>
          <w:p w:rsidR="00533EAF" w:rsidRPr="00A7780F" w:rsidRDefault="00533EAF" w:rsidP="008B63A3">
            <w:pPr>
              <w:pStyle w:val="TableBodyText"/>
              <w:rPr>
                <w:sz w:val="18"/>
                <w:szCs w:val="18"/>
              </w:rPr>
            </w:pPr>
            <w:r w:rsidRPr="00A7780F">
              <w:rPr>
                <w:sz w:val="18"/>
                <w:szCs w:val="18"/>
              </w:rPr>
              <w:t>1.9</w:t>
            </w:r>
          </w:p>
        </w:tc>
        <w:tc>
          <w:tcPr>
            <w:tcW w:w="505" w:type="pct"/>
            <w:shd w:val="clear" w:color="auto" w:fill="auto"/>
            <w:vAlign w:val="bottom"/>
          </w:tcPr>
          <w:p w:rsidR="00533EAF" w:rsidRPr="00A7780F" w:rsidRDefault="00533EAF" w:rsidP="008B63A3">
            <w:pPr>
              <w:pStyle w:val="TableBodyText"/>
              <w:rPr>
                <w:sz w:val="18"/>
                <w:szCs w:val="18"/>
              </w:rPr>
            </w:pPr>
            <w:r w:rsidRPr="00A7780F">
              <w:rPr>
                <w:sz w:val="18"/>
                <w:szCs w:val="18"/>
              </w:rPr>
              <w:t>1.7</w:t>
            </w:r>
          </w:p>
        </w:tc>
      </w:tr>
      <w:tr w:rsidR="00533EAF" w:rsidRPr="006C5A80" w:rsidTr="008B63A3">
        <w:tc>
          <w:tcPr>
            <w:tcW w:w="1960" w:type="pct"/>
            <w:vAlign w:val="bottom"/>
          </w:tcPr>
          <w:p w:rsidR="00533EAF" w:rsidRPr="00C66BD3" w:rsidRDefault="00533EAF" w:rsidP="008B63A3">
            <w:pPr>
              <w:pStyle w:val="TableBodyText"/>
              <w:jc w:val="left"/>
              <w:rPr>
                <w:sz w:val="18"/>
                <w:szCs w:val="18"/>
              </w:rPr>
            </w:pPr>
            <w:r w:rsidRPr="00C66BD3">
              <w:rPr>
                <w:sz w:val="18"/>
                <w:szCs w:val="18"/>
              </w:rPr>
              <w:t>Primary production support services</w:t>
            </w:r>
          </w:p>
        </w:tc>
        <w:tc>
          <w:tcPr>
            <w:tcW w:w="507" w:type="pct"/>
            <w:vAlign w:val="bottom"/>
          </w:tcPr>
          <w:p w:rsidR="00533EAF" w:rsidRPr="00A7780F" w:rsidRDefault="00533EAF" w:rsidP="008B63A3">
            <w:pPr>
              <w:pStyle w:val="TableBodyText"/>
              <w:rPr>
                <w:sz w:val="18"/>
                <w:szCs w:val="18"/>
              </w:rPr>
            </w:pPr>
            <w:r w:rsidRPr="00A7780F">
              <w:rPr>
                <w:sz w:val="18"/>
                <w:szCs w:val="18"/>
              </w:rPr>
              <w:t>0.7</w:t>
            </w:r>
          </w:p>
        </w:tc>
        <w:tc>
          <w:tcPr>
            <w:tcW w:w="507" w:type="pct"/>
            <w:vAlign w:val="bottom"/>
          </w:tcPr>
          <w:p w:rsidR="00533EAF" w:rsidRPr="00A7780F" w:rsidRDefault="00533EAF" w:rsidP="008B63A3">
            <w:pPr>
              <w:pStyle w:val="TableBodyText"/>
              <w:rPr>
                <w:sz w:val="18"/>
                <w:szCs w:val="18"/>
              </w:rPr>
            </w:pPr>
            <w:r w:rsidRPr="00A7780F">
              <w:rPr>
                <w:sz w:val="18"/>
                <w:szCs w:val="18"/>
              </w:rPr>
              <w:t>1.1</w:t>
            </w:r>
          </w:p>
        </w:tc>
        <w:tc>
          <w:tcPr>
            <w:tcW w:w="507" w:type="pct"/>
            <w:vAlign w:val="bottom"/>
          </w:tcPr>
          <w:p w:rsidR="00533EAF" w:rsidRPr="00A7780F" w:rsidRDefault="00533EAF" w:rsidP="008B63A3">
            <w:pPr>
              <w:pStyle w:val="TableBodyText"/>
              <w:rPr>
                <w:sz w:val="18"/>
                <w:szCs w:val="18"/>
              </w:rPr>
            </w:pPr>
            <w:r w:rsidRPr="00A7780F">
              <w:rPr>
                <w:sz w:val="18"/>
                <w:szCs w:val="18"/>
              </w:rPr>
              <w:t>2.5</w:t>
            </w:r>
          </w:p>
        </w:tc>
        <w:tc>
          <w:tcPr>
            <w:tcW w:w="507" w:type="pct"/>
            <w:vAlign w:val="bottom"/>
          </w:tcPr>
          <w:p w:rsidR="00533EAF" w:rsidRPr="00A7780F" w:rsidRDefault="00533EAF" w:rsidP="008B63A3">
            <w:pPr>
              <w:pStyle w:val="TableBodyText"/>
              <w:rPr>
                <w:sz w:val="18"/>
                <w:szCs w:val="18"/>
              </w:rPr>
            </w:pPr>
            <w:r w:rsidRPr="00A7780F">
              <w:rPr>
                <w:sz w:val="18"/>
                <w:szCs w:val="18"/>
              </w:rPr>
              <w:t>1.9</w:t>
            </w:r>
          </w:p>
        </w:tc>
        <w:tc>
          <w:tcPr>
            <w:tcW w:w="507" w:type="pct"/>
            <w:shd w:val="clear" w:color="auto" w:fill="auto"/>
            <w:vAlign w:val="bottom"/>
          </w:tcPr>
          <w:p w:rsidR="00533EAF" w:rsidRPr="00A7780F" w:rsidRDefault="00533EAF" w:rsidP="008B63A3">
            <w:pPr>
              <w:pStyle w:val="TableBodyText"/>
              <w:rPr>
                <w:sz w:val="18"/>
                <w:szCs w:val="18"/>
              </w:rPr>
            </w:pPr>
            <w:r w:rsidRPr="00A7780F">
              <w:rPr>
                <w:sz w:val="18"/>
                <w:szCs w:val="18"/>
              </w:rPr>
              <w:t>1.7</w:t>
            </w:r>
          </w:p>
        </w:tc>
        <w:tc>
          <w:tcPr>
            <w:tcW w:w="505" w:type="pct"/>
            <w:shd w:val="clear" w:color="auto" w:fill="auto"/>
            <w:vAlign w:val="bottom"/>
          </w:tcPr>
          <w:p w:rsidR="00533EAF" w:rsidRPr="00A7780F" w:rsidRDefault="00533EAF" w:rsidP="008B63A3">
            <w:pPr>
              <w:pStyle w:val="TableBodyText"/>
              <w:rPr>
                <w:sz w:val="18"/>
                <w:szCs w:val="18"/>
              </w:rPr>
            </w:pPr>
            <w:r w:rsidRPr="00A7780F">
              <w:rPr>
                <w:sz w:val="18"/>
                <w:szCs w:val="18"/>
              </w:rPr>
              <w:t>1.5</w:t>
            </w:r>
          </w:p>
        </w:tc>
      </w:tr>
      <w:tr w:rsidR="00533EAF" w:rsidRPr="006C5A80" w:rsidTr="008B63A3">
        <w:tc>
          <w:tcPr>
            <w:tcW w:w="1960" w:type="pct"/>
            <w:vAlign w:val="bottom"/>
          </w:tcPr>
          <w:p w:rsidR="00533EAF" w:rsidRPr="00C66BD3" w:rsidRDefault="00533EAF" w:rsidP="008B63A3">
            <w:pPr>
              <w:pStyle w:val="TableBodyText"/>
              <w:jc w:val="left"/>
              <w:rPr>
                <w:b/>
                <w:sz w:val="18"/>
                <w:szCs w:val="18"/>
              </w:rPr>
            </w:pPr>
            <w:r w:rsidRPr="00C66BD3">
              <w:rPr>
                <w:b/>
                <w:sz w:val="18"/>
                <w:szCs w:val="18"/>
              </w:rPr>
              <w:t>Mining</w:t>
            </w:r>
          </w:p>
        </w:tc>
        <w:tc>
          <w:tcPr>
            <w:tcW w:w="507" w:type="pct"/>
            <w:vAlign w:val="bottom"/>
          </w:tcPr>
          <w:p w:rsidR="00533EAF" w:rsidRPr="00A7780F" w:rsidRDefault="00533EAF" w:rsidP="008B63A3">
            <w:pPr>
              <w:pStyle w:val="TableBodyText"/>
              <w:rPr>
                <w:b/>
                <w:sz w:val="18"/>
                <w:szCs w:val="18"/>
              </w:rPr>
            </w:pPr>
            <w:r w:rsidRPr="00A7780F">
              <w:rPr>
                <w:b/>
                <w:sz w:val="18"/>
                <w:szCs w:val="18"/>
              </w:rPr>
              <w:noBreakHyphen/>
            </w:r>
          </w:p>
        </w:tc>
        <w:tc>
          <w:tcPr>
            <w:tcW w:w="507" w:type="pct"/>
            <w:vAlign w:val="bottom"/>
          </w:tcPr>
          <w:p w:rsidR="00533EAF" w:rsidRPr="00A7780F" w:rsidRDefault="00533EAF" w:rsidP="008B63A3">
            <w:pPr>
              <w:pStyle w:val="TableBodyText"/>
              <w:rPr>
                <w:b/>
                <w:sz w:val="18"/>
                <w:szCs w:val="18"/>
              </w:rPr>
            </w:pPr>
            <w:r w:rsidRPr="00A7780F">
              <w:rPr>
                <w:b/>
                <w:sz w:val="18"/>
                <w:szCs w:val="18"/>
              </w:rPr>
              <w:noBreakHyphen/>
            </w:r>
          </w:p>
        </w:tc>
        <w:tc>
          <w:tcPr>
            <w:tcW w:w="507" w:type="pct"/>
            <w:vAlign w:val="bottom"/>
          </w:tcPr>
          <w:p w:rsidR="00533EAF" w:rsidRPr="00A7780F" w:rsidRDefault="00533EAF" w:rsidP="008B63A3">
            <w:pPr>
              <w:pStyle w:val="TableBodyText"/>
              <w:rPr>
                <w:b/>
                <w:sz w:val="18"/>
                <w:szCs w:val="18"/>
              </w:rPr>
            </w:pPr>
            <w:r w:rsidRPr="00A7780F">
              <w:rPr>
                <w:b/>
                <w:sz w:val="18"/>
                <w:szCs w:val="18"/>
              </w:rPr>
              <w:t>0.2</w:t>
            </w:r>
          </w:p>
        </w:tc>
        <w:tc>
          <w:tcPr>
            <w:tcW w:w="507" w:type="pct"/>
            <w:vAlign w:val="bottom"/>
          </w:tcPr>
          <w:p w:rsidR="00533EAF" w:rsidRPr="00A7780F" w:rsidRDefault="00533EAF" w:rsidP="008B63A3">
            <w:pPr>
              <w:pStyle w:val="TableBodyText"/>
              <w:rPr>
                <w:b/>
                <w:sz w:val="18"/>
                <w:szCs w:val="18"/>
              </w:rPr>
            </w:pPr>
            <w:r w:rsidRPr="00A7780F">
              <w:rPr>
                <w:b/>
                <w:sz w:val="18"/>
                <w:szCs w:val="18"/>
              </w:rPr>
              <w:noBreakHyphen/>
            </w:r>
          </w:p>
        </w:tc>
        <w:tc>
          <w:tcPr>
            <w:tcW w:w="507" w:type="pct"/>
            <w:shd w:val="clear" w:color="auto" w:fill="auto"/>
            <w:vAlign w:val="bottom"/>
          </w:tcPr>
          <w:p w:rsidR="00533EAF" w:rsidRPr="00A7780F" w:rsidRDefault="00533EAF" w:rsidP="008B63A3">
            <w:pPr>
              <w:pStyle w:val="TableBodyText"/>
              <w:rPr>
                <w:b/>
                <w:sz w:val="18"/>
                <w:szCs w:val="18"/>
              </w:rPr>
            </w:pPr>
            <w:r w:rsidRPr="00A7780F">
              <w:rPr>
                <w:b/>
                <w:sz w:val="18"/>
                <w:szCs w:val="18"/>
              </w:rPr>
              <w:noBreakHyphen/>
            </w:r>
          </w:p>
        </w:tc>
        <w:tc>
          <w:tcPr>
            <w:tcW w:w="505" w:type="pct"/>
            <w:shd w:val="clear" w:color="auto" w:fill="auto"/>
            <w:vAlign w:val="bottom"/>
          </w:tcPr>
          <w:p w:rsidR="00533EAF" w:rsidRPr="00A7780F" w:rsidRDefault="00533EAF" w:rsidP="008B63A3">
            <w:pPr>
              <w:pStyle w:val="TableBodyText"/>
              <w:rPr>
                <w:b/>
                <w:sz w:val="18"/>
                <w:szCs w:val="18"/>
              </w:rPr>
            </w:pPr>
            <w:r w:rsidRPr="00A7780F">
              <w:rPr>
                <w:b/>
                <w:sz w:val="18"/>
                <w:szCs w:val="18"/>
              </w:rPr>
              <w:noBreakHyphen/>
            </w:r>
          </w:p>
        </w:tc>
      </w:tr>
      <w:tr w:rsidR="00533EAF" w:rsidRPr="006C5A80" w:rsidTr="008B63A3">
        <w:tc>
          <w:tcPr>
            <w:tcW w:w="1960" w:type="pct"/>
            <w:vAlign w:val="bottom"/>
          </w:tcPr>
          <w:p w:rsidR="00533EAF" w:rsidRPr="00C66BD3" w:rsidRDefault="00533EAF" w:rsidP="008B63A3">
            <w:pPr>
              <w:pStyle w:val="TableBodyText"/>
              <w:jc w:val="left"/>
              <w:rPr>
                <w:b/>
                <w:sz w:val="18"/>
                <w:szCs w:val="18"/>
              </w:rPr>
            </w:pPr>
            <w:r w:rsidRPr="00C66BD3">
              <w:rPr>
                <w:b/>
                <w:sz w:val="18"/>
                <w:szCs w:val="18"/>
              </w:rPr>
              <w:t>Manufacturing</w:t>
            </w:r>
          </w:p>
        </w:tc>
        <w:tc>
          <w:tcPr>
            <w:tcW w:w="507" w:type="pct"/>
            <w:vAlign w:val="bottom"/>
          </w:tcPr>
          <w:p w:rsidR="00533EAF" w:rsidRPr="00A7780F" w:rsidRDefault="00533EAF" w:rsidP="008B63A3">
            <w:pPr>
              <w:pStyle w:val="TableBodyText"/>
              <w:rPr>
                <w:b/>
                <w:sz w:val="18"/>
                <w:szCs w:val="18"/>
              </w:rPr>
            </w:pPr>
            <w:r w:rsidRPr="00A7780F">
              <w:rPr>
                <w:b/>
                <w:sz w:val="18"/>
                <w:szCs w:val="18"/>
              </w:rPr>
              <w:t>1.1</w:t>
            </w:r>
          </w:p>
        </w:tc>
        <w:tc>
          <w:tcPr>
            <w:tcW w:w="507" w:type="pct"/>
            <w:vAlign w:val="bottom"/>
          </w:tcPr>
          <w:p w:rsidR="00533EAF" w:rsidRPr="00A7780F" w:rsidRDefault="00533EAF" w:rsidP="008B63A3">
            <w:pPr>
              <w:pStyle w:val="TableBodyText"/>
              <w:rPr>
                <w:b/>
                <w:sz w:val="18"/>
                <w:szCs w:val="18"/>
              </w:rPr>
            </w:pPr>
            <w:r w:rsidRPr="00A7780F">
              <w:rPr>
                <w:b/>
                <w:sz w:val="18"/>
                <w:szCs w:val="18"/>
              </w:rPr>
              <w:t>1.1</w:t>
            </w:r>
          </w:p>
        </w:tc>
        <w:tc>
          <w:tcPr>
            <w:tcW w:w="507" w:type="pct"/>
            <w:vAlign w:val="bottom"/>
          </w:tcPr>
          <w:p w:rsidR="00533EAF" w:rsidRPr="00A7780F" w:rsidRDefault="00533EAF" w:rsidP="008B63A3">
            <w:pPr>
              <w:pStyle w:val="TableBodyText"/>
              <w:rPr>
                <w:b/>
                <w:sz w:val="18"/>
                <w:szCs w:val="18"/>
              </w:rPr>
            </w:pPr>
            <w:r w:rsidRPr="00A7780F">
              <w:rPr>
                <w:b/>
                <w:sz w:val="18"/>
                <w:szCs w:val="18"/>
              </w:rPr>
              <w:t>2.4</w:t>
            </w:r>
          </w:p>
        </w:tc>
        <w:tc>
          <w:tcPr>
            <w:tcW w:w="507" w:type="pct"/>
            <w:vAlign w:val="bottom"/>
          </w:tcPr>
          <w:p w:rsidR="00533EAF" w:rsidRPr="00A7780F" w:rsidRDefault="00533EAF" w:rsidP="008B63A3">
            <w:pPr>
              <w:pStyle w:val="TableBodyText"/>
              <w:rPr>
                <w:b/>
                <w:sz w:val="18"/>
                <w:szCs w:val="18"/>
              </w:rPr>
            </w:pPr>
            <w:r w:rsidRPr="00A7780F">
              <w:rPr>
                <w:b/>
                <w:sz w:val="18"/>
                <w:szCs w:val="18"/>
              </w:rPr>
              <w:t>1.3</w:t>
            </w:r>
          </w:p>
        </w:tc>
        <w:tc>
          <w:tcPr>
            <w:tcW w:w="507" w:type="pct"/>
            <w:shd w:val="clear" w:color="auto" w:fill="auto"/>
            <w:vAlign w:val="bottom"/>
          </w:tcPr>
          <w:p w:rsidR="00533EAF" w:rsidRPr="00A7780F" w:rsidRDefault="00533EAF" w:rsidP="008B63A3">
            <w:pPr>
              <w:pStyle w:val="TableBodyText"/>
              <w:rPr>
                <w:b/>
                <w:sz w:val="18"/>
                <w:szCs w:val="18"/>
              </w:rPr>
            </w:pPr>
            <w:r w:rsidRPr="00A7780F">
              <w:rPr>
                <w:b/>
                <w:sz w:val="18"/>
                <w:szCs w:val="18"/>
              </w:rPr>
              <w:t>1.2</w:t>
            </w:r>
          </w:p>
        </w:tc>
        <w:tc>
          <w:tcPr>
            <w:tcW w:w="505" w:type="pct"/>
            <w:shd w:val="clear" w:color="auto" w:fill="auto"/>
            <w:vAlign w:val="bottom"/>
          </w:tcPr>
          <w:p w:rsidR="00533EAF" w:rsidRPr="00A7780F" w:rsidRDefault="00533EAF" w:rsidP="008B63A3">
            <w:pPr>
              <w:pStyle w:val="TableBodyText"/>
              <w:rPr>
                <w:b/>
                <w:sz w:val="18"/>
                <w:szCs w:val="18"/>
              </w:rPr>
            </w:pPr>
            <w:r w:rsidRPr="00A7780F">
              <w:rPr>
                <w:b/>
                <w:sz w:val="18"/>
                <w:szCs w:val="18"/>
              </w:rPr>
              <w:t>1.0</w:t>
            </w:r>
          </w:p>
        </w:tc>
      </w:tr>
      <w:tr w:rsidR="00533EAF" w:rsidRPr="006C5A80" w:rsidTr="008B63A3">
        <w:tc>
          <w:tcPr>
            <w:tcW w:w="1960" w:type="pct"/>
            <w:vAlign w:val="bottom"/>
          </w:tcPr>
          <w:p w:rsidR="00533EAF" w:rsidRPr="00C66BD3" w:rsidRDefault="00533EAF" w:rsidP="008B63A3">
            <w:pPr>
              <w:pStyle w:val="TableBodyText"/>
              <w:jc w:val="left"/>
              <w:rPr>
                <w:sz w:val="18"/>
                <w:szCs w:val="18"/>
              </w:rPr>
            </w:pPr>
            <w:r w:rsidRPr="00C66BD3">
              <w:rPr>
                <w:sz w:val="18"/>
                <w:szCs w:val="18"/>
              </w:rPr>
              <w:t>Food, beverages and tobacco</w:t>
            </w:r>
          </w:p>
        </w:tc>
        <w:tc>
          <w:tcPr>
            <w:tcW w:w="507" w:type="pct"/>
            <w:vAlign w:val="bottom"/>
          </w:tcPr>
          <w:p w:rsidR="00533EAF" w:rsidRPr="00A7780F" w:rsidRDefault="00533EAF" w:rsidP="008B63A3">
            <w:pPr>
              <w:pStyle w:val="TableBodyText"/>
              <w:rPr>
                <w:sz w:val="18"/>
                <w:szCs w:val="18"/>
              </w:rPr>
            </w:pPr>
            <w:r w:rsidRPr="00A7780F">
              <w:rPr>
                <w:sz w:val="18"/>
                <w:szCs w:val="18"/>
              </w:rPr>
              <w:t>0.9</w:t>
            </w:r>
          </w:p>
        </w:tc>
        <w:tc>
          <w:tcPr>
            <w:tcW w:w="507" w:type="pct"/>
            <w:vAlign w:val="bottom"/>
          </w:tcPr>
          <w:p w:rsidR="00533EAF" w:rsidRPr="00A7780F" w:rsidRDefault="00533EAF" w:rsidP="008B63A3">
            <w:pPr>
              <w:pStyle w:val="TableBodyText"/>
              <w:rPr>
                <w:sz w:val="18"/>
                <w:szCs w:val="18"/>
              </w:rPr>
            </w:pPr>
            <w:r w:rsidRPr="00A7780F">
              <w:rPr>
                <w:sz w:val="18"/>
                <w:szCs w:val="18"/>
              </w:rPr>
              <w:t>0.2</w:t>
            </w:r>
          </w:p>
        </w:tc>
        <w:tc>
          <w:tcPr>
            <w:tcW w:w="507" w:type="pct"/>
            <w:vAlign w:val="bottom"/>
          </w:tcPr>
          <w:p w:rsidR="00533EAF" w:rsidRPr="00A7780F" w:rsidRDefault="00533EAF" w:rsidP="008B63A3">
            <w:pPr>
              <w:pStyle w:val="TableBodyText"/>
              <w:rPr>
                <w:sz w:val="18"/>
                <w:szCs w:val="18"/>
              </w:rPr>
            </w:pPr>
            <w:r w:rsidRPr="00A7780F">
              <w:rPr>
                <w:sz w:val="18"/>
                <w:szCs w:val="18"/>
              </w:rPr>
              <w:t>1.3</w:t>
            </w:r>
          </w:p>
        </w:tc>
        <w:tc>
          <w:tcPr>
            <w:tcW w:w="507" w:type="pct"/>
            <w:vAlign w:val="bottom"/>
          </w:tcPr>
          <w:p w:rsidR="00533EAF" w:rsidRPr="00A7780F" w:rsidRDefault="00533EAF" w:rsidP="008B63A3">
            <w:pPr>
              <w:pStyle w:val="TableBodyText"/>
              <w:rPr>
                <w:sz w:val="18"/>
                <w:szCs w:val="18"/>
              </w:rPr>
            </w:pPr>
            <w:r w:rsidRPr="00A7780F">
              <w:rPr>
                <w:sz w:val="18"/>
                <w:szCs w:val="18"/>
              </w:rPr>
              <w:t>1.0</w:t>
            </w:r>
          </w:p>
        </w:tc>
        <w:tc>
          <w:tcPr>
            <w:tcW w:w="507" w:type="pct"/>
            <w:shd w:val="clear" w:color="auto" w:fill="auto"/>
            <w:vAlign w:val="bottom"/>
          </w:tcPr>
          <w:p w:rsidR="00533EAF" w:rsidRPr="00A7780F" w:rsidRDefault="00533EAF" w:rsidP="008B63A3">
            <w:pPr>
              <w:pStyle w:val="TableBodyText"/>
              <w:rPr>
                <w:sz w:val="18"/>
                <w:szCs w:val="18"/>
              </w:rPr>
            </w:pPr>
            <w:r w:rsidRPr="00A7780F">
              <w:rPr>
                <w:sz w:val="18"/>
                <w:szCs w:val="18"/>
              </w:rPr>
              <w:t>0.9</w:t>
            </w:r>
          </w:p>
        </w:tc>
        <w:tc>
          <w:tcPr>
            <w:tcW w:w="505" w:type="pct"/>
            <w:shd w:val="clear" w:color="auto" w:fill="auto"/>
            <w:vAlign w:val="bottom"/>
          </w:tcPr>
          <w:p w:rsidR="00533EAF" w:rsidRPr="00A7780F" w:rsidRDefault="00533EAF" w:rsidP="008B63A3">
            <w:pPr>
              <w:pStyle w:val="TableBodyText"/>
              <w:rPr>
                <w:sz w:val="18"/>
                <w:szCs w:val="18"/>
              </w:rPr>
            </w:pPr>
            <w:r w:rsidRPr="00A7780F">
              <w:rPr>
                <w:sz w:val="18"/>
                <w:szCs w:val="18"/>
              </w:rPr>
              <w:t>0.8</w:t>
            </w:r>
          </w:p>
        </w:tc>
      </w:tr>
      <w:tr w:rsidR="00533EAF" w:rsidRPr="006C5A80" w:rsidTr="008B63A3">
        <w:tc>
          <w:tcPr>
            <w:tcW w:w="1960" w:type="pct"/>
            <w:vAlign w:val="bottom"/>
          </w:tcPr>
          <w:p w:rsidR="00533EAF" w:rsidRPr="00C66BD3" w:rsidRDefault="00533EAF" w:rsidP="008B63A3">
            <w:pPr>
              <w:pStyle w:val="TableBodyText"/>
              <w:jc w:val="left"/>
              <w:rPr>
                <w:sz w:val="18"/>
                <w:szCs w:val="18"/>
              </w:rPr>
            </w:pPr>
            <w:r w:rsidRPr="00C66BD3">
              <w:rPr>
                <w:sz w:val="18"/>
                <w:szCs w:val="18"/>
              </w:rPr>
              <w:t>Textile, leather, clothing and footwear</w:t>
            </w:r>
          </w:p>
        </w:tc>
        <w:tc>
          <w:tcPr>
            <w:tcW w:w="507" w:type="pct"/>
            <w:vAlign w:val="bottom"/>
          </w:tcPr>
          <w:p w:rsidR="00533EAF" w:rsidRPr="00A7780F" w:rsidRDefault="00533EAF" w:rsidP="008B63A3">
            <w:pPr>
              <w:pStyle w:val="TableBodyText"/>
              <w:rPr>
                <w:sz w:val="18"/>
                <w:szCs w:val="18"/>
              </w:rPr>
            </w:pPr>
            <w:r w:rsidRPr="00A7780F">
              <w:rPr>
                <w:sz w:val="18"/>
                <w:szCs w:val="18"/>
              </w:rPr>
              <w:t>0.1</w:t>
            </w:r>
          </w:p>
        </w:tc>
        <w:tc>
          <w:tcPr>
            <w:tcW w:w="507" w:type="pct"/>
            <w:vAlign w:val="bottom"/>
          </w:tcPr>
          <w:p w:rsidR="00533EAF" w:rsidRPr="00A7780F" w:rsidRDefault="00533EAF" w:rsidP="008B63A3">
            <w:pPr>
              <w:pStyle w:val="TableBodyText"/>
              <w:rPr>
                <w:sz w:val="18"/>
                <w:szCs w:val="18"/>
              </w:rPr>
            </w:pPr>
            <w:r w:rsidRPr="00A7780F">
              <w:rPr>
                <w:sz w:val="18"/>
                <w:szCs w:val="18"/>
              </w:rPr>
              <w:t>&lt;0.1</w:t>
            </w:r>
          </w:p>
        </w:tc>
        <w:tc>
          <w:tcPr>
            <w:tcW w:w="507" w:type="pct"/>
            <w:vAlign w:val="bottom"/>
          </w:tcPr>
          <w:p w:rsidR="00533EAF" w:rsidRPr="00A7780F" w:rsidRDefault="00533EAF" w:rsidP="008B63A3">
            <w:pPr>
              <w:pStyle w:val="TableBodyText"/>
              <w:rPr>
                <w:sz w:val="18"/>
                <w:szCs w:val="18"/>
              </w:rPr>
            </w:pPr>
            <w:r w:rsidRPr="00A7780F">
              <w:rPr>
                <w:sz w:val="18"/>
                <w:szCs w:val="18"/>
              </w:rPr>
              <w:t>0.5</w:t>
            </w:r>
          </w:p>
        </w:tc>
        <w:tc>
          <w:tcPr>
            <w:tcW w:w="507" w:type="pct"/>
            <w:vAlign w:val="bottom"/>
          </w:tcPr>
          <w:p w:rsidR="00533EAF" w:rsidRPr="00A7780F" w:rsidRDefault="00533EAF" w:rsidP="008B63A3">
            <w:pPr>
              <w:pStyle w:val="TableBodyText"/>
              <w:rPr>
                <w:sz w:val="18"/>
                <w:szCs w:val="18"/>
              </w:rPr>
            </w:pPr>
            <w:r w:rsidRPr="00A7780F">
              <w:rPr>
                <w:sz w:val="18"/>
                <w:szCs w:val="18"/>
              </w:rPr>
              <w:t>&lt;0.1</w:t>
            </w:r>
          </w:p>
        </w:tc>
        <w:tc>
          <w:tcPr>
            <w:tcW w:w="507" w:type="pct"/>
            <w:shd w:val="clear" w:color="auto" w:fill="auto"/>
            <w:vAlign w:val="bottom"/>
          </w:tcPr>
          <w:p w:rsidR="00533EAF" w:rsidRPr="00A7780F" w:rsidRDefault="00533EAF" w:rsidP="008B63A3">
            <w:pPr>
              <w:pStyle w:val="TableBodyText"/>
              <w:rPr>
                <w:sz w:val="18"/>
                <w:szCs w:val="18"/>
              </w:rPr>
            </w:pPr>
            <w:r w:rsidRPr="00A7780F">
              <w:rPr>
                <w:sz w:val="18"/>
                <w:szCs w:val="18"/>
              </w:rPr>
              <w:t>&lt;0.1</w:t>
            </w:r>
          </w:p>
        </w:tc>
        <w:tc>
          <w:tcPr>
            <w:tcW w:w="505" w:type="pct"/>
            <w:shd w:val="clear" w:color="auto" w:fill="auto"/>
            <w:vAlign w:val="bottom"/>
          </w:tcPr>
          <w:p w:rsidR="00533EAF" w:rsidRPr="00A7780F" w:rsidRDefault="00533EAF" w:rsidP="008B63A3">
            <w:pPr>
              <w:pStyle w:val="TableBodyText"/>
              <w:rPr>
                <w:sz w:val="18"/>
                <w:szCs w:val="18"/>
              </w:rPr>
            </w:pPr>
            <w:r w:rsidRPr="00A7780F">
              <w:rPr>
                <w:sz w:val="18"/>
                <w:szCs w:val="18"/>
              </w:rPr>
              <w:t>&lt;0.1</w:t>
            </w:r>
          </w:p>
        </w:tc>
      </w:tr>
      <w:tr w:rsidR="00533EAF" w:rsidRPr="006C5A80" w:rsidTr="008B63A3">
        <w:tc>
          <w:tcPr>
            <w:tcW w:w="1960" w:type="pct"/>
            <w:vAlign w:val="bottom"/>
          </w:tcPr>
          <w:p w:rsidR="00533EAF" w:rsidRPr="00C66BD3" w:rsidRDefault="00533EAF" w:rsidP="008B63A3">
            <w:pPr>
              <w:pStyle w:val="TableBodyText"/>
              <w:jc w:val="left"/>
              <w:rPr>
                <w:sz w:val="18"/>
                <w:szCs w:val="18"/>
              </w:rPr>
            </w:pPr>
            <w:r w:rsidRPr="00C66BD3">
              <w:rPr>
                <w:sz w:val="18"/>
                <w:szCs w:val="18"/>
              </w:rPr>
              <w:t>Wood and paper products</w:t>
            </w:r>
          </w:p>
        </w:tc>
        <w:tc>
          <w:tcPr>
            <w:tcW w:w="507" w:type="pct"/>
            <w:vAlign w:val="bottom"/>
          </w:tcPr>
          <w:p w:rsidR="00533EAF" w:rsidRPr="00A7780F" w:rsidRDefault="00533EAF" w:rsidP="008B63A3">
            <w:pPr>
              <w:pStyle w:val="TableBodyText"/>
              <w:rPr>
                <w:sz w:val="18"/>
                <w:szCs w:val="18"/>
              </w:rPr>
            </w:pPr>
            <w:r w:rsidRPr="00A7780F">
              <w:rPr>
                <w:sz w:val="18"/>
                <w:szCs w:val="18"/>
              </w:rPr>
              <w:noBreakHyphen/>
            </w:r>
          </w:p>
        </w:tc>
        <w:tc>
          <w:tcPr>
            <w:tcW w:w="507" w:type="pct"/>
            <w:vAlign w:val="bottom"/>
          </w:tcPr>
          <w:p w:rsidR="00533EAF" w:rsidRPr="00A7780F" w:rsidRDefault="00533EAF" w:rsidP="008B63A3">
            <w:pPr>
              <w:pStyle w:val="TableBodyText"/>
              <w:rPr>
                <w:sz w:val="18"/>
                <w:szCs w:val="18"/>
              </w:rPr>
            </w:pPr>
            <w:r w:rsidRPr="00A7780F">
              <w:rPr>
                <w:sz w:val="18"/>
                <w:szCs w:val="18"/>
              </w:rPr>
              <w:t>&lt;0.1</w:t>
            </w:r>
          </w:p>
        </w:tc>
        <w:tc>
          <w:tcPr>
            <w:tcW w:w="507" w:type="pct"/>
            <w:vAlign w:val="bottom"/>
          </w:tcPr>
          <w:p w:rsidR="00533EAF" w:rsidRPr="00A7780F" w:rsidRDefault="00533EAF" w:rsidP="008B63A3">
            <w:pPr>
              <w:pStyle w:val="TableBodyText"/>
              <w:rPr>
                <w:sz w:val="18"/>
                <w:szCs w:val="18"/>
              </w:rPr>
            </w:pPr>
            <w:r w:rsidRPr="00A7780F">
              <w:rPr>
                <w:sz w:val="18"/>
                <w:szCs w:val="18"/>
              </w:rPr>
              <w:t>&lt;0.1</w:t>
            </w:r>
          </w:p>
        </w:tc>
        <w:tc>
          <w:tcPr>
            <w:tcW w:w="507" w:type="pct"/>
            <w:vAlign w:val="bottom"/>
          </w:tcPr>
          <w:p w:rsidR="00533EAF" w:rsidRPr="00A7780F" w:rsidRDefault="00533EAF" w:rsidP="008B63A3">
            <w:pPr>
              <w:pStyle w:val="TableBodyText"/>
              <w:rPr>
                <w:sz w:val="18"/>
                <w:szCs w:val="18"/>
              </w:rPr>
            </w:pPr>
            <w:r w:rsidRPr="00A7780F">
              <w:rPr>
                <w:sz w:val="18"/>
                <w:szCs w:val="18"/>
              </w:rPr>
              <w:noBreakHyphen/>
            </w:r>
          </w:p>
        </w:tc>
        <w:tc>
          <w:tcPr>
            <w:tcW w:w="507" w:type="pct"/>
            <w:shd w:val="clear" w:color="auto" w:fill="auto"/>
            <w:vAlign w:val="bottom"/>
          </w:tcPr>
          <w:p w:rsidR="00533EAF" w:rsidRPr="00A7780F" w:rsidRDefault="00533EAF" w:rsidP="008B63A3">
            <w:pPr>
              <w:pStyle w:val="TableBodyText"/>
              <w:rPr>
                <w:sz w:val="18"/>
                <w:szCs w:val="18"/>
              </w:rPr>
            </w:pPr>
            <w:r w:rsidRPr="00A7780F">
              <w:rPr>
                <w:sz w:val="18"/>
                <w:szCs w:val="18"/>
              </w:rPr>
              <w:noBreakHyphen/>
            </w:r>
          </w:p>
        </w:tc>
        <w:tc>
          <w:tcPr>
            <w:tcW w:w="505" w:type="pct"/>
            <w:shd w:val="clear" w:color="auto" w:fill="auto"/>
            <w:vAlign w:val="bottom"/>
          </w:tcPr>
          <w:p w:rsidR="00533EAF" w:rsidRPr="00A7780F" w:rsidRDefault="00533EAF" w:rsidP="008B63A3">
            <w:pPr>
              <w:pStyle w:val="TableBodyText"/>
              <w:rPr>
                <w:sz w:val="18"/>
                <w:szCs w:val="18"/>
              </w:rPr>
            </w:pPr>
            <w:r w:rsidRPr="00A7780F">
              <w:rPr>
                <w:sz w:val="18"/>
                <w:szCs w:val="18"/>
              </w:rPr>
              <w:noBreakHyphen/>
            </w:r>
          </w:p>
        </w:tc>
      </w:tr>
      <w:tr w:rsidR="00533EAF" w:rsidRPr="006C5A80" w:rsidTr="008B63A3">
        <w:tc>
          <w:tcPr>
            <w:tcW w:w="1960" w:type="pct"/>
            <w:vAlign w:val="bottom"/>
          </w:tcPr>
          <w:p w:rsidR="00533EAF" w:rsidRPr="00C66BD3" w:rsidRDefault="00533EAF" w:rsidP="008B63A3">
            <w:pPr>
              <w:pStyle w:val="TableBodyText"/>
              <w:jc w:val="left"/>
              <w:rPr>
                <w:sz w:val="18"/>
                <w:szCs w:val="18"/>
              </w:rPr>
            </w:pPr>
            <w:r w:rsidRPr="00C66BD3">
              <w:rPr>
                <w:sz w:val="18"/>
                <w:szCs w:val="18"/>
              </w:rPr>
              <w:t>Printing and recorded media</w:t>
            </w:r>
          </w:p>
        </w:tc>
        <w:tc>
          <w:tcPr>
            <w:tcW w:w="507" w:type="pct"/>
            <w:vAlign w:val="bottom"/>
          </w:tcPr>
          <w:p w:rsidR="00533EAF" w:rsidRPr="00A7780F" w:rsidRDefault="00533EAF" w:rsidP="008B63A3">
            <w:pPr>
              <w:pStyle w:val="TableBodyText"/>
              <w:rPr>
                <w:sz w:val="18"/>
                <w:szCs w:val="18"/>
              </w:rPr>
            </w:pPr>
            <w:r w:rsidRPr="00A7780F">
              <w:rPr>
                <w:sz w:val="18"/>
                <w:szCs w:val="18"/>
              </w:rPr>
              <w:noBreakHyphen/>
            </w:r>
          </w:p>
        </w:tc>
        <w:tc>
          <w:tcPr>
            <w:tcW w:w="507" w:type="pct"/>
            <w:vAlign w:val="bottom"/>
          </w:tcPr>
          <w:p w:rsidR="00533EAF" w:rsidRPr="00A7780F" w:rsidRDefault="00533EAF" w:rsidP="008B63A3">
            <w:pPr>
              <w:pStyle w:val="TableBodyText"/>
              <w:rPr>
                <w:sz w:val="18"/>
                <w:szCs w:val="18"/>
              </w:rPr>
            </w:pPr>
            <w:r w:rsidRPr="00A7780F">
              <w:rPr>
                <w:sz w:val="18"/>
                <w:szCs w:val="18"/>
              </w:rPr>
              <w:t>&lt;0.1</w:t>
            </w:r>
          </w:p>
        </w:tc>
        <w:tc>
          <w:tcPr>
            <w:tcW w:w="507" w:type="pct"/>
            <w:vAlign w:val="bottom"/>
          </w:tcPr>
          <w:p w:rsidR="00533EAF" w:rsidRPr="00A7780F" w:rsidRDefault="00533EAF" w:rsidP="008B63A3">
            <w:pPr>
              <w:pStyle w:val="TableBodyText"/>
              <w:rPr>
                <w:sz w:val="18"/>
                <w:szCs w:val="18"/>
              </w:rPr>
            </w:pPr>
            <w:r w:rsidRPr="00A7780F">
              <w:rPr>
                <w:sz w:val="18"/>
                <w:szCs w:val="18"/>
              </w:rPr>
              <w:noBreakHyphen/>
            </w:r>
          </w:p>
        </w:tc>
        <w:tc>
          <w:tcPr>
            <w:tcW w:w="507" w:type="pct"/>
            <w:vAlign w:val="bottom"/>
          </w:tcPr>
          <w:p w:rsidR="00533EAF" w:rsidRPr="00A7780F" w:rsidRDefault="00533EAF" w:rsidP="008B63A3">
            <w:pPr>
              <w:pStyle w:val="TableBodyText"/>
              <w:rPr>
                <w:sz w:val="18"/>
                <w:szCs w:val="18"/>
              </w:rPr>
            </w:pPr>
            <w:r w:rsidRPr="00A7780F">
              <w:rPr>
                <w:sz w:val="18"/>
                <w:szCs w:val="18"/>
              </w:rPr>
              <w:noBreakHyphen/>
            </w:r>
          </w:p>
        </w:tc>
        <w:tc>
          <w:tcPr>
            <w:tcW w:w="507" w:type="pct"/>
            <w:shd w:val="clear" w:color="auto" w:fill="auto"/>
            <w:vAlign w:val="bottom"/>
          </w:tcPr>
          <w:p w:rsidR="00533EAF" w:rsidRPr="00A7780F" w:rsidRDefault="00533EAF" w:rsidP="008B63A3">
            <w:pPr>
              <w:pStyle w:val="TableBodyText"/>
              <w:rPr>
                <w:sz w:val="18"/>
                <w:szCs w:val="18"/>
              </w:rPr>
            </w:pPr>
            <w:r w:rsidRPr="00A7780F">
              <w:rPr>
                <w:sz w:val="18"/>
                <w:szCs w:val="18"/>
              </w:rPr>
              <w:noBreakHyphen/>
            </w:r>
          </w:p>
        </w:tc>
        <w:tc>
          <w:tcPr>
            <w:tcW w:w="505" w:type="pct"/>
            <w:shd w:val="clear" w:color="auto" w:fill="auto"/>
            <w:vAlign w:val="bottom"/>
          </w:tcPr>
          <w:p w:rsidR="00533EAF" w:rsidRPr="00A7780F" w:rsidRDefault="00533EAF" w:rsidP="008B63A3">
            <w:pPr>
              <w:pStyle w:val="TableBodyText"/>
              <w:rPr>
                <w:sz w:val="18"/>
                <w:szCs w:val="18"/>
              </w:rPr>
            </w:pPr>
            <w:r w:rsidRPr="00A7780F">
              <w:rPr>
                <w:sz w:val="18"/>
                <w:szCs w:val="18"/>
              </w:rPr>
              <w:noBreakHyphen/>
            </w:r>
          </w:p>
        </w:tc>
      </w:tr>
      <w:tr w:rsidR="00533EAF" w:rsidRPr="006C5A80" w:rsidTr="008B63A3">
        <w:tc>
          <w:tcPr>
            <w:tcW w:w="1960" w:type="pct"/>
            <w:vAlign w:val="bottom"/>
          </w:tcPr>
          <w:p w:rsidR="00533EAF" w:rsidRPr="00C66BD3" w:rsidRDefault="00533EAF" w:rsidP="008B63A3">
            <w:pPr>
              <w:pStyle w:val="TableBodyText"/>
              <w:jc w:val="left"/>
              <w:rPr>
                <w:sz w:val="18"/>
                <w:szCs w:val="18"/>
              </w:rPr>
            </w:pPr>
            <w:r w:rsidRPr="00C66BD3">
              <w:rPr>
                <w:sz w:val="18"/>
                <w:szCs w:val="18"/>
              </w:rPr>
              <w:t>Metal and fabricated metal products</w:t>
            </w:r>
          </w:p>
        </w:tc>
        <w:tc>
          <w:tcPr>
            <w:tcW w:w="507" w:type="pct"/>
            <w:vAlign w:val="bottom"/>
          </w:tcPr>
          <w:p w:rsidR="00533EAF" w:rsidRPr="00A7780F" w:rsidRDefault="00533EAF" w:rsidP="008B63A3">
            <w:pPr>
              <w:pStyle w:val="TableBodyText"/>
              <w:rPr>
                <w:sz w:val="18"/>
                <w:szCs w:val="18"/>
              </w:rPr>
            </w:pPr>
            <w:r w:rsidRPr="00A7780F">
              <w:rPr>
                <w:sz w:val="18"/>
                <w:szCs w:val="18"/>
              </w:rPr>
              <w:t>&lt;0.1</w:t>
            </w:r>
          </w:p>
        </w:tc>
        <w:tc>
          <w:tcPr>
            <w:tcW w:w="507" w:type="pct"/>
            <w:vAlign w:val="bottom"/>
          </w:tcPr>
          <w:p w:rsidR="00533EAF" w:rsidRPr="00A7780F" w:rsidRDefault="00533EAF" w:rsidP="008B63A3">
            <w:pPr>
              <w:pStyle w:val="TableBodyText"/>
              <w:rPr>
                <w:sz w:val="18"/>
                <w:szCs w:val="18"/>
              </w:rPr>
            </w:pPr>
            <w:r w:rsidRPr="00A7780F">
              <w:rPr>
                <w:sz w:val="18"/>
                <w:szCs w:val="18"/>
              </w:rPr>
              <w:t>0.6</w:t>
            </w:r>
          </w:p>
        </w:tc>
        <w:tc>
          <w:tcPr>
            <w:tcW w:w="507" w:type="pct"/>
            <w:vAlign w:val="bottom"/>
          </w:tcPr>
          <w:p w:rsidR="00533EAF" w:rsidRPr="00A7780F" w:rsidRDefault="00533EAF" w:rsidP="008B63A3">
            <w:pPr>
              <w:pStyle w:val="TableBodyText"/>
              <w:rPr>
                <w:sz w:val="18"/>
                <w:szCs w:val="18"/>
              </w:rPr>
            </w:pPr>
            <w:r w:rsidRPr="00A7780F">
              <w:rPr>
                <w:sz w:val="18"/>
                <w:szCs w:val="18"/>
              </w:rPr>
              <w:t>0.5</w:t>
            </w:r>
          </w:p>
        </w:tc>
        <w:tc>
          <w:tcPr>
            <w:tcW w:w="507" w:type="pct"/>
            <w:vAlign w:val="bottom"/>
          </w:tcPr>
          <w:p w:rsidR="00533EAF" w:rsidRPr="00A7780F" w:rsidRDefault="00533EAF" w:rsidP="008B63A3">
            <w:pPr>
              <w:pStyle w:val="TableBodyText"/>
              <w:rPr>
                <w:sz w:val="18"/>
                <w:szCs w:val="18"/>
              </w:rPr>
            </w:pPr>
            <w:r w:rsidRPr="00A7780F">
              <w:rPr>
                <w:sz w:val="18"/>
                <w:szCs w:val="18"/>
              </w:rPr>
              <w:t>0.2</w:t>
            </w:r>
          </w:p>
        </w:tc>
        <w:tc>
          <w:tcPr>
            <w:tcW w:w="507" w:type="pct"/>
            <w:shd w:val="clear" w:color="auto" w:fill="auto"/>
            <w:vAlign w:val="bottom"/>
          </w:tcPr>
          <w:p w:rsidR="00533EAF" w:rsidRPr="00A7780F" w:rsidRDefault="00533EAF" w:rsidP="008B63A3">
            <w:pPr>
              <w:pStyle w:val="TableBodyText"/>
              <w:rPr>
                <w:sz w:val="18"/>
                <w:szCs w:val="18"/>
              </w:rPr>
            </w:pPr>
            <w:r w:rsidRPr="00A7780F">
              <w:rPr>
                <w:sz w:val="18"/>
                <w:szCs w:val="18"/>
              </w:rPr>
              <w:t>0.2</w:t>
            </w:r>
          </w:p>
        </w:tc>
        <w:tc>
          <w:tcPr>
            <w:tcW w:w="505" w:type="pct"/>
            <w:shd w:val="clear" w:color="auto" w:fill="auto"/>
            <w:vAlign w:val="bottom"/>
          </w:tcPr>
          <w:p w:rsidR="00533EAF" w:rsidRPr="00A7780F" w:rsidRDefault="00533EAF" w:rsidP="008B63A3">
            <w:pPr>
              <w:pStyle w:val="TableBodyText"/>
              <w:rPr>
                <w:sz w:val="18"/>
                <w:szCs w:val="18"/>
              </w:rPr>
            </w:pPr>
            <w:r w:rsidRPr="00A7780F">
              <w:rPr>
                <w:sz w:val="18"/>
                <w:szCs w:val="18"/>
              </w:rPr>
              <w:t>0.1</w:t>
            </w:r>
          </w:p>
        </w:tc>
      </w:tr>
      <w:tr w:rsidR="00533EAF" w:rsidRPr="006C5A80" w:rsidTr="008B63A3">
        <w:tc>
          <w:tcPr>
            <w:tcW w:w="1960" w:type="pct"/>
            <w:vAlign w:val="bottom"/>
          </w:tcPr>
          <w:p w:rsidR="00533EAF" w:rsidRPr="00C66BD3" w:rsidRDefault="00533EAF" w:rsidP="008B63A3">
            <w:pPr>
              <w:pStyle w:val="TableBodyText"/>
              <w:jc w:val="left"/>
              <w:rPr>
                <w:sz w:val="18"/>
                <w:szCs w:val="18"/>
              </w:rPr>
            </w:pPr>
            <w:r w:rsidRPr="00C66BD3">
              <w:rPr>
                <w:sz w:val="18"/>
                <w:szCs w:val="18"/>
              </w:rPr>
              <w:t>Furniture and other manufacturing</w:t>
            </w:r>
          </w:p>
        </w:tc>
        <w:tc>
          <w:tcPr>
            <w:tcW w:w="507" w:type="pct"/>
            <w:vAlign w:val="bottom"/>
          </w:tcPr>
          <w:p w:rsidR="00533EAF" w:rsidRPr="00A7780F" w:rsidRDefault="00533EAF" w:rsidP="008B63A3">
            <w:pPr>
              <w:pStyle w:val="TableBodyText"/>
              <w:rPr>
                <w:sz w:val="18"/>
                <w:szCs w:val="18"/>
              </w:rPr>
            </w:pPr>
            <w:r w:rsidRPr="00A7780F">
              <w:rPr>
                <w:sz w:val="18"/>
                <w:szCs w:val="18"/>
              </w:rPr>
              <w:noBreakHyphen/>
            </w:r>
          </w:p>
        </w:tc>
        <w:tc>
          <w:tcPr>
            <w:tcW w:w="507" w:type="pct"/>
            <w:vAlign w:val="bottom"/>
          </w:tcPr>
          <w:p w:rsidR="00533EAF" w:rsidRPr="00A7780F" w:rsidRDefault="00533EAF" w:rsidP="008B63A3">
            <w:pPr>
              <w:pStyle w:val="TableBodyText"/>
              <w:rPr>
                <w:sz w:val="18"/>
                <w:szCs w:val="18"/>
              </w:rPr>
            </w:pPr>
            <w:r w:rsidRPr="00A7780F">
              <w:rPr>
                <w:sz w:val="18"/>
                <w:szCs w:val="18"/>
              </w:rPr>
              <w:t>&lt;0.1</w:t>
            </w:r>
          </w:p>
        </w:tc>
        <w:tc>
          <w:tcPr>
            <w:tcW w:w="507" w:type="pct"/>
            <w:vAlign w:val="bottom"/>
          </w:tcPr>
          <w:p w:rsidR="00533EAF" w:rsidRPr="00A7780F" w:rsidRDefault="00533EAF" w:rsidP="008B63A3">
            <w:pPr>
              <w:pStyle w:val="TableBodyText"/>
              <w:rPr>
                <w:sz w:val="18"/>
                <w:szCs w:val="18"/>
              </w:rPr>
            </w:pPr>
            <w:r w:rsidRPr="00A7780F">
              <w:rPr>
                <w:sz w:val="18"/>
                <w:szCs w:val="18"/>
              </w:rPr>
              <w:noBreakHyphen/>
            </w:r>
          </w:p>
        </w:tc>
        <w:tc>
          <w:tcPr>
            <w:tcW w:w="507" w:type="pct"/>
            <w:vAlign w:val="bottom"/>
          </w:tcPr>
          <w:p w:rsidR="00533EAF" w:rsidRPr="00A7780F" w:rsidRDefault="00533EAF" w:rsidP="008B63A3">
            <w:pPr>
              <w:pStyle w:val="TableBodyText"/>
              <w:rPr>
                <w:sz w:val="18"/>
                <w:szCs w:val="18"/>
              </w:rPr>
            </w:pPr>
            <w:r w:rsidRPr="00A7780F">
              <w:rPr>
                <w:sz w:val="18"/>
                <w:szCs w:val="18"/>
              </w:rPr>
              <w:noBreakHyphen/>
            </w:r>
          </w:p>
        </w:tc>
        <w:tc>
          <w:tcPr>
            <w:tcW w:w="507" w:type="pct"/>
            <w:shd w:val="clear" w:color="auto" w:fill="auto"/>
            <w:vAlign w:val="bottom"/>
          </w:tcPr>
          <w:p w:rsidR="00533EAF" w:rsidRPr="00A7780F" w:rsidRDefault="00533EAF" w:rsidP="008B63A3">
            <w:pPr>
              <w:pStyle w:val="TableBodyText"/>
              <w:rPr>
                <w:sz w:val="18"/>
                <w:szCs w:val="18"/>
              </w:rPr>
            </w:pPr>
            <w:r w:rsidRPr="00A7780F">
              <w:rPr>
                <w:sz w:val="18"/>
                <w:szCs w:val="18"/>
              </w:rPr>
              <w:noBreakHyphen/>
            </w:r>
          </w:p>
        </w:tc>
        <w:tc>
          <w:tcPr>
            <w:tcW w:w="505" w:type="pct"/>
            <w:shd w:val="clear" w:color="auto" w:fill="auto"/>
            <w:vAlign w:val="bottom"/>
          </w:tcPr>
          <w:p w:rsidR="00533EAF" w:rsidRPr="00A7780F" w:rsidRDefault="00533EAF" w:rsidP="008B63A3">
            <w:pPr>
              <w:pStyle w:val="TableBodyText"/>
              <w:rPr>
                <w:sz w:val="18"/>
                <w:szCs w:val="18"/>
              </w:rPr>
            </w:pPr>
            <w:r w:rsidRPr="00A7780F">
              <w:rPr>
                <w:sz w:val="18"/>
                <w:szCs w:val="18"/>
              </w:rPr>
              <w:noBreakHyphen/>
            </w:r>
          </w:p>
        </w:tc>
      </w:tr>
      <w:tr w:rsidR="00533EAF" w:rsidRPr="006C5A80" w:rsidTr="008B63A3">
        <w:tc>
          <w:tcPr>
            <w:tcW w:w="1960" w:type="pct"/>
            <w:vAlign w:val="bottom"/>
          </w:tcPr>
          <w:p w:rsidR="00533EAF" w:rsidRPr="00C66BD3" w:rsidRDefault="00533EAF" w:rsidP="008B63A3">
            <w:pPr>
              <w:pStyle w:val="TableBodyText"/>
              <w:jc w:val="left"/>
              <w:rPr>
                <w:b/>
                <w:sz w:val="18"/>
                <w:szCs w:val="18"/>
              </w:rPr>
            </w:pPr>
            <w:r w:rsidRPr="00C66BD3">
              <w:rPr>
                <w:b/>
                <w:sz w:val="18"/>
                <w:szCs w:val="18"/>
              </w:rPr>
              <w:t>Services</w:t>
            </w:r>
          </w:p>
        </w:tc>
        <w:tc>
          <w:tcPr>
            <w:tcW w:w="507" w:type="pct"/>
            <w:vAlign w:val="bottom"/>
          </w:tcPr>
          <w:p w:rsidR="00533EAF" w:rsidRPr="00A7780F" w:rsidRDefault="00533EAF" w:rsidP="008B63A3">
            <w:pPr>
              <w:pStyle w:val="TableBodyText"/>
              <w:rPr>
                <w:b/>
                <w:sz w:val="18"/>
                <w:szCs w:val="18"/>
              </w:rPr>
            </w:pPr>
            <w:r w:rsidRPr="00A7780F">
              <w:rPr>
                <w:b/>
                <w:sz w:val="18"/>
                <w:szCs w:val="18"/>
              </w:rPr>
              <w:t>90.1</w:t>
            </w:r>
          </w:p>
        </w:tc>
        <w:tc>
          <w:tcPr>
            <w:tcW w:w="507" w:type="pct"/>
            <w:vAlign w:val="bottom"/>
          </w:tcPr>
          <w:p w:rsidR="00533EAF" w:rsidRPr="00A7780F" w:rsidRDefault="00533EAF" w:rsidP="008B63A3">
            <w:pPr>
              <w:pStyle w:val="TableBodyText"/>
              <w:rPr>
                <w:b/>
                <w:sz w:val="18"/>
                <w:szCs w:val="18"/>
              </w:rPr>
            </w:pPr>
            <w:r w:rsidRPr="00A7780F">
              <w:rPr>
                <w:b/>
                <w:sz w:val="18"/>
                <w:szCs w:val="18"/>
              </w:rPr>
              <w:t>133.6</w:t>
            </w:r>
          </w:p>
        </w:tc>
        <w:tc>
          <w:tcPr>
            <w:tcW w:w="507" w:type="pct"/>
            <w:vAlign w:val="bottom"/>
          </w:tcPr>
          <w:p w:rsidR="00533EAF" w:rsidRPr="00A7780F" w:rsidRDefault="00533EAF" w:rsidP="008B63A3">
            <w:pPr>
              <w:pStyle w:val="TableBodyText"/>
              <w:rPr>
                <w:b/>
                <w:sz w:val="18"/>
                <w:szCs w:val="18"/>
              </w:rPr>
            </w:pPr>
            <w:r w:rsidRPr="00A7780F">
              <w:rPr>
                <w:b/>
                <w:sz w:val="18"/>
                <w:szCs w:val="18"/>
              </w:rPr>
              <w:t>192.3</w:t>
            </w:r>
          </w:p>
        </w:tc>
        <w:tc>
          <w:tcPr>
            <w:tcW w:w="507" w:type="pct"/>
            <w:vAlign w:val="bottom"/>
          </w:tcPr>
          <w:p w:rsidR="00533EAF" w:rsidRPr="00A7780F" w:rsidRDefault="00533EAF" w:rsidP="008B63A3">
            <w:pPr>
              <w:pStyle w:val="TableBodyText"/>
              <w:rPr>
                <w:b/>
                <w:sz w:val="18"/>
                <w:szCs w:val="18"/>
              </w:rPr>
            </w:pPr>
            <w:r w:rsidRPr="00A7780F">
              <w:rPr>
                <w:b/>
                <w:sz w:val="18"/>
                <w:szCs w:val="18"/>
              </w:rPr>
              <w:t>106.9</w:t>
            </w:r>
          </w:p>
        </w:tc>
        <w:tc>
          <w:tcPr>
            <w:tcW w:w="507" w:type="pct"/>
            <w:shd w:val="clear" w:color="auto" w:fill="auto"/>
            <w:vAlign w:val="bottom"/>
          </w:tcPr>
          <w:p w:rsidR="00533EAF" w:rsidRPr="00A7780F" w:rsidRDefault="00533EAF" w:rsidP="008B63A3">
            <w:pPr>
              <w:pStyle w:val="TableBodyText"/>
              <w:rPr>
                <w:b/>
                <w:sz w:val="18"/>
                <w:szCs w:val="18"/>
              </w:rPr>
            </w:pPr>
            <w:r w:rsidRPr="00A7780F">
              <w:rPr>
                <w:b/>
                <w:sz w:val="18"/>
                <w:szCs w:val="18"/>
              </w:rPr>
              <w:t>96.2</w:t>
            </w:r>
          </w:p>
        </w:tc>
        <w:tc>
          <w:tcPr>
            <w:tcW w:w="505" w:type="pct"/>
            <w:shd w:val="clear" w:color="auto" w:fill="auto"/>
            <w:vAlign w:val="bottom"/>
          </w:tcPr>
          <w:p w:rsidR="00533EAF" w:rsidRPr="00A7780F" w:rsidRDefault="00533EAF" w:rsidP="008B63A3">
            <w:pPr>
              <w:pStyle w:val="TableBodyText"/>
              <w:rPr>
                <w:b/>
                <w:sz w:val="18"/>
                <w:szCs w:val="18"/>
              </w:rPr>
            </w:pPr>
            <w:r w:rsidRPr="00A7780F">
              <w:rPr>
                <w:b/>
                <w:sz w:val="18"/>
                <w:szCs w:val="18"/>
              </w:rPr>
              <w:t>85.5</w:t>
            </w:r>
          </w:p>
        </w:tc>
      </w:tr>
      <w:tr w:rsidR="00533EAF" w:rsidRPr="006C5A80" w:rsidTr="008B63A3">
        <w:tc>
          <w:tcPr>
            <w:tcW w:w="1960" w:type="pct"/>
            <w:vAlign w:val="bottom"/>
          </w:tcPr>
          <w:p w:rsidR="00533EAF" w:rsidRPr="00C66BD3" w:rsidRDefault="00533EAF" w:rsidP="008B63A3">
            <w:pPr>
              <w:pStyle w:val="TableBodyText"/>
              <w:jc w:val="left"/>
              <w:rPr>
                <w:sz w:val="18"/>
                <w:szCs w:val="18"/>
              </w:rPr>
            </w:pPr>
            <w:r w:rsidRPr="00C66BD3">
              <w:rPr>
                <w:sz w:val="18"/>
                <w:szCs w:val="18"/>
              </w:rPr>
              <w:t>Electricity, gas, water and waste services</w:t>
            </w:r>
          </w:p>
        </w:tc>
        <w:tc>
          <w:tcPr>
            <w:tcW w:w="507" w:type="pct"/>
            <w:vAlign w:val="bottom"/>
          </w:tcPr>
          <w:p w:rsidR="00533EAF" w:rsidRPr="00A7780F" w:rsidRDefault="00533EAF" w:rsidP="008B63A3">
            <w:pPr>
              <w:pStyle w:val="TableBodyText"/>
              <w:rPr>
                <w:sz w:val="18"/>
                <w:szCs w:val="18"/>
              </w:rPr>
            </w:pPr>
            <w:r w:rsidRPr="00A7780F">
              <w:rPr>
                <w:sz w:val="18"/>
                <w:szCs w:val="18"/>
              </w:rPr>
              <w:noBreakHyphen/>
            </w:r>
          </w:p>
        </w:tc>
        <w:tc>
          <w:tcPr>
            <w:tcW w:w="507" w:type="pct"/>
            <w:vAlign w:val="bottom"/>
          </w:tcPr>
          <w:p w:rsidR="00533EAF" w:rsidRPr="00A7780F" w:rsidRDefault="00533EAF" w:rsidP="008B63A3">
            <w:pPr>
              <w:pStyle w:val="TableBodyText"/>
              <w:rPr>
                <w:sz w:val="18"/>
                <w:szCs w:val="18"/>
              </w:rPr>
            </w:pPr>
            <w:r w:rsidRPr="00A7780F">
              <w:rPr>
                <w:sz w:val="18"/>
                <w:szCs w:val="18"/>
              </w:rPr>
              <w:t>0.2</w:t>
            </w:r>
          </w:p>
        </w:tc>
        <w:tc>
          <w:tcPr>
            <w:tcW w:w="507" w:type="pct"/>
            <w:vAlign w:val="bottom"/>
          </w:tcPr>
          <w:p w:rsidR="00533EAF" w:rsidRPr="00A7780F" w:rsidRDefault="00533EAF" w:rsidP="008B63A3">
            <w:pPr>
              <w:pStyle w:val="TableBodyText"/>
              <w:rPr>
                <w:sz w:val="18"/>
                <w:szCs w:val="18"/>
              </w:rPr>
            </w:pPr>
            <w:r w:rsidRPr="00A7780F">
              <w:rPr>
                <w:sz w:val="18"/>
                <w:szCs w:val="18"/>
              </w:rPr>
              <w:noBreakHyphen/>
            </w:r>
          </w:p>
        </w:tc>
        <w:tc>
          <w:tcPr>
            <w:tcW w:w="507" w:type="pct"/>
            <w:vAlign w:val="bottom"/>
          </w:tcPr>
          <w:p w:rsidR="00533EAF" w:rsidRPr="00A7780F" w:rsidRDefault="00533EAF" w:rsidP="008B63A3">
            <w:pPr>
              <w:pStyle w:val="TableBodyText"/>
              <w:rPr>
                <w:sz w:val="18"/>
                <w:szCs w:val="18"/>
              </w:rPr>
            </w:pPr>
            <w:r w:rsidRPr="00A7780F">
              <w:rPr>
                <w:sz w:val="18"/>
                <w:szCs w:val="18"/>
              </w:rPr>
              <w:noBreakHyphen/>
            </w:r>
          </w:p>
        </w:tc>
        <w:tc>
          <w:tcPr>
            <w:tcW w:w="507" w:type="pct"/>
            <w:shd w:val="clear" w:color="auto" w:fill="auto"/>
            <w:vAlign w:val="bottom"/>
          </w:tcPr>
          <w:p w:rsidR="00533EAF" w:rsidRPr="00A7780F" w:rsidRDefault="00533EAF" w:rsidP="008B63A3">
            <w:pPr>
              <w:pStyle w:val="TableBodyText"/>
              <w:rPr>
                <w:sz w:val="18"/>
                <w:szCs w:val="18"/>
              </w:rPr>
            </w:pPr>
            <w:r w:rsidRPr="00A7780F">
              <w:rPr>
                <w:sz w:val="18"/>
                <w:szCs w:val="18"/>
              </w:rPr>
              <w:noBreakHyphen/>
            </w:r>
          </w:p>
        </w:tc>
        <w:tc>
          <w:tcPr>
            <w:tcW w:w="505" w:type="pct"/>
            <w:shd w:val="clear" w:color="auto" w:fill="auto"/>
            <w:vAlign w:val="bottom"/>
          </w:tcPr>
          <w:p w:rsidR="00533EAF" w:rsidRPr="00A7780F" w:rsidRDefault="00533EAF" w:rsidP="008B63A3">
            <w:pPr>
              <w:pStyle w:val="TableBodyText"/>
              <w:rPr>
                <w:sz w:val="18"/>
                <w:szCs w:val="18"/>
              </w:rPr>
            </w:pPr>
            <w:r w:rsidRPr="00A7780F">
              <w:rPr>
                <w:sz w:val="18"/>
                <w:szCs w:val="18"/>
              </w:rPr>
              <w:noBreakHyphen/>
            </w:r>
          </w:p>
        </w:tc>
      </w:tr>
      <w:tr w:rsidR="00533EAF" w:rsidRPr="006C5A80" w:rsidTr="008B63A3">
        <w:tc>
          <w:tcPr>
            <w:tcW w:w="1960" w:type="pct"/>
            <w:vAlign w:val="bottom"/>
          </w:tcPr>
          <w:p w:rsidR="00533EAF" w:rsidRPr="00C66BD3" w:rsidRDefault="00533EAF" w:rsidP="008B63A3">
            <w:pPr>
              <w:pStyle w:val="TableBodyText"/>
              <w:jc w:val="left"/>
              <w:rPr>
                <w:sz w:val="18"/>
                <w:szCs w:val="18"/>
              </w:rPr>
            </w:pPr>
            <w:r w:rsidRPr="00C66BD3">
              <w:rPr>
                <w:sz w:val="18"/>
                <w:szCs w:val="18"/>
              </w:rPr>
              <w:t>Construction</w:t>
            </w:r>
          </w:p>
        </w:tc>
        <w:tc>
          <w:tcPr>
            <w:tcW w:w="507" w:type="pct"/>
            <w:vAlign w:val="bottom"/>
          </w:tcPr>
          <w:p w:rsidR="00533EAF" w:rsidRPr="00A7780F" w:rsidRDefault="00533EAF" w:rsidP="008B63A3">
            <w:pPr>
              <w:pStyle w:val="TableBodyText"/>
              <w:rPr>
                <w:sz w:val="18"/>
                <w:szCs w:val="18"/>
              </w:rPr>
            </w:pPr>
            <w:r w:rsidRPr="00A7780F">
              <w:rPr>
                <w:sz w:val="18"/>
                <w:szCs w:val="18"/>
              </w:rPr>
              <w:t>5.0</w:t>
            </w:r>
          </w:p>
        </w:tc>
        <w:tc>
          <w:tcPr>
            <w:tcW w:w="507" w:type="pct"/>
            <w:vAlign w:val="bottom"/>
          </w:tcPr>
          <w:p w:rsidR="00533EAF" w:rsidRPr="00A7780F" w:rsidRDefault="00533EAF" w:rsidP="008B63A3">
            <w:pPr>
              <w:pStyle w:val="TableBodyText"/>
              <w:rPr>
                <w:sz w:val="18"/>
                <w:szCs w:val="18"/>
              </w:rPr>
            </w:pPr>
            <w:r w:rsidRPr="00A7780F">
              <w:rPr>
                <w:sz w:val="18"/>
                <w:szCs w:val="18"/>
              </w:rPr>
              <w:t>4.8</w:t>
            </w:r>
          </w:p>
        </w:tc>
        <w:tc>
          <w:tcPr>
            <w:tcW w:w="507" w:type="pct"/>
            <w:vAlign w:val="bottom"/>
          </w:tcPr>
          <w:p w:rsidR="00533EAF" w:rsidRPr="00A7780F" w:rsidRDefault="00533EAF" w:rsidP="008B63A3">
            <w:pPr>
              <w:pStyle w:val="TableBodyText"/>
              <w:rPr>
                <w:sz w:val="18"/>
                <w:szCs w:val="18"/>
              </w:rPr>
            </w:pPr>
            <w:r w:rsidRPr="00A7780F">
              <w:rPr>
                <w:sz w:val="18"/>
                <w:szCs w:val="18"/>
              </w:rPr>
              <w:t>9.5</w:t>
            </w:r>
          </w:p>
        </w:tc>
        <w:tc>
          <w:tcPr>
            <w:tcW w:w="507" w:type="pct"/>
            <w:vAlign w:val="bottom"/>
          </w:tcPr>
          <w:p w:rsidR="00533EAF" w:rsidRPr="00A7780F" w:rsidRDefault="00533EAF" w:rsidP="008B63A3">
            <w:pPr>
              <w:pStyle w:val="TableBodyText"/>
              <w:rPr>
                <w:sz w:val="18"/>
                <w:szCs w:val="18"/>
              </w:rPr>
            </w:pPr>
            <w:r w:rsidRPr="00A7780F">
              <w:rPr>
                <w:sz w:val="18"/>
                <w:szCs w:val="18"/>
              </w:rPr>
              <w:t>5.0</w:t>
            </w:r>
          </w:p>
        </w:tc>
        <w:tc>
          <w:tcPr>
            <w:tcW w:w="507" w:type="pct"/>
            <w:shd w:val="clear" w:color="auto" w:fill="auto"/>
            <w:vAlign w:val="bottom"/>
          </w:tcPr>
          <w:p w:rsidR="00533EAF" w:rsidRPr="00A7780F" w:rsidRDefault="00533EAF" w:rsidP="008B63A3">
            <w:pPr>
              <w:pStyle w:val="TableBodyText"/>
              <w:rPr>
                <w:sz w:val="18"/>
                <w:szCs w:val="18"/>
              </w:rPr>
            </w:pPr>
            <w:r w:rsidRPr="00A7780F">
              <w:rPr>
                <w:sz w:val="18"/>
                <w:szCs w:val="18"/>
              </w:rPr>
              <w:t>4.5</w:t>
            </w:r>
          </w:p>
        </w:tc>
        <w:tc>
          <w:tcPr>
            <w:tcW w:w="505" w:type="pct"/>
            <w:shd w:val="clear" w:color="auto" w:fill="auto"/>
            <w:vAlign w:val="bottom"/>
          </w:tcPr>
          <w:p w:rsidR="00533EAF" w:rsidRPr="00A7780F" w:rsidRDefault="00533EAF" w:rsidP="008B63A3">
            <w:pPr>
              <w:pStyle w:val="TableBodyText"/>
              <w:rPr>
                <w:sz w:val="18"/>
                <w:szCs w:val="18"/>
              </w:rPr>
            </w:pPr>
            <w:r w:rsidRPr="00A7780F">
              <w:rPr>
                <w:sz w:val="18"/>
                <w:szCs w:val="18"/>
              </w:rPr>
              <w:t>4.0</w:t>
            </w:r>
          </w:p>
        </w:tc>
      </w:tr>
      <w:tr w:rsidR="00533EAF" w:rsidRPr="006C5A80" w:rsidTr="008B63A3">
        <w:tc>
          <w:tcPr>
            <w:tcW w:w="1960" w:type="pct"/>
            <w:vAlign w:val="bottom"/>
          </w:tcPr>
          <w:p w:rsidR="00533EAF" w:rsidRPr="00C66BD3" w:rsidRDefault="00533EAF" w:rsidP="008B63A3">
            <w:pPr>
              <w:pStyle w:val="TableBodyText"/>
              <w:jc w:val="left"/>
              <w:rPr>
                <w:sz w:val="18"/>
                <w:szCs w:val="18"/>
              </w:rPr>
            </w:pPr>
            <w:r w:rsidRPr="00C66BD3">
              <w:rPr>
                <w:sz w:val="18"/>
                <w:szCs w:val="18"/>
              </w:rPr>
              <w:t>Wholesale trade</w:t>
            </w:r>
          </w:p>
        </w:tc>
        <w:tc>
          <w:tcPr>
            <w:tcW w:w="507" w:type="pct"/>
            <w:vAlign w:val="bottom"/>
          </w:tcPr>
          <w:p w:rsidR="00533EAF" w:rsidRPr="00A7780F" w:rsidRDefault="00533EAF" w:rsidP="008B63A3">
            <w:pPr>
              <w:pStyle w:val="TableBodyText"/>
              <w:rPr>
                <w:sz w:val="18"/>
                <w:szCs w:val="18"/>
              </w:rPr>
            </w:pPr>
            <w:r w:rsidRPr="00A7780F">
              <w:rPr>
                <w:sz w:val="18"/>
                <w:szCs w:val="18"/>
              </w:rPr>
              <w:t>2.3</w:t>
            </w:r>
          </w:p>
        </w:tc>
        <w:tc>
          <w:tcPr>
            <w:tcW w:w="507" w:type="pct"/>
            <w:vAlign w:val="bottom"/>
          </w:tcPr>
          <w:p w:rsidR="00533EAF" w:rsidRPr="00A7780F" w:rsidRDefault="00533EAF" w:rsidP="008B63A3">
            <w:pPr>
              <w:pStyle w:val="TableBodyText"/>
              <w:rPr>
                <w:sz w:val="18"/>
                <w:szCs w:val="18"/>
              </w:rPr>
            </w:pPr>
            <w:r w:rsidRPr="00A7780F">
              <w:rPr>
                <w:sz w:val="18"/>
                <w:szCs w:val="18"/>
              </w:rPr>
              <w:t>2.8</w:t>
            </w:r>
          </w:p>
        </w:tc>
        <w:tc>
          <w:tcPr>
            <w:tcW w:w="507" w:type="pct"/>
            <w:vAlign w:val="bottom"/>
          </w:tcPr>
          <w:p w:rsidR="00533EAF" w:rsidRPr="00A7780F" w:rsidRDefault="00533EAF" w:rsidP="008B63A3">
            <w:pPr>
              <w:pStyle w:val="TableBodyText"/>
              <w:rPr>
                <w:sz w:val="18"/>
                <w:szCs w:val="18"/>
              </w:rPr>
            </w:pPr>
            <w:r w:rsidRPr="00A7780F">
              <w:rPr>
                <w:sz w:val="18"/>
                <w:szCs w:val="18"/>
              </w:rPr>
              <w:t>5.3</w:t>
            </w:r>
          </w:p>
        </w:tc>
        <w:tc>
          <w:tcPr>
            <w:tcW w:w="507" w:type="pct"/>
            <w:vAlign w:val="bottom"/>
          </w:tcPr>
          <w:p w:rsidR="00533EAF" w:rsidRPr="00A7780F" w:rsidRDefault="00533EAF" w:rsidP="008B63A3">
            <w:pPr>
              <w:pStyle w:val="TableBodyText"/>
              <w:rPr>
                <w:sz w:val="18"/>
                <w:szCs w:val="18"/>
              </w:rPr>
            </w:pPr>
            <w:r w:rsidRPr="00A7780F">
              <w:rPr>
                <w:sz w:val="18"/>
                <w:szCs w:val="18"/>
              </w:rPr>
              <w:t>3.3</w:t>
            </w:r>
          </w:p>
        </w:tc>
        <w:tc>
          <w:tcPr>
            <w:tcW w:w="507" w:type="pct"/>
            <w:shd w:val="clear" w:color="auto" w:fill="auto"/>
            <w:vAlign w:val="bottom"/>
          </w:tcPr>
          <w:p w:rsidR="00533EAF" w:rsidRPr="00A7780F" w:rsidRDefault="00533EAF" w:rsidP="008B63A3">
            <w:pPr>
              <w:pStyle w:val="TableBodyText"/>
              <w:rPr>
                <w:sz w:val="18"/>
                <w:szCs w:val="18"/>
              </w:rPr>
            </w:pPr>
            <w:r w:rsidRPr="00A7780F">
              <w:rPr>
                <w:sz w:val="18"/>
                <w:szCs w:val="18"/>
              </w:rPr>
              <w:t>3.0</w:t>
            </w:r>
          </w:p>
        </w:tc>
        <w:tc>
          <w:tcPr>
            <w:tcW w:w="505" w:type="pct"/>
            <w:shd w:val="clear" w:color="auto" w:fill="auto"/>
            <w:vAlign w:val="bottom"/>
          </w:tcPr>
          <w:p w:rsidR="00533EAF" w:rsidRPr="00A7780F" w:rsidRDefault="00533EAF" w:rsidP="008B63A3">
            <w:pPr>
              <w:pStyle w:val="TableBodyText"/>
              <w:rPr>
                <w:sz w:val="18"/>
                <w:szCs w:val="18"/>
              </w:rPr>
            </w:pPr>
            <w:r w:rsidRPr="00A7780F">
              <w:rPr>
                <w:sz w:val="18"/>
                <w:szCs w:val="18"/>
              </w:rPr>
              <w:t>2.6</w:t>
            </w:r>
          </w:p>
        </w:tc>
      </w:tr>
      <w:tr w:rsidR="00533EAF" w:rsidRPr="006C5A80" w:rsidTr="008B63A3">
        <w:tc>
          <w:tcPr>
            <w:tcW w:w="1960" w:type="pct"/>
            <w:vAlign w:val="bottom"/>
          </w:tcPr>
          <w:p w:rsidR="00533EAF" w:rsidRPr="00C66BD3" w:rsidRDefault="00533EAF" w:rsidP="008B63A3">
            <w:pPr>
              <w:pStyle w:val="TableBodyText"/>
              <w:jc w:val="left"/>
              <w:rPr>
                <w:sz w:val="18"/>
                <w:szCs w:val="18"/>
              </w:rPr>
            </w:pPr>
            <w:r w:rsidRPr="00C66BD3">
              <w:rPr>
                <w:sz w:val="18"/>
                <w:szCs w:val="18"/>
              </w:rPr>
              <w:t>Retail trade</w:t>
            </w:r>
          </w:p>
        </w:tc>
        <w:tc>
          <w:tcPr>
            <w:tcW w:w="507" w:type="pct"/>
            <w:vAlign w:val="bottom"/>
          </w:tcPr>
          <w:p w:rsidR="00533EAF" w:rsidRPr="00A7780F" w:rsidRDefault="00533EAF" w:rsidP="008B63A3">
            <w:pPr>
              <w:pStyle w:val="TableBodyText"/>
              <w:rPr>
                <w:sz w:val="18"/>
                <w:szCs w:val="18"/>
              </w:rPr>
            </w:pPr>
            <w:r w:rsidRPr="00A7780F">
              <w:rPr>
                <w:sz w:val="18"/>
                <w:szCs w:val="18"/>
              </w:rPr>
              <w:t>13.4</w:t>
            </w:r>
          </w:p>
        </w:tc>
        <w:tc>
          <w:tcPr>
            <w:tcW w:w="507" w:type="pct"/>
            <w:vAlign w:val="bottom"/>
          </w:tcPr>
          <w:p w:rsidR="00533EAF" w:rsidRPr="00A7780F" w:rsidRDefault="00533EAF" w:rsidP="008B63A3">
            <w:pPr>
              <w:pStyle w:val="TableBodyText"/>
              <w:rPr>
                <w:sz w:val="18"/>
                <w:szCs w:val="18"/>
              </w:rPr>
            </w:pPr>
            <w:r w:rsidRPr="00A7780F">
              <w:rPr>
                <w:sz w:val="18"/>
                <w:szCs w:val="18"/>
              </w:rPr>
              <w:t>7.3</w:t>
            </w:r>
          </w:p>
        </w:tc>
        <w:tc>
          <w:tcPr>
            <w:tcW w:w="507" w:type="pct"/>
            <w:vAlign w:val="bottom"/>
          </w:tcPr>
          <w:p w:rsidR="00533EAF" w:rsidRPr="00A7780F" w:rsidRDefault="00533EAF" w:rsidP="008B63A3">
            <w:pPr>
              <w:pStyle w:val="TableBodyText"/>
              <w:rPr>
                <w:sz w:val="18"/>
                <w:szCs w:val="18"/>
              </w:rPr>
            </w:pPr>
            <w:r w:rsidRPr="00A7780F">
              <w:rPr>
                <w:sz w:val="18"/>
                <w:szCs w:val="18"/>
              </w:rPr>
              <w:t>22.5</w:t>
            </w:r>
          </w:p>
        </w:tc>
        <w:tc>
          <w:tcPr>
            <w:tcW w:w="507" w:type="pct"/>
            <w:vAlign w:val="bottom"/>
          </w:tcPr>
          <w:p w:rsidR="00533EAF" w:rsidRPr="00A7780F" w:rsidRDefault="00533EAF" w:rsidP="008B63A3">
            <w:pPr>
              <w:pStyle w:val="TableBodyText"/>
              <w:rPr>
                <w:sz w:val="18"/>
                <w:szCs w:val="18"/>
              </w:rPr>
            </w:pPr>
            <w:r w:rsidRPr="00A7780F">
              <w:rPr>
                <w:sz w:val="18"/>
                <w:szCs w:val="18"/>
              </w:rPr>
              <w:t>16.2</w:t>
            </w:r>
          </w:p>
        </w:tc>
        <w:tc>
          <w:tcPr>
            <w:tcW w:w="507" w:type="pct"/>
            <w:shd w:val="clear" w:color="auto" w:fill="auto"/>
            <w:vAlign w:val="bottom"/>
          </w:tcPr>
          <w:p w:rsidR="00533EAF" w:rsidRPr="00A7780F" w:rsidRDefault="00533EAF" w:rsidP="008B63A3">
            <w:pPr>
              <w:pStyle w:val="TableBodyText"/>
              <w:rPr>
                <w:sz w:val="18"/>
                <w:szCs w:val="18"/>
              </w:rPr>
            </w:pPr>
            <w:r w:rsidRPr="00A7780F">
              <w:rPr>
                <w:sz w:val="18"/>
                <w:szCs w:val="18"/>
              </w:rPr>
              <w:t>14.6</w:t>
            </w:r>
          </w:p>
        </w:tc>
        <w:tc>
          <w:tcPr>
            <w:tcW w:w="505" w:type="pct"/>
            <w:shd w:val="clear" w:color="auto" w:fill="auto"/>
            <w:vAlign w:val="bottom"/>
          </w:tcPr>
          <w:p w:rsidR="00533EAF" w:rsidRPr="00A7780F" w:rsidRDefault="00533EAF" w:rsidP="008B63A3">
            <w:pPr>
              <w:pStyle w:val="TableBodyText"/>
              <w:rPr>
                <w:sz w:val="18"/>
                <w:szCs w:val="18"/>
              </w:rPr>
            </w:pPr>
            <w:r w:rsidRPr="00A7780F">
              <w:rPr>
                <w:sz w:val="18"/>
                <w:szCs w:val="18"/>
              </w:rPr>
              <w:t>12.9</w:t>
            </w:r>
          </w:p>
        </w:tc>
      </w:tr>
      <w:tr w:rsidR="00533EAF" w:rsidRPr="006C5A80" w:rsidTr="008B63A3">
        <w:tc>
          <w:tcPr>
            <w:tcW w:w="1960" w:type="pct"/>
            <w:vAlign w:val="bottom"/>
          </w:tcPr>
          <w:p w:rsidR="00533EAF" w:rsidRPr="00C66BD3" w:rsidRDefault="00533EAF" w:rsidP="008B63A3">
            <w:pPr>
              <w:pStyle w:val="TableBodyText"/>
              <w:jc w:val="left"/>
              <w:rPr>
                <w:sz w:val="18"/>
                <w:szCs w:val="18"/>
              </w:rPr>
            </w:pPr>
            <w:r w:rsidRPr="00C66BD3">
              <w:rPr>
                <w:sz w:val="18"/>
                <w:szCs w:val="18"/>
              </w:rPr>
              <w:t>Accommodation and food services</w:t>
            </w:r>
          </w:p>
        </w:tc>
        <w:tc>
          <w:tcPr>
            <w:tcW w:w="507" w:type="pct"/>
            <w:vAlign w:val="bottom"/>
          </w:tcPr>
          <w:p w:rsidR="00533EAF" w:rsidRPr="00A7780F" w:rsidRDefault="00533EAF" w:rsidP="008B63A3">
            <w:pPr>
              <w:pStyle w:val="TableBodyText"/>
              <w:rPr>
                <w:sz w:val="18"/>
                <w:szCs w:val="18"/>
              </w:rPr>
            </w:pPr>
            <w:r w:rsidRPr="00A7780F">
              <w:rPr>
                <w:sz w:val="18"/>
                <w:szCs w:val="18"/>
              </w:rPr>
              <w:t>7.9</w:t>
            </w:r>
          </w:p>
        </w:tc>
        <w:tc>
          <w:tcPr>
            <w:tcW w:w="507" w:type="pct"/>
            <w:vAlign w:val="bottom"/>
          </w:tcPr>
          <w:p w:rsidR="00533EAF" w:rsidRPr="00A7780F" w:rsidRDefault="00533EAF" w:rsidP="008B63A3">
            <w:pPr>
              <w:pStyle w:val="TableBodyText"/>
              <w:rPr>
                <w:sz w:val="18"/>
                <w:szCs w:val="18"/>
              </w:rPr>
            </w:pPr>
            <w:r w:rsidRPr="00A7780F">
              <w:rPr>
                <w:sz w:val="18"/>
                <w:szCs w:val="18"/>
              </w:rPr>
              <w:t>5.7</w:t>
            </w:r>
          </w:p>
        </w:tc>
        <w:tc>
          <w:tcPr>
            <w:tcW w:w="507" w:type="pct"/>
            <w:vAlign w:val="bottom"/>
          </w:tcPr>
          <w:p w:rsidR="00533EAF" w:rsidRPr="00A7780F" w:rsidRDefault="00533EAF" w:rsidP="008B63A3">
            <w:pPr>
              <w:pStyle w:val="TableBodyText"/>
              <w:rPr>
                <w:sz w:val="18"/>
                <w:szCs w:val="18"/>
              </w:rPr>
            </w:pPr>
            <w:r w:rsidRPr="00A7780F">
              <w:rPr>
                <w:sz w:val="18"/>
                <w:szCs w:val="18"/>
              </w:rPr>
              <w:t>14.7</w:t>
            </w:r>
          </w:p>
        </w:tc>
        <w:tc>
          <w:tcPr>
            <w:tcW w:w="507" w:type="pct"/>
            <w:vAlign w:val="bottom"/>
          </w:tcPr>
          <w:p w:rsidR="00533EAF" w:rsidRPr="00A7780F" w:rsidRDefault="00533EAF" w:rsidP="008B63A3">
            <w:pPr>
              <w:pStyle w:val="TableBodyText"/>
              <w:rPr>
                <w:sz w:val="18"/>
                <w:szCs w:val="18"/>
              </w:rPr>
            </w:pPr>
            <w:r w:rsidRPr="00A7780F">
              <w:rPr>
                <w:sz w:val="18"/>
                <w:szCs w:val="18"/>
              </w:rPr>
              <w:t>6.8</w:t>
            </w:r>
          </w:p>
        </w:tc>
        <w:tc>
          <w:tcPr>
            <w:tcW w:w="507" w:type="pct"/>
            <w:shd w:val="clear" w:color="auto" w:fill="auto"/>
            <w:vAlign w:val="bottom"/>
          </w:tcPr>
          <w:p w:rsidR="00533EAF" w:rsidRPr="00A7780F" w:rsidRDefault="00533EAF" w:rsidP="008B63A3">
            <w:pPr>
              <w:pStyle w:val="TableBodyText"/>
              <w:rPr>
                <w:sz w:val="18"/>
                <w:szCs w:val="18"/>
              </w:rPr>
            </w:pPr>
            <w:r w:rsidRPr="00A7780F">
              <w:rPr>
                <w:sz w:val="18"/>
                <w:szCs w:val="18"/>
              </w:rPr>
              <w:t>6.1</w:t>
            </w:r>
          </w:p>
        </w:tc>
        <w:tc>
          <w:tcPr>
            <w:tcW w:w="505" w:type="pct"/>
            <w:shd w:val="clear" w:color="auto" w:fill="auto"/>
            <w:vAlign w:val="bottom"/>
          </w:tcPr>
          <w:p w:rsidR="00533EAF" w:rsidRPr="00A7780F" w:rsidRDefault="00533EAF" w:rsidP="008B63A3">
            <w:pPr>
              <w:pStyle w:val="TableBodyText"/>
              <w:rPr>
                <w:sz w:val="18"/>
                <w:szCs w:val="18"/>
              </w:rPr>
            </w:pPr>
            <w:r w:rsidRPr="00A7780F">
              <w:rPr>
                <w:sz w:val="18"/>
                <w:szCs w:val="18"/>
              </w:rPr>
              <w:t>5.4</w:t>
            </w:r>
          </w:p>
        </w:tc>
      </w:tr>
      <w:tr w:rsidR="00533EAF" w:rsidRPr="006C5A80" w:rsidTr="008B63A3">
        <w:tc>
          <w:tcPr>
            <w:tcW w:w="1960" w:type="pct"/>
            <w:vAlign w:val="bottom"/>
          </w:tcPr>
          <w:p w:rsidR="00533EAF" w:rsidRPr="00C66BD3" w:rsidRDefault="00533EAF" w:rsidP="008B63A3">
            <w:pPr>
              <w:pStyle w:val="TableBodyText"/>
              <w:jc w:val="left"/>
              <w:rPr>
                <w:sz w:val="18"/>
                <w:szCs w:val="18"/>
              </w:rPr>
            </w:pPr>
            <w:r w:rsidRPr="00C66BD3">
              <w:rPr>
                <w:sz w:val="18"/>
                <w:szCs w:val="18"/>
              </w:rPr>
              <w:t>Transport, postal and warehousing</w:t>
            </w:r>
          </w:p>
        </w:tc>
        <w:tc>
          <w:tcPr>
            <w:tcW w:w="507" w:type="pct"/>
            <w:vAlign w:val="bottom"/>
          </w:tcPr>
          <w:p w:rsidR="00533EAF" w:rsidRPr="00A7780F" w:rsidRDefault="00533EAF" w:rsidP="008B63A3">
            <w:pPr>
              <w:pStyle w:val="TableBodyText"/>
              <w:rPr>
                <w:sz w:val="18"/>
                <w:szCs w:val="18"/>
              </w:rPr>
            </w:pPr>
            <w:r w:rsidRPr="00A7780F">
              <w:rPr>
                <w:sz w:val="18"/>
                <w:szCs w:val="18"/>
              </w:rPr>
              <w:t>2.0</w:t>
            </w:r>
          </w:p>
        </w:tc>
        <w:tc>
          <w:tcPr>
            <w:tcW w:w="507" w:type="pct"/>
            <w:vAlign w:val="bottom"/>
          </w:tcPr>
          <w:p w:rsidR="00533EAF" w:rsidRPr="00A7780F" w:rsidRDefault="00533EAF" w:rsidP="008B63A3">
            <w:pPr>
              <w:pStyle w:val="TableBodyText"/>
              <w:rPr>
                <w:sz w:val="18"/>
                <w:szCs w:val="18"/>
              </w:rPr>
            </w:pPr>
            <w:r w:rsidRPr="00A7780F">
              <w:rPr>
                <w:sz w:val="18"/>
                <w:szCs w:val="18"/>
              </w:rPr>
              <w:t>2.9</w:t>
            </w:r>
          </w:p>
        </w:tc>
        <w:tc>
          <w:tcPr>
            <w:tcW w:w="507" w:type="pct"/>
            <w:vAlign w:val="bottom"/>
          </w:tcPr>
          <w:p w:rsidR="00533EAF" w:rsidRPr="00A7780F" w:rsidRDefault="00533EAF" w:rsidP="008B63A3">
            <w:pPr>
              <w:pStyle w:val="TableBodyText"/>
              <w:rPr>
                <w:sz w:val="18"/>
                <w:szCs w:val="18"/>
              </w:rPr>
            </w:pPr>
            <w:r w:rsidRPr="00A7780F">
              <w:rPr>
                <w:sz w:val="18"/>
                <w:szCs w:val="18"/>
              </w:rPr>
              <w:t>5.0</w:t>
            </w:r>
          </w:p>
        </w:tc>
        <w:tc>
          <w:tcPr>
            <w:tcW w:w="507" w:type="pct"/>
            <w:vAlign w:val="bottom"/>
          </w:tcPr>
          <w:p w:rsidR="00533EAF" w:rsidRPr="00A7780F" w:rsidRDefault="00533EAF" w:rsidP="008B63A3">
            <w:pPr>
              <w:pStyle w:val="TableBodyText"/>
              <w:rPr>
                <w:sz w:val="18"/>
                <w:szCs w:val="18"/>
              </w:rPr>
            </w:pPr>
            <w:r w:rsidRPr="00A7780F">
              <w:rPr>
                <w:sz w:val="18"/>
                <w:szCs w:val="18"/>
              </w:rPr>
              <w:t>2.5</w:t>
            </w:r>
          </w:p>
        </w:tc>
        <w:tc>
          <w:tcPr>
            <w:tcW w:w="507" w:type="pct"/>
            <w:shd w:val="clear" w:color="auto" w:fill="auto"/>
            <w:vAlign w:val="bottom"/>
          </w:tcPr>
          <w:p w:rsidR="00533EAF" w:rsidRPr="00A7780F" w:rsidRDefault="00533EAF" w:rsidP="008B63A3">
            <w:pPr>
              <w:pStyle w:val="TableBodyText"/>
              <w:rPr>
                <w:sz w:val="18"/>
                <w:szCs w:val="18"/>
              </w:rPr>
            </w:pPr>
            <w:r w:rsidRPr="00A7780F">
              <w:rPr>
                <w:sz w:val="18"/>
                <w:szCs w:val="18"/>
              </w:rPr>
              <w:t>2.3</w:t>
            </w:r>
          </w:p>
        </w:tc>
        <w:tc>
          <w:tcPr>
            <w:tcW w:w="505" w:type="pct"/>
            <w:shd w:val="clear" w:color="auto" w:fill="auto"/>
            <w:vAlign w:val="bottom"/>
          </w:tcPr>
          <w:p w:rsidR="00533EAF" w:rsidRPr="00A7780F" w:rsidRDefault="00533EAF" w:rsidP="008B63A3">
            <w:pPr>
              <w:pStyle w:val="TableBodyText"/>
              <w:rPr>
                <w:sz w:val="18"/>
                <w:szCs w:val="18"/>
              </w:rPr>
            </w:pPr>
            <w:r w:rsidRPr="00A7780F">
              <w:rPr>
                <w:sz w:val="18"/>
                <w:szCs w:val="18"/>
              </w:rPr>
              <w:t>2.0</w:t>
            </w:r>
          </w:p>
        </w:tc>
      </w:tr>
      <w:tr w:rsidR="00533EAF" w:rsidRPr="006C5A80" w:rsidTr="008B63A3">
        <w:tc>
          <w:tcPr>
            <w:tcW w:w="1960" w:type="pct"/>
            <w:vAlign w:val="bottom"/>
          </w:tcPr>
          <w:p w:rsidR="00533EAF" w:rsidRPr="00C66BD3" w:rsidRDefault="00533EAF" w:rsidP="008B63A3">
            <w:pPr>
              <w:pStyle w:val="TableBodyText"/>
              <w:jc w:val="left"/>
              <w:rPr>
                <w:sz w:val="18"/>
                <w:szCs w:val="18"/>
              </w:rPr>
            </w:pPr>
            <w:r w:rsidRPr="00C66BD3">
              <w:rPr>
                <w:sz w:val="18"/>
                <w:szCs w:val="18"/>
              </w:rPr>
              <w:t>Information, media and telecommunications</w:t>
            </w:r>
          </w:p>
        </w:tc>
        <w:tc>
          <w:tcPr>
            <w:tcW w:w="507" w:type="pct"/>
            <w:vAlign w:val="bottom"/>
          </w:tcPr>
          <w:p w:rsidR="00533EAF" w:rsidRPr="00A7780F" w:rsidRDefault="00533EAF" w:rsidP="008B63A3">
            <w:pPr>
              <w:pStyle w:val="TableBodyText"/>
              <w:rPr>
                <w:sz w:val="18"/>
                <w:szCs w:val="18"/>
              </w:rPr>
            </w:pPr>
            <w:r w:rsidRPr="00A7780F">
              <w:rPr>
                <w:sz w:val="18"/>
                <w:szCs w:val="18"/>
              </w:rPr>
              <w:t>0.1</w:t>
            </w:r>
          </w:p>
        </w:tc>
        <w:tc>
          <w:tcPr>
            <w:tcW w:w="507" w:type="pct"/>
            <w:vAlign w:val="bottom"/>
          </w:tcPr>
          <w:p w:rsidR="00533EAF" w:rsidRPr="00A7780F" w:rsidRDefault="00533EAF" w:rsidP="008B63A3">
            <w:pPr>
              <w:pStyle w:val="TableBodyText"/>
              <w:rPr>
                <w:sz w:val="18"/>
                <w:szCs w:val="18"/>
              </w:rPr>
            </w:pPr>
            <w:r w:rsidRPr="00A7780F">
              <w:rPr>
                <w:sz w:val="18"/>
                <w:szCs w:val="18"/>
              </w:rPr>
              <w:t>0.6</w:t>
            </w:r>
          </w:p>
        </w:tc>
        <w:tc>
          <w:tcPr>
            <w:tcW w:w="507" w:type="pct"/>
            <w:vAlign w:val="bottom"/>
          </w:tcPr>
          <w:p w:rsidR="00533EAF" w:rsidRPr="00A7780F" w:rsidRDefault="00533EAF" w:rsidP="008B63A3">
            <w:pPr>
              <w:pStyle w:val="TableBodyText"/>
              <w:rPr>
                <w:sz w:val="18"/>
                <w:szCs w:val="18"/>
              </w:rPr>
            </w:pPr>
            <w:r w:rsidRPr="00A7780F">
              <w:rPr>
                <w:sz w:val="18"/>
                <w:szCs w:val="18"/>
              </w:rPr>
              <w:noBreakHyphen/>
            </w:r>
          </w:p>
        </w:tc>
        <w:tc>
          <w:tcPr>
            <w:tcW w:w="507" w:type="pct"/>
            <w:vAlign w:val="bottom"/>
          </w:tcPr>
          <w:p w:rsidR="00533EAF" w:rsidRPr="00A7780F" w:rsidRDefault="00533EAF" w:rsidP="008B63A3">
            <w:pPr>
              <w:pStyle w:val="TableBodyText"/>
              <w:rPr>
                <w:sz w:val="18"/>
                <w:szCs w:val="18"/>
              </w:rPr>
            </w:pPr>
            <w:r w:rsidRPr="00A7780F">
              <w:rPr>
                <w:sz w:val="18"/>
                <w:szCs w:val="18"/>
              </w:rPr>
              <w:t>0.2</w:t>
            </w:r>
          </w:p>
        </w:tc>
        <w:tc>
          <w:tcPr>
            <w:tcW w:w="507" w:type="pct"/>
            <w:shd w:val="clear" w:color="auto" w:fill="auto"/>
            <w:vAlign w:val="bottom"/>
          </w:tcPr>
          <w:p w:rsidR="00533EAF" w:rsidRPr="00A7780F" w:rsidRDefault="00533EAF" w:rsidP="008B63A3">
            <w:pPr>
              <w:pStyle w:val="TableBodyText"/>
              <w:rPr>
                <w:sz w:val="18"/>
                <w:szCs w:val="18"/>
              </w:rPr>
            </w:pPr>
            <w:r w:rsidRPr="00A7780F">
              <w:rPr>
                <w:sz w:val="18"/>
                <w:szCs w:val="18"/>
              </w:rPr>
              <w:t>0.1</w:t>
            </w:r>
          </w:p>
        </w:tc>
        <w:tc>
          <w:tcPr>
            <w:tcW w:w="505" w:type="pct"/>
            <w:shd w:val="clear" w:color="auto" w:fill="auto"/>
            <w:vAlign w:val="bottom"/>
          </w:tcPr>
          <w:p w:rsidR="00533EAF" w:rsidRPr="00A7780F" w:rsidRDefault="00533EAF" w:rsidP="008B63A3">
            <w:pPr>
              <w:pStyle w:val="TableBodyText"/>
              <w:rPr>
                <w:sz w:val="18"/>
                <w:szCs w:val="18"/>
              </w:rPr>
            </w:pPr>
            <w:r w:rsidRPr="00A7780F">
              <w:rPr>
                <w:sz w:val="18"/>
                <w:szCs w:val="18"/>
              </w:rPr>
              <w:t>0.1</w:t>
            </w:r>
          </w:p>
        </w:tc>
      </w:tr>
      <w:tr w:rsidR="00533EAF" w:rsidRPr="006C5A80" w:rsidTr="008B63A3">
        <w:tc>
          <w:tcPr>
            <w:tcW w:w="1960" w:type="pct"/>
            <w:vAlign w:val="bottom"/>
          </w:tcPr>
          <w:p w:rsidR="00533EAF" w:rsidRPr="00C66BD3" w:rsidRDefault="00533EAF" w:rsidP="008B63A3">
            <w:pPr>
              <w:pStyle w:val="TableBodyText"/>
              <w:jc w:val="left"/>
              <w:rPr>
                <w:sz w:val="18"/>
                <w:szCs w:val="18"/>
              </w:rPr>
            </w:pPr>
            <w:r w:rsidRPr="00C66BD3">
              <w:rPr>
                <w:sz w:val="18"/>
                <w:szCs w:val="18"/>
              </w:rPr>
              <w:t>Financial and insurance services</w:t>
            </w:r>
          </w:p>
        </w:tc>
        <w:tc>
          <w:tcPr>
            <w:tcW w:w="507" w:type="pct"/>
            <w:vAlign w:val="bottom"/>
          </w:tcPr>
          <w:p w:rsidR="00533EAF" w:rsidRPr="00A7780F" w:rsidRDefault="00533EAF" w:rsidP="008B63A3">
            <w:pPr>
              <w:pStyle w:val="TableBodyText"/>
              <w:rPr>
                <w:sz w:val="18"/>
                <w:szCs w:val="18"/>
              </w:rPr>
            </w:pPr>
            <w:r w:rsidRPr="00A7780F">
              <w:rPr>
                <w:sz w:val="18"/>
                <w:szCs w:val="18"/>
              </w:rPr>
              <w:t>28.4</w:t>
            </w:r>
          </w:p>
        </w:tc>
        <w:tc>
          <w:tcPr>
            <w:tcW w:w="507" w:type="pct"/>
            <w:vAlign w:val="bottom"/>
          </w:tcPr>
          <w:p w:rsidR="00533EAF" w:rsidRPr="00A7780F" w:rsidRDefault="00533EAF" w:rsidP="008B63A3">
            <w:pPr>
              <w:pStyle w:val="TableBodyText"/>
              <w:rPr>
                <w:sz w:val="18"/>
                <w:szCs w:val="18"/>
              </w:rPr>
            </w:pPr>
            <w:r w:rsidRPr="00A7780F">
              <w:rPr>
                <w:sz w:val="18"/>
                <w:szCs w:val="18"/>
              </w:rPr>
              <w:t>77.6</w:t>
            </w:r>
          </w:p>
        </w:tc>
        <w:tc>
          <w:tcPr>
            <w:tcW w:w="507" w:type="pct"/>
            <w:vAlign w:val="bottom"/>
          </w:tcPr>
          <w:p w:rsidR="00533EAF" w:rsidRPr="00A7780F" w:rsidRDefault="00533EAF" w:rsidP="008B63A3">
            <w:pPr>
              <w:pStyle w:val="TableBodyText"/>
              <w:rPr>
                <w:sz w:val="18"/>
                <w:szCs w:val="18"/>
              </w:rPr>
            </w:pPr>
            <w:r w:rsidRPr="00A7780F">
              <w:rPr>
                <w:sz w:val="18"/>
                <w:szCs w:val="18"/>
              </w:rPr>
              <w:t>64.4</w:t>
            </w:r>
          </w:p>
        </w:tc>
        <w:tc>
          <w:tcPr>
            <w:tcW w:w="507" w:type="pct"/>
            <w:vAlign w:val="bottom"/>
          </w:tcPr>
          <w:p w:rsidR="00533EAF" w:rsidRPr="00A7780F" w:rsidRDefault="00533EAF" w:rsidP="008B63A3">
            <w:pPr>
              <w:pStyle w:val="TableBodyText"/>
              <w:rPr>
                <w:sz w:val="18"/>
                <w:szCs w:val="18"/>
              </w:rPr>
            </w:pPr>
            <w:r w:rsidRPr="00A7780F">
              <w:rPr>
                <w:sz w:val="18"/>
                <w:szCs w:val="18"/>
              </w:rPr>
              <w:t>33.7</w:t>
            </w:r>
          </w:p>
        </w:tc>
        <w:tc>
          <w:tcPr>
            <w:tcW w:w="507" w:type="pct"/>
            <w:shd w:val="clear" w:color="auto" w:fill="auto"/>
            <w:vAlign w:val="bottom"/>
          </w:tcPr>
          <w:p w:rsidR="00533EAF" w:rsidRPr="00A7780F" w:rsidRDefault="00533EAF" w:rsidP="008B63A3">
            <w:pPr>
              <w:pStyle w:val="TableBodyText"/>
              <w:rPr>
                <w:sz w:val="18"/>
                <w:szCs w:val="18"/>
              </w:rPr>
            </w:pPr>
            <w:r w:rsidRPr="00A7780F">
              <w:rPr>
                <w:sz w:val="18"/>
                <w:szCs w:val="18"/>
              </w:rPr>
              <w:t>30.3</w:t>
            </w:r>
          </w:p>
        </w:tc>
        <w:tc>
          <w:tcPr>
            <w:tcW w:w="505" w:type="pct"/>
            <w:shd w:val="clear" w:color="auto" w:fill="auto"/>
            <w:vAlign w:val="bottom"/>
          </w:tcPr>
          <w:p w:rsidR="00533EAF" w:rsidRPr="00A7780F" w:rsidRDefault="00533EAF" w:rsidP="008B63A3">
            <w:pPr>
              <w:pStyle w:val="TableBodyText"/>
              <w:rPr>
                <w:sz w:val="18"/>
                <w:szCs w:val="18"/>
              </w:rPr>
            </w:pPr>
            <w:r w:rsidRPr="00A7780F">
              <w:rPr>
                <w:sz w:val="18"/>
                <w:szCs w:val="18"/>
              </w:rPr>
              <w:t>26.9</w:t>
            </w:r>
          </w:p>
        </w:tc>
      </w:tr>
      <w:tr w:rsidR="00533EAF" w:rsidRPr="006C5A80" w:rsidTr="008B63A3">
        <w:tc>
          <w:tcPr>
            <w:tcW w:w="1960" w:type="pct"/>
            <w:vAlign w:val="bottom"/>
          </w:tcPr>
          <w:p w:rsidR="00533EAF" w:rsidRPr="00C66BD3" w:rsidRDefault="00533EAF" w:rsidP="008B63A3">
            <w:pPr>
              <w:pStyle w:val="TableBodyText"/>
              <w:jc w:val="left"/>
              <w:rPr>
                <w:sz w:val="18"/>
                <w:szCs w:val="18"/>
              </w:rPr>
            </w:pPr>
            <w:r w:rsidRPr="00C66BD3">
              <w:rPr>
                <w:sz w:val="18"/>
                <w:szCs w:val="18"/>
              </w:rPr>
              <w:t>Property, professional and administrative services</w:t>
            </w:r>
          </w:p>
        </w:tc>
        <w:tc>
          <w:tcPr>
            <w:tcW w:w="507" w:type="pct"/>
            <w:vAlign w:val="bottom"/>
          </w:tcPr>
          <w:p w:rsidR="00533EAF" w:rsidRPr="00A7780F" w:rsidRDefault="00533EAF" w:rsidP="008B63A3">
            <w:pPr>
              <w:pStyle w:val="TableBodyText"/>
              <w:rPr>
                <w:sz w:val="18"/>
                <w:szCs w:val="18"/>
              </w:rPr>
            </w:pPr>
            <w:r w:rsidRPr="00A7780F">
              <w:rPr>
                <w:sz w:val="18"/>
                <w:szCs w:val="18"/>
              </w:rPr>
              <w:t>18.7</w:t>
            </w:r>
          </w:p>
        </w:tc>
        <w:tc>
          <w:tcPr>
            <w:tcW w:w="507" w:type="pct"/>
            <w:vAlign w:val="bottom"/>
          </w:tcPr>
          <w:p w:rsidR="00533EAF" w:rsidRPr="00A7780F" w:rsidRDefault="00533EAF" w:rsidP="008B63A3">
            <w:pPr>
              <w:pStyle w:val="TableBodyText"/>
              <w:rPr>
                <w:sz w:val="18"/>
                <w:szCs w:val="18"/>
              </w:rPr>
            </w:pPr>
            <w:r w:rsidRPr="00A7780F">
              <w:rPr>
                <w:sz w:val="18"/>
                <w:szCs w:val="18"/>
              </w:rPr>
              <w:t>21.4</w:t>
            </w:r>
          </w:p>
        </w:tc>
        <w:tc>
          <w:tcPr>
            <w:tcW w:w="507" w:type="pct"/>
            <w:vAlign w:val="bottom"/>
          </w:tcPr>
          <w:p w:rsidR="00533EAF" w:rsidRPr="00A7780F" w:rsidRDefault="00533EAF" w:rsidP="008B63A3">
            <w:pPr>
              <w:pStyle w:val="TableBodyText"/>
              <w:rPr>
                <w:sz w:val="18"/>
                <w:szCs w:val="18"/>
              </w:rPr>
            </w:pPr>
            <w:r w:rsidRPr="00A7780F">
              <w:rPr>
                <w:sz w:val="18"/>
                <w:szCs w:val="18"/>
              </w:rPr>
              <w:t>56.5</w:t>
            </w:r>
          </w:p>
        </w:tc>
        <w:tc>
          <w:tcPr>
            <w:tcW w:w="507" w:type="pct"/>
            <w:vAlign w:val="bottom"/>
          </w:tcPr>
          <w:p w:rsidR="00533EAF" w:rsidRPr="00A7780F" w:rsidRDefault="00533EAF" w:rsidP="008B63A3">
            <w:pPr>
              <w:pStyle w:val="TableBodyText"/>
              <w:rPr>
                <w:sz w:val="18"/>
                <w:szCs w:val="18"/>
              </w:rPr>
            </w:pPr>
            <w:r w:rsidRPr="00A7780F">
              <w:rPr>
                <w:sz w:val="18"/>
                <w:szCs w:val="18"/>
              </w:rPr>
              <w:t>31.9</w:t>
            </w:r>
          </w:p>
        </w:tc>
        <w:tc>
          <w:tcPr>
            <w:tcW w:w="507" w:type="pct"/>
            <w:shd w:val="clear" w:color="auto" w:fill="auto"/>
            <w:vAlign w:val="bottom"/>
          </w:tcPr>
          <w:p w:rsidR="00533EAF" w:rsidRPr="00A7780F" w:rsidRDefault="00533EAF" w:rsidP="008B63A3">
            <w:pPr>
              <w:pStyle w:val="TableBodyText"/>
              <w:rPr>
                <w:sz w:val="18"/>
                <w:szCs w:val="18"/>
              </w:rPr>
            </w:pPr>
            <w:r w:rsidRPr="00A7780F">
              <w:rPr>
                <w:sz w:val="18"/>
                <w:szCs w:val="18"/>
              </w:rPr>
              <w:t>28.7</w:t>
            </w:r>
          </w:p>
        </w:tc>
        <w:tc>
          <w:tcPr>
            <w:tcW w:w="505" w:type="pct"/>
            <w:shd w:val="clear" w:color="auto" w:fill="auto"/>
            <w:vAlign w:val="bottom"/>
          </w:tcPr>
          <w:p w:rsidR="00533EAF" w:rsidRPr="00A7780F" w:rsidRDefault="00533EAF" w:rsidP="008B63A3">
            <w:pPr>
              <w:pStyle w:val="TableBodyText"/>
              <w:rPr>
                <w:sz w:val="18"/>
                <w:szCs w:val="18"/>
              </w:rPr>
            </w:pPr>
            <w:r w:rsidRPr="00A7780F">
              <w:rPr>
                <w:sz w:val="18"/>
                <w:szCs w:val="18"/>
              </w:rPr>
              <w:t>25.5</w:t>
            </w:r>
          </w:p>
        </w:tc>
      </w:tr>
      <w:tr w:rsidR="00533EAF" w:rsidRPr="006C5A80" w:rsidTr="008B63A3">
        <w:tc>
          <w:tcPr>
            <w:tcW w:w="1960" w:type="pct"/>
            <w:vAlign w:val="bottom"/>
          </w:tcPr>
          <w:p w:rsidR="00533EAF" w:rsidRPr="00C66BD3" w:rsidRDefault="00533EAF" w:rsidP="008B63A3">
            <w:pPr>
              <w:pStyle w:val="TableBodyText"/>
              <w:jc w:val="left"/>
              <w:rPr>
                <w:sz w:val="18"/>
                <w:szCs w:val="18"/>
              </w:rPr>
            </w:pPr>
            <w:r w:rsidRPr="00C66BD3">
              <w:rPr>
                <w:sz w:val="18"/>
                <w:szCs w:val="18"/>
              </w:rPr>
              <w:t>Education and training</w:t>
            </w:r>
          </w:p>
        </w:tc>
        <w:tc>
          <w:tcPr>
            <w:tcW w:w="507" w:type="pct"/>
            <w:vAlign w:val="bottom"/>
          </w:tcPr>
          <w:p w:rsidR="00533EAF" w:rsidRPr="00A7780F" w:rsidRDefault="00533EAF" w:rsidP="008B63A3">
            <w:pPr>
              <w:pStyle w:val="TableBodyText"/>
              <w:rPr>
                <w:sz w:val="18"/>
                <w:szCs w:val="18"/>
              </w:rPr>
            </w:pPr>
            <w:r w:rsidRPr="00A7780F">
              <w:rPr>
                <w:sz w:val="18"/>
                <w:szCs w:val="18"/>
              </w:rPr>
              <w:t>0.4</w:t>
            </w:r>
          </w:p>
        </w:tc>
        <w:tc>
          <w:tcPr>
            <w:tcW w:w="507" w:type="pct"/>
            <w:vAlign w:val="bottom"/>
          </w:tcPr>
          <w:p w:rsidR="00533EAF" w:rsidRPr="00A7780F" w:rsidRDefault="00533EAF" w:rsidP="008B63A3">
            <w:pPr>
              <w:pStyle w:val="TableBodyText"/>
              <w:rPr>
                <w:sz w:val="18"/>
                <w:szCs w:val="18"/>
              </w:rPr>
            </w:pPr>
            <w:r w:rsidRPr="00A7780F">
              <w:rPr>
                <w:sz w:val="18"/>
                <w:szCs w:val="18"/>
              </w:rPr>
              <w:t>0.2</w:t>
            </w:r>
          </w:p>
        </w:tc>
        <w:tc>
          <w:tcPr>
            <w:tcW w:w="507" w:type="pct"/>
            <w:vAlign w:val="bottom"/>
          </w:tcPr>
          <w:p w:rsidR="00533EAF" w:rsidRPr="00A7780F" w:rsidRDefault="00533EAF" w:rsidP="008B63A3">
            <w:pPr>
              <w:pStyle w:val="TableBodyText"/>
              <w:rPr>
                <w:sz w:val="18"/>
                <w:szCs w:val="18"/>
              </w:rPr>
            </w:pPr>
            <w:r w:rsidRPr="00A7780F">
              <w:rPr>
                <w:sz w:val="18"/>
                <w:szCs w:val="18"/>
              </w:rPr>
              <w:t>0.8</w:t>
            </w:r>
          </w:p>
        </w:tc>
        <w:tc>
          <w:tcPr>
            <w:tcW w:w="507" w:type="pct"/>
            <w:vAlign w:val="bottom"/>
          </w:tcPr>
          <w:p w:rsidR="00533EAF" w:rsidRPr="00A7780F" w:rsidRDefault="00533EAF" w:rsidP="008B63A3">
            <w:pPr>
              <w:pStyle w:val="TableBodyText"/>
              <w:rPr>
                <w:sz w:val="18"/>
                <w:szCs w:val="18"/>
              </w:rPr>
            </w:pPr>
            <w:r w:rsidRPr="00A7780F">
              <w:rPr>
                <w:sz w:val="18"/>
                <w:szCs w:val="18"/>
              </w:rPr>
              <w:t>0.4</w:t>
            </w:r>
          </w:p>
        </w:tc>
        <w:tc>
          <w:tcPr>
            <w:tcW w:w="507" w:type="pct"/>
            <w:shd w:val="clear" w:color="auto" w:fill="auto"/>
            <w:vAlign w:val="bottom"/>
          </w:tcPr>
          <w:p w:rsidR="00533EAF" w:rsidRPr="00A7780F" w:rsidRDefault="00533EAF" w:rsidP="008B63A3">
            <w:pPr>
              <w:pStyle w:val="TableBodyText"/>
              <w:rPr>
                <w:sz w:val="18"/>
                <w:szCs w:val="18"/>
              </w:rPr>
            </w:pPr>
            <w:r w:rsidRPr="00A7780F">
              <w:rPr>
                <w:sz w:val="18"/>
                <w:szCs w:val="18"/>
              </w:rPr>
              <w:t>0.3</w:t>
            </w:r>
          </w:p>
        </w:tc>
        <w:tc>
          <w:tcPr>
            <w:tcW w:w="505" w:type="pct"/>
            <w:shd w:val="clear" w:color="auto" w:fill="auto"/>
            <w:vAlign w:val="bottom"/>
          </w:tcPr>
          <w:p w:rsidR="00533EAF" w:rsidRPr="00A7780F" w:rsidRDefault="00533EAF" w:rsidP="008B63A3">
            <w:pPr>
              <w:pStyle w:val="TableBodyText"/>
              <w:rPr>
                <w:sz w:val="18"/>
                <w:szCs w:val="18"/>
              </w:rPr>
            </w:pPr>
            <w:r w:rsidRPr="00A7780F">
              <w:rPr>
                <w:sz w:val="18"/>
                <w:szCs w:val="18"/>
              </w:rPr>
              <w:t>0.3</w:t>
            </w:r>
          </w:p>
        </w:tc>
      </w:tr>
      <w:tr w:rsidR="00533EAF" w:rsidRPr="006C5A80" w:rsidTr="008B63A3">
        <w:tc>
          <w:tcPr>
            <w:tcW w:w="1960" w:type="pct"/>
            <w:vAlign w:val="bottom"/>
          </w:tcPr>
          <w:p w:rsidR="00533EAF" w:rsidRPr="00C66BD3" w:rsidRDefault="00533EAF" w:rsidP="008B63A3">
            <w:pPr>
              <w:pStyle w:val="TableBodyText"/>
              <w:jc w:val="left"/>
              <w:rPr>
                <w:sz w:val="18"/>
                <w:szCs w:val="18"/>
              </w:rPr>
            </w:pPr>
            <w:r w:rsidRPr="00C66BD3">
              <w:rPr>
                <w:sz w:val="18"/>
                <w:szCs w:val="18"/>
              </w:rPr>
              <w:t>Health care and social assistance</w:t>
            </w:r>
          </w:p>
        </w:tc>
        <w:tc>
          <w:tcPr>
            <w:tcW w:w="507" w:type="pct"/>
            <w:vAlign w:val="bottom"/>
          </w:tcPr>
          <w:p w:rsidR="00533EAF" w:rsidRPr="00A7780F" w:rsidRDefault="00533EAF" w:rsidP="008B63A3">
            <w:pPr>
              <w:pStyle w:val="TableBodyText"/>
              <w:rPr>
                <w:sz w:val="18"/>
                <w:szCs w:val="18"/>
              </w:rPr>
            </w:pPr>
            <w:r w:rsidRPr="00A7780F">
              <w:rPr>
                <w:sz w:val="18"/>
                <w:szCs w:val="18"/>
              </w:rPr>
              <w:t>6.8</w:t>
            </w:r>
          </w:p>
        </w:tc>
        <w:tc>
          <w:tcPr>
            <w:tcW w:w="507" w:type="pct"/>
            <w:vAlign w:val="bottom"/>
          </w:tcPr>
          <w:p w:rsidR="00533EAF" w:rsidRPr="00A7780F" w:rsidRDefault="00533EAF" w:rsidP="008B63A3">
            <w:pPr>
              <w:pStyle w:val="TableBodyText"/>
              <w:rPr>
                <w:sz w:val="18"/>
                <w:szCs w:val="18"/>
              </w:rPr>
            </w:pPr>
            <w:r w:rsidRPr="00A7780F">
              <w:rPr>
                <w:sz w:val="18"/>
                <w:szCs w:val="18"/>
              </w:rPr>
              <w:t>6.8</w:t>
            </w:r>
          </w:p>
        </w:tc>
        <w:tc>
          <w:tcPr>
            <w:tcW w:w="507" w:type="pct"/>
            <w:vAlign w:val="bottom"/>
          </w:tcPr>
          <w:p w:rsidR="00533EAF" w:rsidRPr="00A7780F" w:rsidRDefault="00533EAF" w:rsidP="008B63A3">
            <w:pPr>
              <w:pStyle w:val="TableBodyText"/>
              <w:rPr>
                <w:sz w:val="18"/>
                <w:szCs w:val="18"/>
              </w:rPr>
            </w:pPr>
            <w:r w:rsidRPr="00A7780F">
              <w:rPr>
                <w:sz w:val="18"/>
                <w:szCs w:val="18"/>
              </w:rPr>
              <w:t>7.5</w:t>
            </w:r>
          </w:p>
        </w:tc>
        <w:tc>
          <w:tcPr>
            <w:tcW w:w="507" w:type="pct"/>
            <w:vAlign w:val="bottom"/>
          </w:tcPr>
          <w:p w:rsidR="00533EAF" w:rsidRPr="00A7780F" w:rsidRDefault="00533EAF" w:rsidP="008B63A3">
            <w:pPr>
              <w:pStyle w:val="TableBodyText"/>
              <w:rPr>
                <w:sz w:val="18"/>
                <w:szCs w:val="18"/>
              </w:rPr>
            </w:pPr>
            <w:r w:rsidRPr="00A7780F">
              <w:rPr>
                <w:sz w:val="18"/>
                <w:szCs w:val="18"/>
              </w:rPr>
              <w:t>4.4</w:t>
            </w:r>
          </w:p>
        </w:tc>
        <w:tc>
          <w:tcPr>
            <w:tcW w:w="507" w:type="pct"/>
            <w:shd w:val="clear" w:color="auto" w:fill="auto"/>
            <w:vAlign w:val="bottom"/>
          </w:tcPr>
          <w:p w:rsidR="00533EAF" w:rsidRPr="00A7780F" w:rsidRDefault="00533EAF" w:rsidP="008B63A3">
            <w:pPr>
              <w:pStyle w:val="TableBodyText"/>
              <w:rPr>
                <w:sz w:val="18"/>
                <w:szCs w:val="18"/>
              </w:rPr>
            </w:pPr>
            <w:r w:rsidRPr="00A7780F">
              <w:rPr>
                <w:sz w:val="18"/>
                <w:szCs w:val="18"/>
              </w:rPr>
              <w:t>3.9</w:t>
            </w:r>
          </w:p>
        </w:tc>
        <w:tc>
          <w:tcPr>
            <w:tcW w:w="505" w:type="pct"/>
            <w:shd w:val="clear" w:color="auto" w:fill="auto"/>
            <w:vAlign w:val="bottom"/>
          </w:tcPr>
          <w:p w:rsidR="00533EAF" w:rsidRPr="00A7780F" w:rsidRDefault="00533EAF" w:rsidP="008B63A3">
            <w:pPr>
              <w:pStyle w:val="TableBodyText"/>
              <w:rPr>
                <w:sz w:val="18"/>
                <w:szCs w:val="18"/>
              </w:rPr>
            </w:pPr>
            <w:r w:rsidRPr="00A7780F">
              <w:rPr>
                <w:sz w:val="18"/>
                <w:szCs w:val="18"/>
              </w:rPr>
              <w:t>3.5</w:t>
            </w:r>
          </w:p>
        </w:tc>
      </w:tr>
      <w:tr w:rsidR="00533EAF" w:rsidRPr="006C5A80" w:rsidTr="008B63A3">
        <w:tc>
          <w:tcPr>
            <w:tcW w:w="1960" w:type="pct"/>
            <w:vAlign w:val="bottom"/>
          </w:tcPr>
          <w:p w:rsidR="00533EAF" w:rsidRPr="00C66BD3" w:rsidRDefault="00533EAF" w:rsidP="008B63A3">
            <w:pPr>
              <w:pStyle w:val="TableBodyText"/>
              <w:jc w:val="left"/>
              <w:rPr>
                <w:sz w:val="18"/>
                <w:szCs w:val="18"/>
              </w:rPr>
            </w:pPr>
            <w:r w:rsidRPr="00C66BD3">
              <w:rPr>
                <w:sz w:val="18"/>
                <w:szCs w:val="18"/>
              </w:rPr>
              <w:t>Arts and recreation services</w:t>
            </w:r>
          </w:p>
        </w:tc>
        <w:tc>
          <w:tcPr>
            <w:tcW w:w="507" w:type="pct"/>
            <w:vAlign w:val="bottom"/>
          </w:tcPr>
          <w:p w:rsidR="00533EAF" w:rsidRPr="00A7780F" w:rsidRDefault="00533EAF" w:rsidP="008B63A3">
            <w:pPr>
              <w:pStyle w:val="TableBodyText"/>
              <w:rPr>
                <w:sz w:val="18"/>
                <w:szCs w:val="18"/>
              </w:rPr>
            </w:pPr>
            <w:r w:rsidRPr="00A7780F">
              <w:rPr>
                <w:sz w:val="18"/>
                <w:szCs w:val="18"/>
              </w:rPr>
              <w:t>1.3</w:t>
            </w:r>
          </w:p>
        </w:tc>
        <w:tc>
          <w:tcPr>
            <w:tcW w:w="507" w:type="pct"/>
            <w:vAlign w:val="bottom"/>
          </w:tcPr>
          <w:p w:rsidR="00533EAF" w:rsidRPr="00A7780F" w:rsidRDefault="00533EAF" w:rsidP="008B63A3">
            <w:pPr>
              <w:pStyle w:val="TableBodyText"/>
              <w:rPr>
                <w:sz w:val="18"/>
                <w:szCs w:val="18"/>
              </w:rPr>
            </w:pPr>
            <w:r w:rsidRPr="00A7780F">
              <w:rPr>
                <w:sz w:val="18"/>
                <w:szCs w:val="18"/>
              </w:rPr>
              <w:t>1.3</w:t>
            </w:r>
          </w:p>
        </w:tc>
        <w:tc>
          <w:tcPr>
            <w:tcW w:w="507" w:type="pct"/>
            <w:vAlign w:val="bottom"/>
          </w:tcPr>
          <w:p w:rsidR="00533EAF" w:rsidRPr="00A7780F" w:rsidRDefault="00533EAF" w:rsidP="008B63A3">
            <w:pPr>
              <w:pStyle w:val="TableBodyText"/>
              <w:rPr>
                <w:sz w:val="18"/>
                <w:szCs w:val="18"/>
              </w:rPr>
            </w:pPr>
            <w:r w:rsidRPr="00A7780F">
              <w:rPr>
                <w:sz w:val="18"/>
                <w:szCs w:val="18"/>
              </w:rPr>
              <w:t>0.8</w:t>
            </w:r>
          </w:p>
        </w:tc>
        <w:tc>
          <w:tcPr>
            <w:tcW w:w="507" w:type="pct"/>
            <w:vAlign w:val="bottom"/>
          </w:tcPr>
          <w:p w:rsidR="00533EAF" w:rsidRPr="00A7780F" w:rsidRDefault="00533EAF" w:rsidP="008B63A3">
            <w:pPr>
              <w:pStyle w:val="TableBodyText"/>
              <w:rPr>
                <w:sz w:val="18"/>
                <w:szCs w:val="18"/>
              </w:rPr>
            </w:pPr>
            <w:r w:rsidRPr="00A7780F">
              <w:rPr>
                <w:sz w:val="18"/>
                <w:szCs w:val="18"/>
              </w:rPr>
              <w:t>1.1</w:t>
            </w:r>
          </w:p>
        </w:tc>
        <w:tc>
          <w:tcPr>
            <w:tcW w:w="507" w:type="pct"/>
            <w:shd w:val="clear" w:color="auto" w:fill="auto"/>
            <w:vAlign w:val="bottom"/>
          </w:tcPr>
          <w:p w:rsidR="00533EAF" w:rsidRPr="00A7780F" w:rsidRDefault="00533EAF" w:rsidP="008B63A3">
            <w:pPr>
              <w:pStyle w:val="TableBodyText"/>
              <w:rPr>
                <w:sz w:val="18"/>
                <w:szCs w:val="18"/>
              </w:rPr>
            </w:pPr>
            <w:r w:rsidRPr="00A7780F">
              <w:rPr>
                <w:sz w:val="18"/>
                <w:szCs w:val="18"/>
              </w:rPr>
              <w:t>1.0</w:t>
            </w:r>
          </w:p>
        </w:tc>
        <w:tc>
          <w:tcPr>
            <w:tcW w:w="505" w:type="pct"/>
            <w:shd w:val="clear" w:color="auto" w:fill="auto"/>
            <w:vAlign w:val="bottom"/>
          </w:tcPr>
          <w:p w:rsidR="00533EAF" w:rsidRPr="00A7780F" w:rsidRDefault="00533EAF" w:rsidP="008B63A3">
            <w:pPr>
              <w:pStyle w:val="TableBodyText"/>
              <w:rPr>
                <w:sz w:val="18"/>
                <w:szCs w:val="18"/>
              </w:rPr>
            </w:pPr>
            <w:r w:rsidRPr="00A7780F">
              <w:rPr>
                <w:sz w:val="18"/>
                <w:szCs w:val="18"/>
              </w:rPr>
              <w:t>0.9</w:t>
            </w:r>
          </w:p>
        </w:tc>
      </w:tr>
      <w:tr w:rsidR="00533EAF" w:rsidRPr="006C5A80" w:rsidTr="008B63A3">
        <w:tc>
          <w:tcPr>
            <w:tcW w:w="1960" w:type="pct"/>
            <w:vAlign w:val="bottom"/>
          </w:tcPr>
          <w:p w:rsidR="00533EAF" w:rsidRPr="00C66BD3" w:rsidRDefault="00533EAF" w:rsidP="008B63A3">
            <w:pPr>
              <w:pStyle w:val="TableBodyText"/>
              <w:jc w:val="left"/>
              <w:rPr>
                <w:sz w:val="18"/>
                <w:szCs w:val="18"/>
              </w:rPr>
            </w:pPr>
            <w:r w:rsidRPr="00C66BD3">
              <w:rPr>
                <w:sz w:val="18"/>
                <w:szCs w:val="18"/>
              </w:rPr>
              <w:t>Other services</w:t>
            </w:r>
          </w:p>
        </w:tc>
        <w:tc>
          <w:tcPr>
            <w:tcW w:w="507" w:type="pct"/>
            <w:vAlign w:val="bottom"/>
          </w:tcPr>
          <w:p w:rsidR="00533EAF" w:rsidRPr="00A7780F" w:rsidRDefault="00533EAF" w:rsidP="008B63A3">
            <w:pPr>
              <w:pStyle w:val="TableBodyText"/>
              <w:rPr>
                <w:sz w:val="18"/>
                <w:szCs w:val="18"/>
              </w:rPr>
            </w:pPr>
            <w:r w:rsidRPr="00A7780F">
              <w:rPr>
                <w:sz w:val="18"/>
                <w:szCs w:val="18"/>
              </w:rPr>
              <w:t>3.7</w:t>
            </w:r>
          </w:p>
        </w:tc>
        <w:tc>
          <w:tcPr>
            <w:tcW w:w="507" w:type="pct"/>
            <w:vAlign w:val="bottom"/>
          </w:tcPr>
          <w:p w:rsidR="00533EAF" w:rsidRPr="00A7780F" w:rsidRDefault="00533EAF" w:rsidP="008B63A3">
            <w:pPr>
              <w:pStyle w:val="TableBodyText"/>
              <w:rPr>
                <w:sz w:val="18"/>
                <w:szCs w:val="18"/>
              </w:rPr>
            </w:pPr>
            <w:r w:rsidRPr="00A7780F">
              <w:rPr>
                <w:sz w:val="18"/>
                <w:szCs w:val="18"/>
              </w:rPr>
              <w:t>2.1</w:t>
            </w:r>
          </w:p>
        </w:tc>
        <w:tc>
          <w:tcPr>
            <w:tcW w:w="507" w:type="pct"/>
            <w:vAlign w:val="bottom"/>
          </w:tcPr>
          <w:p w:rsidR="00533EAF" w:rsidRPr="00A7780F" w:rsidRDefault="00533EAF" w:rsidP="008B63A3">
            <w:pPr>
              <w:pStyle w:val="TableBodyText"/>
              <w:rPr>
                <w:sz w:val="18"/>
                <w:szCs w:val="18"/>
              </w:rPr>
            </w:pPr>
            <w:r w:rsidRPr="00A7780F">
              <w:rPr>
                <w:sz w:val="18"/>
                <w:szCs w:val="18"/>
              </w:rPr>
              <w:t>5.2</w:t>
            </w:r>
          </w:p>
        </w:tc>
        <w:tc>
          <w:tcPr>
            <w:tcW w:w="507" w:type="pct"/>
            <w:vAlign w:val="bottom"/>
          </w:tcPr>
          <w:p w:rsidR="00533EAF" w:rsidRPr="00A7780F" w:rsidRDefault="00533EAF" w:rsidP="008B63A3">
            <w:pPr>
              <w:pStyle w:val="TableBodyText"/>
              <w:rPr>
                <w:sz w:val="18"/>
                <w:szCs w:val="18"/>
              </w:rPr>
            </w:pPr>
            <w:r w:rsidRPr="00A7780F">
              <w:rPr>
                <w:sz w:val="18"/>
                <w:szCs w:val="18"/>
              </w:rPr>
              <w:t>1.5</w:t>
            </w:r>
          </w:p>
        </w:tc>
        <w:tc>
          <w:tcPr>
            <w:tcW w:w="507" w:type="pct"/>
            <w:shd w:val="clear" w:color="auto" w:fill="auto"/>
            <w:vAlign w:val="bottom"/>
          </w:tcPr>
          <w:p w:rsidR="00533EAF" w:rsidRPr="00A7780F" w:rsidRDefault="00533EAF" w:rsidP="008B63A3">
            <w:pPr>
              <w:pStyle w:val="TableBodyText"/>
              <w:rPr>
                <w:sz w:val="18"/>
                <w:szCs w:val="18"/>
              </w:rPr>
            </w:pPr>
            <w:r w:rsidRPr="00A7780F">
              <w:rPr>
                <w:sz w:val="18"/>
                <w:szCs w:val="18"/>
              </w:rPr>
              <w:t>1.3</w:t>
            </w:r>
          </w:p>
        </w:tc>
        <w:tc>
          <w:tcPr>
            <w:tcW w:w="505" w:type="pct"/>
            <w:shd w:val="clear" w:color="auto" w:fill="auto"/>
            <w:vAlign w:val="bottom"/>
          </w:tcPr>
          <w:p w:rsidR="00533EAF" w:rsidRPr="00A7780F" w:rsidRDefault="00533EAF" w:rsidP="008B63A3">
            <w:pPr>
              <w:pStyle w:val="TableBodyText"/>
              <w:rPr>
                <w:sz w:val="18"/>
                <w:szCs w:val="18"/>
              </w:rPr>
            </w:pPr>
            <w:r w:rsidRPr="00A7780F">
              <w:rPr>
                <w:sz w:val="18"/>
                <w:szCs w:val="18"/>
              </w:rPr>
              <w:t>1.2</w:t>
            </w:r>
          </w:p>
        </w:tc>
      </w:tr>
      <w:tr w:rsidR="00533EAF" w:rsidRPr="006C5A80" w:rsidTr="008B63A3">
        <w:tc>
          <w:tcPr>
            <w:tcW w:w="1960" w:type="pct"/>
            <w:vAlign w:val="bottom"/>
          </w:tcPr>
          <w:p w:rsidR="00533EAF" w:rsidRPr="00C66BD3" w:rsidRDefault="00533EAF" w:rsidP="008B63A3">
            <w:pPr>
              <w:pStyle w:val="TableBodyText"/>
              <w:jc w:val="left"/>
              <w:rPr>
                <w:sz w:val="18"/>
                <w:szCs w:val="18"/>
              </w:rPr>
            </w:pPr>
            <w:r w:rsidRPr="00C66BD3">
              <w:rPr>
                <w:sz w:val="18"/>
                <w:szCs w:val="18"/>
              </w:rPr>
              <w:t>Unallocated other</w:t>
            </w:r>
            <w:r w:rsidRPr="00C66BD3">
              <w:rPr>
                <w:rStyle w:val="NoteLabel"/>
                <w:szCs w:val="18"/>
              </w:rPr>
              <w:t>a</w:t>
            </w:r>
          </w:p>
        </w:tc>
        <w:tc>
          <w:tcPr>
            <w:tcW w:w="507" w:type="pct"/>
            <w:vAlign w:val="bottom"/>
          </w:tcPr>
          <w:p w:rsidR="00533EAF" w:rsidRPr="00A7780F" w:rsidRDefault="00533EAF" w:rsidP="008B63A3">
            <w:pPr>
              <w:pStyle w:val="TableBodyText"/>
              <w:rPr>
                <w:sz w:val="18"/>
                <w:szCs w:val="18"/>
              </w:rPr>
            </w:pPr>
            <w:r w:rsidRPr="00A7780F">
              <w:rPr>
                <w:sz w:val="18"/>
                <w:szCs w:val="18"/>
              </w:rPr>
              <w:t>60.2</w:t>
            </w:r>
          </w:p>
        </w:tc>
        <w:tc>
          <w:tcPr>
            <w:tcW w:w="507" w:type="pct"/>
            <w:vAlign w:val="bottom"/>
          </w:tcPr>
          <w:p w:rsidR="00533EAF" w:rsidRPr="00A7780F" w:rsidRDefault="00533EAF" w:rsidP="008B63A3">
            <w:pPr>
              <w:pStyle w:val="TableBodyText"/>
              <w:rPr>
                <w:sz w:val="18"/>
                <w:szCs w:val="18"/>
              </w:rPr>
            </w:pPr>
            <w:r w:rsidRPr="00A7780F">
              <w:rPr>
                <w:sz w:val="18"/>
                <w:szCs w:val="18"/>
              </w:rPr>
              <w:t>58.7</w:t>
            </w:r>
          </w:p>
        </w:tc>
        <w:tc>
          <w:tcPr>
            <w:tcW w:w="507" w:type="pct"/>
            <w:vAlign w:val="bottom"/>
          </w:tcPr>
          <w:p w:rsidR="00533EAF" w:rsidRPr="00A7780F" w:rsidRDefault="00533EAF" w:rsidP="008B63A3">
            <w:pPr>
              <w:pStyle w:val="TableBodyText"/>
              <w:rPr>
                <w:sz w:val="18"/>
                <w:szCs w:val="18"/>
              </w:rPr>
            </w:pPr>
            <w:r w:rsidRPr="00A7780F">
              <w:rPr>
                <w:sz w:val="18"/>
                <w:szCs w:val="18"/>
              </w:rPr>
              <w:t>108.4</w:t>
            </w:r>
          </w:p>
        </w:tc>
        <w:tc>
          <w:tcPr>
            <w:tcW w:w="507" w:type="pct"/>
            <w:vAlign w:val="bottom"/>
          </w:tcPr>
          <w:p w:rsidR="00533EAF" w:rsidRPr="00A7780F" w:rsidRDefault="00533EAF" w:rsidP="008B63A3">
            <w:pPr>
              <w:pStyle w:val="TableBodyText"/>
              <w:rPr>
                <w:sz w:val="18"/>
                <w:szCs w:val="18"/>
              </w:rPr>
            </w:pPr>
            <w:r w:rsidRPr="00A7780F">
              <w:rPr>
                <w:sz w:val="18"/>
                <w:szCs w:val="18"/>
              </w:rPr>
              <w:t>66.1</w:t>
            </w:r>
          </w:p>
        </w:tc>
        <w:tc>
          <w:tcPr>
            <w:tcW w:w="507" w:type="pct"/>
            <w:shd w:val="clear" w:color="auto" w:fill="auto"/>
            <w:vAlign w:val="bottom"/>
          </w:tcPr>
          <w:p w:rsidR="00533EAF" w:rsidRPr="00A7780F" w:rsidRDefault="00533EAF" w:rsidP="008B63A3">
            <w:pPr>
              <w:pStyle w:val="TableBodyText"/>
              <w:rPr>
                <w:sz w:val="18"/>
                <w:szCs w:val="18"/>
              </w:rPr>
            </w:pPr>
            <w:r w:rsidRPr="00A7780F">
              <w:rPr>
                <w:sz w:val="18"/>
                <w:szCs w:val="18"/>
              </w:rPr>
              <w:t>59.5</w:t>
            </w:r>
          </w:p>
        </w:tc>
        <w:tc>
          <w:tcPr>
            <w:tcW w:w="505" w:type="pct"/>
            <w:shd w:val="clear" w:color="auto" w:fill="auto"/>
            <w:vAlign w:val="bottom"/>
          </w:tcPr>
          <w:p w:rsidR="00533EAF" w:rsidRPr="00A7780F" w:rsidRDefault="00533EAF" w:rsidP="008B63A3">
            <w:pPr>
              <w:pStyle w:val="TableBodyText"/>
              <w:rPr>
                <w:sz w:val="18"/>
                <w:szCs w:val="18"/>
              </w:rPr>
            </w:pPr>
            <w:r w:rsidRPr="00A7780F">
              <w:rPr>
                <w:sz w:val="18"/>
                <w:szCs w:val="18"/>
              </w:rPr>
              <w:t>52.8</w:t>
            </w:r>
          </w:p>
        </w:tc>
      </w:tr>
      <w:tr w:rsidR="00533EAF" w:rsidRPr="006C5A80" w:rsidTr="008B63A3">
        <w:tc>
          <w:tcPr>
            <w:tcW w:w="1960" w:type="pct"/>
            <w:tcBorders>
              <w:bottom w:val="single" w:sz="4" w:space="0" w:color="auto"/>
            </w:tcBorders>
            <w:vAlign w:val="bottom"/>
          </w:tcPr>
          <w:p w:rsidR="00533EAF" w:rsidRPr="00C66BD3" w:rsidRDefault="00533EAF" w:rsidP="008B63A3">
            <w:pPr>
              <w:pStyle w:val="TableBodyText"/>
              <w:jc w:val="left"/>
              <w:rPr>
                <w:b/>
                <w:bCs/>
                <w:sz w:val="18"/>
                <w:szCs w:val="18"/>
              </w:rPr>
            </w:pPr>
            <w:r w:rsidRPr="00C66BD3">
              <w:rPr>
                <w:b/>
                <w:bCs/>
                <w:sz w:val="18"/>
                <w:szCs w:val="18"/>
              </w:rPr>
              <w:t>Total</w:t>
            </w:r>
          </w:p>
        </w:tc>
        <w:tc>
          <w:tcPr>
            <w:tcW w:w="507" w:type="pct"/>
            <w:tcBorders>
              <w:bottom w:val="single" w:sz="4" w:space="0" w:color="auto"/>
            </w:tcBorders>
            <w:vAlign w:val="bottom"/>
          </w:tcPr>
          <w:p w:rsidR="00533EAF" w:rsidRPr="00A7780F" w:rsidRDefault="00533EAF" w:rsidP="008B63A3">
            <w:pPr>
              <w:pStyle w:val="TableBodyText"/>
              <w:rPr>
                <w:b/>
                <w:sz w:val="18"/>
                <w:szCs w:val="18"/>
              </w:rPr>
            </w:pPr>
            <w:r w:rsidRPr="00A7780F">
              <w:rPr>
                <w:b/>
                <w:sz w:val="18"/>
                <w:szCs w:val="18"/>
              </w:rPr>
              <w:t>170.0</w:t>
            </w:r>
          </w:p>
        </w:tc>
        <w:tc>
          <w:tcPr>
            <w:tcW w:w="507" w:type="pct"/>
            <w:tcBorders>
              <w:bottom w:val="single" w:sz="4" w:space="0" w:color="auto"/>
            </w:tcBorders>
            <w:vAlign w:val="bottom"/>
          </w:tcPr>
          <w:p w:rsidR="00533EAF" w:rsidRPr="00A7780F" w:rsidRDefault="00533EAF" w:rsidP="008B63A3">
            <w:pPr>
              <w:pStyle w:val="TableBodyText"/>
              <w:rPr>
                <w:b/>
                <w:sz w:val="18"/>
                <w:szCs w:val="18"/>
              </w:rPr>
            </w:pPr>
            <w:r w:rsidRPr="00A7780F">
              <w:rPr>
                <w:b/>
                <w:sz w:val="18"/>
                <w:szCs w:val="18"/>
              </w:rPr>
              <w:t>220.0</w:t>
            </w:r>
          </w:p>
        </w:tc>
        <w:tc>
          <w:tcPr>
            <w:tcW w:w="507" w:type="pct"/>
            <w:tcBorders>
              <w:bottom w:val="single" w:sz="4" w:space="0" w:color="auto"/>
            </w:tcBorders>
            <w:vAlign w:val="bottom"/>
          </w:tcPr>
          <w:p w:rsidR="00533EAF" w:rsidRPr="00A7780F" w:rsidRDefault="00533EAF" w:rsidP="008B63A3">
            <w:pPr>
              <w:pStyle w:val="TableBodyText"/>
              <w:rPr>
                <w:b/>
                <w:sz w:val="18"/>
                <w:szCs w:val="18"/>
              </w:rPr>
            </w:pPr>
            <w:r w:rsidRPr="00A7780F">
              <w:rPr>
                <w:b/>
                <w:sz w:val="18"/>
                <w:szCs w:val="18"/>
              </w:rPr>
              <w:t>350.0</w:t>
            </w:r>
          </w:p>
        </w:tc>
        <w:tc>
          <w:tcPr>
            <w:tcW w:w="507" w:type="pct"/>
            <w:tcBorders>
              <w:bottom w:val="single" w:sz="4" w:space="0" w:color="auto"/>
            </w:tcBorders>
            <w:vAlign w:val="bottom"/>
          </w:tcPr>
          <w:p w:rsidR="00533EAF" w:rsidRPr="00A7780F" w:rsidRDefault="00533EAF" w:rsidP="008B63A3">
            <w:pPr>
              <w:pStyle w:val="TableBodyText"/>
              <w:rPr>
                <w:b/>
                <w:sz w:val="18"/>
                <w:szCs w:val="18"/>
              </w:rPr>
            </w:pPr>
            <w:r w:rsidRPr="00A7780F">
              <w:rPr>
                <w:b/>
                <w:sz w:val="18"/>
                <w:szCs w:val="18"/>
              </w:rPr>
              <w:t>200.0</w:t>
            </w:r>
          </w:p>
        </w:tc>
        <w:tc>
          <w:tcPr>
            <w:tcW w:w="507" w:type="pct"/>
            <w:tcBorders>
              <w:bottom w:val="single" w:sz="4" w:space="0" w:color="auto"/>
            </w:tcBorders>
            <w:shd w:val="clear" w:color="auto" w:fill="auto"/>
            <w:vAlign w:val="bottom"/>
          </w:tcPr>
          <w:p w:rsidR="00533EAF" w:rsidRPr="00A7780F" w:rsidRDefault="00533EAF" w:rsidP="008B63A3">
            <w:pPr>
              <w:pStyle w:val="TableBodyText"/>
              <w:rPr>
                <w:b/>
                <w:sz w:val="18"/>
                <w:szCs w:val="18"/>
              </w:rPr>
            </w:pPr>
            <w:r w:rsidRPr="00A7780F">
              <w:rPr>
                <w:b/>
                <w:sz w:val="18"/>
                <w:szCs w:val="18"/>
              </w:rPr>
              <w:t>180.0</w:t>
            </w:r>
          </w:p>
        </w:tc>
        <w:tc>
          <w:tcPr>
            <w:tcW w:w="505" w:type="pct"/>
            <w:tcBorders>
              <w:bottom w:val="single" w:sz="4" w:space="0" w:color="auto"/>
            </w:tcBorders>
            <w:shd w:val="clear" w:color="auto" w:fill="auto"/>
            <w:vAlign w:val="bottom"/>
          </w:tcPr>
          <w:p w:rsidR="00533EAF" w:rsidRPr="00A7780F" w:rsidRDefault="00533EAF" w:rsidP="008B63A3">
            <w:pPr>
              <w:pStyle w:val="TableBodyText"/>
              <w:rPr>
                <w:b/>
                <w:sz w:val="18"/>
                <w:szCs w:val="18"/>
              </w:rPr>
            </w:pPr>
            <w:r w:rsidRPr="00A7780F">
              <w:rPr>
                <w:b/>
                <w:sz w:val="18"/>
                <w:szCs w:val="18"/>
              </w:rPr>
              <w:t>160.0</w:t>
            </w:r>
          </w:p>
        </w:tc>
      </w:tr>
    </w:tbl>
    <w:p w:rsidR="00533EAF" w:rsidRDefault="00533EAF" w:rsidP="00533EAF">
      <w:pPr>
        <w:pStyle w:val="Note"/>
      </w:pPr>
      <w:r w:rsidRPr="00A2379F">
        <w:noBreakHyphen/>
        <w:t xml:space="preserve"> </w:t>
      </w:r>
      <w:r>
        <w:t xml:space="preserve">Nil. </w:t>
      </w:r>
      <w:r w:rsidRPr="008E77FE">
        <w:rPr>
          <w:rStyle w:val="NoteLabel"/>
        </w:rPr>
        <w:t>a</w:t>
      </w:r>
      <w:r>
        <w:t xml:space="preserve"> </w:t>
      </w:r>
      <w:r w:rsidRPr="00B81ACC">
        <w:t>Unallocated includes general programs where details of beneficiaries are unknown</w:t>
      </w:r>
      <w:r>
        <w:t>.</w:t>
      </w:r>
    </w:p>
    <w:p w:rsidR="00AC5D7C" w:rsidRDefault="00533EAF" w:rsidP="002D4BCB">
      <w:pPr>
        <w:pStyle w:val="Source"/>
      </w:pPr>
      <w:r>
        <w:rPr>
          <w:i/>
        </w:rPr>
        <w:t>Sources</w:t>
      </w:r>
      <w:r>
        <w:t>: Commission estimates based on Tax Expenditure Statement 2012, Australian Government 2013</w:t>
      </w:r>
      <w:r w:rsidRPr="002C1710">
        <w:t>, p.</w:t>
      </w:r>
      <w:r>
        <w:t> </w:t>
      </w:r>
      <w:r w:rsidRPr="002C1710">
        <w:t>1</w:t>
      </w:r>
      <w:r>
        <w:t>67</w:t>
      </w:r>
      <w:r w:rsidRPr="002C1710">
        <w:t xml:space="preserve">, item </w:t>
      </w:r>
      <w:r>
        <w:t>E</w:t>
      </w:r>
      <w:r w:rsidRPr="002C1710">
        <w:t>2</w:t>
      </w:r>
      <w:r>
        <w:t>4</w:t>
      </w:r>
      <w:r w:rsidRPr="002C1710">
        <w:t>; Industry classification derived from detailed ATO data by ANZSIC industry</w:t>
      </w:r>
      <w:r>
        <w:t>.</w:t>
      </w:r>
    </w:p>
    <w:p w:rsidR="00C94448" w:rsidRDefault="00FA09C3" w:rsidP="00C94448">
      <w:pPr>
        <w:pStyle w:val="Heading2"/>
      </w:pPr>
      <w:r>
        <w:lastRenderedPageBreak/>
        <w:t>A.</w:t>
      </w:r>
      <w:r>
        <w:rPr>
          <w:noProof/>
        </w:rPr>
        <w:t>19</w:t>
      </w:r>
      <w:r w:rsidR="00C94448">
        <w:tab/>
        <w:t>Income tax averaging provisions for primary producers</w:t>
      </w:r>
    </w:p>
    <w:p w:rsidR="00C94448" w:rsidRDefault="00C94448" w:rsidP="00C94448">
      <w:pPr>
        <w:pStyle w:val="BodyText"/>
      </w:pPr>
      <w:r>
        <w:t xml:space="preserve">This concession allows primary producers to average their income over a five year cycle in order to minimise their tax liability. </w:t>
      </w:r>
      <w:r w:rsidR="003C16B2">
        <w:t xml:space="preserve">Under the averaging provisions, primary </w:t>
      </w:r>
      <w:r>
        <w:t xml:space="preserve">producers </w:t>
      </w:r>
      <w:r w:rsidR="003C16B2">
        <w:t xml:space="preserve">may </w:t>
      </w:r>
      <w:r>
        <w:t xml:space="preserve">pay tax on their income at the rate of tax applicable to their average income, regardless of whether the average rate is greater or less than ordinary rates </w:t>
      </w:r>
      <w:r w:rsidRPr="000138D9">
        <w:t>(</w:t>
      </w:r>
      <w:r w:rsidRPr="002D4BCB">
        <w:t>Tax Expenditure Statement, Australian Government 2013, Item B 44</w:t>
      </w:r>
      <w:r w:rsidRPr="000138D9">
        <w:t>)</w:t>
      </w:r>
      <w:r>
        <w:t>.</w:t>
      </w:r>
    </w:p>
    <w:p w:rsidR="00C94448" w:rsidRDefault="00C94448" w:rsidP="00C94448">
      <w:pPr>
        <w:pStyle w:val="BodyText"/>
      </w:pPr>
      <w:r>
        <w:t>The Commission has obtained information from the ATO detailing claim data for the concession by ANZSIC industry. The industry shares from the ATO claim data have been used to allocate Treasury estimates of total revenue forgone for the concession to the Commission’s ANZSIC-based industry groupings (table A.19).</w:t>
      </w:r>
    </w:p>
    <w:p w:rsidR="00C94448" w:rsidRDefault="00C94448" w:rsidP="00C94448">
      <w:pPr>
        <w:pStyle w:val="TableTitle"/>
      </w:pPr>
      <w:r>
        <w:rPr>
          <w:b w:val="0"/>
        </w:rPr>
        <w:t xml:space="preserve">Table </w:t>
      </w:r>
      <w:r w:rsidR="00FA09C3">
        <w:rPr>
          <w:b w:val="0"/>
        </w:rPr>
        <w:t>A.</w:t>
      </w:r>
      <w:r w:rsidR="00FA09C3">
        <w:rPr>
          <w:b w:val="0"/>
          <w:noProof/>
        </w:rPr>
        <w:t>19</w:t>
      </w:r>
      <w:r>
        <w:tab/>
        <w:t>Allocation of Income tax averaging provisions for primary producers</w:t>
      </w:r>
      <w:r w:rsidR="001A5D30" w:rsidRPr="001A5D30">
        <w:t xml:space="preserve"> to industry</w:t>
      </w:r>
      <w:r>
        <w:t>, 2006</w:t>
      </w:r>
      <w:r>
        <w:noBreakHyphen/>
        <w:t>07 to 2011</w:t>
      </w:r>
      <w:r>
        <w:noBreakHyphen/>
        <w:t>12</w:t>
      </w:r>
    </w:p>
    <w:p w:rsidR="00C94448" w:rsidRDefault="00C94448" w:rsidP="00C94448">
      <w:pPr>
        <w:pStyle w:val="Subtitle"/>
      </w:pPr>
      <w:r>
        <w:t>$ million (nominal)</w:t>
      </w:r>
    </w:p>
    <w:tbl>
      <w:tblPr>
        <w:tblW w:w="5000" w:type="pct"/>
        <w:tblCellMar>
          <w:left w:w="0" w:type="dxa"/>
          <w:right w:w="0" w:type="dxa"/>
        </w:tblCellMar>
        <w:tblLook w:val="0000" w:firstRow="0" w:lastRow="0" w:firstColumn="0" w:lastColumn="0" w:noHBand="0" w:noVBand="0"/>
      </w:tblPr>
      <w:tblGrid>
        <w:gridCol w:w="3421"/>
        <w:gridCol w:w="1030"/>
        <w:gridCol w:w="870"/>
        <w:gridCol w:w="870"/>
        <w:gridCol w:w="870"/>
        <w:gridCol w:w="870"/>
        <w:gridCol w:w="858"/>
      </w:tblGrid>
      <w:tr w:rsidR="00C94448" w:rsidRPr="0086376C" w:rsidTr="008B63A3">
        <w:trPr>
          <w:trHeight w:val="227"/>
        </w:trPr>
        <w:tc>
          <w:tcPr>
            <w:tcW w:w="1946" w:type="pct"/>
            <w:tcBorders>
              <w:top w:val="single" w:sz="6" w:space="0" w:color="auto"/>
              <w:bottom w:val="single" w:sz="6" w:space="0" w:color="auto"/>
            </w:tcBorders>
          </w:tcPr>
          <w:p w:rsidR="00C94448" w:rsidRPr="0086376C" w:rsidRDefault="00C94448" w:rsidP="008B63A3">
            <w:pPr>
              <w:pStyle w:val="TableColumnHeading"/>
              <w:jc w:val="left"/>
              <w:rPr>
                <w:sz w:val="18"/>
                <w:szCs w:val="18"/>
              </w:rPr>
            </w:pPr>
            <w:r w:rsidRPr="0086376C">
              <w:rPr>
                <w:sz w:val="18"/>
                <w:szCs w:val="18"/>
              </w:rPr>
              <w:t>Industry grouping</w:t>
            </w:r>
          </w:p>
        </w:tc>
        <w:tc>
          <w:tcPr>
            <w:tcW w:w="586" w:type="pct"/>
            <w:tcBorders>
              <w:top w:val="single" w:sz="6" w:space="0" w:color="auto"/>
              <w:bottom w:val="single" w:sz="6" w:space="0" w:color="auto"/>
            </w:tcBorders>
          </w:tcPr>
          <w:p w:rsidR="00C94448" w:rsidRPr="0086376C" w:rsidRDefault="00C94448" w:rsidP="008B63A3">
            <w:pPr>
              <w:pStyle w:val="TableColumnHeading"/>
              <w:ind w:right="28"/>
              <w:rPr>
                <w:sz w:val="18"/>
                <w:szCs w:val="18"/>
              </w:rPr>
            </w:pPr>
            <w:r w:rsidRPr="0086376C">
              <w:rPr>
                <w:sz w:val="18"/>
                <w:szCs w:val="18"/>
              </w:rPr>
              <w:t>2006-07</w:t>
            </w:r>
          </w:p>
        </w:tc>
        <w:tc>
          <w:tcPr>
            <w:tcW w:w="495" w:type="pct"/>
            <w:tcBorders>
              <w:top w:val="single" w:sz="6" w:space="0" w:color="auto"/>
              <w:bottom w:val="single" w:sz="6" w:space="0" w:color="auto"/>
            </w:tcBorders>
          </w:tcPr>
          <w:p w:rsidR="00C94448" w:rsidRPr="0086376C" w:rsidRDefault="00C94448" w:rsidP="008B63A3">
            <w:pPr>
              <w:pStyle w:val="TableColumnHeading"/>
              <w:ind w:right="28"/>
              <w:rPr>
                <w:sz w:val="18"/>
                <w:szCs w:val="18"/>
              </w:rPr>
            </w:pPr>
            <w:r w:rsidRPr="0086376C">
              <w:rPr>
                <w:sz w:val="18"/>
                <w:szCs w:val="18"/>
              </w:rPr>
              <w:t>2007-08</w:t>
            </w:r>
          </w:p>
        </w:tc>
        <w:tc>
          <w:tcPr>
            <w:tcW w:w="495" w:type="pct"/>
            <w:tcBorders>
              <w:top w:val="single" w:sz="6" w:space="0" w:color="auto"/>
              <w:bottom w:val="single" w:sz="6" w:space="0" w:color="auto"/>
            </w:tcBorders>
          </w:tcPr>
          <w:p w:rsidR="00C94448" w:rsidRPr="0086376C" w:rsidRDefault="00C94448" w:rsidP="008B63A3">
            <w:pPr>
              <w:pStyle w:val="TableColumnHeading"/>
              <w:ind w:right="28"/>
              <w:rPr>
                <w:sz w:val="18"/>
                <w:szCs w:val="18"/>
              </w:rPr>
            </w:pPr>
            <w:r w:rsidRPr="0086376C">
              <w:rPr>
                <w:sz w:val="18"/>
                <w:szCs w:val="18"/>
              </w:rPr>
              <w:t>2008-09</w:t>
            </w:r>
          </w:p>
        </w:tc>
        <w:tc>
          <w:tcPr>
            <w:tcW w:w="495" w:type="pct"/>
            <w:tcBorders>
              <w:top w:val="single" w:sz="6" w:space="0" w:color="auto"/>
              <w:bottom w:val="single" w:sz="6" w:space="0" w:color="auto"/>
            </w:tcBorders>
            <w:shd w:val="clear" w:color="auto" w:fill="auto"/>
          </w:tcPr>
          <w:p w:rsidR="00C94448" w:rsidRPr="0086376C" w:rsidRDefault="00C94448" w:rsidP="008B63A3">
            <w:pPr>
              <w:pStyle w:val="TableColumnHeading"/>
              <w:ind w:right="28"/>
              <w:rPr>
                <w:sz w:val="18"/>
                <w:szCs w:val="18"/>
              </w:rPr>
            </w:pPr>
            <w:r w:rsidRPr="0086376C">
              <w:rPr>
                <w:sz w:val="18"/>
                <w:szCs w:val="18"/>
              </w:rPr>
              <w:t>2009-10</w:t>
            </w:r>
          </w:p>
        </w:tc>
        <w:tc>
          <w:tcPr>
            <w:tcW w:w="495" w:type="pct"/>
            <w:tcBorders>
              <w:top w:val="single" w:sz="6" w:space="0" w:color="auto"/>
              <w:bottom w:val="single" w:sz="6" w:space="0" w:color="auto"/>
            </w:tcBorders>
            <w:shd w:val="clear" w:color="auto" w:fill="auto"/>
          </w:tcPr>
          <w:p w:rsidR="00C94448" w:rsidRPr="0086376C" w:rsidRDefault="00C94448" w:rsidP="008B63A3">
            <w:pPr>
              <w:pStyle w:val="TableColumnHeading"/>
              <w:ind w:right="28"/>
              <w:rPr>
                <w:sz w:val="18"/>
                <w:szCs w:val="18"/>
              </w:rPr>
            </w:pPr>
            <w:r w:rsidRPr="0086376C">
              <w:rPr>
                <w:sz w:val="18"/>
                <w:szCs w:val="18"/>
              </w:rPr>
              <w:t>2010-11</w:t>
            </w:r>
          </w:p>
        </w:tc>
        <w:tc>
          <w:tcPr>
            <w:tcW w:w="488" w:type="pct"/>
            <w:tcBorders>
              <w:top w:val="single" w:sz="6" w:space="0" w:color="auto"/>
              <w:bottom w:val="single" w:sz="6" w:space="0" w:color="auto"/>
            </w:tcBorders>
            <w:shd w:val="clear" w:color="auto" w:fill="auto"/>
          </w:tcPr>
          <w:p w:rsidR="00C94448" w:rsidRPr="0086376C" w:rsidRDefault="00C94448" w:rsidP="008B63A3">
            <w:pPr>
              <w:pStyle w:val="TableColumnHeading"/>
              <w:ind w:right="28"/>
              <w:rPr>
                <w:sz w:val="18"/>
                <w:szCs w:val="18"/>
              </w:rPr>
            </w:pPr>
            <w:r w:rsidRPr="0086376C">
              <w:rPr>
                <w:sz w:val="18"/>
                <w:szCs w:val="18"/>
              </w:rPr>
              <w:t>2011-12</w:t>
            </w:r>
          </w:p>
        </w:tc>
      </w:tr>
      <w:tr w:rsidR="00C94448" w:rsidTr="008B63A3">
        <w:trPr>
          <w:trHeight w:val="227"/>
        </w:trPr>
        <w:tc>
          <w:tcPr>
            <w:tcW w:w="1946" w:type="pct"/>
            <w:tcBorders>
              <w:top w:val="single" w:sz="6" w:space="0" w:color="auto"/>
            </w:tcBorders>
            <w:vAlign w:val="bottom"/>
          </w:tcPr>
          <w:p w:rsidR="00C94448" w:rsidRPr="00DC145C" w:rsidRDefault="00C94448" w:rsidP="008B63A3">
            <w:pPr>
              <w:pStyle w:val="TableBodyText"/>
              <w:jc w:val="left"/>
              <w:rPr>
                <w:b/>
                <w:sz w:val="18"/>
                <w:szCs w:val="18"/>
              </w:rPr>
            </w:pPr>
            <w:r w:rsidRPr="00DC145C">
              <w:rPr>
                <w:b/>
                <w:sz w:val="18"/>
                <w:szCs w:val="18"/>
              </w:rPr>
              <w:t>Primary production</w:t>
            </w:r>
          </w:p>
        </w:tc>
        <w:tc>
          <w:tcPr>
            <w:tcW w:w="586" w:type="pct"/>
            <w:tcBorders>
              <w:top w:val="single" w:sz="6" w:space="0" w:color="auto"/>
            </w:tcBorders>
            <w:vAlign w:val="bottom"/>
          </w:tcPr>
          <w:p w:rsidR="00C94448" w:rsidRPr="009F39FB" w:rsidRDefault="00C94448" w:rsidP="008B63A3">
            <w:pPr>
              <w:pStyle w:val="TableBodyText"/>
              <w:rPr>
                <w:b/>
                <w:sz w:val="18"/>
                <w:szCs w:val="18"/>
              </w:rPr>
            </w:pPr>
            <w:r w:rsidRPr="009F39FB">
              <w:rPr>
                <w:b/>
                <w:sz w:val="18"/>
                <w:szCs w:val="18"/>
              </w:rPr>
              <w:t>70.0</w:t>
            </w:r>
          </w:p>
        </w:tc>
        <w:tc>
          <w:tcPr>
            <w:tcW w:w="495" w:type="pct"/>
            <w:tcBorders>
              <w:top w:val="single" w:sz="6" w:space="0" w:color="auto"/>
            </w:tcBorders>
            <w:vAlign w:val="bottom"/>
          </w:tcPr>
          <w:p w:rsidR="00C94448" w:rsidRPr="009F39FB" w:rsidRDefault="00C94448" w:rsidP="008B63A3">
            <w:pPr>
              <w:pStyle w:val="TableBodyText"/>
              <w:rPr>
                <w:b/>
                <w:sz w:val="18"/>
                <w:szCs w:val="18"/>
              </w:rPr>
            </w:pPr>
            <w:r w:rsidRPr="009F39FB">
              <w:rPr>
                <w:b/>
                <w:sz w:val="18"/>
                <w:szCs w:val="18"/>
              </w:rPr>
              <w:t>110.0</w:t>
            </w:r>
          </w:p>
        </w:tc>
        <w:tc>
          <w:tcPr>
            <w:tcW w:w="495" w:type="pct"/>
            <w:tcBorders>
              <w:top w:val="single" w:sz="6" w:space="0" w:color="auto"/>
            </w:tcBorders>
            <w:vAlign w:val="bottom"/>
          </w:tcPr>
          <w:p w:rsidR="00C94448" w:rsidRPr="009F39FB" w:rsidRDefault="00C94448" w:rsidP="008B63A3">
            <w:pPr>
              <w:pStyle w:val="TableBodyText"/>
              <w:rPr>
                <w:b/>
                <w:sz w:val="18"/>
                <w:szCs w:val="18"/>
              </w:rPr>
            </w:pPr>
            <w:r w:rsidRPr="009F39FB">
              <w:rPr>
                <w:b/>
                <w:sz w:val="18"/>
                <w:szCs w:val="18"/>
              </w:rPr>
              <w:t>100.0</w:t>
            </w:r>
          </w:p>
        </w:tc>
        <w:tc>
          <w:tcPr>
            <w:tcW w:w="495" w:type="pct"/>
            <w:tcBorders>
              <w:top w:val="single" w:sz="6" w:space="0" w:color="auto"/>
            </w:tcBorders>
            <w:vAlign w:val="bottom"/>
          </w:tcPr>
          <w:p w:rsidR="00C94448" w:rsidRPr="009F39FB" w:rsidRDefault="00C94448" w:rsidP="008B63A3">
            <w:pPr>
              <w:pStyle w:val="TableBodyText"/>
              <w:rPr>
                <w:b/>
                <w:sz w:val="18"/>
                <w:szCs w:val="18"/>
              </w:rPr>
            </w:pPr>
            <w:r w:rsidRPr="009F39FB">
              <w:rPr>
                <w:b/>
                <w:sz w:val="18"/>
                <w:szCs w:val="18"/>
              </w:rPr>
              <w:t>80.0</w:t>
            </w:r>
          </w:p>
        </w:tc>
        <w:tc>
          <w:tcPr>
            <w:tcW w:w="495" w:type="pct"/>
            <w:tcBorders>
              <w:top w:val="single" w:sz="6" w:space="0" w:color="auto"/>
            </w:tcBorders>
            <w:vAlign w:val="bottom"/>
          </w:tcPr>
          <w:p w:rsidR="00C94448" w:rsidRPr="009F39FB" w:rsidRDefault="00C94448" w:rsidP="008B63A3">
            <w:pPr>
              <w:pStyle w:val="TableBodyText"/>
              <w:rPr>
                <w:b/>
                <w:sz w:val="18"/>
                <w:szCs w:val="18"/>
              </w:rPr>
            </w:pPr>
            <w:r w:rsidRPr="009F39FB">
              <w:rPr>
                <w:b/>
                <w:sz w:val="18"/>
                <w:szCs w:val="18"/>
              </w:rPr>
              <w:t>165.0</w:t>
            </w:r>
          </w:p>
        </w:tc>
        <w:tc>
          <w:tcPr>
            <w:tcW w:w="488" w:type="pct"/>
            <w:tcBorders>
              <w:top w:val="single" w:sz="6" w:space="0" w:color="auto"/>
            </w:tcBorders>
            <w:vAlign w:val="bottom"/>
          </w:tcPr>
          <w:p w:rsidR="00C94448" w:rsidRPr="009F39FB" w:rsidRDefault="00C94448" w:rsidP="008B63A3">
            <w:pPr>
              <w:pStyle w:val="TableBodyText"/>
              <w:rPr>
                <w:b/>
                <w:sz w:val="18"/>
                <w:szCs w:val="18"/>
              </w:rPr>
            </w:pPr>
            <w:r w:rsidRPr="009F39FB">
              <w:rPr>
                <w:b/>
                <w:sz w:val="18"/>
                <w:szCs w:val="18"/>
              </w:rPr>
              <w:t>140.0</w:t>
            </w:r>
          </w:p>
        </w:tc>
      </w:tr>
      <w:tr w:rsidR="00C94448" w:rsidTr="008B63A3">
        <w:trPr>
          <w:trHeight w:val="227"/>
        </w:trPr>
        <w:tc>
          <w:tcPr>
            <w:tcW w:w="1946" w:type="pct"/>
            <w:vAlign w:val="bottom"/>
          </w:tcPr>
          <w:p w:rsidR="00C94448" w:rsidRPr="007758AB" w:rsidRDefault="00C94448" w:rsidP="008B63A3">
            <w:pPr>
              <w:pStyle w:val="TableBodyText"/>
              <w:jc w:val="left"/>
              <w:rPr>
                <w:sz w:val="18"/>
                <w:szCs w:val="18"/>
              </w:rPr>
            </w:pPr>
            <w:r>
              <w:rPr>
                <w:sz w:val="18"/>
                <w:szCs w:val="18"/>
              </w:rPr>
              <w:t>Horticulture and fruit growing</w:t>
            </w:r>
          </w:p>
        </w:tc>
        <w:tc>
          <w:tcPr>
            <w:tcW w:w="586" w:type="pct"/>
            <w:vAlign w:val="bottom"/>
          </w:tcPr>
          <w:p w:rsidR="00C94448" w:rsidRPr="009F39FB" w:rsidRDefault="00C94448" w:rsidP="008B63A3">
            <w:pPr>
              <w:pStyle w:val="TableBodyText"/>
              <w:rPr>
                <w:sz w:val="18"/>
                <w:szCs w:val="18"/>
              </w:rPr>
            </w:pPr>
            <w:r w:rsidRPr="009F39FB">
              <w:rPr>
                <w:sz w:val="18"/>
                <w:szCs w:val="18"/>
              </w:rPr>
              <w:t>9.5</w:t>
            </w:r>
          </w:p>
        </w:tc>
        <w:tc>
          <w:tcPr>
            <w:tcW w:w="495" w:type="pct"/>
            <w:vAlign w:val="bottom"/>
          </w:tcPr>
          <w:p w:rsidR="00C94448" w:rsidRPr="009F39FB" w:rsidRDefault="00C94448" w:rsidP="008B63A3">
            <w:pPr>
              <w:pStyle w:val="TableBodyText"/>
              <w:rPr>
                <w:sz w:val="18"/>
                <w:szCs w:val="18"/>
              </w:rPr>
            </w:pPr>
            <w:r w:rsidRPr="009F39FB">
              <w:rPr>
                <w:sz w:val="18"/>
                <w:szCs w:val="18"/>
              </w:rPr>
              <w:t>10.9</w:t>
            </w:r>
          </w:p>
        </w:tc>
        <w:tc>
          <w:tcPr>
            <w:tcW w:w="495" w:type="pct"/>
            <w:vAlign w:val="bottom"/>
          </w:tcPr>
          <w:p w:rsidR="00C94448" w:rsidRPr="009F39FB" w:rsidRDefault="00C94448" w:rsidP="008B63A3">
            <w:pPr>
              <w:pStyle w:val="TableBodyText"/>
              <w:rPr>
                <w:sz w:val="18"/>
                <w:szCs w:val="18"/>
              </w:rPr>
            </w:pPr>
            <w:r w:rsidRPr="009F39FB">
              <w:rPr>
                <w:sz w:val="18"/>
                <w:szCs w:val="18"/>
              </w:rPr>
              <w:t>9.9</w:t>
            </w:r>
          </w:p>
        </w:tc>
        <w:tc>
          <w:tcPr>
            <w:tcW w:w="495" w:type="pct"/>
            <w:vAlign w:val="bottom"/>
          </w:tcPr>
          <w:p w:rsidR="00C94448" w:rsidRPr="009F39FB" w:rsidRDefault="00C94448" w:rsidP="008B63A3">
            <w:pPr>
              <w:pStyle w:val="TableBodyText"/>
              <w:rPr>
                <w:sz w:val="18"/>
                <w:szCs w:val="18"/>
              </w:rPr>
            </w:pPr>
            <w:r w:rsidRPr="009F39FB">
              <w:rPr>
                <w:sz w:val="18"/>
                <w:szCs w:val="18"/>
              </w:rPr>
              <w:t>8.4</w:t>
            </w:r>
          </w:p>
        </w:tc>
        <w:tc>
          <w:tcPr>
            <w:tcW w:w="495" w:type="pct"/>
            <w:vAlign w:val="bottom"/>
          </w:tcPr>
          <w:p w:rsidR="00C94448" w:rsidRPr="009F39FB" w:rsidRDefault="00C94448" w:rsidP="008B63A3">
            <w:pPr>
              <w:pStyle w:val="TableBodyText"/>
              <w:rPr>
                <w:sz w:val="18"/>
                <w:szCs w:val="18"/>
              </w:rPr>
            </w:pPr>
            <w:r w:rsidRPr="009F39FB">
              <w:rPr>
                <w:sz w:val="18"/>
                <w:szCs w:val="18"/>
              </w:rPr>
              <w:t>17.3</w:t>
            </w:r>
          </w:p>
        </w:tc>
        <w:tc>
          <w:tcPr>
            <w:tcW w:w="488" w:type="pct"/>
            <w:vAlign w:val="bottom"/>
          </w:tcPr>
          <w:p w:rsidR="00C94448" w:rsidRPr="009F39FB" w:rsidRDefault="00C94448" w:rsidP="008B63A3">
            <w:pPr>
              <w:pStyle w:val="TableBodyText"/>
              <w:rPr>
                <w:sz w:val="18"/>
                <w:szCs w:val="18"/>
              </w:rPr>
            </w:pPr>
            <w:r w:rsidRPr="009F39FB">
              <w:rPr>
                <w:sz w:val="18"/>
                <w:szCs w:val="18"/>
              </w:rPr>
              <w:t>14.7</w:t>
            </w:r>
          </w:p>
        </w:tc>
      </w:tr>
      <w:tr w:rsidR="00C94448" w:rsidTr="008B63A3">
        <w:trPr>
          <w:trHeight w:val="227"/>
        </w:trPr>
        <w:tc>
          <w:tcPr>
            <w:tcW w:w="1946" w:type="pct"/>
            <w:vAlign w:val="bottom"/>
          </w:tcPr>
          <w:p w:rsidR="00C94448" w:rsidRPr="007758AB" w:rsidRDefault="00C94448" w:rsidP="008B63A3">
            <w:pPr>
              <w:pStyle w:val="TableBodyText"/>
              <w:jc w:val="left"/>
              <w:rPr>
                <w:sz w:val="18"/>
                <w:szCs w:val="18"/>
              </w:rPr>
            </w:pPr>
            <w:r w:rsidRPr="007758AB">
              <w:rPr>
                <w:sz w:val="18"/>
                <w:szCs w:val="18"/>
              </w:rPr>
              <w:t>Sheep, beef cattle and grain farming</w:t>
            </w:r>
          </w:p>
        </w:tc>
        <w:tc>
          <w:tcPr>
            <w:tcW w:w="586" w:type="pct"/>
            <w:vAlign w:val="bottom"/>
          </w:tcPr>
          <w:p w:rsidR="00C94448" w:rsidRPr="009F39FB" w:rsidRDefault="00C94448" w:rsidP="008B63A3">
            <w:pPr>
              <w:pStyle w:val="TableBodyText"/>
              <w:rPr>
                <w:sz w:val="18"/>
                <w:szCs w:val="18"/>
              </w:rPr>
            </w:pPr>
            <w:r w:rsidRPr="009F39FB">
              <w:rPr>
                <w:sz w:val="18"/>
                <w:szCs w:val="18"/>
              </w:rPr>
              <w:t>36.3</w:t>
            </w:r>
          </w:p>
        </w:tc>
        <w:tc>
          <w:tcPr>
            <w:tcW w:w="495" w:type="pct"/>
            <w:vAlign w:val="bottom"/>
          </w:tcPr>
          <w:p w:rsidR="00C94448" w:rsidRPr="009F39FB" w:rsidRDefault="00C94448" w:rsidP="008B63A3">
            <w:pPr>
              <w:pStyle w:val="TableBodyText"/>
              <w:rPr>
                <w:sz w:val="18"/>
                <w:szCs w:val="18"/>
              </w:rPr>
            </w:pPr>
            <w:r w:rsidRPr="009F39FB">
              <w:rPr>
                <w:sz w:val="18"/>
                <w:szCs w:val="18"/>
              </w:rPr>
              <w:t>59.8</w:t>
            </w:r>
          </w:p>
        </w:tc>
        <w:tc>
          <w:tcPr>
            <w:tcW w:w="495" w:type="pct"/>
            <w:vAlign w:val="bottom"/>
          </w:tcPr>
          <w:p w:rsidR="00C94448" w:rsidRPr="009F39FB" w:rsidRDefault="00C94448" w:rsidP="008B63A3">
            <w:pPr>
              <w:pStyle w:val="TableBodyText"/>
              <w:rPr>
                <w:sz w:val="18"/>
                <w:szCs w:val="18"/>
              </w:rPr>
            </w:pPr>
            <w:r w:rsidRPr="009F39FB">
              <w:rPr>
                <w:sz w:val="18"/>
                <w:szCs w:val="18"/>
              </w:rPr>
              <w:t>54.4</w:t>
            </w:r>
          </w:p>
        </w:tc>
        <w:tc>
          <w:tcPr>
            <w:tcW w:w="495" w:type="pct"/>
            <w:vAlign w:val="bottom"/>
          </w:tcPr>
          <w:p w:rsidR="00C94448" w:rsidRPr="009F39FB" w:rsidRDefault="00C94448" w:rsidP="008B63A3">
            <w:pPr>
              <w:pStyle w:val="TableBodyText"/>
              <w:rPr>
                <w:sz w:val="18"/>
                <w:szCs w:val="18"/>
              </w:rPr>
            </w:pPr>
            <w:r w:rsidRPr="009F39FB">
              <w:rPr>
                <w:sz w:val="18"/>
                <w:szCs w:val="18"/>
              </w:rPr>
              <w:t>45.4</w:t>
            </w:r>
          </w:p>
        </w:tc>
        <w:tc>
          <w:tcPr>
            <w:tcW w:w="495" w:type="pct"/>
            <w:vAlign w:val="bottom"/>
          </w:tcPr>
          <w:p w:rsidR="00C94448" w:rsidRPr="009F39FB" w:rsidRDefault="00C94448" w:rsidP="008B63A3">
            <w:pPr>
              <w:pStyle w:val="TableBodyText"/>
              <w:rPr>
                <w:sz w:val="18"/>
                <w:szCs w:val="18"/>
              </w:rPr>
            </w:pPr>
            <w:r w:rsidRPr="009F39FB">
              <w:rPr>
                <w:sz w:val="18"/>
                <w:szCs w:val="18"/>
              </w:rPr>
              <w:t>93.6</w:t>
            </w:r>
          </w:p>
        </w:tc>
        <w:tc>
          <w:tcPr>
            <w:tcW w:w="488" w:type="pct"/>
            <w:vAlign w:val="bottom"/>
          </w:tcPr>
          <w:p w:rsidR="00C94448" w:rsidRPr="009F39FB" w:rsidRDefault="00C94448" w:rsidP="008B63A3">
            <w:pPr>
              <w:pStyle w:val="TableBodyText"/>
              <w:rPr>
                <w:sz w:val="18"/>
                <w:szCs w:val="18"/>
              </w:rPr>
            </w:pPr>
            <w:r w:rsidRPr="009F39FB">
              <w:rPr>
                <w:sz w:val="18"/>
                <w:szCs w:val="18"/>
              </w:rPr>
              <w:t>79.4</w:t>
            </w:r>
          </w:p>
        </w:tc>
      </w:tr>
      <w:tr w:rsidR="00C94448" w:rsidTr="008B63A3">
        <w:trPr>
          <w:trHeight w:val="227"/>
        </w:trPr>
        <w:tc>
          <w:tcPr>
            <w:tcW w:w="1946" w:type="pct"/>
            <w:vAlign w:val="bottom"/>
          </w:tcPr>
          <w:p w:rsidR="00C94448" w:rsidRPr="007758AB" w:rsidRDefault="00C94448" w:rsidP="008B63A3">
            <w:pPr>
              <w:pStyle w:val="TableBodyText"/>
              <w:jc w:val="left"/>
              <w:rPr>
                <w:sz w:val="18"/>
                <w:szCs w:val="18"/>
              </w:rPr>
            </w:pPr>
            <w:r w:rsidRPr="007758AB">
              <w:rPr>
                <w:sz w:val="18"/>
                <w:szCs w:val="18"/>
              </w:rPr>
              <w:t>Other crop growing</w:t>
            </w:r>
          </w:p>
        </w:tc>
        <w:tc>
          <w:tcPr>
            <w:tcW w:w="586" w:type="pct"/>
            <w:vAlign w:val="bottom"/>
          </w:tcPr>
          <w:p w:rsidR="00C94448" w:rsidRPr="009F39FB" w:rsidRDefault="00C94448" w:rsidP="008B63A3">
            <w:pPr>
              <w:pStyle w:val="TableBodyText"/>
              <w:rPr>
                <w:sz w:val="18"/>
                <w:szCs w:val="18"/>
              </w:rPr>
            </w:pPr>
            <w:r w:rsidRPr="009F39FB">
              <w:rPr>
                <w:sz w:val="18"/>
                <w:szCs w:val="18"/>
              </w:rPr>
              <w:t>6.2</w:t>
            </w:r>
          </w:p>
        </w:tc>
        <w:tc>
          <w:tcPr>
            <w:tcW w:w="495" w:type="pct"/>
            <w:vAlign w:val="bottom"/>
          </w:tcPr>
          <w:p w:rsidR="00C94448" w:rsidRPr="009F39FB" w:rsidRDefault="00C94448" w:rsidP="008B63A3">
            <w:pPr>
              <w:pStyle w:val="TableBodyText"/>
              <w:rPr>
                <w:sz w:val="18"/>
                <w:szCs w:val="18"/>
              </w:rPr>
            </w:pPr>
            <w:r w:rsidRPr="009F39FB">
              <w:rPr>
                <w:sz w:val="18"/>
                <w:szCs w:val="18"/>
              </w:rPr>
              <w:t>3.8</w:t>
            </w:r>
          </w:p>
        </w:tc>
        <w:tc>
          <w:tcPr>
            <w:tcW w:w="495" w:type="pct"/>
            <w:vAlign w:val="bottom"/>
          </w:tcPr>
          <w:p w:rsidR="00C94448" w:rsidRPr="009F39FB" w:rsidRDefault="00C94448" w:rsidP="008B63A3">
            <w:pPr>
              <w:pStyle w:val="TableBodyText"/>
              <w:rPr>
                <w:sz w:val="18"/>
                <w:szCs w:val="18"/>
              </w:rPr>
            </w:pPr>
            <w:r w:rsidRPr="009F39FB">
              <w:rPr>
                <w:sz w:val="18"/>
                <w:szCs w:val="18"/>
              </w:rPr>
              <w:t>3.4</w:t>
            </w:r>
          </w:p>
        </w:tc>
        <w:tc>
          <w:tcPr>
            <w:tcW w:w="495" w:type="pct"/>
            <w:shd w:val="clear" w:color="auto" w:fill="auto"/>
            <w:vAlign w:val="bottom"/>
          </w:tcPr>
          <w:p w:rsidR="00C94448" w:rsidRPr="009F39FB" w:rsidRDefault="00C94448" w:rsidP="008B63A3">
            <w:pPr>
              <w:pStyle w:val="TableBodyText"/>
              <w:rPr>
                <w:sz w:val="18"/>
                <w:szCs w:val="18"/>
              </w:rPr>
            </w:pPr>
            <w:r w:rsidRPr="009F39FB">
              <w:rPr>
                <w:sz w:val="18"/>
                <w:szCs w:val="18"/>
              </w:rPr>
              <w:t>6.3</w:t>
            </w:r>
          </w:p>
        </w:tc>
        <w:tc>
          <w:tcPr>
            <w:tcW w:w="495" w:type="pct"/>
            <w:shd w:val="clear" w:color="auto" w:fill="auto"/>
            <w:vAlign w:val="bottom"/>
          </w:tcPr>
          <w:p w:rsidR="00C94448" w:rsidRPr="009F39FB" w:rsidRDefault="00C94448" w:rsidP="008B63A3">
            <w:pPr>
              <w:pStyle w:val="TableBodyText"/>
              <w:rPr>
                <w:sz w:val="18"/>
                <w:szCs w:val="18"/>
              </w:rPr>
            </w:pPr>
            <w:r w:rsidRPr="009F39FB">
              <w:rPr>
                <w:sz w:val="18"/>
                <w:szCs w:val="18"/>
              </w:rPr>
              <w:t>13.0</w:t>
            </w:r>
          </w:p>
        </w:tc>
        <w:tc>
          <w:tcPr>
            <w:tcW w:w="488" w:type="pct"/>
            <w:shd w:val="clear" w:color="auto" w:fill="auto"/>
            <w:vAlign w:val="bottom"/>
          </w:tcPr>
          <w:p w:rsidR="00C94448" w:rsidRPr="009F39FB" w:rsidRDefault="00C94448" w:rsidP="008B63A3">
            <w:pPr>
              <w:pStyle w:val="TableBodyText"/>
              <w:rPr>
                <w:sz w:val="18"/>
                <w:szCs w:val="18"/>
              </w:rPr>
            </w:pPr>
            <w:r w:rsidRPr="009F39FB">
              <w:rPr>
                <w:sz w:val="18"/>
                <w:szCs w:val="18"/>
              </w:rPr>
              <w:t>11.0</w:t>
            </w:r>
          </w:p>
        </w:tc>
      </w:tr>
      <w:tr w:rsidR="00C94448" w:rsidTr="008B63A3">
        <w:trPr>
          <w:trHeight w:val="227"/>
        </w:trPr>
        <w:tc>
          <w:tcPr>
            <w:tcW w:w="1946" w:type="pct"/>
            <w:vAlign w:val="bottom"/>
          </w:tcPr>
          <w:p w:rsidR="00C94448" w:rsidRPr="007758AB" w:rsidRDefault="00C94448" w:rsidP="008B63A3">
            <w:pPr>
              <w:pStyle w:val="TableBodyText"/>
              <w:jc w:val="left"/>
              <w:rPr>
                <w:sz w:val="18"/>
                <w:szCs w:val="18"/>
              </w:rPr>
            </w:pPr>
            <w:r>
              <w:rPr>
                <w:sz w:val="18"/>
                <w:szCs w:val="18"/>
              </w:rPr>
              <w:t>Dairy cattle farming</w:t>
            </w:r>
          </w:p>
        </w:tc>
        <w:tc>
          <w:tcPr>
            <w:tcW w:w="586" w:type="pct"/>
            <w:vAlign w:val="bottom"/>
          </w:tcPr>
          <w:p w:rsidR="00C94448" w:rsidRPr="009F39FB" w:rsidRDefault="00C94448" w:rsidP="008B63A3">
            <w:pPr>
              <w:pStyle w:val="TableBodyText"/>
              <w:rPr>
                <w:sz w:val="18"/>
                <w:szCs w:val="18"/>
              </w:rPr>
            </w:pPr>
            <w:r w:rsidRPr="009F39FB">
              <w:rPr>
                <w:sz w:val="18"/>
                <w:szCs w:val="18"/>
              </w:rPr>
              <w:t>4.7</w:t>
            </w:r>
          </w:p>
        </w:tc>
        <w:tc>
          <w:tcPr>
            <w:tcW w:w="495" w:type="pct"/>
            <w:vAlign w:val="bottom"/>
          </w:tcPr>
          <w:p w:rsidR="00C94448" w:rsidRPr="009F39FB" w:rsidRDefault="00C94448" w:rsidP="008B63A3">
            <w:pPr>
              <w:pStyle w:val="TableBodyText"/>
              <w:rPr>
                <w:sz w:val="18"/>
                <w:szCs w:val="18"/>
              </w:rPr>
            </w:pPr>
            <w:r w:rsidRPr="009F39FB">
              <w:rPr>
                <w:sz w:val="18"/>
                <w:szCs w:val="18"/>
              </w:rPr>
              <w:t>16.5</w:t>
            </w:r>
          </w:p>
        </w:tc>
        <w:tc>
          <w:tcPr>
            <w:tcW w:w="495" w:type="pct"/>
            <w:vAlign w:val="bottom"/>
          </w:tcPr>
          <w:p w:rsidR="00C94448" w:rsidRPr="009F39FB" w:rsidRDefault="00C94448" w:rsidP="008B63A3">
            <w:pPr>
              <w:pStyle w:val="TableBodyText"/>
              <w:rPr>
                <w:sz w:val="18"/>
                <w:szCs w:val="18"/>
              </w:rPr>
            </w:pPr>
            <w:r w:rsidRPr="009F39FB">
              <w:rPr>
                <w:sz w:val="18"/>
                <w:szCs w:val="18"/>
              </w:rPr>
              <w:t>15.0</w:t>
            </w:r>
          </w:p>
        </w:tc>
        <w:tc>
          <w:tcPr>
            <w:tcW w:w="495" w:type="pct"/>
            <w:shd w:val="clear" w:color="auto" w:fill="auto"/>
            <w:vAlign w:val="bottom"/>
          </w:tcPr>
          <w:p w:rsidR="00C94448" w:rsidRPr="009F39FB" w:rsidRDefault="00C94448" w:rsidP="008B63A3">
            <w:pPr>
              <w:pStyle w:val="TableBodyText"/>
              <w:rPr>
                <w:sz w:val="18"/>
                <w:szCs w:val="18"/>
              </w:rPr>
            </w:pPr>
            <w:r w:rsidRPr="009F39FB">
              <w:rPr>
                <w:sz w:val="18"/>
                <w:szCs w:val="18"/>
              </w:rPr>
              <w:t>4.1</w:t>
            </w:r>
          </w:p>
        </w:tc>
        <w:tc>
          <w:tcPr>
            <w:tcW w:w="495" w:type="pct"/>
            <w:shd w:val="clear" w:color="auto" w:fill="auto"/>
            <w:vAlign w:val="bottom"/>
          </w:tcPr>
          <w:p w:rsidR="00C94448" w:rsidRPr="009F39FB" w:rsidRDefault="00C94448" w:rsidP="008B63A3">
            <w:pPr>
              <w:pStyle w:val="TableBodyText"/>
              <w:rPr>
                <w:sz w:val="18"/>
                <w:szCs w:val="18"/>
              </w:rPr>
            </w:pPr>
            <w:r w:rsidRPr="009F39FB">
              <w:rPr>
                <w:sz w:val="18"/>
                <w:szCs w:val="18"/>
              </w:rPr>
              <w:t>8.5</w:t>
            </w:r>
          </w:p>
        </w:tc>
        <w:tc>
          <w:tcPr>
            <w:tcW w:w="488" w:type="pct"/>
            <w:shd w:val="clear" w:color="auto" w:fill="auto"/>
            <w:vAlign w:val="bottom"/>
          </w:tcPr>
          <w:p w:rsidR="00C94448" w:rsidRPr="009F39FB" w:rsidRDefault="00C94448" w:rsidP="008B63A3">
            <w:pPr>
              <w:pStyle w:val="TableBodyText"/>
              <w:rPr>
                <w:sz w:val="18"/>
                <w:szCs w:val="18"/>
              </w:rPr>
            </w:pPr>
            <w:r w:rsidRPr="009F39FB">
              <w:rPr>
                <w:sz w:val="18"/>
                <w:szCs w:val="18"/>
              </w:rPr>
              <w:t>7.2</w:t>
            </w:r>
          </w:p>
        </w:tc>
      </w:tr>
      <w:tr w:rsidR="00C94448" w:rsidTr="008B63A3">
        <w:trPr>
          <w:trHeight w:val="227"/>
        </w:trPr>
        <w:tc>
          <w:tcPr>
            <w:tcW w:w="1946" w:type="pct"/>
            <w:vAlign w:val="bottom"/>
          </w:tcPr>
          <w:p w:rsidR="00C94448" w:rsidRPr="007758AB" w:rsidRDefault="00C94448" w:rsidP="008B63A3">
            <w:pPr>
              <w:pStyle w:val="TableBodyText"/>
              <w:jc w:val="left"/>
              <w:rPr>
                <w:sz w:val="18"/>
                <w:szCs w:val="18"/>
              </w:rPr>
            </w:pPr>
            <w:r>
              <w:rPr>
                <w:sz w:val="18"/>
                <w:szCs w:val="18"/>
              </w:rPr>
              <w:t>Other livestock farming</w:t>
            </w:r>
          </w:p>
        </w:tc>
        <w:tc>
          <w:tcPr>
            <w:tcW w:w="586" w:type="pct"/>
            <w:vAlign w:val="bottom"/>
          </w:tcPr>
          <w:p w:rsidR="00C94448" w:rsidRPr="009F39FB" w:rsidRDefault="00C94448" w:rsidP="008B63A3">
            <w:pPr>
              <w:pStyle w:val="TableBodyText"/>
              <w:rPr>
                <w:sz w:val="18"/>
                <w:szCs w:val="18"/>
              </w:rPr>
            </w:pPr>
            <w:r w:rsidRPr="009F39FB">
              <w:rPr>
                <w:sz w:val="18"/>
                <w:szCs w:val="18"/>
              </w:rPr>
              <w:t>2.7</w:t>
            </w:r>
          </w:p>
        </w:tc>
        <w:tc>
          <w:tcPr>
            <w:tcW w:w="495" w:type="pct"/>
            <w:vAlign w:val="bottom"/>
          </w:tcPr>
          <w:p w:rsidR="00C94448" w:rsidRPr="009F39FB" w:rsidRDefault="00C94448" w:rsidP="008B63A3">
            <w:pPr>
              <w:pStyle w:val="TableBodyText"/>
              <w:rPr>
                <w:sz w:val="18"/>
                <w:szCs w:val="18"/>
              </w:rPr>
            </w:pPr>
            <w:r w:rsidRPr="009F39FB">
              <w:rPr>
                <w:sz w:val="18"/>
                <w:szCs w:val="18"/>
              </w:rPr>
              <w:t>4.1</w:t>
            </w:r>
          </w:p>
        </w:tc>
        <w:tc>
          <w:tcPr>
            <w:tcW w:w="495" w:type="pct"/>
            <w:vAlign w:val="bottom"/>
          </w:tcPr>
          <w:p w:rsidR="00C94448" w:rsidRPr="009F39FB" w:rsidRDefault="00C94448" w:rsidP="008B63A3">
            <w:pPr>
              <w:pStyle w:val="TableBodyText"/>
              <w:rPr>
                <w:sz w:val="18"/>
                <w:szCs w:val="18"/>
              </w:rPr>
            </w:pPr>
            <w:r w:rsidRPr="009F39FB">
              <w:rPr>
                <w:sz w:val="18"/>
                <w:szCs w:val="18"/>
              </w:rPr>
              <w:t>3.7</w:t>
            </w:r>
          </w:p>
        </w:tc>
        <w:tc>
          <w:tcPr>
            <w:tcW w:w="495" w:type="pct"/>
            <w:shd w:val="clear" w:color="auto" w:fill="auto"/>
            <w:vAlign w:val="bottom"/>
          </w:tcPr>
          <w:p w:rsidR="00C94448" w:rsidRPr="009F39FB" w:rsidRDefault="00C94448" w:rsidP="008B63A3">
            <w:pPr>
              <w:pStyle w:val="TableBodyText"/>
              <w:rPr>
                <w:sz w:val="18"/>
                <w:szCs w:val="18"/>
              </w:rPr>
            </w:pPr>
            <w:r w:rsidRPr="009F39FB">
              <w:rPr>
                <w:sz w:val="18"/>
                <w:szCs w:val="18"/>
              </w:rPr>
              <w:t>3.4</w:t>
            </w:r>
          </w:p>
        </w:tc>
        <w:tc>
          <w:tcPr>
            <w:tcW w:w="495" w:type="pct"/>
            <w:shd w:val="clear" w:color="auto" w:fill="auto"/>
            <w:vAlign w:val="bottom"/>
          </w:tcPr>
          <w:p w:rsidR="00C94448" w:rsidRPr="009F39FB" w:rsidRDefault="00C94448" w:rsidP="008B63A3">
            <w:pPr>
              <w:pStyle w:val="TableBodyText"/>
              <w:rPr>
                <w:sz w:val="18"/>
                <w:szCs w:val="18"/>
              </w:rPr>
            </w:pPr>
            <w:r w:rsidRPr="009F39FB">
              <w:rPr>
                <w:sz w:val="18"/>
                <w:szCs w:val="18"/>
              </w:rPr>
              <w:t>7.0</w:t>
            </w:r>
          </w:p>
        </w:tc>
        <w:tc>
          <w:tcPr>
            <w:tcW w:w="488" w:type="pct"/>
            <w:shd w:val="clear" w:color="auto" w:fill="auto"/>
            <w:vAlign w:val="bottom"/>
          </w:tcPr>
          <w:p w:rsidR="00C94448" w:rsidRPr="009F39FB" w:rsidRDefault="00C94448" w:rsidP="008B63A3">
            <w:pPr>
              <w:pStyle w:val="TableBodyText"/>
              <w:rPr>
                <w:sz w:val="18"/>
                <w:szCs w:val="18"/>
              </w:rPr>
            </w:pPr>
            <w:r w:rsidRPr="009F39FB">
              <w:rPr>
                <w:sz w:val="18"/>
                <w:szCs w:val="18"/>
              </w:rPr>
              <w:t>6.0</w:t>
            </w:r>
          </w:p>
        </w:tc>
      </w:tr>
      <w:tr w:rsidR="00C94448" w:rsidTr="008B63A3">
        <w:trPr>
          <w:trHeight w:val="227"/>
        </w:trPr>
        <w:tc>
          <w:tcPr>
            <w:tcW w:w="1946" w:type="pct"/>
            <w:vAlign w:val="bottom"/>
          </w:tcPr>
          <w:p w:rsidR="00C94448" w:rsidRPr="007758AB" w:rsidRDefault="00C94448" w:rsidP="008B63A3">
            <w:pPr>
              <w:pStyle w:val="TableBodyText"/>
              <w:jc w:val="left"/>
              <w:rPr>
                <w:sz w:val="18"/>
                <w:szCs w:val="18"/>
              </w:rPr>
            </w:pPr>
            <w:r>
              <w:rPr>
                <w:sz w:val="18"/>
                <w:szCs w:val="18"/>
              </w:rPr>
              <w:t>Aquaculture and fishing</w:t>
            </w:r>
          </w:p>
        </w:tc>
        <w:tc>
          <w:tcPr>
            <w:tcW w:w="586" w:type="pct"/>
            <w:vAlign w:val="bottom"/>
          </w:tcPr>
          <w:p w:rsidR="00C94448" w:rsidRPr="009F39FB" w:rsidRDefault="00C94448" w:rsidP="008B63A3">
            <w:pPr>
              <w:pStyle w:val="TableBodyText"/>
              <w:rPr>
                <w:sz w:val="18"/>
                <w:szCs w:val="18"/>
              </w:rPr>
            </w:pPr>
            <w:r w:rsidRPr="009F39FB">
              <w:rPr>
                <w:sz w:val="18"/>
                <w:szCs w:val="18"/>
              </w:rPr>
              <w:t>6.2</w:t>
            </w:r>
          </w:p>
        </w:tc>
        <w:tc>
          <w:tcPr>
            <w:tcW w:w="495" w:type="pct"/>
            <w:vAlign w:val="bottom"/>
          </w:tcPr>
          <w:p w:rsidR="00C94448" w:rsidRPr="009F39FB" w:rsidRDefault="00C94448" w:rsidP="008B63A3">
            <w:pPr>
              <w:pStyle w:val="TableBodyText"/>
              <w:rPr>
                <w:sz w:val="18"/>
                <w:szCs w:val="18"/>
              </w:rPr>
            </w:pPr>
            <w:r w:rsidRPr="009F39FB">
              <w:rPr>
                <w:sz w:val="18"/>
                <w:szCs w:val="18"/>
              </w:rPr>
              <w:t>5.9</w:t>
            </w:r>
          </w:p>
        </w:tc>
        <w:tc>
          <w:tcPr>
            <w:tcW w:w="495" w:type="pct"/>
            <w:vAlign w:val="bottom"/>
          </w:tcPr>
          <w:p w:rsidR="00C94448" w:rsidRPr="009F39FB" w:rsidRDefault="00C94448" w:rsidP="008B63A3">
            <w:pPr>
              <w:pStyle w:val="TableBodyText"/>
              <w:rPr>
                <w:sz w:val="18"/>
                <w:szCs w:val="18"/>
              </w:rPr>
            </w:pPr>
            <w:r w:rsidRPr="009F39FB">
              <w:rPr>
                <w:sz w:val="18"/>
                <w:szCs w:val="18"/>
              </w:rPr>
              <w:t>5.4</w:t>
            </w:r>
          </w:p>
        </w:tc>
        <w:tc>
          <w:tcPr>
            <w:tcW w:w="495" w:type="pct"/>
            <w:shd w:val="clear" w:color="auto" w:fill="auto"/>
            <w:vAlign w:val="bottom"/>
          </w:tcPr>
          <w:p w:rsidR="00C94448" w:rsidRPr="009F39FB" w:rsidRDefault="00C94448" w:rsidP="008B63A3">
            <w:pPr>
              <w:pStyle w:val="TableBodyText"/>
              <w:rPr>
                <w:sz w:val="18"/>
                <w:szCs w:val="18"/>
              </w:rPr>
            </w:pPr>
            <w:r w:rsidRPr="009F39FB">
              <w:rPr>
                <w:sz w:val="18"/>
                <w:szCs w:val="18"/>
              </w:rPr>
              <w:t>5.1</w:t>
            </w:r>
          </w:p>
        </w:tc>
        <w:tc>
          <w:tcPr>
            <w:tcW w:w="495" w:type="pct"/>
            <w:shd w:val="clear" w:color="auto" w:fill="auto"/>
            <w:vAlign w:val="bottom"/>
          </w:tcPr>
          <w:p w:rsidR="00C94448" w:rsidRPr="009F39FB" w:rsidRDefault="00C94448" w:rsidP="008B63A3">
            <w:pPr>
              <w:pStyle w:val="TableBodyText"/>
              <w:rPr>
                <w:sz w:val="18"/>
                <w:szCs w:val="18"/>
              </w:rPr>
            </w:pPr>
            <w:r w:rsidRPr="009F39FB">
              <w:rPr>
                <w:sz w:val="18"/>
                <w:szCs w:val="18"/>
              </w:rPr>
              <w:t>10.6</w:t>
            </w:r>
          </w:p>
        </w:tc>
        <w:tc>
          <w:tcPr>
            <w:tcW w:w="488" w:type="pct"/>
            <w:shd w:val="clear" w:color="auto" w:fill="auto"/>
            <w:vAlign w:val="bottom"/>
          </w:tcPr>
          <w:p w:rsidR="00C94448" w:rsidRPr="009F39FB" w:rsidRDefault="00C94448" w:rsidP="008B63A3">
            <w:pPr>
              <w:pStyle w:val="TableBodyText"/>
              <w:rPr>
                <w:sz w:val="18"/>
                <w:szCs w:val="18"/>
              </w:rPr>
            </w:pPr>
            <w:r w:rsidRPr="009F39FB">
              <w:rPr>
                <w:sz w:val="18"/>
                <w:szCs w:val="18"/>
              </w:rPr>
              <w:t>9.0</w:t>
            </w:r>
          </w:p>
        </w:tc>
      </w:tr>
      <w:tr w:rsidR="00C94448" w:rsidTr="008B63A3">
        <w:trPr>
          <w:trHeight w:val="227"/>
        </w:trPr>
        <w:tc>
          <w:tcPr>
            <w:tcW w:w="1946" w:type="pct"/>
            <w:vAlign w:val="bottom"/>
          </w:tcPr>
          <w:p w:rsidR="00C94448" w:rsidRPr="007758AB" w:rsidRDefault="00C94448" w:rsidP="008B63A3">
            <w:pPr>
              <w:pStyle w:val="TableBodyText"/>
              <w:jc w:val="left"/>
              <w:rPr>
                <w:sz w:val="18"/>
                <w:szCs w:val="18"/>
              </w:rPr>
            </w:pPr>
            <w:r w:rsidRPr="007758AB">
              <w:rPr>
                <w:sz w:val="18"/>
                <w:szCs w:val="18"/>
              </w:rPr>
              <w:t>Forestry and logging</w:t>
            </w:r>
          </w:p>
        </w:tc>
        <w:tc>
          <w:tcPr>
            <w:tcW w:w="586" w:type="pct"/>
            <w:vAlign w:val="bottom"/>
          </w:tcPr>
          <w:p w:rsidR="00C94448" w:rsidRPr="009F39FB" w:rsidRDefault="00C94448" w:rsidP="008B63A3">
            <w:pPr>
              <w:pStyle w:val="TableBodyText"/>
              <w:rPr>
                <w:sz w:val="18"/>
                <w:szCs w:val="18"/>
              </w:rPr>
            </w:pPr>
            <w:r w:rsidRPr="009F39FB">
              <w:rPr>
                <w:sz w:val="18"/>
                <w:szCs w:val="18"/>
              </w:rPr>
              <w:t>1.9</w:t>
            </w:r>
          </w:p>
        </w:tc>
        <w:tc>
          <w:tcPr>
            <w:tcW w:w="495" w:type="pct"/>
            <w:vAlign w:val="bottom"/>
          </w:tcPr>
          <w:p w:rsidR="00C94448" w:rsidRPr="009F39FB" w:rsidRDefault="00C94448" w:rsidP="008B63A3">
            <w:pPr>
              <w:pStyle w:val="TableBodyText"/>
              <w:rPr>
                <w:sz w:val="18"/>
                <w:szCs w:val="18"/>
              </w:rPr>
            </w:pPr>
            <w:r w:rsidRPr="009F39FB">
              <w:rPr>
                <w:sz w:val="18"/>
                <w:szCs w:val="18"/>
              </w:rPr>
              <w:t>3.4</w:t>
            </w:r>
          </w:p>
        </w:tc>
        <w:tc>
          <w:tcPr>
            <w:tcW w:w="495" w:type="pct"/>
            <w:vAlign w:val="bottom"/>
          </w:tcPr>
          <w:p w:rsidR="00C94448" w:rsidRPr="009F39FB" w:rsidRDefault="00C94448" w:rsidP="008B63A3">
            <w:pPr>
              <w:pStyle w:val="TableBodyText"/>
              <w:rPr>
                <w:sz w:val="18"/>
                <w:szCs w:val="18"/>
              </w:rPr>
            </w:pPr>
            <w:r w:rsidRPr="009F39FB">
              <w:rPr>
                <w:sz w:val="18"/>
                <w:szCs w:val="18"/>
              </w:rPr>
              <w:t>3.1</w:t>
            </w:r>
          </w:p>
        </w:tc>
        <w:tc>
          <w:tcPr>
            <w:tcW w:w="495" w:type="pct"/>
            <w:shd w:val="clear" w:color="auto" w:fill="auto"/>
            <w:vAlign w:val="bottom"/>
          </w:tcPr>
          <w:p w:rsidR="00C94448" w:rsidRPr="009F39FB" w:rsidRDefault="00C94448" w:rsidP="008B63A3">
            <w:pPr>
              <w:pStyle w:val="TableBodyText"/>
              <w:rPr>
                <w:sz w:val="18"/>
                <w:szCs w:val="18"/>
              </w:rPr>
            </w:pPr>
            <w:r w:rsidRPr="009F39FB">
              <w:rPr>
                <w:sz w:val="18"/>
                <w:szCs w:val="18"/>
              </w:rPr>
              <w:t>3.6</w:t>
            </w:r>
          </w:p>
        </w:tc>
        <w:tc>
          <w:tcPr>
            <w:tcW w:w="495" w:type="pct"/>
            <w:shd w:val="clear" w:color="auto" w:fill="auto"/>
            <w:vAlign w:val="bottom"/>
          </w:tcPr>
          <w:p w:rsidR="00C94448" w:rsidRPr="009F39FB" w:rsidRDefault="00C94448" w:rsidP="008B63A3">
            <w:pPr>
              <w:pStyle w:val="TableBodyText"/>
              <w:rPr>
                <w:sz w:val="18"/>
                <w:szCs w:val="18"/>
              </w:rPr>
            </w:pPr>
            <w:r w:rsidRPr="009F39FB">
              <w:rPr>
                <w:sz w:val="18"/>
                <w:szCs w:val="18"/>
              </w:rPr>
              <w:t>7.5</w:t>
            </w:r>
          </w:p>
        </w:tc>
        <w:tc>
          <w:tcPr>
            <w:tcW w:w="488" w:type="pct"/>
            <w:shd w:val="clear" w:color="auto" w:fill="auto"/>
            <w:vAlign w:val="bottom"/>
          </w:tcPr>
          <w:p w:rsidR="00C94448" w:rsidRPr="009F39FB" w:rsidRDefault="00C94448" w:rsidP="008B63A3">
            <w:pPr>
              <w:pStyle w:val="TableBodyText"/>
              <w:rPr>
                <w:sz w:val="18"/>
                <w:szCs w:val="18"/>
              </w:rPr>
            </w:pPr>
            <w:r w:rsidRPr="009F39FB">
              <w:rPr>
                <w:sz w:val="18"/>
                <w:szCs w:val="18"/>
              </w:rPr>
              <w:t>6.4</w:t>
            </w:r>
          </w:p>
        </w:tc>
      </w:tr>
      <w:tr w:rsidR="00C94448" w:rsidTr="008B63A3">
        <w:trPr>
          <w:trHeight w:val="227"/>
        </w:trPr>
        <w:tc>
          <w:tcPr>
            <w:tcW w:w="1946" w:type="pct"/>
            <w:vAlign w:val="bottom"/>
          </w:tcPr>
          <w:p w:rsidR="00C94448" w:rsidRPr="007758AB" w:rsidRDefault="00C94448" w:rsidP="008B63A3">
            <w:pPr>
              <w:pStyle w:val="TableBodyText"/>
              <w:jc w:val="left"/>
              <w:rPr>
                <w:sz w:val="18"/>
                <w:szCs w:val="18"/>
              </w:rPr>
            </w:pPr>
            <w:r>
              <w:rPr>
                <w:sz w:val="18"/>
                <w:szCs w:val="18"/>
              </w:rPr>
              <w:t>Primary production support services</w:t>
            </w:r>
          </w:p>
        </w:tc>
        <w:tc>
          <w:tcPr>
            <w:tcW w:w="586" w:type="pct"/>
            <w:vAlign w:val="bottom"/>
          </w:tcPr>
          <w:p w:rsidR="00C94448" w:rsidRPr="009F39FB" w:rsidRDefault="00C94448" w:rsidP="008B63A3">
            <w:pPr>
              <w:pStyle w:val="TableBodyText"/>
              <w:rPr>
                <w:sz w:val="18"/>
                <w:szCs w:val="18"/>
              </w:rPr>
            </w:pPr>
            <w:r w:rsidRPr="009F39FB">
              <w:rPr>
                <w:sz w:val="18"/>
                <w:szCs w:val="18"/>
              </w:rPr>
              <w:t>2.6</w:t>
            </w:r>
          </w:p>
        </w:tc>
        <w:tc>
          <w:tcPr>
            <w:tcW w:w="495" w:type="pct"/>
            <w:vAlign w:val="bottom"/>
          </w:tcPr>
          <w:p w:rsidR="00C94448" w:rsidRPr="009F39FB" w:rsidRDefault="00C94448" w:rsidP="008B63A3">
            <w:pPr>
              <w:pStyle w:val="TableBodyText"/>
              <w:rPr>
                <w:sz w:val="18"/>
                <w:szCs w:val="18"/>
              </w:rPr>
            </w:pPr>
            <w:r w:rsidRPr="009F39FB">
              <w:rPr>
                <w:sz w:val="18"/>
                <w:szCs w:val="18"/>
              </w:rPr>
              <w:t>5.7</w:t>
            </w:r>
          </w:p>
        </w:tc>
        <w:tc>
          <w:tcPr>
            <w:tcW w:w="495" w:type="pct"/>
            <w:vAlign w:val="bottom"/>
          </w:tcPr>
          <w:p w:rsidR="00C94448" w:rsidRPr="009F39FB" w:rsidRDefault="00C94448" w:rsidP="008B63A3">
            <w:pPr>
              <w:pStyle w:val="TableBodyText"/>
              <w:rPr>
                <w:sz w:val="18"/>
                <w:szCs w:val="18"/>
              </w:rPr>
            </w:pPr>
            <w:r w:rsidRPr="009F39FB">
              <w:rPr>
                <w:sz w:val="18"/>
                <w:szCs w:val="18"/>
              </w:rPr>
              <w:t>5.2</w:t>
            </w:r>
          </w:p>
        </w:tc>
        <w:tc>
          <w:tcPr>
            <w:tcW w:w="495" w:type="pct"/>
            <w:shd w:val="clear" w:color="auto" w:fill="auto"/>
            <w:vAlign w:val="bottom"/>
          </w:tcPr>
          <w:p w:rsidR="00C94448" w:rsidRPr="009F39FB" w:rsidRDefault="00C94448" w:rsidP="008B63A3">
            <w:pPr>
              <w:pStyle w:val="TableBodyText"/>
              <w:rPr>
                <w:sz w:val="18"/>
                <w:szCs w:val="18"/>
              </w:rPr>
            </w:pPr>
            <w:r w:rsidRPr="009F39FB">
              <w:rPr>
                <w:sz w:val="18"/>
                <w:szCs w:val="18"/>
              </w:rPr>
              <w:t>3.6</w:t>
            </w:r>
          </w:p>
        </w:tc>
        <w:tc>
          <w:tcPr>
            <w:tcW w:w="495" w:type="pct"/>
            <w:shd w:val="clear" w:color="auto" w:fill="auto"/>
            <w:vAlign w:val="bottom"/>
          </w:tcPr>
          <w:p w:rsidR="00C94448" w:rsidRPr="009F39FB" w:rsidRDefault="00C94448" w:rsidP="008B63A3">
            <w:pPr>
              <w:pStyle w:val="TableBodyText"/>
              <w:rPr>
                <w:sz w:val="18"/>
                <w:szCs w:val="18"/>
              </w:rPr>
            </w:pPr>
            <w:r w:rsidRPr="009F39FB">
              <w:rPr>
                <w:sz w:val="18"/>
                <w:szCs w:val="18"/>
              </w:rPr>
              <w:t>7.5</w:t>
            </w:r>
          </w:p>
        </w:tc>
        <w:tc>
          <w:tcPr>
            <w:tcW w:w="488" w:type="pct"/>
            <w:shd w:val="clear" w:color="auto" w:fill="auto"/>
            <w:vAlign w:val="bottom"/>
          </w:tcPr>
          <w:p w:rsidR="00C94448" w:rsidRPr="009F39FB" w:rsidRDefault="00C94448" w:rsidP="008B63A3">
            <w:pPr>
              <w:pStyle w:val="TableBodyText"/>
              <w:rPr>
                <w:sz w:val="18"/>
                <w:szCs w:val="18"/>
              </w:rPr>
            </w:pPr>
            <w:r w:rsidRPr="009F39FB">
              <w:rPr>
                <w:sz w:val="18"/>
                <w:szCs w:val="18"/>
              </w:rPr>
              <w:t>6.4</w:t>
            </w:r>
          </w:p>
        </w:tc>
      </w:tr>
      <w:tr w:rsidR="00C94448" w:rsidTr="008B63A3">
        <w:trPr>
          <w:trHeight w:val="227"/>
        </w:trPr>
        <w:tc>
          <w:tcPr>
            <w:tcW w:w="1946" w:type="pct"/>
            <w:tcBorders>
              <w:bottom w:val="single" w:sz="4" w:space="0" w:color="auto"/>
            </w:tcBorders>
            <w:vAlign w:val="bottom"/>
          </w:tcPr>
          <w:p w:rsidR="00C94448" w:rsidRPr="007758AB" w:rsidRDefault="00C94448" w:rsidP="008B63A3">
            <w:pPr>
              <w:pStyle w:val="TableBodyText"/>
              <w:jc w:val="left"/>
              <w:rPr>
                <w:b/>
                <w:bCs/>
                <w:sz w:val="18"/>
                <w:szCs w:val="18"/>
              </w:rPr>
            </w:pPr>
            <w:r w:rsidRPr="007758AB">
              <w:rPr>
                <w:b/>
                <w:bCs/>
                <w:sz w:val="18"/>
                <w:szCs w:val="18"/>
              </w:rPr>
              <w:t>Total</w:t>
            </w:r>
          </w:p>
        </w:tc>
        <w:tc>
          <w:tcPr>
            <w:tcW w:w="586" w:type="pct"/>
            <w:tcBorders>
              <w:bottom w:val="single" w:sz="4" w:space="0" w:color="auto"/>
            </w:tcBorders>
            <w:vAlign w:val="bottom"/>
          </w:tcPr>
          <w:p w:rsidR="00C94448" w:rsidRPr="009F39FB" w:rsidRDefault="00C94448" w:rsidP="008B63A3">
            <w:pPr>
              <w:pStyle w:val="TableBodyText"/>
              <w:rPr>
                <w:b/>
                <w:sz w:val="18"/>
                <w:szCs w:val="18"/>
              </w:rPr>
            </w:pPr>
            <w:r w:rsidRPr="009F39FB">
              <w:rPr>
                <w:b/>
                <w:sz w:val="18"/>
                <w:szCs w:val="18"/>
              </w:rPr>
              <w:t>70.0</w:t>
            </w:r>
          </w:p>
        </w:tc>
        <w:tc>
          <w:tcPr>
            <w:tcW w:w="495" w:type="pct"/>
            <w:tcBorders>
              <w:bottom w:val="single" w:sz="4" w:space="0" w:color="auto"/>
            </w:tcBorders>
            <w:vAlign w:val="bottom"/>
          </w:tcPr>
          <w:p w:rsidR="00C94448" w:rsidRPr="009F39FB" w:rsidRDefault="00C94448" w:rsidP="008B63A3">
            <w:pPr>
              <w:pStyle w:val="TableBodyText"/>
              <w:rPr>
                <w:b/>
                <w:sz w:val="18"/>
                <w:szCs w:val="18"/>
              </w:rPr>
            </w:pPr>
            <w:r w:rsidRPr="009F39FB">
              <w:rPr>
                <w:b/>
                <w:sz w:val="18"/>
                <w:szCs w:val="18"/>
              </w:rPr>
              <w:t>110.0</w:t>
            </w:r>
          </w:p>
        </w:tc>
        <w:tc>
          <w:tcPr>
            <w:tcW w:w="495" w:type="pct"/>
            <w:tcBorders>
              <w:bottom w:val="single" w:sz="4" w:space="0" w:color="auto"/>
            </w:tcBorders>
            <w:vAlign w:val="bottom"/>
          </w:tcPr>
          <w:p w:rsidR="00C94448" w:rsidRPr="009F39FB" w:rsidRDefault="00C94448" w:rsidP="008B63A3">
            <w:pPr>
              <w:pStyle w:val="TableBodyText"/>
              <w:rPr>
                <w:b/>
                <w:sz w:val="18"/>
                <w:szCs w:val="18"/>
              </w:rPr>
            </w:pPr>
            <w:r w:rsidRPr="009F39FB">
              <w:rPr>
                <w:b/>
                <w:sz w:val="18"/>
                <w:szCs w:val="18"/>
              </w:rPr>
              <w:t>100.0</w:t>
            </w:r>
          </w:p>
        </w:tc>
        <w:tc>
          <w:tcPr>
            <w:tcW w:w="495" w:type="pct"/>
            <w:tcBorders>
              <w:bottom w:val="single" w:sz="4" w:space="0" w:color="auto"/>
            </w:tcBorders>
            <w:shd w:val="clear" w:color="auto" w:fill="auto"/>
            <w:vAlign w:val="bottom"/>
          </w:tcPr>
          <w:p w:rsidR="00C94448" w:rsidRPr="009F39FB" w:rsidRDefault="00C94448" w:rsidP="008B63A3">
            <w:pPr>
              <w:pStyle w:val="TableBodyText"/>
              <w:rPr>
                <w:b/>
                <w:sz w:val="18"/>
                <w:szCs w:val="18"/>
              </w:rPr>
            </w:pPr>
            <w:r w:rsidRPr="009F39FB">
              <w:rPr>
                <w:b/>
                <w:sz w:val="18"/>
                <w:szCs w:val="18"/>
              </w:rPr>
              <w:t>80.0</w:t>
            </w:r>
          </w:p>
        </w:tc>
        <w:tc>
          <w:tcPr>
            <w:tcW w:w="495" w:type="pct"/>
            <w:tcBorders>
              <w:bottom w:val="single" w:sz="4" w:space="0" w:color="auto"/>
            </w:tcBorders>
            <w:shd w:val="clear" w:color="auto" w:fill="auto"/>
            <w:vAlign w:val="bottom"/>
          </w:tcPr>
          <w:p w:rsidR="00C94448" w:rsidRPr="009F39FB" w:rsidRDefault="00C94448" w:rsidP="008B63A3">
            <w:pPr>
              <w:pStyle w:val="TableBodyText"/>
              <w:rPr>
                <w:b/>
                <w:sz w:val="18"/>
                <w:szCs w:val="18"/>
              </w:rPr>
            </w:pPr>
            <w:r w:rsidRPr="009F39FB">
              <w:rPr>
                <w:b/>
                <w:sz w:val="18"/>
                <w:szCs w:val="18"/>
              </w:rPr>
              <w:t>165.0</w:t>
            </w:r>
          </w:p>
        </w:tc>
        <w:tc>
          <w:tcPr>
            <w:tcW w:w="488" w:type="pct"/>
            <w:tcBorders>
              <w:bottom w:val="single" w:sz="4" w:space="0" w:color="auto"/>
            </w:tcBorders>
            <w:shd w:val="clear" w:color="auto" w:fill="auto"/>
            <w:vAlign w:val="bottom"/>
          </w:tcPr>
          <w:p w:rsidR="00C94448" w:rsidRPr="009F39FB" w:rsidRDefault="00C94448" w:rsidP="008B63A3">
            <w:pPr>
              <w:pStyle w:val="TableBodyText"/>
              <w:rPr>
                <w:b/>
                <w:sz w:val="18"/>
                <w:szCs w:val="18"/>
              </w:rPr>
            </w:pPr>
            <w:r w:rsidRPr="009F39FB">
              <w:rPr>
                <w:b/>
                <w:sz w:val="18"/>
                <w:szCs w:val="18"/>
              </w:rPr>
              <w:t>140.0</w:t>
            </w:r>
          </w:p>
        </w:tc>
      </w:tr>
    </w:tbl>
    <w:p w:rsidR="00C94448" w:rsidRPr="008E77FE" w:rsidRDefault="00C94448" w:rsidP="00C94448">
      <w:pPr>
        <w:pStyle w:val="Source"/>
      </w:pPr>
      <w:r>
        <w:rPr>
          <w:i/>
        </w:rPr>
        <w:t>Sources</w:t>
      </w:r>
      <w:r>
        <w:t xml:space="preserve">: </w:t>
      </w:r>
      <w:r w:rsidRPr="00AF6D67">
        <w:t xml:space="preserve">Commission estimates based on </w:t>
      </w:r>
      <w:r>
        <w:t>Tax Expenditure Statement 2012, Australian Government 2013</w:t>
      </w:r>
      <w:r w:rsidRPr="00AF6D67">
        <w:t>, p.</w:t>
      </w:r>
      <w:r>
        <w:t> 87</w:t>
      </w:r>
      <w:r w:rsidRPr="00AF6D67">
        <w:t xml:space="preserve">, item </w:t>
      </w:r>
      <w:r>
        <w:t>B44</w:t>
      </w:r>
      <w:r w:rsidRPr="00AF6D67">
        <w:t>; Industry classification derived from detailed ATO data by ANZSIC industry.</w:t>
      </w:r>
    </w:p>
    <w:p w:rsidR="00AE1D5C" w:rsidRDefault="00FA09C3" w:rsidP="00AE1D5C">
      <w:pPr>
        <w:pStyle w:val="Heading2"/>
      </w:pPr>
      <w:r>
        <w:t>A.</w:t>
      </w:r>
      <w:r>
        <w:rPr>
          <w:noProof/>
        </w:rPr>
        <w:t>20</w:t>
      </w:r>
      <w:r w:rsidR="00AE1D5C">
        <w:tab/>
        <w:t>Tourism Australia</w:t>
      </w:r>
    </w:p>
    <w:p w:rsidR="00AE1D5C" w:rsidRDefault="00AE1D5C" w:rsidP="00AE1D5C">
      <w:pPr>
        <w:pStyle w:val="BodyText"/>
      </w:pPr>
      <w:r>
        <w:t>Tourism Australia was established in July 2004 following the amalgamation of the Australian Tourism Commission (ATC), the Bureau of Tourism Research, the Tourism Forecasting Council and See Australia Limited. Tourism Australia is responsible for both international and domestic tourism marketing as well as the delivery of research, statistics and forecasts for the sector.</w:t>
      </w:r>
    </w:p>
    <w:p w:rsidR="00AE1D5C" w:rsidRDefault="00AE1D5C" w:rsidP="00AE1D5C">
      <w:pPr>
        <w:pStyle w:val="BodyText"/>
      </w:pPr>
      <w:r>
        <w:t xml:space="preserve">Funding of Tourism Australia is likely to benefit a range of service industries, depending on tourist spending patterns </w:t>
      </w:r>
      <w:r w:rsidRPr="000138D9">
        <w:t>(</w:t>
      </w:r>
      <w:r w:rsidRPr="002D4BCB">
        <w:t>PC 2005</w:t>
      </w:r>
      <w:r w:rsidRPr="000138D9">
        <w:t>)</w:t>
      </w:r>
      <w:r>
        <w:t xml:space="preserve">. In the current assistance estimates series, funding of Tourism Australia has been allocated to the </w:t>
      </w:r>
      <w:r w:rsidRPr="004E7B02">
        <w:rPr>
          <w:i/>
        </w:rPr>
        <w:t xml:space="preserve">Unallocated </w:t>
      </w:r>
      <w:r>
        <w:rPr>
          <w:i/>
        </w:rPr>
        <w:lastRenderedPageBreak/>
        <w:t>Services</w:t>
      </w:r>
      <w:r>
        <w:t xml:space="preserve"> grouping in the Commission’s ANZSIC-based industry classification (table A.20).</w:t>
      </w:r>
      <w:r w:rsidR="00411B63">
        <w:t xml:space="preserve"> </w:t>
      </w:r>
    </w:p>
    <w:p w:rsidR="00AE1D5C" w:rsidRDefault="00AE1D5C" w:rsidP="00AE1D5C">
      <w:pPr>
        <w:pStyle w:val="TableTitle"/>
      </w:pPr>
      <w:r>
        <w:rPr>
          <w:b w:val="0"/>
        </w:rPr>
        <w:t xml:space="preserve">Table </w:t>
      </w:r>
      <w:r w:rsidR="00FA09C3">
        <w:rPr>
          <w:b w:val="0"/>
        </w:rPr>
        <w:t>A.</w:t>
      </w:r>
      <w:r w:rsidR="00FA09C3">
        <w:rPr>
          <w:b w:val="0"/>
          <w:noProof/>
        </w:rPr>
        <w:t>20</w:t>
      </w:r>
      <w:r>
        <w:tab/>
        <w:t xml:space="preserve">Allocation </w:t>
      </w:r>
      <w:r w:rsidR="009C04CA">
        <w:t xml:space="preserve">of </w:t>
      </w:r>
      <w:r>
        <w:t>Tourism Australia appropriation funding</w:t>
      </w:r>
      <w:r w:rsidR="001A5D30" w:rsidRPr="001A5D30">
        <w:t xml:space="preserve"> to industry</w:t>
      </w:r>
      <w:r>
        <w:t>, 2006</w:t>
      </w:r>
      <w:r>
        <w:noBreakHyphen/>
        <w:t>07 to 2011</w:t>
      </w:r>
      <w:r>
        <w:noBreakHyphen/>
        <w:t>12</w:t>
      </w:r>
    </w:p>
    <w:p w:rsidR="00AE1D5C" w:rsidRDefault="00AE1D5C" w:rsidP="00AE1D5C">
      <w:pPr>
        <w:pStyle w:val="Subtitle"/>
      </w:pPr>
      <w:r>
        <w:t>$ million (nominal)</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AE1D5C" w:rsidRPr="00AF699A" w:rsidTr="008B63A3">
        <w:tc>
          <w:tcPr>
            <w:tcW w:w="1958" w:type="pct"/>
            <w:tcBorders>
              <w:top w:val="single" w:sz="6" w:space="0" w:color="auto"/>
              <w:bottom w:val="single" w:sz="6" w:space="0" w:color="auto"/>
            </w:tcBorders>
          </w:tcPr>
          <w:p w:rsidR="00AE1D5C" w:rsidRPr="00AF699A" w:rsidRDefault="00AE1D5C" w:rsidP="008B63A3">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AE1D5C" w:rsidRPr="00AF699A" w:rsidRDefault="00AE1D5C" w:rsidP="008B63A3">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AE1D5C" w:rsidRPr="00AF699A" w:rsidRDefault="00AE1D5C" w:rsidP="008B63A3">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AE1D5C" w:rsidRPr="00AF699A" w:rsidRDefault="00AE1D5C" w:rsidP="008B63A3">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AE1D5C" w:rsidRPr="00AF699A" w:rsidRDefault="00AE1D5C" w:rsidP="008B63A3">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AE1D5C" w:rsidRPr="00AF699A" w:rsidRDefault="00AE1D5C" w:rsidP="008B63A3">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AE1D5C" w:rsidRPr="00AF699A" w:rsidRDefault="00AE1D5C" w:rsidP="008B63A3">
            <w:pPr>
              <w:pStyle w:val="TableColumnHeading"/>
              <w:ind w:right="28"/>
              <w:rPr>
                <w:rFonts w:cs="Arial"/>
                <w:sz w:val="18"/>
                <w:szCs w:val="18"/>
              </w:rPr>
            </w:pPr>
            <w:r w:rsidRPr="00AF699A">
              <w:rPr>
                <w:rFonts w:cs="Arial"/>
                <w:sz w:val="18"/>
                <w:szCs w:val="18"/>
              </w:rPr>
              <w:t>2011-12</w:t>
            </w:r>
          </w:p>
        </w:tc>
      </w:tr>
      <w:tr w:rsidR="00AE1D5C" w:rsidRPr="006C5A80" w:rsidTr="008B63A3">
        <w:tc>
          <w:tcPr>
            <w:tcW w:w="1958" w:type="pct"/>
            <w:tcBorders>
              <w:top w:val="single" w:sz="6" w:space="0" w:color="auto"/>
              <w:bottom w:val="single" w:sz="4" w:space="0" w:color="auto"/>
            </w:tcBorders>
            <w:vAlign w:val="bottom"/>
          </w:tcPr>
          <w:p w:rsidR="00AE1D5C" w:rsidRPr="00A676EB" w:rsidRDefault="00AE1D5C" w:rsidP="008B63A3">
            <w:pPr>
              <w:pStyle w:val="TableBodyText"/>
              <w:jc w:val="left"/>
            </w:pPr>
            <w:r>
              <w:t>Unallocated services</w:t>
            </w:r>
            <w:r w:rsidRPr="00C00D98">
              <w:rPr>
                <w:rStyle w:val="NoteLabel"/>
                <w:szCs w:val="18"/>
              </w:rPr>
              <w:t>a</w:t>
            </w:r>
          </w:p>
        </w:tc>
        <w:tc>
          <w:tcPr>
            <w:tcW w:w="507" w:type="pct"/>
            <w:tcBorders>
              <w:top w:val="single" w:sz="6" w:space="0" w:color="auto"/>
              <w:bottom w:val="single" w:sz="4" w:space="0" w:color="auto"/>
            </w:tcBorders>
            <w:vAlign w:val="bottom"/>
          </w:tcPr>
          <w:p w:rsidR="00AE1D5C" w:rsidRPr="00A676EB" w:rsidRDefault="00AE1D5C" w:rsidP="008B63A3">
            <w:pPr>
              <w:pStyle w:val="TableBodyText"/>
            </w:pPr>
            <w:r>
              <w:t>133.8</w:t>
            </w:r>
          </w:p>
        </w:tc>
        <w:tc>
          <w:tcPr>
            <w:tcW w:w="507" w:type="pct"/>
            <w:tcBorders>
              <w:top w:val="single" w:sz="6" w:space="0" w:color="auto"/>
              <w:bottom w:val="single" w:sz="4" w:space="0" w:color="auto"/>
            </w:tcBorders>
            <w:vAlign w:val="bottom"/>
          </w:tcPr>
          <w:p w:rsidR="00AE1D5C" w:rsidRPr="00A676EB" w:rsidRDefault="00AE1D5C" w:rsidP="008B63A3">
            <w:pPr>
              <w:pStyle w:val="TableBodyText"/>
            </w:pPr>
            <w:r>
              <w:t>135.8</w:t>
            </w:r>
          </w:p>
        </w:tc>
        <w:tc>
          <w:tcPr>
            <w:tcW w:w="507" w:type="pct"/>
            <w:tcBorders>
              <w:top w:val="single" w:sz="6" w:space="0" w:color="auto"/>
              <w:bottom w:val="single" w:sz="4" w:space="0" w:color="auto"/>
            </w:tcBorders>
            <w:vAlign w:val="bottom"/>
          </w:tcPr>
          <w:p w:rsidR="00AE1D5C" w:rsidRPr="00A676EB" w:rsidRDefault="00AE1D5C" w:rsidP="008B63A3">
            <w:pPr>
              <w:pStyle w:val="TableBodyText"/>
            </w:pPr>
            <w:r>
              <w:t>137.6</w:t>
            </w:r>
          </w:p>
        </w:tc>
        <w:tc>
          <w:tcPr>
            <w:tcW w:w="507" w:type="pct"/>
            <w:tcBorders>
              <w:top w:val="single" w:sz="6" w:space="0" w:color="auto"/>
              <w:bottom w:val="single" w:sz="4" w:space="0" w:color="auto"/>
            </w:tcBorders>
            <w:vAlign w:val="bottom"/>
          </w:tcPr>
          <w:p w:rsidR="00AE1D5C" w:rsidRPr="00A676EB" w:rsidRDefault="00AE1D5C" w:rsidP="008B63A3">
            <w:pPr>
              <w:pStyle w:val="TableBodyText"/>
            </w:pPr>
            <w:r>
              <w:t>141.6</w:t>
            </w:r>
          </w:p>
        </w:tc>
        <w:tc>
          <w:tcPr>
            <w:tcW w:w="507" w:type="pct"/>
            <w:tcBorders>
              <w:top w:val="single" w:sz="6" w:space="0" w:color="auto"/>
              <w:bottom w:val="single" w:sz="4" w:space="0" w:color="auto"/>
            </w:tcBorders>
            <w:vAlign w:val="bottom"/>
          </w:tcPr>
          <w:p w:rsidR="00AE1D5C" w:rsidRPr="00A676EB" w:rsidRDefault="00AE1D5C" w:rsidP="008B63A3">
            <w:pPr>
              <w:pStyle w:val="TableBodyText"/>
            </w:pPr>
            <w:r>
              <w:t>136.1</w:t>
            </w:r>
          </w:p>
        </w:tc>
        <w:tc>
          <w:tcPr>
            <w:tcW w:w="507" w:type="pct"/>
            <w:tcBorders>
              <w:top w:val="single" w:sz="6" w:space="0" w:color="auto"/>
              <w:bottom w:val="single" w:sz="4" w:space="0" w:color="auto"/>
            </w:tcBorders>
            <w:vAlign w:val="bottom"/>
          </w:tcPr>
          <w:p w:rsidR="00AE1D5C" w:rsidRPr="00A676EB" w:rsidRDefault="00AE1D5C" w:rsidP="008B63A3">
            <w:pPr>
              <w:pStyle w:val="TableBodyText"/>
            </w:pPr>
            <w:r>
              <w:t>136.8</w:t>
            </w:r>
          </w:p>
        </w:tc>
      </w:tr>
    </w:tbl>
    <w:p w:rsidR="00AE1D5C" w:rsidRPr="00A2379F" w:rsidRDefault="00AE1D5C" w:rsidP="00AE1D5C">
      <w:pPr>
        <w:pStyle w:val="Source"/>
        <w:spacing w:after="0"/>
      </w:pPr>
      <w:r w:rsidRPr="008E77FE">
        <w:rPr>
          <w:rStyle w:val="NoteLabel"/>
        </w:rPr>
        <w:t>a</w:t>
      </w:r>
      <w:r w:rsidRPr="00875879">
        <w:t xml:space="preserve"> Unallocated includes general programs where details of beneficiaries are unknown.</w:t>
      </w:r>
    </w:p>
    <w:p w:rsidR="00AE1D5C" w:rsidRPr="008E77FE" w:rsidRDefault="00AE1D5C" w:rsidP="00AE1D5C">
      <w:pPr>
        <w:pStyle w:val="Source"/>
      </w:pPr>
      <w:r>
        <w:rPr>
          <w:i/>
        </w:rPr>
        <w:t>Source</w:t>
      </w:r>
      <w:r>
        <w:t>: Commission estimates based on Department of Resources, Energy and Tourism Annual Report 2011</w:t>
      </w:r>
      <w:r>
        <w:noBreakHyphen/>
        <w:t>12 (and earlier years).</w:t>
      </w:r>
    </w:p>
    <w:p w:rsidR="007516AC" w:rsidRDefault="00FA09C3" w:rsidP="007516AC">
      <w:pPr>
        <w:pStyle w:val="Heading2"/>
      </w:pPr>
      <w:r>
        <w:t>A.</w:t>
      </w:r>
      <w:r>
        <w:rPr>
          <w:noProof/>
        </w:rPr>
        <w:t>21</w:t>
      </w:r>
      <w:r w:rsidR="007516AC">
        <w:tab/>
        <w:t>Cooperative Research Centres</w:t>
      </w:r>
    </w:p>
    <w:p w:rsidR="007516AC" w:rsidRPr="009C1EC7" w:rsidRDefault="007516AC" w:rsidP="007516AC">
      <w:pPr>
        <w:pStyle w:val="BodyText"/>
      </w:pPr>
      <w:r w:rsidRPr="00414EC7">
        <w:t xml:space="preserve">The Cooperative </w:t>
      </w:r>
      <w:r w:rsidR="00B02634">
        <w:t>Research Centres (CRC) program</w:t>
      </w:r>
      <w:r w:rsidRPr="00414EC7">
        <w:t xml:space="preserve"> was established by the Australian Government in 1991 </w:t>
      </w:r>
      <w:r w:rsidR="009D2632">
        <w:t>with the intention of improving</w:t>
      </w:r>
      <w:r w:rsidRPr="00414EC7">
        <w:t xml:space="preserve"> the effectiveness of Australia’s R&amp;D effort. Among other things</w:t>
      </w:r>
      <w:r>
        <w:t>,</w:t>
      </w:r>
      <w:r w:rsidRPr="00414EC7">
        <w:t xml:space="preserve"> </w:t>
      </w:r>
      <w:r>
        <w:t xml:space="preserve">the program aims to link researchers with industry to focus R&amp;D efforts towards utilisation and commercialisation </w:t>
      </w:r>
      <w:r w:rsidRPr="000138D9">
        <w:t>(</w:t>
      </w:r>
      <w:r w:rsidRPr="002D4BCB">
        <w:t>DIISR 2011</w:t>
      </w:r>
      <w:r w:rsidRPr="000138D9">
        <w:t>).</w:t>
      </w:r>
    </w:p>
    <w:p w:rsidR="007516AC" w:rsidRDefault="00B02634" w:rsidP="007516AC">
      <w:pPr>
        <w:pStyle w:val="BodyText"/>
      </w:pPr>
      <w:r>
        <w:t>The CRC program</w:t>
      </w:r>
      <w:r w:rsidR="007516AC">
        <w:t xml:space="preserve"> is administered by the Department of Industry. Each year, the Department provides the Commission with funding information for each individual CRC.</w:t>
      </w:r>
    </w:p>
    <w:p w:rsidR="007516AC" w:rsidRDefault="007516AC" w:rsidP="007516AC">
      <w:pPr>
        <w:pStyle w:val="BodyText"/>
      </w:pPr>
      <w:r>
        <w:t xml:space="preserve">In many cases, because of the particular focus of </w:t>
      </w:r>
      <w:r w:rsidR="009D2632">
        <w:t xml:space="preserve">a </w:t>
      </w:r>
      <w:r>
        <w:t xml:space="preserve">CRC, an initial benefiting industry is readily identifiable. </w:t>
      </w:r>
      <w:r w:rsidRPr="00806774">
        <w:t>For example, the Metal Cast CRC has been allocated to the metal products manufacturing industry grouping</w:t>
      </w:r>
      <w:r>
        <w:t xml:space="preserve">. In some cases, however, as with the CSIRO, the program’s research effort does not appear to benefit a particular industry or industries selectively. </w:t>
      </w:r>
      <w:r w:rsidRPr="00806774">
        <w:t>For example, the Antarctic Climate and Ecosystems CRC has not been classified as budgetary assistance to industry</w:t>
      </w:r>
      <w:r>
        <w:t>.</w:t>
      </w:r>
    </w:p>
    <w:p w:rsidR="007516AC" w:rsidRDefault="007516AC" w:rsidP="007516AC">
      <w:pPr>
        <w:pStyle w:val="BodyText"/>
      </w:pPr>
      <w:r>
        <w:t>The allocation of total CRC funding to the Commission’s ANZSIC-based industry groupings is shown in table A.21.</w:t>
      </w:r>
    </w:p>
    <w:p w:rsidR="007516AC" w:rsidRDefault="007516AC" w:rsidP="007516AC">
      <w:pPr>
        <w:pStyle w:val="TableTitle"/>
      </w:pPr>
      <w:r>
        <w:rPr>
          <w:b w:val="0"/>
        </w:rPr>
        <w:lastRenderedPageBreak/>
        <w:t xml:space="preserve">Table </w:t>
      </w:r>
      <w:r w:rsidR="00FA09C3">
        <w:rPr>
          <w:b w:val="0"/>
        </w:rPr>
        <w:t>A.</w:t>
      </w:r>
      <w:r w:rsidR="00FA09C3">
        <w:rPr>
          <w:b w:val="0"/>
          <w:noProof/>
        </w:rPr>
        <w:t>21</w:t>
      </w:r>
      <w:r>
        <w:tab/>
        <w:t xml:space="preserve">Allocation of Cooperative Research Centres </w:t>
      </w:r>
      <w:r w:rsidR="001A5D30" w:rsidRPr="001A5D30">
        <w:t>to industry</w:t>
      </w:r>
      <w:r>
        <w:t>, 2006</w:t>
      </w:r>
      <w:r>
        <w:noBreakHyphen/>
        <w:t>07 to 2011</w:t>
      </w:r>
      <w:r>
        <w:noBreakHyphen/>
        <w:t>12</w:t>
      </w:r>
    </w:p>
    <w:p w:rsidR="007516AC" w:rsidRDefault="007516AC" w:rsidP="007516AC">
      <w:pPr>
        <w:pStyle w:val="Subtitle"/>
      </w:pPr>
      <w:r>
        <w:t>$ million (nominal)</w:t>
      </w:r>
    </w:p>
    <w:tbl>
      <w:tblPr>
        <w:tblW w:w="5000" w:type="pct"/>
        <w:tblCellMar>
          <w:left w:w="0" w:type="dxa"/>
          <w:right w:w="0" w:type="dxa"/>
        </w:tblCellMar>
        <w:tblLook w:val="0000" w:firstRow="0" w:lastRow="0" w:firstColumn="0" w:lastColumn="0" w:noHBand="0" w:noVBand="0"/>
      </w:tblPr>
      <w:tblGrid>
        <w:gridCol w:w="3421"/>
        <w:gridCol w:w="1030"/>
        <w:gridCol w:w="870"/>
        <w:gridCol w:w="870"/>
        <w:gridCol w:w="870"/>
        <w:gridCol w:w="870"/>
        <w:gridCol w:w="858"/>
      </w:tblGrid>
      <w:tr w:rsidR="007516AC" w:rsidRPr="00411B63" w:rsidTr="008B63A3">
        <w:trPr>
          <w:trHeight w:val="227"/>
        </w:trPr>
        <w:tc>
          <w:tcPr>
            <w:tcW w:w="1946" w:type="pct"/>
            <w:tcBorders>
              <w:top w:val="single" w:sz="6" w:space="0" w:color="auto"/>
              <w:bottom w:val="single" w:sz="6" w:space="0" w:color="auto"/>
            </w:tcBorders>
          </w:tcPr>
          <w:p w:rsidR="007516AC" w:rsidRPr="00411B63" w:rsidRDefault="007516AC" w:rsidP="008B63A3">
            <w:pPr>
              <w:pStyle w:val="TableColumnHeading"/>
              <w:jc w:val="left"/>
              <w:rPr>
                <w:sz w:val="18"/>
                <w:szCs w:val="18"/>
              </w:rPr>
            </w:pPr>
            <w:r w:rsidRPr="00411B63">
              <w:rPr>
                <w:sz w:val="18"/>
                <w:szCs w:val="18"/>
              </w:rPr>
              <w:t>Industry grouping</w:t>
            </w:r>
          </w:p>
        </w:tc>
        <w:tc>
          <w:tcPr>
            <w:tcW w:w="586" w:type="pct"/>
            <w:tcBorders>
              <w:top w:val="single" w:sz="6" w:space="0" w:color="auto"/>
              <w:bottom w:val="single" w:sz="6" w:space="0" w:color="auto"/>
            </w:tcBorders>
          </w:tcPr>
          <w:p w:rsidR="007516AC" w:rsidRPr="00411B63" w:rsidRDefault="007516AC" w:rsidP="008B63A3">
            <w:pPr>
              <w:pStyle w:val="TableColumnHeading"/>
              <w:ind w:right="28"/>
              <w:rPr>
                <w:sz w:val="18"/>
                <w:szCs w:val="18"/>
              </w:rPr>
            </w:pPr>
            <w:r w:rsidRPr="00411B63">
              <w:rPr>
                <w:sz w:val="18"/>
                <w:szCs w:val="18"/>
              </w:rPr>
              <w:t>2006-07</w:t>
            </w:r>
          </w:p>
        </w:tc>
        <w:tc>
          <w:tcPr>
            <w:tcW w:w="495" w:type="pct"/>
            <w:tcBorders>
              <w:top w:val="single" w:sz="6" w:space="0" w:color="auto"/>
              <w:bottom w:val="single" w:sz="6" w:space="0" w:color="auto"/>
            </w:tcBorders>
          </w:tcPr>
          <w:p w:rsidR="007516AC" w:rsidRPr="00411B63" w:rsidRDefault="007516AC" w:rsidP="008B63A3">
            <w:pPr>
              <w:pStyle w:val="TableColumnHeading"/>
              <w:ind w:right="28"/>
              <w:rPr>
                <w:sz w:val="18"/>
                <w:szCs w:val="18"/>
              </w:rPr>
            </w:pPr>
            <w:r w:rsidRPr="00411B63">
              <w:rPr>
                <w:sz w:val="18"/>
                <w:szCs w:val="18"/>
              </w:rPr>
              <w:t>2007-08</w:t>
            </w:r>
          </w:p>
        </w:tc>
        <w:tc>
          <w:tcPr>
            <w:tcW w:w="495" w:type="pct"/>
            <w:tcBorders>
              <w:top w:val="single" w:sz="6" w:space="0" w:color="auto"/>
              <w:bottom w:val="single" w:sz="6" w:space="0" w:color="auto"/>
            </w:tcBorders>
          </w:tcPr>
          <w:p w:rsidR="007516AC" w:rsidRPr="00411B63" w:rsidRDefault="007516AC" w:rsidP="008B63A3">
            <w:pPr>
              <w:pStyle w:val="TableColumnHeading"/>
              <w:ind w:right="28"/>
              <w:rPr>
                <w:sz w:val="18"/>
                <w:szCs w:val="18"/>
              </w:rPr>
            </w:pPr>
            <w:r w:rsidRPr="00411B63">
              <w:rPr>
                <w:sz w:val="18"/>
                <w:szCs w:val="18"/>
              </w:rPr>
              <w:t>2008-09</w:t>
            </w:r>
          </w:p>
        </w:tc>
        <w:tc>
          <w:tcPr>
            <w:tcW w:w="495" w:type="pct"/>
            <w:tcBorders>
              <w:top w:val="single" w:sz="6" w:space="0" w:color="auto"/>
              <w:bottom w:val="single" w:sz="6" w:space="0" w:color="auto"/>
            </w:tcBorders>
            <w:shd w:val="clear" w:color="auto" w:fill="auto"/>
          </w:tcPr>
          <w:p w:rsidR="007516AC" w:rsidRPr="00411B63" w:rsidRDefault="007516AC" w:rsidP="008B63A3">
            <w:pPr>
              <w:pStyle w:val="TableColumnHeading"/>
              <w:ind w:right="28"/>
              <w:rPr>
                <w:sz w:val="18"/>
                <w:szCs w:val="18"/>
              </w:rPr>
            </w:pPr>
            <w:r w:rsidRPr="00411B63">
              <w:rPr>
                <w:sz w:val="18"/>
                <w:szCs w:val="18"/>
              </w:rPr>
              <w:t>2009-10</w:t>
            </w:r>
          </w:p>
        </w:tc>
        <w:tc>
          <w:tcPr>
            <w:tcW w:w="495" w:type="pct"/>
            <w:tcBorders>
              <w:top w:val="single" w:sz="6" w:space="0" w:color="auto"/>
              <w:bottom w:val="single" w:sz="6" w:space="0" w:color="auto"/>
            </w:tcBorders>
            <w:shd w:val="clear" w:color="auto" w:fill="auto"/>
          </w:tcPr>
          <w:p w:rsidR="007516AC" w:rsidRPr="00411B63" w:rsidRDefault="007516AC" w:rsidP="008B63A3">
            <w:pPr>
              <w:pStyle w:val="TableColumnHeading"/>
              <w:ind w:right="28"/>
              <w:rPr>
                <w:sz w:val="18"/>
                <w:szCs w:val="18"/>
              </w:rPr>
            </w:pPr>
            <w:r w:rsidRPr="00411B63">
              <w:rPr>
                <w:sz w:val="18"/>
                <w:szCs w:val="18"/>
              </w:rPr>
              <w:t>2010-11</w:t>
            </w:r>
          </w:p>
        </w:tc>
        <w:tc>
          <w:tcPr>
            <w:tcW w:w="488" w:type="pct"/>
            <w:tcBorders>
              <w:top w:val="single" w:sz="6" w:space="0" w:color="auto"/>
              <w:bottom w:val="single" w:sz="6" w:space="0" w:color="auto"/>
            </w:tcBorders>
            <w:shd w:val="clear" w:color="auto" w:fill="auto"/>
          </w:tcPr>
          <w:p w:rsidR="007516AC" w:rsidRPr="00411B63" w:rsidRDefault="007516AC" w:rsidP="008B63A3">
            <w:pPr>
              <w:pStyle w:val="TableColumnHeading"/>
              <w:ind w:right="28"/>
              <w:rPr>
                <w:sz w:val="18"/>
                <w:szCs w:val="18"/>
              </w:rPr>
            </w:pPr>
            <w:r w:rsidRPr="00411B63">
              <w:rPr>
                <w:sz w:val="18"/>
                <w:szCs w:val="18"/>
              </w:rPr>
              <w:t>2011-12</w:t>
            </w:r>
          </w:p>
        </w:tc>
      </w:tr>
      <w:tr w:rsidR="007516AC" w:rsidTr="008B63A3">
        <w:trPr>
          <w:trHeight w:val="227"/>
        </w:trPr>
        <w:tc>
          <w:tcPr>
            <w:tcW w:w="1946" w:type="pct"/>
            <w:tcBorders>
              <w:top w:val="single" w:sz="6" w:space="0" w:color="auto"/>
            </w:tcBorders>
            <w:vAlign w:val="bottom"/>
          </w:tcPr>
          <w:p w:rsidR="007516AC" w:rsidRPr="00DC145C" w:rsidRDefault="007516AC" w:rsidP="008B63A3">
            <w:pPr>
              <w:pStyle w:val="TableBodyText"/>
              <w:jc w:val="left"/>
              <w:rPr>
                <w:b/>
                <w:sz w:val="18"/>
                <w:szCs w:val="18"/>
              </w:rPr>
            </w:pPr>
            <w:r w:rsidRPr="00DC145C">
              <w:rPr>
                <w:b/>
                <w:sz w:val="18"/>
                <w:szCs w:val="18"/>
              </w:rPr>
              <w:t>Primary production</w:t>
            </w:r>
          </w:p>
        </w:tc>
        <w:tc>
          <w:tcPr>
            <w:tcW w:w="586" w:type="pct"/>
            <w:tcBorders>
              <w:top w:val="single" w:sz="6" w:space="0" w:color="auto"/>
            </w:tcBorders>
            <w:vAlign w:val="bottom"/>
          </w:tcPr>
          <w:p w:rsidR="007516AC" w:rsidRPr="00E24287" w:rsidRDefault="007516AC" w:rsidP="008B63A3">
            <w:pPr>
              <w:pStyle w:val="TableBodyText"/>
              <w:rPr>
                <w:b/>
                <w:sz w:val="18"/>
                <w:szCs w:val="18"/>
              </w:rPr>
            </w:pPr>
            <w:r w:rsidRPr="00E24287">
              <w:rPr>
                <w:b/>
                <w:sz w:val="18"/>
                <w:szCs w:val="18"/>
              </w:rPr>
              <w:t>56.4</w:t>
            </w:r>
          </w:p>
        </w:tc>
        <w:tc>
          <w:tcPr>
            <w:tcW w:w="495" w:type="pct"/>
            <w:tcBorders>
              <w:top w:val="single" w:sz="6" w:space="0" w:color="auto"/>
            </w:tcBorders>
            <w:vAlign w:val="bottom"/>
          </w:tcPr>
          <w:p w:rsidR="007516AC" w:rsidRPr="00E24287" w:rsidRDefault="007516AC" w:rsidP="008B63A3">
            <w:pPr>
              <w:pStyle w:val="TableBodyText"/>
              <w:rPr>
                <w:b/>
                <w:sz w:val="18"/>
                <w:szCs w:val="18"/>
              </w:rPr>
            </w:pPr>
            <w:r w:rsidRPr="00E24287">
              <w:rPr>
                <w:b/>
                <w:sz w:val="18"/>
                <w:szCs w:val="18"/>
              </w:rPr>
              <w:t>63.7</w:t>
            </w:r>
          </w:p>
        </w:tc>
        <w:tc>
          <w:tcPr>
            <w:tcW w:w="495" w:type="pct"/>
            <w:tcBorders>
              <w:top w:val="single" w:sz="6" w:space="0" w:color="auto"/>
            </w:tcBorders>
            <w:vAlign w:val="bottom"/>
          </w:tcPr>
          <w:p w:rsidR="007516AC" w:rsidRPr="00E24287" w:rsidRDefault="007516AC" w:rsidP="008B63A3">
            <w:pPr>
              <w:pStyle w:val="TableBodyText"/>
              <w:rPr>
                <w:b/>
                <w:sz w:val="18"/>
                <w:szCs w:val="18"/>
              </w:rPr>
            </w:pPr>
            <w:r w:rsidRPr="00E24287">
              <w:rPr>
                <w:b/>
                <w:sz w:val="18"/>
                <w:szCs w:val="18"/>
              </w:rPr>
              <w:t>61.3</w:t>
            </w:r>
          </w:p>
        </w:tc>
        <w:tc>
          <w:tcPr>
            <w:tcW w:w="495" w:type="pct"/>
            <w:tcBorders>
              <w:top w:val="single" w:sz="6" w:space="0" w:color="auto"/>
            </w:tcBorders>
            <w:vAlign w:val="bottom"/>
          </w:tcPr>
          <w:p w:rsidR="007516AC" w:rsidRPr="00E24287" w:rsidRDefault="007516AC" w:rsidP="008B63A3">
            <w:pPr>
              <w:pStyle w:val="TableBodyText"/>
              <w:rPr>
                <w:b/>
                <w:sz w:val="18"/>
                <w:szCs w:val="18"/>
              </w:rPr>
            </w:pPr>
            <w:r w:rsidRPr="00E24287">
              <w:rPr>
                <w:b/>
                <w:sz w:val="18"/>
                <w:szCs w:val="18"/>
              </w:rPr>
              <w:t>58.3</w:t>
            </w:r>
          </w:p>
        </w:tc>
        <w:tc>
          <w:tcPr>
            <w:tcW w:w="495" w:type="pct"/>
            <w:tcBorders>
              <w:top w:val="single" w:sz="6" w:space="0" w:color="auto"/>
            </w:tcBorders>
            <w:vAlign w:val="bottom"/>
          </w:tcPr>
          <w:p w:rsidR="007516AC" w:rsidRPr="00E24287" w:rsidRDefault="007516AC" w:rsidP="008B63A3">
            <w:pPr>
              <w:pStyle w:val="TableBodyText"/>
              <w:rPr>
                <w:b/>
                <w:sz w:val="18"/>
                <w:szCs w:val="18"/>
              </w:rPr>
            </w:pPr>
            <w:r w:rsidRPr="00E24287">
              <w:rPr>
                <w:b/>
                <w:sz w:val="18"/>
                <w:szCs w:val="18"/>
              </w:rPr>
              <w:t>46.5</w:t>
            </w:r>
          </w:p>
        </w:tc>
        <w:tc>
          <w:tcPr>
            <w:tcW w:w="488" w:type="pct"/>
            <w:tcBorders>
              <w:top w:val="single" w:sz="6" w:space="0" w:color="auto"/>
            </w:tcBorders>
            <w:vAlign w:val="bottom"/>
          </w:tcPr>
          <w:p w:rsidR="007516AC" w:rsidRPr="00E24287" w:rsidRDefault="007516AC" w:rsidP="008B63A3">
            <w:pPr>
              <w:pStyle w:val="TableBodyText"/>
              <w:rPr>
                <w:b/>
                <w:sz w:val="18"/>
                <w:szCs w:val="18"/>
              </w:rPr>
            </w:pPr>
            <w:r w:rsidRPr="00E24287">
              <w:rPr>
                <w:b/>
                <w:sz w:val="18"/>
                <w:szCs w:val="18"/>
              </w:rPr>
              <w:t>38.8</w:t>
            </w:r>
          </w:p>
        </w:tc>
      </w:tr>
      <w:tr w:rsidR="007516AC" w:rsidTr="008B63A3">
        <w:trPr>
          <w:trHeight w:val="227"/>
        </w:trPr>
        <w:tc>
          <w:tcPr>
            <w:tcW w:w="1946" w:type="pct"/>
            <w:vAlign w:val="bottom"/>
          </w:tcPr>
          <w:p w:rsidR="007516AC" w:rsidRPr="007758AB" w:rsidRDefault="007516AC" w:rsidP="008B63A3">
            <w:pPr>
              <w:pStyle w:val="TableBodyText"/>
              <w:jc w:val="left"/>
              <w:rPr>
                <w:sz w:val="18"/>
                <w:szCs w:val="18"/>
              </w:rPr>
            </w:pPr>
            <w:r w:rsidRPr="007758AB">
              <w:rPr>
                <w:sz w:val="18"/>
                <w:szCs w:val="18"/>
              </w:rPr>
              <w:t>Sheep, beef cattle and grain farming</w:t>
            </w:r>
          </w:p>
        </w:tc>
        <w:tc>
          <w:tcPr>
            <w:tcW w:w="586" w:type="pct"/>
            <w:vAlign w:val="bottom"/>
          </w:tcPr>
          <w:p w:rsidR="007516AC" w:rsidRPr="00E24287" w:rsidRDefault="007516AC" w:rsidP="008B63A3">
            <w:pPr>
              <w:pStyle w:val="TableBodyText"/>
              <w:rPr>
                <w:sz w:val="18"/>
                <w:szCs w:val="18"/>
              </w:rPr>
            </w:pPr>
            <w:r w:rsidRPr="00E24287">
              <w:rPr>
                <w:sz w:val="18"/>
                <w:szCs w:val="18"/>
              </w:rPr>
              <w:t>11.4</w:t>
            </w:r>
          </w:p>
        </w:tc>
        <w:tc>
          <w:tcPr>
            <w:tcW w:w="495" w:type="pct"/>
            <w:vAlign w:val="bottom"/>
          </w:tcPr>
          <w:p w:rsidR="007516AC" w:rsidRPr="00E24287" w:rsidRDefault="007516AC" w:rsidP="008B63A3">
            <w:pPr>
              <w:pStyle w:val="TableBodyText"/>
              <w:rPr>
                <w:sz w:val="18"/>
                <w:szCs w:val="18"/>
              </w:rPr>
            </w:pPr>
            <w:r w:rsidRPr="00E24287">
              <w:rPr>
                <w:sz w:val="18"/>
                <w:szCs w:val="18"/>
              </w:rPr>
              <w:t>13.0</w:t>
            </w:r>
          </w:p>
        </w:tc>
        <w:tc>
          <w:tcPr>
            <w:tcW w:w="495" w:type="pct"/>
            <w:vAlign w:val="bottom"/>
          </w:tcPr>
          <w:p w:rsidR="007516AC" w:rsidRPr="00E24287" w:rsidRDefault="007516AC" w:rsidP="008B63A3">
            <w:pPr>
              <w:pStyle w:val="TableBodyText"/>
              <w:rPr>
                <w:sz w:val="18"/>
                <w:szCs w:val="18"/>
              </w:rPr>
            </w:pPr>
            <w:r w:rsidRPr="00E24287">
              <w:rPr>
                <w:sz w:val="18"/>
                <w:szCs w:val="18"/>
              </w:rPr>
              <w:t>12.4</w:t>
            </w:r>
          </w:p>
        </w:tc>
        <w:tc>
          <w:tcPr>
            <w:tcW w:w="495" w:type="pct"/>
            <w:vAlign w:val="bottom"/>
          </w:tcPr>
          <w:p w:rsidR="007516AC" w:rsidRPr="00E24287" w:rsidRDefault="007516AC" w:rsidP="008B63A3">
            <w:pPr>
              <w:pStyle w:val="TableBodyText"/>
              <w:rPr>
                <w:sz w:val="18"/>
                <w:szCs w:val="18"/>
              </w:rPr>
            </w:pPr>
            <w:r w:rsidRPr="00E24287">
              <w:rPr>
                <w:sz w:val="18"/>
                <w:szCs w:val="18"/>
              </w:rPr>
              <w:t>11.5</w:t>
            </w:r>
          </w:p>
        </w:tc>
        <w:tc>
          <w:tcPr>
            <w:tcW w:w="495" w:type="pct"/>
            <w:vAlign w:val="bottom"/>
          </w:tcPr>
          <w:p w:rsidR="007516AC" w:rsidRPr="00E24287" w:rsidRDefault="007516AC" w:rsidP="008B63A3">
            <w:pPr>
              <w:pStyle w:val="TableBodyText"/>
              <w:rPr>
                <w:sz w:val="18"/>
                <w:szCs w:val="18"/>
              </w:rPr>
            </w:pPr>
            <w:r w:rsidRPr="00E24287">
              <w:rPr>
                <w:sz w:val="18"/>
                <w:szCs w:val="18"/>
              </w:rPr>
              <w:t>9.9</w:t>
            </w:r>
          </w:p>
        </w:tc>
        <w:tc>
          <w:tcPr>
            <w:tcW w:w="488" w:type="pct"/>
            <w:vAlign w:val="bottom"/>
          </w:tcPr>
          <w:p w:rsidR="007516AC" w:rsidRPr="00E24287" w:rsidRDefault="007516AC" w:rsidP="008B63A3">
            <w:pPr>
              <w:pStyle w:val="TableBodyText"/>
              <w:rPr>
                <w:sz w:val="18"/>
                <w:szCs w:val="18"/>
              </w:rPr>
            </w:pPr>
            <w:r w:rsidRPr="00E24287">
              <w:rPr>
                <w:sz w:val="18"/>
                <w:szCs w:val="18"/>
              </w:rPr>
              <w:t>6.1</w:t>
            </w:r>
          </w:p>
        </w:tc>
      </w:tr>
      <w:tr w:rsidR="007516AC" w:rsidTr="008B63A3">
        <w:trPr>
          <w:trHeight w:val="227"/>
        </w:trPr>
        <w:tc>
          <w:tcPr>
            <w:tcW w:w="1946" w:type="pct"/>
            <w:vAlign w:val="bottom"/>
          </w:tcPr>
          <w:p w:rsidR="007516AC" w:rsidRPr="007758AB" w:rsidRDefault="007516AC" w:rsidP="008B63A3">
            <w:pPr>
              <w:pStyle w:val="TableBodyText"/>
              <w:jc w:val="left"/>
              <w:rPr>
                <w:sz w:val="18"/>
                <w:szCs w:val="18"/>
              </w:rPr>
            </w:pPr>
            <w:r w:rsidRPr="007758AB">
              <w:rPr>
                <w:sz w:val="18"/>
                <w:szCs w:val="18"/>
              </w:rPr>
              <w:t>Other crop growing</w:t>
            </w:r>
          </w:p>
        </w:tc>
        <w:tc>
          <w:tcPr>
            <w:tcW w:w="586" w:type="pct"/>
            <w:vAlign w:val="bottom"/>
          </w:tcPr>
          <w:p w:rsidR="007516AC" w:rsidRPr="00E24287" w:rsidRDefault="007516AC" w:rsidP="008B63A3">
            <w:pPr>
              <w:pStyle w:val="TableBodyText"/>
              <w:rPr>
                <w:sz w:val="18"/>
                <w:szCs w:val="18"/>
              </w:rPr>
            </w:pPr>
            <w:r w:rsidRPr="00E24287">
              <w:rPr>
                <w:sz w:val="18"/>
                <w:szCs w:val="18"/>
              </w:rPr>
              <w:t>8.8</w:t>
            </w:r>
          </w:p>
        </w:tc>
        <w:tc>
          <w:tcPr>
            <w:tcW w:w="495" w:type="pct"/>
            <w:vAlign w:val="bottom"/>
          </w:tcPr>
          <w:p w:rsidR="007516AC" w:rsidRPr="00E24287" w:rsidRDefault="007516AC" w:rsidP="008B63A3">
            <w:pPr>
              <w:pStyle w:val="TableBodyText"/>
              <w:rPr>
                <w:sz w:val="18"/>
                <w:szCs w:val="18"/>
              </w:rPr>
            </w:pPr>
            <w:r w:rsidRPr="00E24287">
              <w:rPr>
                <w:sz w:val="18"/>
                <w:szCs w:val="18"/>
              </w:rPr>
              <w:t>9.0</w:t>
            </w:r>
          </w:p>
        </w:tc>
        <w:tc>
          <w:tcPr>
            <w:tcW w:w="495" w:type="pct"/>
            <w:vAlign w:val="bottom"/>
          </w:tcPr>
          <w:p w:rsidR="007516AC" w:rsidRPr="00E24287" w:rsidRDefault="007516AC" w:rsidP="008B63A3">
            <w:pPr>
              <w:pStyle w:val="TableBodyText"/>
              <w:rPr>
                <w:sz w:val="18"/>
                <w:szCs w:val="18"/>
              </w:rPr>
            </w:pPr>
            <w:r w:rsidRPr="00E24287">
              <w:rPr>
                <w:sz w:val="18"/>
                <w:szCs w:val="18"/>
              </w:rPr>
              <w:t>8.5</w:t>
            </w:r>
          </w:p>
        </w:tc>
        <w:tc>
          <w:tcPr>
            <w:tcW w:w="495" w:type="pct"/>
            <w:shd w:val="clear" w:color="auto" w:fill="auto"/>
            <w:vAlign w:val="bottom"/>
          </w:tcPr>
          <w:p w:rsidR="007516AC" w:rsidRPr="00E24287" w:rsidRDefault="007516AC" w:rsidP="008B63A3">
            <w:pPr>
              <w:pStyle w:val="TableBodyText"/>
              <w:rPr>
                <w:sz w:val="18"/>
                <w:szCs w:val="18"/>
              </w:rPr>
            </w:pPr>
            <w:r w:rsidRPr="00E24287">
              <w:rPr>
                <w:sz w:val="18"/>
                <w:szCs w:val="18"/>
              </w:rPr>
              <w:t>6.5</w:t>
            </w:r>
          </w:p>
        </w:tc>
        <w:tc>
          <w:tcPr>
            <w:tcW w:w="495" w:type="pct"/>
            <w:shd w:val="clear" w:color="auto" w:fill="auto"/>
            <w:vAlign w:val="bottom"/>
          </w:tcPr>
          <w:p w:rsidR="007516AC" w:rsidRPr="00E24287" w:rsidRDefault="007516AC" w:rsidP="008B63A3">
            <w:pPr>
              <w:pStyle w:val="TableBodyText"/>
              <w:rPr>
                <w:sz w:val="18"/>
                <w:szCs w:val="18"/>
              </w:rPr>
            </w:pPr>
            <w:r w:rsidRPr="00E24287">
              <w:rPr>
                <w:sz w:val="18"/>
                <w:szCs w:val="18"/>
              </w:rPr>
              <w:t>3.5</w:t>
            </w:r>
          </w:p>
        </w:tc>
        <w:tc>
          <w:tcPr>
            <w:tcW w:w="488" w:type="pct"/>
            <w:shd w:val="clear" w:color="auto" w:fill="auto"/>
            <w:vAlign w:val="bottom"/>
          </w:tcPr>
          <w:p w:rsidR="007516AC" w:rsidRPr="00E24287" w:rsidRDefault="007516AC" w:rsidP="008B63A3">
            <w:pPr>
              <w:pStyle w:val="TableBodyText"/>
              <w:rPr>
                <w:sz w:val="18"/>
                <w:szCs w:val="18"/>
              </w:rPr>
            </w:pPr>
            <w:r w:rsidRPr="00E24287">
              <w:rPr>
                <w:sz w:val="18"/>
                <w:szCs w:val="18"/>
              </w:rPr>
              <w:t>3.0</w:t>
            </w:r>
          </w:p>
        </w:tc>
      </w:tr>
      <w:tr w:rsidR="007516AC" w:rsidTr="008B63A3">
        <w:trPr>
          <w:trHeight w:val="227"/>
        </w:trPr>
        <w:tc>
          <w:tcPr>
            <w:tcW w:w="1946" w:type="pct"/>
            <w:vAlign w:val="bottom"/>
          </w:tcPr>
          <w:p w:rsidR="007516AC" w:rsidRPr="007758AB" w:rsidRDefault="007516AC" w:rsidP="008B63A3">
            <w:pPr>
              <w:pStyle w:val="TableBodyText"/>
              <w:jc w:val="left"/>
              <w:rPr>
                <w:sz w:val="18"/>
                <w:szCs w:val="18"/>
              </w:rPr>
            </w:pPr>
            <w:r w:rsidRPr="007758AB">
              <w:rPr>
                <w:sz w:val="18"/>
                <w:szCs w:val="18"/>
              </w:rPr>
              <w:t>Dairy cattle farming</w:t>
            </w:r>
          </w:p>
        </w:tc>
        <w:tc>
          <w:tcPr>
            <w:tcW w:w="586" w:type="pct"/>
            <w:vAlign w:val="bottom"/>
          </w:tcPr>
          <w:p w:rsidR="007516AC" w:rsidRPr="00E24287" w:rsidRDefault="007516AC" w:rsidP="008B63A3">
            <w:pPr>
              <w:pStyle w:val="TableBodyText"/>
              <w:rPr>
                <w:sz w:val="18"/>
                <w:szCs w:val="18"/>
              </w:rPr>
            </w:pPr>
            <w:r>
              <w:rPr>
                <w:sz w:val="18"/>
                <w:szCs w:val="18"/>
              </w:rPr>
              <w:noBreakHyphen/>
            </w:r>
          </w:p>
        </w:tc>
        <w:tc>
          <w:tcPr>
            <w:tcW w:w="495" w:type="pct"/>
            <w:vAlign w:val="bottom"/>
          </w:tcPr>
          <w:p w:rsidR="007516AC" w:rsidRPr="00E24287" w:rsidRDefault="007516AC" w:rsidP="008B63A3">
            <w:pPr>
              <w:pStyle w:val="TableBodyText"/>
              <w:rPr>
                <w:sz w:val="18"/>
                <w:szCs w:val="18"/>
              </w:rPr>
            </w:pPr>
            <w:r>
              <w:rPr>
                <w:sz w:val="18"/>
                <w:szCs w:val="18"/>
              </w:rPr>
              <w:noBreakHyphen/>
            </w:r>
          </w:p>
        </w:tc>
        <w:tc>
          <w:tcPr>
            <w:tcW w:w="495" w:type="pct"/>
            <w:vAlign w:val="bottom"/>
          </w:tcPr>
          <w:p w:rsidR="007516AC" w:rsidRPr="00E24287" w:rsidRDefault="007516AC" w:rsidP="008B63A3">
            <w:pPr>
              <w:pStyle w:val="TableBodyText"/>
              <w:rPr>
                <w:sz w:val="18"/>
                <w:szCs w:val="18"/>
              </w:rPr>
            </w:pPr>
            <w:r>
              <w:rPr>
                <w:sz w:val="18"/>
                <w:szCs w:val="18"/>
              </w:rPr>
              <w:noBreakHyphen/>
            </w:r>
          </w:p>
        </w:tc>
        <w:tc>
          <w:tcPr>
            <w:tcW w:w="495" w:type="pct"/>
            <w:shd w:val="clear" w:color="auto" w:fill="auto"/>
            <w:vAlign w:val="bottom"/>
          </w:tcPr>
          <w:p w:rsidR="007516AC" w:rsidRPr="00E24287" w:rsidRDefault="007516AC" w:rsidP="008B63A3">
            <w:pPr>
              <w:pStyle w:val="TableBodyText"/>
              <w:rPr>
                <w:sz w:val="18"/>
                <w:szCs w:val="18"/>
              </w:rPr>
            </w:pPr>
            <w:r w:rsidRPr="00E24287">
              <w:rPr>
                <w:sz w:val="18"/>
                <w:szCs w:val="18"/>
              </w:rPr>
              <w:t>3.0</w:t>
            </w:r>
          </w:p>
        </w:tc>
        <w:tc>
          <w:tcPr>
            <w:tcW w:w="495" w:type="pct"/>
            <w:shd w:val="clear" w:color="auto" w:fill="auto"/>
            <w:vAlign w:val="bottom"/>
          </w:tcPr>
          <w:p w:rsidR="007516AC" w:rsidRPr="00E24287" w:rsidRDefault="007516AC" w:rsidP="008B63A3">
            <w:pPr>
              <w:pStyle w:val="TableBodyText"/>
              <w:rPr>
                <w:sz w:val="18"/>
                <w:szCs w:val="18"/>
              </w:rPr>
            </w:pPr>
            <w:r w:rsidRPr="00E24287">
              <w:rPr>
                <w:sz w:val="18"/>
                <w:szCs w:val="18"/>
              </w:rPr>
              <w:t>4.8</w:t>
            </w:r>
          </w:p>
        </w:tc>
        <w:tc>
          <w:tcPr>
            <w:tcW w:w="488" w:type="pct"/>
            <w:shd w:val="clear" w:color="auto" w:fill="auto"/>
            <w:vAlign w:val="bottom"/>
          </w:tcPr>
          <w:p w:rsidR="007516AC" w:rsidRPr="00E24287" w:rsidRDefault="007516AC" w:rsidP="008B63A3">
            <w:pPr>
              <w:pStyle w:val="TableBodyText"/>
              <w:rPr>
                <w:sz w:val="18"/>
                <w:szCs w:val="18"/>
              </w:rPr>
            </w:pPr>
            <w:r w:rsidRPr="00E24287">
              <w:rPr>
                <w:sz w:val="18"/>
                <w:szCs w:val="18"/>
              </w:rPr>
              <w:t>4.8</w:t>
            </w:r>
          </w:p>
        </w:tc>
      </w:tr>
      <w:tr w:rsidR="007516AC" w:rsidTr="008B63A3">
        <w:trPr>
          <w:trHeight w:val="227"/>
        </w:trPr>
        <w:tc>
          <w:tcPr>
            <w:tcW w:w="1946" w:type="pct"/>
            <w:vAlign w:val="bottom"/>
          </w:tcPr>
          <w:p w:rsidR="007516AC" w:rsidRPr="007758AB" w:rsidRDefault="007516AC" w:rsidP="008B63A3">
            <w:pPr>
              <w:pStyle w:val="TableBodyText"/>
              <w:jc w:val="left"/>
              <w:rPr>
                <w:sz w:val="18"/>
                <w:szCs w:val="18"/>
              </w:rPr>
            </w:pPr>
            <w:r w:rsidRPr="007758AB">
              <w:rPr>
                <w:sz w:val="18"/>
                <w:szCs w:val="18"/>
              </w:rPr>
              <w:t>Other livestock farming</w:t>
            </w:r>
          </w:p>
        </w:tc>
        <w:tc>
          <w:tcPr>
            <w:tcW w:w="586" w:type="pct"/>
            <w:vAlign w:val="bottom"/>
          </w:tcPr>
          <w:p w:rsidR="007516AC" w:rsidRPr="00E24287" w:rsidRDefault="007516AC" w:rsidP="008B63A3">
            <w:pPr>
              <w:pStyle w:val="TableBodyText"/>
              <w:rPr>
                <w:sz w:val="18"/>
                <w:szCs w:val="18"/>
              </w:rPr>
            </w:pPr>
            <w:r w:rsidRPr="00E24287">
              <w:rPr>
                <w:sz w:val="18"/>
                <w:szCs w:val="18"/>
              </w:rPr>
              <w:t>7.0</w:t>
            </w:r>
          </w:p>
        </w:tc>
        <w:tc>
          <w:tcPr>
            <w:tcW w:w="495" w:type="pct"/>
            <w:vAlign w:val="bottom"/>
          </w:tcPr>
          <w:p w:rsidR="007516AC" w:rsidRPr="00E24287" w:rsidRDefault="007516AC" w:rsidP="008B63A3">
            <w:pPr>
              <w:pStyle w:val="TableBodyText"/>
              <w:rPr>
                <w:sz w:val="18"/>
                <w:szCs w:val="18"/>
              </w:rPr>
            </w:pPr>
            <w:r w:rsidRPr="00E24287">
              <w:rPr>
                <w:sz w:val="18"/>
                <w:szCs w:val="18"/>
              </w:rPr>
              <w:t>7.2</w:t>
            </w:r>
          </w:p>
        </w:tc>
        <w:tc>
          <w:tcPr>
            <w:tcW w:w="495" w:type="pct"/>
            <w:vAlign w:val="bottom"/>
          </w:tcPr>
          <w:p w:rsidR="007516AC" w:rsidRPr="00E24287" w:rsidRDefault="007516AC" w:rsidP="008B63A3">
            <w:pPr>
              <w:pStyle w:val="TableBodyText"/>
              <w:rPr>
                <w:sz w:val="18"/>
                <w:szCs w:val="18"/>
              </w:rPr>
            </w:pPr>
            <w:r w:rsidRPr="00E24287">
              <w:rPr>
                <w:sz w:val="18"/>
                <w:szCs w:val="18"/>
              </w:rPr>
              <w:t>7.4</w:t>
            </w:r>
          </w:p>
        </w:tc>
        <w:tc>
          <w:tcPr>
            <w:tcW w:w="495" w:type="pct"/>
            <w:shd w:val="clear" w:color="auto" w:fill="auto"/>
            <w:vAlign w:val="bottom"/>
          </w:tcPr>
          <w:p w:rsidR="007516AC" w:rsidRPr="00E24287" w:rsidRDefault="007516AC" w:rsidP="008B63A3">
            <w:pPr>
              <w:pStyle w:val="TableBodyText"/>
              <w:rPr>
                <w:sz w:val="18"/>
                <w:szCs w:val="18"/>
              </w:rPr>
            </w:pPr>
            <w:r w:rsidRPr="00E24287">
              <w:rPr>
                <w:sz w:val="18"/>
                <w:szCs w:val="18"/>
              </w:rPr>
              <w:t>8.0</w:t>
            </w:r>
          </w:p>
        </w:tc>
        <w:tc>
          <w:tcPr>
            <w:tcW w:w="495" w:type="pct"/>
            <w:shd w:val="clear" w:color="auto" w:fill="auto"/>
            <w:vAlign w:val="bottom"/>
          </w:tcPr>
          <w:p w:rsidR="007516AC" w:rsidRPr="00E24287" w:rsidRDefault="007516AC" w:rsidP="008B63A3">
            <w:pPr>
              <w:pStyle w:val="TableBodyText"/>
              <w:rPr>
                <w:sz w:val="18"/>
                <w:szCs w:val="18"/>
              </w:rPr>
            </w:pPr>
            <w:r w:rsidRPr="00E24287">
              <w:rPr>
                <w:sz w:val="18"/>
                <w:szCs w:val="18"/>
              </w:rPr>
              <w:t>8.2</w:t>
            </w:r>
          </w:p>
        </w:tc>
        <w:tc>
          <w:tcPr>
            <w:tcW w:w="488" w:type="pct"/>
            <w:shd w:val="clear" w:color="auto" w:fill="auto"/>
            <w:vAlign w:val="bottom"/>
          </w:tcPr>
          <w:p w:rsidR="007516AC" w:rsidRPr="00E24287" w:rsidRDefault="007516AC" w:rsidP="008B63A3">
            <w:pPr>
              <w:pStyle w:val="TableBodyText"/>
              <w:rPr>
                <w:sz w:val="18"/>
                <w:szCs w:val="18"/>
              </w:rPr>
            </w:pPr>
            <w:r w:rsidRPr="00E24287">
              <w:rPr>
                <w:sz w:val="18"/>
                <w:szCs w:val="18"/>
              </w:rPr>
              <w:t>6.8</w:t>
            </w:r>
          </w:p>
        </w:tc>
      </w:tr>
      <w:tr w:rsidR="007516AC" w:rsidTr="008B63A3">
        <w:trPr>
          <w:trHeight w:val="227"/>
        </w:trPr>
        <w:tc>
          <w:tcPr>
            <w:tcW w:w="1946" w:type="pct"/>
            <w:vAlign w:val="bottom"/>
          </w:tcPr>
          <w:p w:rsidR="007516AC" w:rsidRPr="007758AB" w:rsidRDefault="007516AC" w:rsidP="008B63A3">
            <w:pPr>
              <w:pStyle w:val="TableBodyText"/>
              <w:jc w:val="left"/>
              <w:rPr>
                <w:sz w:val="18"/>
                <w:szCs w:val="18"/>
              </w:rPr>
            </w:pPr>
            <w:r w:rsidRPr="007758AB">
              <w:rPr>
                <w:sz w:val="18"/>
                <w:szCs w:val="18"/>
              </w:rPr>
              <w:t>Aquaculture and fishing</w:t>
            </w:r>
          </w:p>
        </w:tc>
        <w:tc>
          <w:tcPr>
            <w:tcW w:w="586" w:type="pct"/>
            <w:vAlign w:val="bottom"/>
          </w:tcPr>
          <w:p w:rsidR="007516AC" w:rsidRPr="00E24287" w:rsidRDefault="007516AC" w:rsidP="008B63A3">
            <w:pPr>
              <w:pStyle w:val="TableBodyText"/>
              <w:rPr>
                <w:sz w:val="18"/>
                <w:szCs w:val="18"/>
              </w:rPr>
            </w:pPr>
            <w:r w:rsidRPr="00E24287">
              <w:rPr>
                <w:sz w:val="18"/>
                <w:szCs w:val="18"/>
              </w:rPr>
              <w:t>2.6</w:t>
            </w:r>
          </w:p>
        </w:tc>
        <w:tc>
          <w:tcPr>
            <w:tcW w:w="495" w:type="pct"/>
            <w:vAlign w:val="bottom"/>
          </w:tcPr>
          <w:p w:rsidR="007516AC" w:rsidRPr="00E24287" w:rsidRDefault="007516AC" w:rsidP="008B63A3">
            <w:pPr>
              <w:pStyle w:val="TableBodyText"/>
              <w:rPr>
                <w:sz w:val="18"/>
                <w:szCs w:val="18"/>
              </w:rPr>
            </w:pPr>
            <w:r w:rsidRPr="00E24287">
              <w:rPr>
                <w:sz w:val="18"/>
                <w:szCs w:val="18"/>
              </w:rPr>
              <w:t>6.5</w:t>
            </w:r>
          </w:p>
        </w:tc>
        <w:tc>
          <w:tcPr>
            <w:tcW w:w="495" w:type="pct"/>
            <w:vAlign w:val="bottom"/>
          </w:tcPr>
          <w:p w:rsidR="007516AC" w:rsidRPr="00E24287" w:rsidRDefault="007516AC" w:rsidP="008B63A3">
            <w:pPr>
              <w:pStyle w:val="TableBodyText"/>
              <w:rPr>
                <w:sz w:val="18"/>
                <w:szCs w:val="18"/>
              </w:rPr>
            </w:pPr>
            <w:r w:rsidRPr="00E24287">
              <w:rPr>
                <w:sz w:val="18"/>
                <w:szCs w:val="18"/>
              </w:rPr>
              <w:t>5.2</w:t>
            </w:r>
          </w:p>
        </w:tc>
        <w:tc>
          <w:tcPr>
            <w:tcW w:w="495" w:type="pct"/>
            <w:shd w:val="clear" w:color="auto" w:fill="auto"/>
            <w:vAlign w:val="bottom"/>
          </w:tcPr>
          <w:p w:rsidR="007516AC" w:rsidRPr="00E24287" w:rsidRDefault="007516AC" w:rsidP="008B63A3">
            <w:pPr>
              <w:pStyle w:val="TableBodyText"/>
              <w:rPr>
                <w:sz w:val="18"/>
                <w:szCs w:val="18"/>
              </w:rPr>
            </w:pPr>
            <w:r w:rsidRPr="00E24287">
              <w:rPr>
                <w:sz w:val="18"/>
                <w:szCs w:val="18"/>
              </w:rPr>
              <w:t>5.4</w:t>
            </w:r>
          </w:p>
        </w:tc>
        <w:tc>
          <w:tcPr>
            <w:tcW w:w="495" w:type="pct"/>
            <w:shd w:val="clear" w:color="auto" w:fill="auto"/>
            <w:vAlign w:val="bottom"/>
          </w:tcPr>
          <w:p w:rsidR="007516AC" w:rsidRPr="00E24287" w:rsidRDefault="007516AC" w:rsidP="008B63A3">
            <w:pPr>
              <w:pStyle w:val="TableBodyText"/>
              <w:rPr>
                <w:sz w:val="18"/>
                <w:szCs w:val="18"/>
              </w:rPr>
            </w:pPr>
            <w:r w:rsidRPr="00E24287">
              <w:rPr>
                <w:sz w:val="18"/>
                <w:szCs w:val="18"/>
              </w:rPr>
              <w:t>5.4</w:t>
            </w:r>
          </w:p>
        </w:tc>
        <w:tc>
          <w:tcPr>
            <w:tcW w:w="488" w:type="pct"/>
            <w:shd w:val="clear" w:color="auto" w:fill="auto"/>
            <w:vAlign w:val="bottom"/>
          </w:tcPr>
          <w:p w:rsidR="007516AC" w:rsidRPr="00E24287" w:rsidRDefault="007516AC" w:rsidP="008B63A3">
            <w:pPr>
              <w:pStyle w:val="TableBodyText"/>
              <w:rPr>
                <w:sz w:val="18"/>
                <w:szCs w:val="18"/>
              </w:rPr>
            </w:pPr>
            <w:r w:rsidRPr="00E24287">
              <w:rPr>
                <w:sz w:val="18"/>
                <w:szCs w:val="18"/>
              </w:rPr>
              <w:t>5.4</w:t>
            </w:r>
          </w:p>
        </w:tc>
      </w:tr>
      <w:tr w:rsidR="007516AC" w:rsidTr="008B63A3">
        <w:trPr>
          <w:trHeight w:val="227"/>
        </w:trPr>
        <w:tc>
          <w:tcPr>
            <w:tcW w:w="1946" w:type="pct"/>
            <w:vAlign w:val="bottom"/>
          </w:tcPr>
          <w:p w:rsidR="007516AC" w:rsidRPr="007758AB" w:rsidRDefault="007516AC" w:rsidP="008B63A3">
            <w:pPr>
              <w:pStyle w:val="TableBodyText"/>
              <w:jc w:val="left"/>
              <w:rPr>
                <w:sz w:val="18"/>
                <w:szCs w:val="18"/>
              </w:rPr>
            </w:pPr>
            <w:r w:rsidRPr="007758AB">
              <w:rPr>
                <w:sz w:val="18"/>
                <w:szCs w:val="18"/>
              </w:rPr>
              <w:t>Forestry and logging</w:t>
            </w:r>
          </w:p>
        </w:tc>
        <w:tc>
          <w:tcPr>
            <w:tcW w:w="586" w:type="pct"/>
            <w:vAlign w:val="bottom"/>
          </w:tcPr>
          <w:p w:rsidR="007516AC" w:rsidRPr="00E24287" w:rsidRDefault="007516AC" w:rsidP="008B63A3">
            <w:pPr>
              <w:pStyle w:val="TableBodyText"/>
              <w:rPr>
                <w:sz w:val="18"/>
                <w:szCs w:val="18"/>
              </w:rPr>
            </w:pPr>
            <w:r w:rsidRPr="00E24287">
              <w:rPr>
                <w:sz w:val="18"/>
                <w:szCs w:val="18"/>
              </w:rPr>
              <w:t>3.3</w:t>
            </w:r>
          </w:p>
        </w:tc>
        <w:tc>
          <w:tcPr>
            <w:tcW w:w="495" w:type="pct"/>
            <w:vAlign w:val="bottom"/>
          </w:tcPr>
          <w:p w:rsidR="007516AC" w:rsidRPr="00E24287" w:rsidRDefault="007516AC" w:rsidP="008B63A3">
            <w:pPr>
              <w:pStyle w:val="TableBodyText"/>
              <w:rPr>
                <w:sz w:val="18"/>
                <w:szCs w:val="18"/>
              </w:rPr>
            </w:pPr>
            <w:r w:rsidRPr="00E24287">
              <w:rPr>
                <w:sz w:val="18"/>
                <w:szCs w:val="18"/>
              </w:rPr>
              <w:t>4.2</w:t>
            </w:r>
          </w:p>
        </w:tc>
        <w:tc>
          <w:tcPr>
            <w:tcW w:w="495" w:type="pct"/>
            <w:vAlign w:val="bottom"/>
          </w:tcPr>
          <w:p w:rsidR="007516AC" w:rsidRPr="00E24287" w:rsidRDefault="007516AC" w:rsidP="008B63A3">
            <w:pPr>
              <w:pStyle w:val="TableBodyText"/>
              <w:rPr>
                <w:sz w:val="18"/>
                <w:szCs w:val="18"/>
              </w:rPr>
            </w:pPr>
            <w:r w:rsidRPr="00E24287">
              <w:rPr>
                <w:sz w:val="18"/>
                <w:szCs w:val="18"/>
              </w:rPr>
              <w:t>4.7</w:t>
            </w:r>
          </w:p>
        </w:tc>
        <w:tc>
          <w:tcPr>
            <w:tcW w:w="495" w:type="pct"/>
            <w:shd w:val="clear" w:color="auto" w:fill="auto"/>
            <w:vAlign w:val="bottom"/>
          </w:tcPr>
          <w:p w:rsidR="007516AC" w:rsidRPr="00E24287" w:rsidRDefault="007516AC" w:rsidP="008B63A3">
            <w:pPr>
              <w:pStyle w:val="TableBodyText"/>
              <w:rPr>
                <w:sz w:val="18"/>
                <w:szCs w:val="18"/>
              </w:rPr>
            </w:pPr>
            <w:r w:rsidRPr="00E24287">
              <w:rPr>
                <w:sz w:val="18"/>
                <w:szCs w:val="18"/>
              </w:rPr>
              <w:t>4.8</w:t>
            </w:r>
          </w:p>
        </w:tc>
        <w:tc>
          <w:tcPr>
            <w:tcW w:w="495" w:type="pct"/>
            <w:shd w:val="clear" w:color="auto" w:fill="auto"/>
            <w:vAlign w:val="bottom"/>
          </w:tcPr>
          <w:p w:rsidR="007516AC" w:rsidRPr="00E24287" w:rsidRDefault="007516AC" w:rsidP="008B63A3">
            <w:pPr>
              <w:pStyle w:val="TableBodyText"/>
              <w:rPr>
                <w:sz w:val="18"/>
                <w:szCs w:val="18"/>
              </w:rPr>
            </w:pPr>
            <w:r w:rsidRPr="00E24287">
              <w:rPr>
                <w:sz w:val="18"/>
                <w:szCs w:val="18"/>
              </w:rPr>
              <w:t>3.8</w:t>
            </w:r>
          </w:p>
        </w:tc>
        <w:tc>
          <w:tcPr>
            <w:tcW w:w="488" w:type="pct"/>
            <w:shd w:val="clear" w:color="auto" w:fill="auto"/>
            <w:vAlign w:val="bottom"/>
          </w:tcPr>
          <w:p w:rsidR="007516AC" w:rsidRPr="00E24287" w:rsidRDefault="007516AC" w:rsidP="008B63A3">
            <w:pPr>
              <w:pStyle w:val="TableBodyText"/>
              <w:rPr>
                <w:sz w:val="18"/>
                <w:szCs w:val="18"/>
              </w:rPr>
            </w:pPr>
            <w:r w:rsidRPr="00E24287">
              <w:rPr>
                <w:sz w:val="18"/>
                <w:szCs w:val="18"/>
              </w:rPr>
              <w:t>3.2</w:t>
            </w:r>
          </w:p>
        </w:tc>
      </w:tr>
      <w:tr w:rsidR="007516AC" w:rsidTr="008B63A3">
        <w:trPr>
          <w:trHeight w:val="227"/>
        </w:trPr>
        <w:tc>
          <w:tcPr>
            <w:tcW w:w="1946" w:type="pct"/>
            <w:vAlign w:val="bottom"/>
          </w:tcPr>
          <w:p w:rsidR="007516AC" w:rsidRPr="007758AB" w:rsidRDefault="007516AC" w:rsidP="008B63A3">
            <w:pPr>
              <w:pStyle w:val="TableBodyText"/>
              <w:jc w:val="left"/>
              <w:rPr>
                <w:sz w:val="18"/>
                <w:szCs w:val="18"/>
              </w:rPr>
            </w:pPr>
            <w:r>
              <w:rPr>
                <w:sz w:val="18"/>
                <w:szCs w:val="18"/>
              </w:rPr>
              <w:t>Unallocated primary production</w:t>
            </w:r>
            <w:r w:rsidRPr="00682BD4">
              <w:rPr>
                <w:rStyle w:val="NoteLabel"/>
                <w:szCs w:val="18"/>
              </w:rPr>
              <w:t>a</w:t>
            </w:r>
          </w:p>
        </w:tc>
        <w:tc>
          <w:tcPr>
            <w:tcW w:w="586" w:type="pct"/>
            <w:vAlign w:val="bottom"/>
          </w:tcPr>
          <w:p w:rsidR="007516AC" w:rsidRPr="00E24287" w:rsidRDefault="007516AC" w:rsidP="008B63A3">
            <w:pPr>
              <w:pStyle w:val="TableBodyText"/>
              <w:rPr>
                <w:sz w:val="18"/>
                <w:szCs w:val="18"/>
              </w:rPr>
            </w:pPr>
            <w:r w:rsidRPr="00E24287">
              <w:rPr>
                <w:sz w:val="18"/>
                <w:szCs w:val="18"/>
              </w:rPr>
              <w:t>23.2</w:t>
            </w:r>
          </w:p>
        </w:tc>
        <w:tc>
          <w:tcPr>
            <w:tcW w:w="495" w:type="pct"/>
            <w:vAlign w:val="bottom"/>
          </w:tcPr>
          <w:p w:rsidR="007516AC" w:rsidRPr="00E24287" w:rsidRDefault="007516AC" w:rsidP="008B63A3">
            <w:pPr>
              <w:pStyle w:val="TableBodyText"/>
              <w:rPr>
                <w:sz w:val="18"/>
                <w:szCs w:val="18"/>
              </w:rPr>
            </w:pPr>
            <w:r w:rsidRPr="00E24287">
              <w:rPr>
                <w:sz w:val="18"/>
                <w:szCs w:val="18"/>
              </w:rPr>
              <w:t>23.8</w:t>
            </w:r>
          </w:p>
        </w:tc>
        <w:tc>
          <w:tcPr>
            <w:tcW w:w="495" w:type="pct"/>
            <w:vAlign w:val="bottom"/>
          </w:tcPr>
          <w:p w:rsidR="007516AC" w:rsidRPr="00E24287" w:rsidRDefault="007516AC" w:rsidP="008B63A3">
            <w:pPr>
              <w:pStyle w:val="TableBodyText"/>
              <w:rPr>
                <w:sz w:val="18"/>
                <w:szCs w:val="18"/>
              </w:rPr>
            </w:pPr>
            <w:r w:rsidRPr="00E24287">
              <w:rPr>
                <w:sz w:val="18"/>
                <w:szCs w:val="18"/>
              </w:rPr>
              <w:t>23.1</w:t>
            </w:r>
          </w:p>
        </w:tc>
        <w:tc>
          <w:tcPr>
            <w:tcW w:w="495" w:type="pct"/>
            <w:shd w:val="clear" w:color="auto" w:fill="auto"/>
            <w:vAlign w:val="bottom"/>
          </w:tcPr>
          <w:p w:rsidR="007516AC" w:rsidRPr="00E24287" w:rsidRDefault="007516AC" w:rsidP="008B63A3">
            <w:pPr>
              <w:pStyle w:val="TableBodyText"/>
              <w:rPr>
                <w:sz w:val="18"/>
                <w:szCs w:val="18"/>
              </w:rPr>
            </w:pPr>
            <w:r w:rsidRPr="00E24287">
              <w:rPr>
                <w:sz w:val="18"/>
                <w:szCs w:val="18"/>
              </w:rPr>
              <w:t>19.1</w:t>
            </w:r>
          </w:p>
        </w:tc>
        <w:tc>
          <w:tcPr>
            <w:tcW w:w="495" w:type="pct"/>
            <w:shd w:val="clear" w:color="auto" w:fill="auto"/>
            <w:vAlign w:val="bottom"/>
          </w:tcPr>
          <w:p w:rsidR="007516AC" w:rsidRPr="00E24287" w:rsidRDefault="007516AC" w:rsidP="008B63A3">
            <w:pPr>
              <w:pStyle w:val="TableBodyText"/>
              <w:rPr>
                <w:sz w:val="18"/>
                <w:szCs w:val="18"/>
              </w:rPr>
            </w:pPr>
            <w:r w:rsidRPr="00E24287">
              <w:rPr>
                <w:sz w:val="18"/>
                <w:szCs w:val="18"/>
              </w:rPr>
              <w:t>10.9</w:t>
            </w:r>
          </w:p>
        </w:tc>
        <w:tc>
          <w:tcPr>
            <w:tcW w:w="488" w:type="pct"/>
            <w:shd w:val="clear" w:color="auto" w:fill="auto"/>
            <w:vAlign w:val="bottom"/>
          </w:tcPr>
          <w:p w:rsidR="007516AC" w:rsidRPr="00E24287" w:rsidRDefault="007516AC" w:rsidP="008B63A3">
            <w:pPr>
              <w:pStyle w:val="TableBodyText"/>
              <w:rPr>
                <w:sz w:val="18"/>
                <w:szCs w:val="18"/>
              </w:rPr>
            </w:pPr>
            <w:r w:rsidRPr="00E24287">
              <w:rPr>
                <w:sz w:val="18"/>
                <w:szCs w:val="18"/>
              </w:rPr>
              <w:t>9.5</w:t>
            </w:r>
          </w:p>
        </w:tc>
      </w:tr>
      <w:tr w:rsidR="007516AC" w:rsidTr="008B63A3">
        <w:trPr>
          <w:trHeight w:val="227"/>
        </w:trPr>
        <w:tc>
          <w:tcPr>
            <w:tcW w:w="1946" w:type="pct"/>
            <w:vAlign w:val="bottom"/>
          </w:tcPr>
          <w:p w:rsidR="007516AC" w:rsidRPr="00DC145C" w:rsidRDefault="007516AC" w:rsidP="008B63A3">
            <w:pPr>
              <w:pStyle w:val="TableBodyText"/>
              <w:jc w:val="left"/>
              <w:rPr>
                <w:b/>
                <w:sz w:val="18"/>
                <w:szCs w:val="18"/>
              </w:rPr>
            </w:pPr>
            <w:r w:rsidRPr="00DC145C">
              <w:rPr>
                <w:b/>
                <w:sz w:val="18"/>
                <w:szCs w:val="18"/>
              </w:rPr>
              <w:t>Mining</w:t>
            </w:r>
          </w:p>
        </w:tc>
        <w:tc>
          <w:tcPr>
            <w:tcW w:w="586" w:type="pct"/>
            <w:vAlign w:val="bottom"/>
          </w:tcPr>
          <w:p w:rsidR="007516AC" w:rsidRPr="00E24287" w:rsidRDefault="007516AC" w:rsidP="008B63A3">
            <w:pPr>
              <w:pStyle w:val="TableBodyText"/>
              <w:rPr>
                <w:b/>
                <w:sz w:val="18"/>
                <w:szCs w:val="18"/>
              </w:rPr>
            </w:pPr>
            <w:r w:rsidRPr="00E24287">
              <w:rPr>
                <w:b/>
                <w:sz w:val="18"/>
                <w:szCs w:val="18"/>
              </w:rPr>
              <w:t>9.3</w:t>
            </w:r>
          </w:p>
        </w:tc>
        <w:tc>
          <w:tcPr>
            <w:tcW w:w="495" w:type="pct"/>
            <w:vAlign w:val="bottom"/>
          </w:tcPr>
          <w:p w:rsidR="007516AC" w:rsidRPr="00E24287" w:rsidRDefault="007516AC" w:rsidP="008B63A3">
            <w:pPr>
              <w:pStyle w:val="TableBodyText"/>
              <w:rPr>
                <w:b/>
                <w:sz w:val="18"/>
                <w:szCs w:val="18"/>
              </w:rPr>
            </w:pPr>
            <w:r w:rsidRPr="00E24287">
              <w:rPr>
                <w:b/>
                <w:sz w:val="18"/>
                <w:szCs w:val="18"/>
              </w:rPr>
              <w:t>8.1</w:t>
            </w:r>
          </w:p>
        </w:tc>
        <w:tc>
          <w:tcPr>
            <w:tcW w:w="495" w:type="pct"/>
            <w:vAlign w:val="bottom"/>
          </w:tcPr>
          <w:p w:rsidR="007516AC" w:rsidRPr="00E24287" w:rsidRDefault="007516AC" w:rsidP="008B63A3">
            <w:pPr>
              <w:pStyle w:val="TableBodyText"/>
              <w:rPr>
                <w:b/>
                <w:sz w:val="18"/>
                <w:szCs w:val="18"/>
              </w:rPr>
            </w:pPr>
            <w:r w:rsidRPr="00E24287">
              <w:rPr>
                <w:b/>
                <w:sz w:val="18"/>
                <w:szCs w:val="18"/>
              </w:rPr>
              <w:t>3.6</w:t>
            </w:r>
          </w:p>
        </w:tc>
        <w:tc>
          <w:tcPr>
            <w:tcW w:w="495" w:type="pct"/>
            <w:shd w:val="clear" w:color="auto" w:fill="auto"/>
            <w:vAlign w:val="bottom"/>
          </w:tcPr>
          <w:p w:rsidR="007516AC" w:rsidRPr="00E24287" w:rsidRDefault="007516AC" w:rsidP="008B63A3">
            <w:pPr>
              <w:pStyle w:val="TableBodyText"/>
              <w:rPr>
                <w:b/>
                <w:sz w:val="18"/>
                <w:szCs w:val="18"/>
              </w:rPr>
            </w:pPr>
            <w:r w:rsidRPr="00E24287">
              <w:rPr>
                <w:b/>
                <w:sz w:val="18"/>
                <w:szCs w:val="18"/>
              </w:rPr>
              <w:t>6.7</w:t>
            </w:r>
          </w:p>
        </w:tc>
        <w:tc>
          <w:tcPr>
            <w:tcW w:w="495" w:type="pct"/>
            <w:shd w:val="clear" w:color="auto" w:fill="auto"/>
            <w:vAlign w:val="bottom"/>
          </w:tcPr>
          <w:p w:rsidR="007516AC" w:rsidRPr="00E24287" w:rsidRDefault="007516AC" w:rsidP="008B63A3">
            <w:pPr>
              <w:pStyle w:val="TableBodyText"/>
              <w:rPr>
                <w:b/>
                <w:sz w:val="18"/>
                <w:szCs w:val="18"/>
              </w:rPr>
            </w:pPr>
            <w:r w:rsidRPr="00E24287">
              <w:rPr>
                <w:b/>
                <w:sz w:val="18"/>
                <w:szCs w:val="18"/>
              </w:rPr>
              <w:t>10.7</w:t>
            </w:r>
          </w:p>
        </w:tc>
        <w:tc>
          <w:tcPr>
            <w:tcW w:w="488" w:type="pct"/>
            <w:shd w:val="clear" w:color="auto" w:fill="auto"/>
            <w:vAlign w:val="bottom"/>
          </w:tcPr>
          <w:p w:rsidR="007516AC" w:rsidRPr="00E24287" w:rsidRDefault="007516AC" w:rsidP="008B63A3">
            <w:pPr>
              <w:pStyle w:val="TableBodyText"/>
              <w:rPr>
                <w:b/>
                <w:sz w:val="18"/>
                <w:szCs w:val="18"/>
              </w:rPr>
            </w:pPr>
            <w:r w:rsidRPr="00E24287">
              <w:rPr>
                <w:b/>
                <w:sz w:val="18"/>
                <w:szCs w:val="18"/>
              </w:rPr>
              <w:t>11.3</w:t>
            </w:r>
          </w:p>
        </w:tc>
      </w:tr>
      <w:tr w:rsidR="007516AC" w:rsidTr="008B63A3">
        <w:trPr>
          <w:trHeight w:val="227"/>
        </w:trPr>
        <w:tc>
          <w:tcPr>
            <w:tcW w:w="1946" w:type="pct"/>
            <w:vAlign w:val="bottom"/>
          </w:tcPr>
          <w:p w:rsidR="007516AC" w:rsidRPr="00DC145C" w:rsidRDefault="007516AC" w:rsidP="008B63A3">
            <w:pPr>
              <w:pStyle w:val="TableBodyText"/>
              <w:jc w:val="left"/>
              <w:rPr>
                <w:b/>
                <w:sz w:val="18"/>
                <w:szCs w:val="18"/>
              </w:rPr>
            </w:pPr>
            <w:r w:rsidRPr="00DC145C">
              <w:rPr>
                <w:b/>
                <w:sz w:val="18"/>
                <w:szCs w:val="18"/>
              </w:rPr>
              <w:t>Manufacturing</w:t>
            </w:r>
          </w:p>
        </w:tc>
        <w:tc>
          <w:tcPr>
            <w:tcW w:w="586" w:type="pct"/>
            <w:vAlign w:val="bottom"/>
          </w:tcPr>
          <w:p w:rsidR="007516AC" w:rsidRPr="00E24287" w:rsidRDefault="007516AC" w:rsidP="008B63A3">
            <w:pPr>
              <w:pStyle w:val="TableBodyText"/>
              <w:rPr>
                <w:b/>
                <w:sz w:val="18"/>
                <w:szCs w:val="18"/>
              </w:rPr>
            </w:pPr>
            <w:r w:rsidRPr="00E24287">
              <w:rPr>
                <w:b/>
                <w:sz w:val="18"/>
                <w:szCs w:val="18"/>
              </w:rPr>
              <w:t>41.2</w:t>
            </w:r>
          </w:p>
        </w:tc>
        <w:tc>
          <w:tcPr>
            <w:tcW w:w="495" w:type="pct"/>
            <w:vAlign w:val="bottom"/>
          </w:tcPr>
          <w:p w:rsidR="007516AC" w:rsidRPr="00E24287" w:rsidRDefault="007516AC" w:rsidP="008B63A3">
            <w:pPr>
              <w:pStyle w:val="TableBodyText"/>
              <w:rPr>
                <w:b/>
                <w:sz w:val="18"/>
                <w:szCs w:val="18"/>
              </w:rPr>
            </w:pPr>
            <w:r w:rsidRPr="00E24287">
              <w:rPr>
                <w:b/>
                <w:sz w:val="18"/>
                <w:szCs w:val="18"/>
              </w:rPr>
              <w:t>47.8</w:t>
            </w:r>
          </w:p>
        </w:tc>
        <w:tc>
          <w:tcPr>
            <w:tcW w:w="495" w:type="pct"/>
            <w:vAlign w:val="bottom"/>
          </w:tcPr>
          <w:p w:rsidR="007516AC" w:rsidRPr="00E24287" w:rsidRDefault="007516AC" w:rsidP="008B63A3">
            <w:pPr>
              <w:pStyle w:val="TableBodyText"/>
              <w:rPr>
                <w:b/>
                <w:sz w:val="18"/>
                <w:szCs w:val="18"/>
              </w:rPr>
            </w:pPr>
            <w:r w:rsidRPr="00E24287">
              <w:rPr>
                <w:b/>
                <w:sz w:val="18"/>
                <w:szCs w:val="18"/>
              </w:rPr>
              <w:t>41.2</w:t>
            </w:r>
          </w:p>
        </w:tc>
        <w:tc>
          <w:tcPr>
            <w:tcW w:w="495" w:type="pct"/>
            <w:shd w:val="clear" w:color="auto" w:fill="auto"/>
            <w:vAlign w:val="bottom"/>
          </w:tcPr>
          <w:p w:rsidR="007516AC" w:rsidRPr="00E24287" w:rsidRDefault="007516AC" w:rsidP="008B63A3">
            <w:pPr>
              <w:pStyle w:val="TableBodyText"/>
              <w:rPr>
                <w:b/>
                <w:sz w:val="18"/>
                <w:szCs w:val="18"/>
              </w:rPr>
            </w:pPr>
            <w:r w:rsidRPr="00E24287">
              <w:rPr>
                <w:b/>
                <w:sz w:val="18"/>
                <w:szCs w:val="18"/>
              </w:rPr>
              <w:t>41.7</w:t>
            </w:r>
          </w:p>
        </w:tc>
        <w:tc>
          <w:tcPr>
            <w:tcW w:w="495" w:type="pct"/>
            <w:shd w:val="clear" w:color="auto" w:fill="auto"/>
            <w:vAlign w:val="bottom"/>
          </w:tcPr>
          <w:p w:rsidR="007516AC" w:rsidRPr="00E24287" w:rsidRDefault="007516AC" w:rsidP="008B63A3">
            <w:pPr>
              <w:pStyle w:val="TableBodyText"/>
              <w:rPr>
                <w:b/>
                <w:sz w:val="18"/>
                <w:szCs w:val="18"/>
              </w:rPr>
            </w:pPr>
            <w:r w:rsidRPr="00E24287">
              <w:rPr>
                <w:b/>
                <w:sz w:val="18"/>
                <w:szCs w:val="18"/>
              </w:rPr>
              <w:t>35.9</w:t>
            </w:r>
          </w:p>
        </w:tc>
        <w:tc>
          <w:tcPr>
            <w:tcW w:w="488" w:type="pct"/>
            <w:shd w:val="clear" w:color="auto" w:fill="auto"/>
            <w:vAlign w:val="bottom"/>
          </w:tcPr>
          <w:p w:rsidR="007516AC" w:rsidRPr="00E24287" w:rsidRDefault="007516AC" w:rsidP="008B63A3">
            <w:pPr>
              <w:pStyle w:val="TableBodyText"/>
              <w:rPr>
                <w:b/>
                <w:sz w:val="18"/>
                <w:szCs w:val="18"/>
              </w:rPr>
            </w:pPr>
            <w:r w:rsidRPr="00E24287">
              <w:rPr>
                <w:b/>
                <w:sz w:val="18"/>
                <w:szCs w:val="18"/>
              </w:rPr>
              <w:t>31.4</w:t>
            </w:r>
          </w:p>
        </w:tc>
      </w:tr>
      <w:tr w:rsidR="007516AC" w:rsidTr="008B63A3">
        <w:trPr>
          <w:trHeight w:val="227"/>
        </w:trPr>
        <w:tc>
          <w:tcPr>
            <w:tcW w:w="1946" w:type="pct"/>
            <w:vAlign w:val="bottom"/>
          </w:tcPr>
          <w:p w:rsidR="007516AC" w:rsidRPr="007758AB" w:rsidRDefault="007516AC" w:rsidP="008B63A3">
            <w:pPr>
              <w:pStyle w:val="TableBodyText"/>
              <w:jc w:val="left"/>
              <w:rPr>
                <w:sz w:val="18"/>
                <w:szCs w:val="18"/>
              </w:rPr>
            </w:pPr>
            <w:r w:rsidRPr="007758AB">
              <w:rPr>
                <w:sz w:val="18"/>
                <w:szCs w:val="18"/>
              </w:rPr>
              <w:t>Food, beverages and tobacco</w:t>
            </w:r>
          </w:p>
        </w:tc>
        <w:tc>
          <w:tcPr>
            <w:tcW w:w="586" w:type="pct"/>
            <w:vAlign w:val="bottom"/>
          </w:tcPr>
          <w:p w:rsidR="007516AC" w:rsidRPr="00E24287" w:rsidRDefault="007516AC" w:rsidP="008B63A3">
            <w:pPr>
              <w:pStyle w:val="TableBodyText"/>
              <w:rPr>
                <w:sz w:val="18"/>
                <w:szCs w:val="18"/>
              </w:rPr>
            </w:pPr>
            <w:r w:rsidRPr="00E24287">
              <w:rPr>
                <w:sz w:val="18"/>
                <w:szCs w:val="18"/>
              </w:rPr>
              <w:t>2.6</w:t>
            </w:r>
          </w:p>
        </w:tc>
        <w:tc>
          <w:tcPr>
            <w:tcW w:w="495" w:type="pct"/>
            <w:vAlign w:val="bottom"/>
          </w:tcPr>
          <w:p w:rsidR="007516AC" w:rsidRPr="00E24287" w:rsidRDefault="007516AC" w:rsidP="008B63A3">
            <w:pPr>
              <w:pStyle w:val="TableBodyText"/>
              <w:rPr>
                <w:sz w:val="18"/>
                <w:szCs w:val="18"/>
              </w:rPr>
            </w:pPr>
            <w:r w:rsidRPr="00E24287">
              <w:rPr>
                <w:sz w:val="18"/>
                <w:szCs w:val="18"/>
              </w:rPr>
              <w:t>2.6</w:t>
            </w:r>
          </w:p>
        </w:tc>
        <w:tc>
          <w:tcPr>
            <w:tcW w:w="495" w:type="pct"/>
            <w:vAlign w:val="bottom"/>
          </w:tcPr>
          <w:p w:rsidR="007516AC" w:rsidRPr="00E24287" w:rsidRDefault="007516AC" w:rsidP="008B63A3">
            <w:pPr>
              <w:pStyle w:val="TableBodyText"/>
              <w:rPr>
                <w:sz w:val="18"/>
                <w:szCs w:val="18"/>
              </w:rPr>
            </w:pPr>
            <w:r w:rsidRPr="00E24287">
              <w:rPr>
                <w:sz w:val="18"/>
                <w:szCs w:val="18"/>
              </w:rPr>
              <w:t>0.4</w:t>
            </w:r>
          </w:p>
        </w:tc>
        <w:tc>
          <w:tcPr>
            <w:tcW w:w="495" w:type="pct"/>
            <w:shd w:val="clear" w:color="auto" w:fill="auto"/>
            <w:vAlign w:val="bottom"/>
          </w:tcPr>
          <w:p w:rsidR="007516AC" w:rsidRPr="00E24287" w:rsidRDefault="007516AC" w:rsidP="008B63A3">
            <w:pPr>
              <w:pStyle w:val="TableBodyText"/>
              <w:rPr>
                <w:sz w:val="18"/>
                <w:szCs w:val="18"/>
              </w:rPr>
            </w:pPr>
            <w:r w:rsidRPr="00E24287">
              <w:rPr>
                <w:sz w:val="18"/>
                <w:szCs w:val="18"/>
              </w:rPr>
              <w:t>0.3</w:t>
            </w:r>
          </w:p>
        </w:tc>
        <w:tc>
          <w:tcPr>
            <w:tcW w:w="495" w:type="pct"/>
            <w:shd w:val="clear" w:color="auto" w:fill="auto"/>
            <w:vAlign w:val="bottom"/>
          </w:tcPr>
          <w:p w:rsidR="007516AC" w:rsidRPr="00E24287" w:rsidRDefault="007516AC" w:rsidP="008B63A3">
            <w:pPr>
              <w:pStyle w:val="TableBodyText"/>
              <w:rPr>
                <w:sz w:val="18"/>
                <w:szCs w:val="18"/>
              </w:rPr>
            </w:pPr>
            <w:r>
              <w:rPr>
                <w:sz w:val="18"/>
                <w:szCs w:val="18"/>
              </w:rPr>
              <w:noBreakHyphen/>
            </w:r>
          </w:p>
        </w:tc>
        <w:tc>
          <w:tcPr>
            <w:tcW w:w="488" w:type="pct"/>
            <w:shd w:val="clear" w:color="auto" w:fill="auto"/>
            <w:vAlign w:val="bottom"/>
          </w:tcPr>
          <w:p w:rsidR="007516AC" w:rsidRPr="00E24287" w:rsidRDefault="007516AC" w:rsidP="008B63A3">
            <w:pPr>
              <w:pStyle w:val="TableBodyText"/>
              <w:rPr>
                <w:sz w:val="18"/>
                <w:szCs w:val="18"/>
              </w:rPr>
            </w:pPr>
            <w:r>
              <w:rPr>
                <w:sz w:val="18"/>
                <w:szCs w:val="18"/>
              </w:rPr>
              <w:noBreakHyphen/>
            </w:r>
          </w:p>
        </w:tc>
      </w:tr>
      <w:tr w:rsidR="007516AC" w:rsidTr="008B63A3">
        <w:trPr>
          <w:trHeight w:val="227"/>
        </w:trPr>
        <w:tc>
          <w:tcPr>
            <w:tcW w:w="1946" w:type="pct"/>
            <w:vAlign w:val="bottom"/>
          </w:tcPr>
          <w:p w:rsidR="007516AC" w:rsidRPr="007758AB" w:rsidRDefault="007516AC" w:rsidP="008B63A3">
            <w:pPr>
              <w:pStyle w:val="TableBodyText"/>
              <w:jc w:val="left"/>
              <w:rPr>
                <w:sz w:val="18"/>
                <w:szCs w:val="18"/>
              </w:rPr>
            </w:pPr>
            <w:r w:rsidRPr="007758AB">
              <w:rPr>
                <w:sz w:val="18"/>
                <w:szCs w:val="18"/>
              </w:rPr>
              <w:t>Wood and paper products</w:t>
            </w:r>
          </w:p>
        </w:tc>
        <w:tc>
          <w:tcPr>
            <w:tcW w:w="586" w:type="pct"/>
            <w:vAlign w:val="bottom"/>
          </w:tcPr>
          <w:p w:rsidR="007516AC" w:rsidRPr="00E24287" w:rsidRDefault="007516AC" w:rsidP="008B63A3">
            <w:pPr>
              <w:pStyle w:val="TableBodyText"/>
              <w:rPr>
                <w:sz w:val="18"/>
                <w:szCs w:val="18"/>
              </w:rPr>
            </w:pPr>
            <w:r w:rsidRPr="00E24287">
              <w:rPr>
                <w:sz w:val="18"/>
                <w:szCs w:val="18"/>
              </w:rPr>
              <w:t>3.5</w:t>
            </w:r>
          </w:p>
        </w:tc>
        <w:tc>
          <w:tcPr>
            <w:tcW w:w="495" w:type="pct"/>
            <w:vAlign w:val="bottom"/>
          </w:tcPr>
          <w:p w:rsidR="007516AC" w:rsidRPr="00E24287" w:rsidRDefault="007516AC" w:rsidP="008B63A3">
            <w:pPr>
              <w:pStyle w:val="TableBodyText"/>
              <w:rPr>
                <w:sz w:val="18"/>
                <w:szCs w:val="18"/>
              </w:rPr>
            </w:pPr>
            <w:r w:rsidRPr="00E24287">
              <w:rPr>
                <w:sz w:val="18"/>
                <w:szCs w:val="18"/>
              </w:rPr>
              <w:t>2.3</w:t>
            </w:r>
          </w:p>
        </w:tc>
        <w:tc>
          <w:tcPr>
            <w:tcW w:w="495" w:type="pct"/>
            <w:vAlign w:val="bottom"/>
          </w:tcPr>
          <w:p w:rsidR="007516AC" w:rsidRPr="00E24287" w:rsidRDefault="007516AC" w:rsidP="008B63A3">
            <w:pPr>
              <w:pStyle w:val="TableBodyText"/>
              <w:rPr>
                <w:sz w:val="18"/>
                <w:szCs w:val="18"/>
              </w:rPr>
            </w:pPr>
            <w:r>
              <w:rPr>
                <w:sz w:val="18"/>
                <w:szCs w:val="18"/>
              </w:rPr>
              <w:noBreakHyphen/>
            </w:r>
          </w:p>
        </w:tc>
        <w:tc>
          <w:tcPr>
            <w:tcW w:w="495" w:type="pct"/>
            <w:shd w:val="clear" w:color="auto" w:fill="auto"/>
            <w:vAlign w:val="bottom"/>
          </w:tcPr>
          <w:p w:rsidR="007516AC" w:rsidRPr="00E24287" w:rsidRDefault="007516AC" w:rsidP="008B63A3">
            <w:pPr>
              <w:pStyle w:val="TableBodyText"/>
              <w:rPr>
                <w:sz w:val="18"/>
                <w:szCs w:val="18"/>
              </w:rPr>
            </w:pPr>
            <w:r>
              <w:rPr>
                <w:sz w:val="18"/>
                <w:szCs w:val="18"/>
              </w:rPr>
              <w:noBreakHyphen/>
            </w:r>
          </w:p>
        </w:tc>
        <w:tc>
          <w:tcPr>
            <w:tcW w:w="495" w:type="pct"/>
            <w:shd w:val="clear" w:color="auto" w:fill="auto"/>
            <w:vAlign w:val="bottom"/>
          </w:tcPr>
          <w:p w:rsidR="007516AC" w:rsidRPr="00E24287" w:rsidRDefault="007516AC" w:rsidP="008B63A3">
            <w:pPr>
              <w:pStyle w:val="TableBodyText"/>
              <w:rPr>
                <w:sz w:val="18"/>
                <w:szCs w:val="18"/>
              </w:rPr>
            </w:pPr>
            <w:r>
              <w:rPr>
                <w:sz w:val="18"/>
                <w:szCs w:val="18"/>
              </w:rPr>
              <w:noBreakHyphen/>
            </w:r>
          </w:p>
        </w:tc>
        <w:tc>
          <w:tcPr>
            <w:tcW w:w="488" w:type="pct"/>
            <w:shd w:val="clear" w:color="auto" w:fill="auto"/>
            <w:vAlign w:val="bottom"/>
          </w:tcPr>
          <w:p w:rsidR="007516AC" w:rsidRPr="00E24287" w:rsidRDefault="007516AC" w:rsidP="008B63A3">
            <w:pPr>
              <w:pStyle w:val="TableBodyText"/>
              <w:rPr>
                <w:sz w:val="18"/>
                <w:szCs w:val="18"/>
              </w:rPr>
            </w:pPr>
            <w:r>
              <w:rPr>
                <w:sz w:val="18"/>
                <w:szCs w:val="18"/>
              </w:rPr>
              <w:noBreakHyphen/>
            </w:r>
          </w:p>
        </w:tc>
      </w:tr>
      <w:tr w:rsidR="007516AC" w:rsidTr="008B63A3">
        <w:trPr>
          <w:trHeight w:val="227"/>
        </w:trPr>
        <w:tc>
          <w:tcPr>
            <w:tcW w:w="1946" w:type="pct"/>
            <w:vAlign w:val="bottom"/>
          </w:tcPr>
          <w:p w:rsidR="007516AC" w:rsidRPr="007758AB" w:rsidRDefault="007516AC" w:rsidP="008B63A3">
            <w:pPr>
              <w:pStyle w:val="TableBodyText"/>
              <w:jc w:val="left"/>
              <w:rPr>
                <w:sz w:val="18"/>
                <w:szCs w:val="18"/>
              </w:rPr>
            </w:pPr>
            <w:r w:rsidRPr="007758AB">
              <w:rPr>
                <w:sz w:val="18"/>
                <w:szCs w:val="18"/>
              </w:rPr>
              <w:t>Petroleum, coal, chemical and rubber products</w:t>
            </w:r>
          </w:p>
        </w:tc>
        <w:tc>
          <w:tcPr>
            <w:tcW w:w="586" w:type="pct"/>
            <w:vAlign w:val="bottom"/>
          </w:tcPr>
          <w:p w:rsidR="007516AC" w:rsidRPr="00E24287" w:rsidRDefault="007516AC" w:rsidP="008B63A3">
            <w:pPr>
              <w:pStyle w:val="TableBodyText"/>
              <w:rPr>
                <w:sz w:val="18"/>
                <w:szCs w:val="18"/>
              </w:rPr>
            </w:pPr>
            <w:r w:rsidRPr="00E24287">
              <w:rPr>
                <w:sz w:val="18"/>
                <w:szCs w:val="18"/>
              </w:rPr>
              <w:t>9.1</w:t>
            </w:r>
          </w:p>
        </w:tc>
        <w:tc>
          <w:tcPr>
            <w:tcW w:w="495" w:type="pct"/>
            <w:vAlign w:val="bottom"/>
          </w:tcPr>
          <w:p w:rsidR="007516AC" w:rsidRPr="00E24287" w:rsidRDefault="007516AC" w:rsidP="008B63A3">
            <w:pPr>
              <w:pStyle w:val="TableBodyText"/>
              <w:rPr>
                <w:sz w:val="18"/>
                <w:szCs w:val="18"/>
              </w:rPr>
            </w:pPr>
            <w:r w:rsidRPr="00E24287">
              <w:rPr>
                <w:sz w:val="18"/>
                <w:szCs w:val="18"/>
              </w:rPr>
              <w:t>13.9</w:t>
            </w:r>
          </w:p>
        </w:tc>
        <w:tc>
          <w:tcPr>
            <w:tcW w:w="495" w:type="pct"/>
            <w:vAlign w:val="bottom"/>
          </w:tcPr>
          <w:p w:rsidR="007516AC" w:rsidRPr="00E24287" w:rsidRDefault="007516AC" w:rsidP="008B63A3">
            <w:pPr>
              <w:pStyle w:val="TableBodyText"/>
              <w:rPr>
                <w:sz w:val="18"/>
                <w:szCs w:val="18"/>
              </w:rPr>
            </w:pPr>
            <w:r w:rsidRPr="00E24287">
              <w:rPr>
                <w:sz w:val="18"/>
                <w:szCs w:val="18"/>
              </w:rPr>
              <w:t>8.5</w:t>
            </w:r>
          </w:p>
        </w:tc>
        <w:tc>
          <w:tcPr>
            <w:tcW w:w="495" w:type="pct"/>
            <w:shd w:val="clear" w:color="auto" w:fill="auto"/>
            <w:vAlign w:val="bottom"/>
          </w:tcPr>
          <w:p w:rsidR="007516AC" w:rsidRPr="00E24287" w:rsidRDefault="007516AC" w:rsidP="008B63A3">
            <w:pPr>
              <w:pStyle w:val="TableBodyText"/>
              <w:rPr>
                <w:sz w:val="18"/>
                <w:szCs w:val="18"/>
              </w:rPr>
            </w:pPr>
            <w:r w:rsidRPr="00E24287">
              <w:rPr>
                <w:sz w:val="18"/>
                <w:szCs w:val="18"/>
              </w:rPr>
              <w:t>9.0</w:t>
            </w:r>
          </w:p>
        </w:tc>
        <w:tc>
          <w:tcPr>
            <w:tcW w:w="495" w:type="pct"/>
            <w:shd w:val="clear" w:color="auto" w:fill="auto"/>
            <w:vAlign w:val="bottom"/>
          </w:tcPr>
          <w:p w:rsidR="007516AC" w:rsidRPr="00E24287" w:rsidRDefault="007516AC" w:rsidP="008B63A3">
            <w:pPr>
              <w:pStyle w:val="TableBodyText"/>
              <w:rPr>
                <w:sz w:val="18"/>
                <w:szCs w:val="18"/>
              </w:rPr>
            </w:pPr>
            <w:r w:rsidRPr="00E24287">
              <w:rPr>
                <w:sz w:val="18"/>
                <w:szCs w:val="18"/>
              </w:rPr>
              <w:t>8.0</w:t>
            </w:r>
          </w:p>
        </w:tc>
        <w:tc>
          <w:tcPr>
            <w:tcW w:w="488" w:type="pct"/>
            <w:shd w:val="clear" w:color="auto" w:fill="auto"/>
            <w:vAlign w:val="bottom"/>
          </w:tcPr>
          <w:p w:rsidR="007516AC" w:rsidRPr="00E24287" w:rsidRDefault="007516AC" w:rsidP="008B63A3">
            <w:pPr>
              <w:pStyle w:val="TableBodyText"/>
              <w:rPr>
                <w:sz w:val="18"/>
                <w:szCs w:val="18"/>
              </w:rPr>
            </w:pPr>
            <w:r w:rsidRPr="00E24287">
              <w:rPr>
                <w:sz w:val="18"/>
                <w:szCs w:val="18"/>
              </w:rPr>
              <w:t>7.0</w:t>
            </w:r>
          </w:p>
        </w:tc>
      </w:tr>
      <w:tr w:rsidR="007516AC" w:rsidTr="008B63A3">
        <w:trPr>
          <w:trHeight w:val="227"/>
        </w:trPr>
        <w:tc>
          <w:tcPr>
            <w:tcW w:w="1946" w:type="pct"/>
            <w:vAlign w:val="bottom"/>
          </w:tcPr>
          <w:p w:rsidR="007516AC" w:rsidRPr="007758AB" w:rsidRDefault="007516AC" w:rsidP="008B63A3">
            <w:pPr>
              <w:pStyle w:val="TableBodyText"/>
              <w:jc w:val="left"/>
              <w:rPr>
                <w:sz w:val="18"/>
                <w:szCs w:val="18"/>
              </w:rPr>
            </w:pPr>
            <w:r w:rsidRPr="007758AB">
              <w:rPr>
                <w:sz w:val="18"/>
                <w:szCs w:val="18"/>
              </w:rPr>
              <w:t>Metal and fabricated metal products</w:t>
            </w:r>
          </w:p>
        </w:tc>
        <w:tc>
          <w:tcPr>
            <w:tcW w:w="586" w:type="pct"/>
            <w:vAlign w:val="bottom"/>
          </w:tcPr>
          <w:p w:rsidR="007516AC" w:rsidRPr="00E24287" w:rsidRDefault="007516AC" w:rsidP="008B63A3">
            <w:pPr>
              <w:pStyle w:val="TableBodyText"/>
              <w:rPr>
                <w:sz w:val="18"/>
                <w:szCs w:val="18"/>
              </w:rPr>
            </w:pPr>
            <w:r w:rsidRPr="00E24287">
              <w:rPr>
                <w:sz w:val="18"/>
                <w:szCs w:val="18"/>
              </w:rPr>
              <w:t>8.1</w:t>
            </w:r>
          </w:p>
        </w:tc>
        <w:tc>
          <w:tcPr>
            <w:tcW w:w="495" w:type="pct"/>
            <w:vAlign w:val="bottom"/>
          </w:tcPr>
          <w:p w:rsidR="007516AC" w:rsidRPr="00E24287" w:rsidRDefault="007516AC" w:rsidP="008B63A3">
            <w:pPr>
              <w:pStyle w:val="TableBodyText"/>
              <w:rPr>
                <w:sz w:val="18"/>
                <w:szCs w:val="18"/>
              </w:rPr>
            </w:pPr>
            <w:r w:rsidRPr="00E24287">
              <w:rPr>
                <w:sz w:val="18"/>
                <w:szCs w:val="18"/>
              </w:rPr>
              <w:t>8.3</w:t>
            </w:r>
          </w:p>
        </w:tc>
        <w:tc>
          <w:tcPr>
            <w:tcW w:w="495" w:type="pct"/>
            <w:vAlign w:val="bottom"/>
          </w:tcPr>
          <w:p w:rsidR="007516AC" w:rsidRPr="00E24287" w:rsidRDefault="007516AC" w:rsidP="008B63A3">
            <w:pPr>
              <w:pStyle w:val="TableBodyText"/>
              <w:rPr>
                <w:sz w:val="18"/>
                <w:szCs w:val="18"/>
              </w:rPr>
            </w:pPr>
            <w:r w:rsidRPr="00E24287">
              <w:rPr>
                <w:sz w:val="18"/>
                <w:szCs w:val="18"/>
              </w:rPr>
              <w:t>8.5</w:t>
            </w:r>
          </w:p>
        </w:tc>
        <w:tc>
          <w:tcPr>
            <w:tcW w:w="495" w:type="pct"/>
            <w:shd w:val="clear" w:color="auto" w:fill="auto"/>
            <w:vAlign w:val="bottom"/>
          </w:tcPr>
          <w:p w:rsidR="007516AC" w:rsidRPr="00E24287" w:rsidRDefault="007516AC" w:rsidP="008B63A3">
            <w:pPr>
              <w:pStyle w:val="TableBodyText"/>
              <w:rPr>
                <w:sz w:val="18"/>
                <w:szCs w:val="18"/>
              </w:rPr>
            </w:pPr>
            <w:r w:rsidRPr="00E24287">
              <w:rPr>
                <w:sz w:val="18"/>
                <w:szCs w:val="18"/>
              </w:rPr>
              <w:t>8.1</w:t>
            </w:r>
          </w:p>
        </w:tc>
        <w:tc>
          <w:tcPr>
            <w:tcW w:w="495" w:type="pct"/>
            <w:shd w:val="clear" w:color="auto" w:fill="auto"/>
            <w:vAlign w:val="bottom"/>
          </w:tcPr>
          <w:p w:rsidR="007516AC" w:rsidRPr="00E24287" w:rsidRDefault="007516AC" w:rsidP="008B63A3">
            <w:pPr>
              <w:pStyle w:val="TableBodyText"/>
              <w:rPr>
                <w:sz w:val="18"/>
                <w:szCs w:val="18"/>
              </w:rPr>
            </w:pPr>
            <w:r w:rsidRPr="00E24287">
              <w:rPr>
                <w:sz w:val="18"/>
                <w:szCs w:val="18"/>
              </w:rPr>
              <w:t>7.8</w:t>
            </w:r>
          </w:p>
        </w:tc>
        <w:tc>
          <w:tcPr>
            <w:tcW w:w="488" w:type="pct"/>
            <w:shd w:val="clear" w:color="auto" w:fill="auto"/>
            <w:vAlign w:val="bottom"/>
          </w:tcPr>
          <w:p w:rsidR="007516AC" w:rsidRPr="00E24287" w:rsidRDefault="007516AC" w:rsidP="008B63A3">
            <w:pPr>
              <w:pStyle w:val="TableBodyText"/>
              <w:rPr>
                <w:sz w:val="18"/>
                <w:szCs w:val="18"/>
              </w:rPr>
            </w:pPr>
            <w:r w:rsidRPr="00E24287">
              <w:rPr>
                <w:sz w:val="18"/>
                <w:szCs w:val="18"/>
              </w:rPr>
              <w:t>5.5</w:t>
            </w:r>
          </w:p>
        </w:tc>
      </w:tr>
      <w:tr w:rsidR="007516AC" w:rsidTr="008B63A3">
        <w:trPr>
          <w:trHeight w:val="227"/>
        </w:trPr>
        <w:tc>
          <w:tcPr>
            <w:tcW w:w="1946" w:type="pct"/>
            <w:vAlign w:val="bottom"/>
          </w:tcPr>
          <w:p w:rsidR="007516AC" w:rsidRPr="007758AB" w:rsidRDefault="007516AC" w:rsidP="008B63A3">
            <w:pPr>
              <w:pStyle w:val="TableBodyText"/>
              <w:jc w:val="left"/>
              <w:rPr>
                <w:sz w:val="18"/>
                <w:szCs w:val="18"/>
              </w:rPr>
            </w:pPr>
            <w:r w:rsidRPr="007758AB">
              <w:rPr>
                <w:sz w:val="18"/>
                <w:szCs w:val="18"/>
              </w:rPr>
              <w:t>Motor vehicle and parts</w:t>
            </w:r>
          </w:p>
        </w:tc>
        <w:tc>
          <w:tcPr>
            <w:tcW w:w="586" w:type="pct"/>
            <w:vAlign w:val="bottom"/>
          </w:tcPr>
          <w:p w:rsidR="007516AC" w:rsidRPr="00E24287" w:rsidRDefault="007516AC" w:rsidP="008B63A3">
            <w:pPr>
              <w:pStyle w:val="TableBodyText"/>
              <w:rPr>
                <w:sz w:val="18"/>
                <w:szCs w:val="18"/>
              </w:rPr>
            </w:pPr>
            <w:r w:rsidRPr="00E24287">
              <w:rPr>
                <w:sz w:val="18"/>
                <w:szCs w:val="18"/>
              </w:rPr>
              <w:t>5.1</w:t>
            </w:r>
          </w:p>
        </w:tc>
        <w:tc>
          <w:tcPr>
            <w:tcW w:w="495" w:type="pct"/>
            <w:vAlign w:val="bottom"/>
          </w:tcPr>
          <w:p w:rsidR="007516AC" w:rsidRPr="00E24287" w:rsidRDefault="007516AC" w:rsidP="008B63A3">
            <w:pPr>
              <w:pStyle w:val="TableBodyText"/>
              <w:rPr>
                <w:sz w:val="18"/>
                <w:szCs w:val="18"/>
              </w:rPr>
            </w:pPr>
            <w:r w:rsidRPr="00E24287">
              <w:rPr>
                <w:sz w:val="18"/>
                <w:szCs w:val="18"/>
              </w:rPr>
              <w:t>6.4</w:t>
            </w:r>
          </w:p>
        </w:tc>
        <w:tc>
          <w:tcPr>
            <w:tcW w:w="495" w:type="pct"/>
            <w:vAlign w:val="bottom"/>
          </w:tcPr>
          <w:p w:rsidR="007516AC" w:rsidRPr="00E24287" w:rsidRDefault="007516AC" w:rsidP="008B63A3">
            <w:pPr>
              <w:pStyle w:val="TableBodyText"/>
              <w:rPr>
                <w:sz w:val="18"/>
                <w:szCs w:val="18"/>
              </w:rPr>
            </w:pPr>
            <w:r w:rsidRPr="00E24287">
              <w:rPr>
                <w:sz w:val="18"/>
                <w:szCs w:val="18"/>
              </w:rPr>
              <w:t>6.2</w:t>
            </w:r>
          </w:p>
        </w:tc>
        <w:tc>
          <w:tcPr>
            <w:tcW w:w="495" w:type="pct"/>
            <w:shd w:val="clear" w:color="auto" w:fill="auto"/>
            <w:vAlign w:val="bottom"/>
          </w:tcPr>
          <w:p w:rsidR="007516AC" w:rsidRPr="00E24287" w:rsidRDefault="007516AC" w:rsidP="008B63A3">
            <w:pPr>
              <w:pStyle w:val="TableBodyText"/>
              <w:rPr>
                <w:sz w:val="18"/>
                <w:szCs w:val="18"/>
              </w:rPr>
            </w:pPr>
            <w:r w:rsidRPr="00E24287">
              <w:rPr>
                <w:sz w:val="18"/>
                <w:szCs w:val="18"/>
              </w:rPr>
              <w:t>6.1</w:t>
            </w:r>
          </w:p>
        </w:tc>
        <w:tc>
          <w:tcPr>
            <w:tcW w:w="495" w:type="pct"/>
            <w:shd w:val="clear" w:color="auto" w:fill="auto"/>
            <w:vAlign w:val="bottom"/>
          </w:tcPr>
          <w:p w:rsidR="007516AC" w:rsidRPr="00E24287" w:rsidRDefault="007516AC" w:rsidP="008B63A3">
            <w:pPr>
              <w:pStyle w:val="TableBodyText"/>
              <w:rPr>
                <w:sz w:val="18"/>
                <w:szCs w:val="18"/>
              </w:rPr>
            </w:pPr>
            <w:r w:rsidRPr="00E24287">
              <w:rPr>
                <w:sz w:val="18"/>
                <w:szCs w:val="18"/>
              </w:rPr>
              <w:t>5.5</w:t>
            </w:r>
          </w:p>
        </w:tc>
        <w:tc>
          <w:tcPr>
            <w:tcW w:w="488" w:type="pct"/>
            <w:shd w:val="clear" w:color="auto" w:fill="auto"/>
            <w:vAlign w:val="bottom"/>
          </w:tcPr>
          <w:p w:rsidR="007516AC" w:rsidRPr="00E24287" w:rsidRDefault="007516AC" w:rsidP="008B63A3">
            <w:pPr>
              <w:pStyle w:val="TableBodyText"/>
              <w:rPr>
                <w:sz w:val="18"/>
                <w:szCs w:val="18"/>
              </w:rPr>
            </w:pPr>
            <w:r w:rsidRPr="00E24287">
              <w:rPr>
                <w:sz w:val="18"/>
                <w:szCs w:val="18"/>
              </w:rPr>
              <w:t>5.0</w:t>
            </w:r>
          </w:p>
        </w:tc>
      </w:tr>
      <w:tr w:rsidR="007516AC" w:rsidTr="008B63A3">
        <w:trPr>
          <w:trHeight w:val="227"/>
        </w:trPr>
        <w:tc>
          <w:tcPr>
            <w:tcW w:w="1946" w:type="pct"/>
            <w:vAlign w:val="bottom"/>
          </w:tcPr>
          <w:p w:rsidR="007516AC" w:rsidRPr="007758AB" w:rsidRDefault="007516AC" w:rsidP="008B63A3">
            <w:pPr>
              <w:pStyle w:val="TableBodyText"/>
              <w:jc w:val="left"/>
              <w:rPr>
                <w:sz w:val="18"/>
                <w:szCs w:val="18"/>
              </w:rPr>
            </w:pPr>
            <w:r w:rsidRPr="007758AB">
              <w:rPr>
                <w:sz w:val="18"/>
                <w:szCs w:val="18"/>
              </w:rPr>
              <w:t>Other transport equipment</w:t>
            </w:r>
          </w:p>
        </w:tc>
        <w:tc>
          <w:tcPr>
            <w:tcW w:w="586" w:type="pct"/>
            <w:vAlign w:val="bottom"/>
          </w:tcPr>
          <w:p w:rsidR="007516AC" w:rsidRPr="00E24287" w:rsidRDefault="007516AC" w:rsidP="008B63A3">
            <w:pPr>
              <w:pStyle w:val="TableBodyText"/>
              <w:rPr>
                <w:sz w:val="18"/>
                <w:szCs w:val="18"/>
              </w:rPr>
            </w:pPr>
            <w:r w:rsidRPr="00E24287">
              <w:rPr>
                <w:sz w:val="18"/>
                <w:szCs w:val="18"/>
              </w:rPr>
              <w:t>3.7</w:t>
            </w:r>
          </w:p>
        </w:tc>
        <w:tc>
          <w:tcPr>
            <w:tcW w:w="495" w:type="pct"/>
            <w:vAlign w:val="bottom"/>
          </w:tcPr>
          <w:p w:rsidR="007516AC" w:rsidRPr="00E24287" w:rsidRDefault="007516AC" w:rsidP="008B63A3">
            <w:pPr>
              <w:pStyle w:val="TableBodyText"/>
              <w:rPr>
                <w:sz w:val="18"/>
                <w:szCs w:val="18"/>
              </w:rPr>
            </w:pPr>
            <w:r w:rsidRPr="00E24287">
              <w:rPr>
                <w:sz w:val="18"/>
                <w:szCs w:val="18"/>
              </w:rPr>
              <w:t>5.7</w:t>
            </w:r>
          </w:p>
        </w:tc>
        <w:tc>
          <w:tcPr>
            <w:tcW w:w="495" w:type="pct"/>
            <w:vAlign w:val="bottom"/>
          </w:tcPr>
          <w:p w:rsidR="007516AC" w:rsidRPr="00E24287" w:rsidRDefault="007516AC" w:rsidP="008B63A3">
            <w:pPr>
              <w:pStyle w:val="TableBodyText"/>
              <w:rPr>
                <w:sz w:val="18"/>
                <w:szCs w:val="18"/>
              </w:rPr>
            </w:pPr>
            <w:r w:rsidRPr="00E24287">
              <w:rPr>
                <w:sz w:val="18"/>
                <w:szCs w:val="18"/>
              </w:rPr>
              <w:t>6.9</w:t>
            </w:r>
          </w:p>
        </w:tc>
        <w:tc>
          <w:tcPr>
            <w:tcW w:w="495" w:type="pct"/>
            <w:shd w:val="clear" w:color="auto" w:fill="auto"/>
            <w:vAlign w:val="bottom"/>
          </w:tcPr>
          <w:p w:rsidR="007516AC" w:rsidRPr="00E24287" w:rsidRDefault="007516AC" w:rsidP="008B63A3">
            <w:pPr>
              <w:pStyle w:val="TableBodyText"/>
              <w:rPr>
                <w:sz w:val="18"/>
                <w:szCs w:val="18"/>
              </w:rPr>
            </w:pPr>
            <w:r w:rsidRPr="00E24287">
              <w:rPr>
                <w:sz w:val="18"/>
                <w:szCs w:val="18"/>
              </w:rPr>
              <w:t>7.4</w:t>
            </w:r>
          </w:p>
        </w:tc>
        <w:tc>
          <w:tcPr>
            <w:tcW w:w="495" w:type="pct"/>
            <w:shd w:val="clear" w:color="auto" w:fill="auto"/>
            <w:vAlign w:val="bottom"/>
          </w:tcPr>
          <w:p w:rsidR="007516AC" w:rsidRPr="00E24287" w:rsidRDefault="007516AC" w:rsidP="008B63A3">
            <w:pPr>
              <w:pStyle w:val="TableBodyText"/>
              <w:rPr>
                <w:sz w:val="18"/>
                <w:szCs w:val="18"/>
              </w:rPr>
            </w:pPr>
            <w:r w:rsidRPr="00E24287">
              <w:rPr>
                <w:sz w:val="18"/>
                <w:szCs w:val="18"/>
              </w:rPr>
              <w:t>5.2</w:t>
            </w:r>
          </w:p>
        </w:tc>
        <w:tc>
          <w:tcPr>
            <w:tcW w:w="488" w:type="pct"/>
            <w:shd w:val="clear" w:color="auto" w:fill="auto"/>
            <w:vAlign w:val="bottom"/>
          </w:tcPr>
          <w:p w:rsidR="007516AC" w:rsidRPr="00E24287" w:rsidRDefault="007516AC" w:rsidP="008B63A3">
            <w:pPr>
              <w:pStyle w:val="TableBodyText"/>
              <w:rPr>
                <w:sz w:val="18"/>
                <w:szCs w:val="18"/>
              </w:rPr>
            </w:pPr>
            <w:r w:rsidRPr="00E24287">
              <w:rPr>
                <w:sz w:val="18"/>
                <w:szCs w:val="18"/>
              </w:rPr>
              <w:t>5.1</w:t>
            </w:r>
          </w:p>
        </w:tc>
      </w:tr>
      <w:tr w:rsidR="007516AC" w:rsidTr="008B63A3">
        <w:trPr>
          <w:trHeight w:val="227"/>
        </w:trPr>
        <w:tc>
          <w:tcPr>
            <w:tcW w:w="1946" w:type="pct"/>
            <w:vAlign w:val="bottom"/>
          </w:tcPr>
          <w:p w:rsidR="007516AC" w:rsidRPr="007758AB" w:rsidRDefault="007516AC" w:rsidP="008B63A3">
            <w:pPr>
              <w:pStyle w:val="TableBodyText"/>
              <w:jc w:val="left"/>
              <w:rPr>
                <w:sz w:val="18"/>
                <w:szCs w:val="18"/>
              </w:rPr>
            </w:pPr>
            <w:r w:rsidRPr="007758AB">
              <w:rPr>
                <w:sz w:val="18"/>
                <w:szCs w:val="18"/>
              </w:rPr>
              <w:t>Machinery and equipment manufacturing</w:t>
            </w:r>
          </w:p>
        </w:tc>
        <w:tc>
          <w:tcPr>
            <w:tcW w:w="586" w:type="pct"/>
            <w:vAlign w:val="bottom"/>
          </w:tcPr>
          <w:p w:rsidR="007516AC" w:rsidRPr="00E24287" w:rsidRDefault="007516AC" w:rsidP="008B63A3">
            <w:pPr>
              <w:pStyle w:val="TableBodyText"/>
              <w:rPr>
                <w:sz w:val="18"/>
                <w:szCs w:val="18"/>
              </w:rPr>
            </w:pPr>
            <w:r w:rsidRPr="00E24287">
              <w:rPr>
                <w:sz w:val="18"/>
                <w:szCs w:val="18"/>
              </w:rPr>
              <w:t>5.5</w:t>
            </w:r>
          </w:p>
        </w:tc>
        <w:tc>
          <w:tcPr>
            <w:tcW w:w="495" w:type="pct"/>
            <w:vAlign w:val="bottom"/>
          </w:tcPr>
          <w:p w:rsidR="007516AC" w:rsidRPr="00E24287" w:rsidRDefault="007516AC" w:rsidP="008B63A3">
            <w:pPr>
              <w:pStyle w:val="TableBodyText"/>
              <w:rPr>
                <w:sz w:val="18"/>
                <w:szCs w:val="18"/>
              </w:rPr>
            </w:pPr>
            <w:r w:rsidRPr="00E24287">
              <w:rPr>
                <w:sz w:val="18"/>
                <w:szCs w:val="18"/>
              </w:rPr>
              <w:t>2.5</w:t>
            </w:r>
          </w:p>
        </w:tc>
        <w:tc>
          <w:tcPr>
            <w:tcW w:w="495" w:type="pct"/>
            <w:vAlign w:val="bottom"/>
          </w:tcPr>
          <w:p w:rsidR="007516AC" w:rsidRPr="00E24287" w:rsidRDefault="007516AC" w:rsidP="008B63A3">
            <w:pPr>
              <w:pStyle w:val="TableBodyText"/>
              <w:rPr>
                <w:sz w:val="18"/>
                <w:szCs w:val="18"/>
              </w:rPr>
            </w:pPr>
            <w:r w:rsidRPr="00E24287">
              <w:rPr>
                <w:sz w:val="18"/>
                <w:szCs w:val="18"/>
              </w:rPr>
              <w:t>3.9</w:t>
            </w:r>
          </w:p>
        </w:tc>
        <w:tc>
          <w:tcPr>
            <w:tcW w:w="495" w:type="pct"/>
            <w:shd w:val="clear" w:color="auto" w:fill="auto"/>
            <w:vAlign w:val="bottom"/>
          </w:tcPr>
          <w:p w:rsidR="007516AC" w:rsidRPr="00E24287" w:rsidRDefault="007516AC" w:rsidP="008B63A3">
            <w:pPr>
              <w:pStyle w:val="TableBodyText"/>
              <w:rPr>
                <w:sz w:val="18"/>
                <w:szCs w:val="18"/>
              </w:rPr>
            </w:pPr>
            <w:r w:rsidRPr="00E24287">
              <w:rPr>
                <w:sz w:val="18"/>
                <w:szCs w:val="18"/>
              </w:rPr>
              <w:t>2.8</w:t>
            </w:r>
          </w:p>
        </w:tc>
        <w:tc>
          <w:tcPr>
            <w:tcW w:w="495" w:type="pct"/>
            <w:shd w:val="clear" w:color="auto" w:fill="auto"/>
            <w:vAlign w:val="bottom"/>
          </w:tcPr>
          <w:p w:rsidR="007516AC" w:rsidRPr="00E24287" w:rsidRDefault="007516AC" w:rsidP="008B63A3">
            <w:pPr>
              <w:pStyle w:val="TableBodyText"/>
              <w:rPr>
                <w:sz w:val="18"/>
                <w:szCs w:val="18"/>
              </w:rPr>
            </w:pPr>
            <w:r w:rsidRPr="00E24287">
              <w:rPr>
                <w:sz w:val="18"/>
                <w:szCs w:val="18"/>
              </w:rPr>
              <w:t>2.5</w:t>
            </w:r>
          </w:p>
        </w:tc>
        <w:tc>
          <w:tcPr>
            <w:tcW w:w="488" w:type="pct"/>
            <w:shd w:val="clear" w:color="auto" w:fill="auto"/>
            <w:vAlign w:val="bottom"/>
          </w:tcPr>
          <w:p w:rsidR="007516AC" w:rsidRPr="00E24287" w:rsidRDefault="007516AC" w:rsidP="008B63A3">
            <w:pPr>
              <w:pStyle w:val="TableBodyText"/>
              <w:rPr>
                <w:sz w:val="18"/>
                <w:szCs w:val="18"/>
              </w:rPr>
            </w:pPr>
            <w:r w:rsidRPr="00E24287">
              <w:rPr>
                <w:sz w:val="18"/>
                <w:szCs w:val="18"/>
              </w:rPr>
              <w:t>2.0</w:t>
            </w:r>
          </w:p>
        </w:tc>
      </w:tr>
      <w:tr w:rsidR="007516AC" w:rsidTr="008B63A3">
        <w:trPr>
          <w:trHeight w:val="227"/>
        </w:trPr>
        <w:tc>
          <w:tcPr>
            <w:tcW w:w="1946" w:type="pct"/>
            <w:vAlign w:val="bottom"/>
          </w:tcPr>
          <w:p w:rsidR="007516AC" w:rsidRPr="007758AB" w:rsidRDefault="007516AC" w:rsidP="008B63A3">
            <w:pPr>
              <w:pStyle w:val="TableBodyText"/>
              <w:jc w:val="left"/>
              <w:rPr>
                <w:sz w:val="18"/>
                <w:szCs w:val="18"/>
              </w:rPr>
            </w:pPr>
            <w:r w:rsidRPr="007758AB">
              <w:rPr>
                <w:sz w:val="18"/>
                <w:szCs w:val="18"/>
              </w:rPr>
              <w:t>Furniture and other manufacturing</w:t>
            </w:r>
          </w:p>
        </w:tc>
        <w:tc>
          <w:tcPr>
            <w:tcW w:w="586" w:type="pct"/>
            <w:vAlign w:val="bottom"/>
          </w:tcPr>
          <w:p w:rsidR="007516AC" w:rsidRPr="00E24287" w:rsidRDefault="007516AC" w:rsidP="008B63A3">
            <w:pPr>
              <w:pStyle w:val="TableBodyText"/>
              <w:rPr>
                <w:sz w:val="18"/>
                <w:szCs w:val="18"/>
              </w:rPr>
            </w:pPr>
            <w:r>
              <w:rPr>
                <w:sz w:val="18"/>
                <w:szCs w:val="18"/>
              </w:rPr>
              <w:noBreakHyphen/>
            </w:r>
          </w:p>
        </w:tc>
        <w:tc>
          <w:tcPr>
            <w:tcW w:w="495" w:type="pct"/>
            <w:vAlign w:val="bottom"/>
          </w:tcPr>
          <w:p w:rsidR="007516AC" w:rsidRPr="00E24287" w:rsidRDefault="007516AC" w:rsidP="008B63A3">
            <w:pPr>
              <w:pStyle w:val="TableBodyText"/>
              <w:rPr>
                <w:sz w:val="18"/>
                <w:szCs w:val="18"/>
              </w:rPr>
            </w:pPr>
            <w:r w:rsidRPr="00E24287">
              <w:rPr>
                <w:sz w:val="18"/>
                <w:szCs w:val="18"/>
              </w:rPr>
              <w:t>2.5</w:t>
            </w:r>
          </w:p>
        </w:tc>
        <w:tc>
          <w:tcPr>
            <w:tcW w:w="495" w:type="pct"/>
            <w:vAlign w:val="bottom"/>
          </w:tcPr>
          <w:p w:rsidR="007516AC" w:rsidRPr="00E24287" w:rsidRDefault="007516AC" w:rsidP="008B63A3">
            <w:pPr>
              <w:pStyle w:val="TableBodyText"/>
              <w:rPr>
                <w:sz w:val="18"/>
                <w:szCs w:val="18"/>
              </w:rPr>
            </w:pPr>
            <w:r w:rsidRPr="00E24287">
              <w:rPr>
                <w:sz w:val="18"/>
                <w:szCs w:val="18"/>
              </w:rPr>
              <w:t>4.1</w:t>
            </w:r>
          </w:p>
        </w:tc>
        <w:tc>
          <w:tcPr>
            <w:tcW w:w="495" w:type="pct"/>
            <w:shd w:val="clear" w:color="auto" w:fill="auto"/>
            <w:vAlign w:val="bottom"/>
          </w:tcPr>
          <w:p w:rsidR="007516AC" w:rsidRPr="00E24287" w:rsidRDefault="007516AC" w:rsidP="008B63A3">
            <w:pPr>
              <w:pStyle w:val="TableBodyText"/>
              <w:rPr>
                <w:sz w:val="18"/>
                <w:szCs w:val="18"/>
              </w:rPr>
            </w:pPr>
            <w:r w:rsidRPr="00E24287">
              <w:rPr>
                <w:sz w:val="18"/>
                <w:szCs w:val="18"/>
              </w:rPr>
              <w:t>6.0</w:t>
            </w:r>
          </w:p>
        </w:tc>
        <w:tc>
          <w:tcPr>
            <w:tcW w:w="495" w:type="pct"/>
            <w:shd w:val="clear" w:color="auto" w:fill="auto"/>
            <w:vAlign w:val="bottom"/>
          </w:tcPr>
          <w:p w:rsidR="007516AC" w:rsidRPr="00E24287" w:rsidRDefault="007516AC" w:rsidP="008B63A3">
            <w:pPr>
              <w:pStyle w:val="TableBodyText"/>
              <w:rPr>
                <w:sz w:val="18"/>
                <w:szCs w:val="18"/>
              </w:rPr>
            </w:pPr>
            <w:r w:rsidRPr="00E24287">
              <w:rPr>
                <w:sz w:val="18"/>
                <w:szCs w:val="18"/>
              </w:rPr>
              <w:t>6.8</w:t>
            </w:r>
          </w:p>
        </w:tc>
        <w:tc>
          <w:tcPr>
            <w:tcW w:w="488" w:type="pct"/>
            <w:shd w:val="clear" w:color="auto" w:fill="auto"/>
            <w:vAlign w:val="bottom"/>
          </w:tcPr>
          <w:p w:rsidR="007516AC" w:rsidRPr="00E24287" w:rsidRDefault="007516AC" w:rsidP="008B63A3">
            <w:pPr>
              <w:pStyle w:val="TableBodyText"/>
              <w:rPr>
                <w:sz w:val="18"/>
                <w:szCs w:val="18"/>
              </w:rPr>
            </w:pPr>
            <w:r w:rsidRPr="00E24287">
              <w:rPr>
                <w:sz w:val="18"/>
                <w:szCs w:val="18"/>
              </w:rPr>
              <w:t>6.8</w:t>
            </w:r>
          </w:p>
        </w:tc>
      </w:tr>
      <w:tr w:rsidR="007516AC" w:rsidTr="008B63A3">
        <w:trPr>
          <w:trHeight w:val="227"/>
        </w:trPr>
        <w:tc>
          <w:tcPr>
            <w:tcW w:w="1946" w:type="pct"/>
            <w:vAlign w:val="bottom"/>
          </w:tcPr>
          <w:p w:rsidR="007516AC" w:rsidRPr="007758AB" w:rsidRDefault="007516AC" w:rsidP="008B63A3">
            <w:pPr>
              <w:pStyle w:val="TableBodyText"/>
              <w:jc w:val="left"/>
              <w:rPr>
                <w:sz w:val="18"/>
                <w:szCs w:val="18"/>
              </w:rPr>
            </w:pPr>
            <w:r>
              <w:rPr>
                <w:sz w:val="18"/>
                <w:szCs w:val="18"/>
              </w:rPr>
              <w:t>Unallocated manufacturing</w:t>
            </w:r>
            <w:r w:rsidRPr="00682BD4">
              <w:rPr>
                <w:rStyle w:val="NoteLabel"/>
                <w:szCs w:val="18"/>
              </w:rPr>
              <w:t>a</w:t>
            </w:r>
          </w:p>
        </w:tc>
        <w:tc>
          <w:tcPr>
            <w:tcW w:w="586" w:type="pct"/>
            <w:vAlign w:val="bottom"/>
          </w:tcPr>
          <w:p w:rsidR="007516AC" w:rsidRPr="00E24287" w:rsidRDefault="007516AC" w:rsidP="008B63A3">
            <w:pPr>
              <w:pStyle w:val="TableBodyText"/>
              <w:rPr>
                <w:sz w:val="18"/>
                <w:szCs w:val="18"/>
              </w:rPr>
            </w:pPr>
            <w:r w:rsidRPr="00E24287">
              <w:rPr>
                <w:sz w:val="18"/>
                <w:szCs w:val="18"/>
              </w:rPr>
              <w:t>3.5</w:t>
            </w:r>
          </w:p>
        </w:tc>
        <w:tc>
          <w:tcPr>
            <w:tcW w:w="495" w:type="pct"/>
            <w:vAlign w:val="bottom"/>
          </w:tcPr>
          <w:p w:rsidR="007516AC" w:rsidRPr="00E24287" w:rsidRDefault="007516AC" w:rsidP="008B63A3">
            <w:pPr>
              <w:pStyle w:val="TableBodyText"/>
              <w:rPr>
                <w:sz w:val="18"/>
                <w:szCs w:val="18"/>
              </w:rPr>
            </w:pPr>
            <w:r w:rsidRPr="00E24287">
              <w:rPr>
                <w:sz w:val="18"/>
                <w:szCs w:val="18"/>
              </w:rPr>
              <w:t>3.5</w:t>
            </w:r>
          </w:p>
        </w:tc>
        <w:tc>
          <w:tcPr>
            <w:tcW w:w="495" w:type="pct"/>
            <w:vAlign w:val="bottom"/>
          </w:tcPr>
          <w:p w:rsidR="007516AC" w:rsidRPr="00E24287" w:rsidRDefault="007516AC" w:rsidP="008B63A3">
            <w:pPr>
              <w:pStyle w:val="TableBodyText"/>
              <w:rPr>
                <w:sz w:val="18"/>
                <w:szCs w:val="18"/>
              </w:rPr>
            </w:pPr>
            <w:r w:rsidRPr="00E24287">
              <w:rPr>
                <w:sz w:val="18"/>
                <w:szCs w:val="18"/>
              </w:rPr>
              <w:t>2.6</w:t>
            </w:r>
          </w:p>
        </w:tc>
        <w:tc>
          <w:tcPr>
            <w:tcW w:w="495" w:type="pct"/>
            <w:shd w:val="clear" w:color="auto" w:fill="auto"/>
            <w:vAlign w:val="bottom"/>
          </w:tcPr>
          <w:p w:rsidR="007516AC" w:rsidRPr="00E24287" w:rsidRDefault="007516AC" w:rsidP="008B63A3">
            <w:pPr>
              <w:pStyle w:val="TableBodyText"/>
              <w:rPr>
                <w:sz w:val="18"/>
                <w:szCs w:val="18"/>
              </w:rPr>
            </w:pPr>
            <w:r w:rsidRPr="00E24287">
              <w:rPr>
                <w:sz w:val="18"/>
                <w:szCs w:val="18"/>
              </w:rPr>
              <w:t>2.0</w:t>
            </w:r>
          </w:p>
        </w:tc>
        <w:tc>
          <w:tcPr>
            <w:tcW w:w="495" w:type="pct"/>
            <w:shd w:val="clear" w:color="auto" w:fill="auto"/>
            <w:vAlign w:val="bottom"/>
          </w:tcPr>
          <w:p w:rsidR="007516AC" w:rsidRPr="00E24287" w:rsidRDefault="007516AC" w:rsidP="008B63A3">
            <w:pPr>
              <w:pStyle w:val="TableBodyText"/>
              <w:rPr>
                <w:sz w:val="18"/>
                <w:szCs w:val="18"/>
              </w:rPr>
            </w:pPr>
            <w:r>
              <w:rPr>
                <w:sz w:val="18"/>
                <w:szCs w:val="18"/>
              </w:rPr>
              <w:noBreakHyphen/>
            </w:r>
          </w:p>
        </w:tc>
        <w:tc>
          <w:tcPr>
            <w:tcW w:w="488" w:type="pct"/>
            <w:shd w:val="clear" w:color="auto" w:fill="auto"/>
            <w:vAlign w:val="bottom"/>
          </w:tcPr>
          <w:p w:rsidR="007516AC" w:rsidRPr="00E24287" w:rsidRDefault="007516AC" w:rsidP="008B63A3">
            <w:pPr>
              <w:pStyle w:val="TableBodyText"/>
              <w:rPr>
                <w:sz w:val="18"/>
                <w:szCs w:val="18"/>
              </w:rPr>
            </w:pPr>
            <w:r>
              <w:rPr>
                <w:sz w:val="18"/>
                <w:szCs w:val="18"/>
              </w:rPr>
              <w:noBreakHyphen/>
            </w:r>
          </w:p>
        </w:tc>
      </w:tr>
      <w:tr w:rsidR="007516AC" w:rsidTr="008B63A3">
        <w:trPr>
          <w:trHeight w:val="227"/>
        </w:trPr>
        <w:tc>
          <w:tcPr>
            <w:tcW w:w="1946" w:type="pct"/>
            <w:vAlign w:val="bottom"/>
          </w:tcPr>
          <w:p w:rsidR="007516AC" w:rsidRPr="00DC145C" w:rsidRDefault="007516AC" w:rsidP="008B63A3">
            <w:pPr>
              <w:pStyle w:val="TableBodyText"/>
              <w:jc w:val="left"/>
              <w:rPr>
                <w:b/>
                <w:sz w:val="18"/>
                <w:szCs w:val="18"/>
              </w:rPr>
            </w:pPr>
            <w:r w:rsidRPr="00DC145C">
              <w:rPr>
                <w:b/>
                <w:sz w:val="18"/>
                <w:szCs w:val="18"/>
              </w:rPr>
              <w:t>Services</w:t>
            </w:r>
          </w:p>
        </w:tc>
        <w:tc>
          <w:tcPr>
            <w:tcW w:w="586" w:type="pct"/>
            <w:vAlign w:val="bottom"/>
          </w:tcPr>
          <w:p w:rsidR="007516AC" w:rsidRPr="00E24287" w:rsidRDefault="007516AC" w:rsidP="008B63A3">
            <w:pPr>
              <w:pStyle w:val="TableBodyText"/>
              <w:rPr>
                <w:b/>
                <w:sz w:val="18"/>
                <w:szCs w:val="18"/>
              </w:rPr>
            </w:pPr>
            <w:r w:rsidRPr="00E24287">
              <w:rPr>
                <w:b/>
                <w:sz w:val="18"/>
                <w:szCs w:val="18"/>
              </w:rPr>
              <w:t>43.8</w:t>
            </w:r>
          </w:p>
        </w:tc>
        <w:tc>
          <w:tcPr>
            <w:tcW w:w="495" w:type="pct"/>
            <w:vAlign w:val="bottom"/>
          </w:tcPr>
          <w:p w:rsidR="007516AC" w:rsidRPr="00E24287" w:rsidRDefault="007516AC" w:rsidP="008B63A3">
            <w:pPr>
              <w:pStyle w:val="TableBodyText"/>
              <w:rPr>
                <w:b/>
                <w:sz w:val="18"/>
                <w:szCs w:val="18"/>
              </w:rPr>
            </w:pPr>
            <w:r w:rsidRPr="00E24287">
              <w:rPr>
                <w:b/>
                <w:sz w:val="18"/>
                <w:szCs w:val="18"/>
              </w:rPr>
              <w:t>50.1</w:t>
            </w:r>
          </w:p>
        </w:tc>
        <w:tc>
          <w:tcPr>
            <w:tcW w:w="495" w:type="pct"/>
            <w:vAlign w:val="bottom"/>
          </w:tcPr>
          <w:p w:rsidR="007516AC" w:rsidRPr="00E24287" w:rsidRDefault="007516AC" w:rsidP="008B63A3">
            <w:pPr>
              <w:pStyle w:val="TableBodyText"/>
              <w:rPr>
                <w:b/>
                <w:sz w:val="18"/>
                <w:szCs w:val="18"/>
              </w:rPr>
            </w:pPr>
            <w:r w:rsidRPr="00E24287">
              <w:rPr>
                <w:b/>
                <w:sz w:val="18"/>
                <w:szCs w:val="18"/>
              </w:rPr>
              <w:t>34.9</w:t>
            </w:r>
          </w:p>
        </w:tc>
        <w:tc>
          <w:tcPr>
            <w:tcW w:w="495" w:type="pct"/>
            <w:shd w:val="clear" w:color="auto" w:fill="auto"/>
            <w:vAlign w:val="bottom"/>
          </w:tcPr>
          <w:p w:rsidR="007516AC" w:rsidRPr="00E24287" w:rsidRDefault="007516AC" w:rsidP="008B63A3">
            <w:pPr>
              <w:pStyle w:val="TableBodyText"/>
              <w:rPr>
                <w:b/>
                <w:sz w:val="18"/>
                <w:szCs w:val="18"/>
              </w:rPr>
            </w:pPr>
            <w:r w:rsidRPr="00E24287">
              <w:rPr>
                <w:b/>
                <w:sz w:val="18"/>
                <w:szCs w:val="18"/>
              </w:rPr>
              <w:t>34.5</w:t>
            </w:r>
          </w:p>
        </w:tc>
        <w:tc>
          <w:tcPr>
            <w:tcW w:w="495" w:type="pct"/>
            <w:shd w:val="clear" w:color="auto" w:fill="auto"/>
            <w:vAlign w:val="bottom"/>
          </w:tcPr>
          <w:p w:rsidR="007516AC" w:rsidRPr="00E24287" w:rsidRDefault="007516AC" w:rsidP="008B63A3">
            <w:pPr>
              <w:pStyle w:val="TableBodyText"/>
              <w:rPr>
                <w:b/>
                <w:sz w:val="18"/>
                <w:szCs w:val="18"/>
              </w:rPr>
            </w:pPr>
            <w:r w:rsidRPr="00E24287">
              <w:rPr>
                <w:b/>
                <w:sz w:val="18"/>
                <w:szCs w:val="18"/>
              </w:rPr>
              <w:t>41.2</w:t>
            </w:r>
          </w:p>
        </w:tc>
        <w:tc>
          <w:tcPr>
            <w:tcW w:w="488" w:type="pct"/>
            <w:shd w:val="clear" w:color="auto" w:fill="auto"/>
            <w:vAlign w:val="bottom"/>
          </w:tcPr>
          <w:p w:rsidR="007516AC" w:rsidRPr="00E24287" w:rsidRDefault="007516AC" w:rsidP="008B63A3">
            <w:pPr>
              <w:pStyle w:val="TableBodyText"/>
              <w:rPr>
                <w:b/>
                <w:sz w:val="18"/>
                <w:szCs w:val="18"/>
              </w:rPr>
            </w:pPr>
            <w:r w:rsidRPr="00E24287">
              <w:rPr>
                <w:b/>
                <w:sz w:val="18"/>
                <w:szCs w:val="18"/>
              </w:rPr>
              <w:t>49.7</w:t>
            </w:r>
          </w:p>
        </w:tc>
      </w:tr>
      <w:tr w:rsidR="007516AC" w:rsidTr="008B63A3">
        <w:trPr>
          <w:trHeight w:val="227"/>
        </w:trPr>
        <w:tc>
          <w:tcPr>
            <w:tcW w:w="1946" w:type="pct"/>
            <w:vAlign w:val="bottom"/>
          </w:tcPr>
          <w:p w:rsidR="007516AC" w:rsidRPr="007758AB" w:rsidRDefault="007516AC" w:rsidP="008B63A3">
            <w:pPr>
              <w:pStyle w:val="TableBodyText"/>
              <w:jc w:val="left"/>
              <w:rPr>
                <w:sz w:val="18"/>
                <w:szCs w:val="18"/>
              </w:rPr>
            </w:pPr>
            <w:r w:rsidRPr="007758AB">
              <w:rPr>
                <w:sz w:val="18"/>
                <w:szCs w:val="18"/>
              </w:rPr>
              <w:t>Electricity, gas, water and waste services</w:t>
            </w:r>
          </w:p>
        </w:tc>
        <w:tc>
          <w:tcPr>
            <w:tcW w:w="586" w:type="pct"/>
            <w:vAlign w:val="bottom"/>
          </w:tcPr>
          <w:p w:rsidR="007516AC" w:rsidRPr="00E24287" w:rsidRDefault="007516AC" w:rsidP="008B63A3">
            <w:pPr>
              <w:pStyle w:val="TableBodyText"/>
              <w:rPr>
                <w:sz w:val="18"/>
                <w:szCs w:val="18"/>
              </w:rPr>
            </w:pPr>
            <w:r w:rsidRPr="00E24287">
              <w:rPr>
                <w:sz w:val="18"/>
                <w:szCs w:val="18"/>
              </w:rPr>
              <w:t>4.5</w:t>
            </w:r>
          </w:p>
        </w:tc>
        <w:tc>
          <w:tcPr>
            <w:tcW w:w="495" w:type="pct"/>
            <w:vAlign w:val="bottom"/>
          </w:tcPr>
          <w:p w:rsidR="007516AC" w:rsidRPr="00E24287" w:rsidRDefault="007516AC" w:rsidP="008B63A3">
            <w:pPr>
              <w:pStyle w:val="TableBodyText"/>
              <w:rPr>
                <w:sz w:val="18"/>
                <w:szCs w:val="18"/>
              </w:rPr>
            </w:pPr>
            <w:r w:rsidRPr="00E24287">
              <w:rPr>
                <w:sz w:val="18"/>
                <w:szCs w:val="18"/>
              </w:rPr>
              <w:t>4.0</w:t>
            </w:r>
          </w:p>
        </w:tc>
        <w:tc>
          <w:tcPr>
            <w:tcW w:w="495" w:type="pct"/>
            <w:vAlign w:val="bottom"/>
          </w:tcPr>
          <w:p w:rsidR="007516AC" w:rsidRPr="00E24287" w:rsidRDefault="007516AC" w:rsidP="008B63A3">
            <w:pPr>
              <w:pStyle w:val="TableBodyText"/>
              <w:rPr>
                <w:sz w:val="18"/>
                <w:szCs w:val="18"/>
              </w:rPr>
            </w:pPr>
            <w:r>
              <w:rPr>
                <w:sz w:val="18"/>
                <w:szCs w:val="18"/>
              </w:rPr>
              <w:noBreakHyphen/>
            </w:r>
          </w:p>
        </w:tc>
        <w:tc>
          <w:tcPr>
            <w:tcW w:w="495" w:type="pct"/>
            <w:shd w:val="clear" w:color="auto" w:fill="auto"/>
            <w:vAlign w:val="bottom"/>
          </w:tcPr>
          <w:p w:rsidR="007516AC" w:rsidRPr="00E24287" w:rsidRDefault="007516AC" w:rsidP="008B63A3">
            <w:pPr>
              <w:pStyle w:val="TableBodyText"/>
              <w:rPr>
                <w:sz w:val="18"/>
                <w:szCs w:val="18"/>
              </w:rPr>
            </w:pPr>
            <w:r>
              <w:rPr>
                <w:sz w:val="18"/>
                <w:szCs w:val="18"/>
              </w:rPr>
              <w:noBreakHyphen/>
            </w:r>
          </w:p>
        </w:tc>
        <w:tc>
          <w:tcPr>
            <w:tcW w:w="495" w:type="pct"/>
            <w:shd w:val="clear" w:color="auto" w:fill="auto"/>
            <w:vAlign w:val="bottom"/>
          </w:tcPr>
          <w:p w:rsidR="007516AC" w:rsidRPr="00E24287" w:rsidRDefault="007516AC" w:rsidP="008B63A3">
            <w:pPr>
              <w:pStyle w:val="TableBodyText"/>
              <w:rPr>
                <w:sz w:val="18"/>
                <w:szCs w:val="18"/>
              </w:rPr>
            </w:pPr>
            <w:r>
              <w:rPr>
                <w:sz w:val="18"/>
                <w:szCs w:val="18"/>
              </w:rPr>
              <w:noBreakHyphen/>
            </w:r>
          </w:p>
        </w:tc>
        <w:tc>
          <w:tcPr>
            <w:tcW w:w="488" w:type="pct"/>
            <w:shd w:val="clear" w:color="auto" w:fill="auto"/>
            <w:vAlign w:val="bottom"/>
          </w:tcPr>
          <w:p w:rsidR="007516AC" w:rsidRPr="00E24287" w:rsidRDefault="007516AC" w:rsidP="008B63A3">
            <w:pPr>
              <w:pStyle w:val="TableBodyText"/>
              <w:rPr>
                <w:sz w:val="18"/>
                <w:szCs w:val="18"/>
              </w:rPr>
            </w:pPr>
            <w:r>
              <w:rPr>
                <w:sz w:val="18"/>
                <w:szCs w:val="18"/>
              </w:rPr>
              <w:noBreakHyphen/>
            </w:r>
          </w:p>
        </w:tc>
      </w:tr>
      <w:tr w:rsidR="007516AC" w:rsidTr="008B63A3">
        <w:trPr>
          <w:trHeight w:val="227"/>
        </w:trPr>
        <w:tc>
          <w:tcPr>
            <w:tcW w:w="1946" w:type="pct"/>
            <w:vAlign w:val="bottom"/>
          </w:tcPr>
          <w:p w:rsidR="007516AC" w:rsidRPr="007758AB" w:rsidRDefault="007516AC" w:rsidP="008B63A3">
            <w:pPr>
              <w:pStyle w:val="TableBodyText"/>
              <w:jc w:val="left"/>
              <w:rPr>
                <w:sz w:val="18"/>
                <w:szCs w:val="18"/>
              </w:rPr>
            </w:pPr>
            <w:r w:rsidRPr="007758AB">
              <w:rPr>
                <w:sz w:val="18"/>
                <w:szCs w:val="18"/>
              </w:rPr>
              <w:t>Construction</w:t>
            </w:r>
          </w:p>
        </w:tc>
        <w:tc>
          <w:tcPr>
            <w:tcW w:w="586" w:type="pct"/>
            <w:vAlign w:val="bottom"/>
          </w:tcPr>
          <w:p w:rsidR="007516AC" w:rsidRPr="00E24287" w:rsidRDefault="007516AC" w:rsidP="008B63A3">
            <w:pPr>
              <w:pStyle w:val="TableBodyText"/>
              <w:rPr>
                <w:sz w:val="18"/>
                <w:szCs w:val="18"/>
              </w:rPr>
            </w:pPr>
            <w:r w:rsidRPr="00E24287">
              <w:rPr>
                <w:sz w:val="18"/>
                <w:szCs w:val="18"/>
              </w:rPr>
              <w:t>1.8</w:t>
            </w:r>
          </w:p>
        </w:tc>
        <w:tc>
          <w:tcPr>
            <w:tcW w:w="495" w:type="pct"/>
            <w:vAlign w:val="bottom"/>
          </w:tcPr>
          <w:p w:rsidR="007516AC" w:rsidRPr="00E24287" w:rsidRDefault="007516AC" w:rsidP="008B63A3">
            <w:pPr>
              <w:pStyle w:val="TableBodyText"/>
              <w:rPr>
                <w:sz w:val="18"/>
                <w:szCs w:val="18"/>
              </w:rPr>
            </w:pPr>
            <w:r w:rsidRPr="00E24287">
              <w:rPr>
                <w:sz w:val="18"/>
                <w:szCs w:val="18"/>
              </w:rPr>
              <w:t>1.5</w:t>
            </w:r>
          </w:p>
        </w:tc>
        <w:tc>
          <w:tcPr>
            <w:tcW w:w="495" w:type="pct"/>
            <w:vAlign w:val="bottom"/>
          </w:tcPr>
          <w:p w:rsidR="007516AC" w:rsidRPr="00E24287" w:rsidRDefault="007516AC" w:rsidP="008B63A3">
            <w:pPr>
              <w:pStyle w:val="TableBodyText"/>
              <w:rPr>
                <w:sz w:val="18"/>
                <w:szCs w:val="18"/>
              </w:rPr>
            </w:pPr>
            <w:r>
              <w:rPr>
                <w:sz w:val="18"/>
                <w:szCs w:val="18"/>
              </w:rPr>
              <w:noBreakHyphen/>
            </w:r>
          </w:p>
        </w:tc>
        <w:tc>
          <w:tcPr>
            <w:tcW w:w="495" w:type="pct"/>
            <w:shd w:val="clear" w:color="auto" w:fill="auto"/>
            <w:vAlign w:val="bottom"/>
          </w:tcPr>
          <w:p w:rsidR="007516AC" w:rsidRPr="00E24287" w:rsidRDefault="007516AC" w:rsidP="008B63A3">
            <w:pPr>
              <w:pStyle w:val="TableBodyText"/>
              <w:rPr>
                <w:sz w:val="18"/>
                <w:szCs w:val="18"/>
              </w:rPr>
            </w:pPr>
            <w:r w:rsidRPr="00E24287">
              <w:rPr>
                <w:sz w:val="18"/>
                <w:szCs w:val="18"/>
              </w:rPr>
              <w:t>0.4</w:t>
            </w:r>
          </w:p>
        </w:tc>
        <w:tc>
          <w:tcPr>
            <w:tcW w:w="495" w:type="pct"/>
            <w:shd w:val="clear" w:color="auto" w:fill="auto"/>
            <w:vAlign w:val="bottom"/>
          </w:tcPr>
          <w:p w:rsidR="007516AC" w:rsidRPr="00E24287" w:rsidRDefault="007516AC" w:rsidP="008B63A3">
            <w:pPr>
              <w:pStyle w:val="TableBodyText"/>
              <w:rPr>
                <w:sz w:val="18"/>
                <w:szCs w:val="18"/>
              </w:rPr>
            </w:pPr>
            <w:r>
              <w:rPr>
                <w:sz w:val="18"/>
                <w:szCs w:val="18"/>
              </w:rPr>
              <w:noBreakHyphen/>
            </w:r>
          </w:p>
        </w:tc>
        <w:tc>
          <w:tcPr>
            <w:tcW w:w="488" w:type="pct"/>
            <w:shd w:val="clear" w:color="auto" w:fill="auto"/>
            <w:vAlign w:val="bottom"/>
          </w:tcPr>
          <w:p w:rsidR="007516AC" w:rsidRPr="00E24287" w:rsidRDefault="007516AC" w:rsidP="008B63A3">
            <w:pPr>
              <w:pStyle w:val="TableBodyText"/>
              <w:rPr>
                <w:sz w:val="18"/>
                <w:szCs w:val="18"/>
              </w:rPr>
            </w:pPr>
            <w:r>
              <w:rPr>
                <w:sz w:val="18"/>
                <w:szCs w:val="18"/>
              </w:rPr>
              <w:noBreakHyphen/>
            </w:r>
          </w:p>
        </w:tc>
      </w:tr>
      <w:tr w:rsidR="007516AC" w:rsidTr="008B63A3">
        <w:trPr>
          <w:trHeight w:val="227"/>
        </w:trPr>
        <w:tc>
          <w:tcPr>
            <w:tcW w:w="1946" w:type="pct"/>
            <w:vAlign w:val="bottom"/>
          </w:tcPr>
          <w:p w:rsidR="007516AC" w:rsidRPr="007758AB" w:rsidRDefault="007516AC" w:rsidP="008B63A3">
            <w:pPr>
              <w:pStyle w:val="TableBodyText"/>
              <w:jc w:val="left"/>
              <w:rPr>
                <w:sz w:val="18"/>
                <w:szCs w:val="18"/>
              </w:rPr>
            </w:pPr>
            <w:r w:rsidRPr="007758AB">
              <w:rPr>
                <w:sz w:val="18"/>
                <w:szCs w:val="18"/>
              </w:rPr>
              <w:t>Information, media and telecommunications</w:t>
            </w:r>
          </w:p>
        </w:tc>
        <w:tc>
          <w:tcPr>
            <w:tcW w:w="586" w:type="pct"/>
            <w:vAlign w:val="bottom"/>
          </w:tcPr>
          <w:p w:rsidR="007516AC" w:rsidRPr="00E24287" w:rsidRDefault="007516AC" w:rsidP="008B63A3">
            <w:pPr>
              <w:pStyle w:val="TableBodyText"/>
              <w:rPr>
                <w:sz w:val="18"/>
                <w:szCs w:val="18"/>
              </w:rPr>
            </w:pPr>
            <w:r w:rsidRPr="00E24287">
              <w:rPr>
                <w:sz w:val="18"/>
                <w:szCs w:val="18"/>
              </w:rPr>
              <w:t>3.5</w:t>
            </w:r>
          </w:p>
        </w:tc>
        <w:tc>
          <w:tcPr>
            <w:tcW w:w="495" w:type="pct"/>
            <w:vAlign w:val="bottom"/>
          </w:tcPr>
          <w:p w:rsidR="007516AC" w:rsidRPr="00E24287" w:rsidRDefault="007516AC" w:rsidP="008B63A3">
            <w:pPr>
              <w:pStyle w:val="TableBodyText"/>
              <w:rPr>
                <w:sz w:val="18"/>
                <w:szCs w:val="18"/>
              </w:rPr>
            </w:pPr>
            <w:r w:rsidRPr="00E24287">
              <w:rPr>
                <w:sz w:val="18"/>
                <w:szCs w:val="18"/>
              </w:rPr>
              <w:t>4.4</w:t>
            </w:r>
          </w:p>
        </w:tc>
        <w:tc>
          <w:tcPr>
            <w:tcW w:w="495" w:type="pct"/>
            <w:vAlign w:val="bottom"/>
          </w:tcPr>
          <w:p w:rsidR="007516AC" w:rsidRPr="00E24287" w:rsidRDefault="007516AC" w:rsidP="008B63A3">
            <w:pPr>
              <w:pStyle w:val="TableBodyText"/>
              <w:rPr>
                <w:sz w:val="18"/>
                <w:szCs w:val="18"/>
              </w:rPr>
            </w:pPr>
            <w:r w:rsidRPr="00E24287">
              <w:rPr>
                <w:sz w:val="18"/>
                <w:szCs w:val="18"/>
              </w:rPr>
              <w:t>4.5</w:t>
            </w:r>
          </w:p>
        </w:tc>
        <w:tc>
          <w:tcPr>
            <w:tcW w:w="495" w:type="pct"/>
            <w:shd w:val="clear" w:color="auto" w:fill="auto"/>
            <w:vAlign w:val="bottom"/>
          </w:tcPr>
          <w:p w:rsidR="007516AC" w:rsidRPr="00E24287" w:rsidRDefault="007516AC" w:rsidP="008B63A3">
            <w:pPr>
              <w:pStyle w:val="TableBodyText"/>
              <w:rPr>
                <w:sz w:val="18"/>
                <w:szCs w:val="18"/>
              </w:rPr>
            </w:pPr>
            <w:r w:rsidRPr="00E24287">
              <w:rPr>
                <w:sz w:val="18"/>
                <w:szCs w:val="18"/>
              </w:rPr>
              <w:t>4.4</w:t>
            </w:r>
          </w:p>
        </w:tc>
        <w:tc>
          <w:tcPr>
            <w:tcW w:w="495" w:type="pct"/>
            <w:shd w:val="clear" w:color="auto" w:fill="auto"/>
            <w:vAlign w:val="bottom"/>
          </w:tcPr>
          <w:p w:rsidR="007516AC" w:rsidRPr="00E24287" w:rsidRDefault="007516AC" w:rsidP="008B63A3">
            <w:pPr>
              <w:pStyle w:val="TableBodyText"/>
              <w:rPr>
                <w:sz w:val="18"/>
                <w:szCs w:val="18"/>
              </w:rPr>
            </w:pPr>
            <w:r w:rsidRPr="00E24287">
              <w:rPr>
                <w:sz w:val="18"/>
                <w:szCs w:val="18"/>
              </w:rPr>
              <w:t>4.4</w:t>
            </w:r>
          </w:p>
        </w:tc>
        <w:tc>
          <w:tcPr>
            <w:tcW w:w="488" w:type="pct"/>
            <w:shd w:val="clear" w:color="auto" w:fill="auto"/>
            <w:vAlign w:val="bottom"/>
          </w:tcPr>
          <w:p w:rsidR="007516AC" w:rsidRPr="00E24287" w:rsidRDefault="007516AC" w:rsidP="008B63A3">
            <w:pPr>
              <w:pStyle w:val="TableBodyText"/>
              <w:rPr>
                <w:sz w:val="18"/>
                <w:szCs w:val="18"/>
              </w:rPr>
            </w:pPr>
            <w:r w:rsidRPr="00E24287">
              <w:rPr>
                <w:sz w:val="18"/>
                <w:szCs w:val="18"/>
              </w:rPr>
              <w:t>4.4</w:t>
            </w:r>
          </w:p>
        </w:tc>
      </w:tr>
      <w:tr w:rsidR="007516AC" w:rsidTr="008B63A3">
        <w:trPr>
          <w:trHeight w:val="227"/>
        </w:trPr>
        <w:tc>
          <w:tcPr>
            <w:tcW w:w="1946" w:type="pct"/>
            <w:vAlign w:val="bottom"/>
          </w:tcPr>
          <w:p w:rsidR="007516AC" w:rsidRPr="007758AB" w:rsidRDefault="007516AC" w:rsidP="008B63A3">
            <w:pPr>
              <w:pStyle w:val="TableBodyText"/>
              <w:jc w:val="left"/>
              <w:rPr>
                <w:sz w:val="18"/>
                <w:szCs w:val="18"/>
              </w:rPr>
            </w:pPr>
            <w:r w:rsidRPr="007758AB">
              <w:rPr>
                <w:sz w:val="18"/>
                <w:szCs w:val="18"/>
              </w:rPr>
              <w:t>Property, professional and administrative services</w:t>
            </w:r>
          </w:p>
        </w:tc>
        <w:tc>
          <w:tcPr>
            <w:tcW w:w="586" w:type="pct"/>
            <w:vAlign w:val="bottom"/>
          </w:tcPr>
          <w:p w:rsidR="007516AC" w:rsidRPr="00E24287" w:rsidRDefault="007516AC" w:rsidP="008B63A3">
            <w:pPr>
              <w:pStyle w:val="TableBodyText"/>
              <w:rPr>
                <w:sz w:val="18"/>
                <w:szCs w:val="18"/>
              </w:rPr>
            </w:pPr>
            <w:r w:rsidRPr="00E24287">
              <w:rPr>
                <w:sz w:val="18"/>
                <w:szCs w:val="18"/>
              </w:rPr>
              <w:t>10.3</w:t>
            </w:r>
          </w:p>
        </w:tc>
        <w:tc>
          <w:tcPr>
            <w:tcW w:w="495" w:type="pct"/>
            <w:vAlign w:val="bottom"/>
          </w:tcPr>
          <w:p w:rsidR="007516AC" w:rsidRPr="00E24287" w:rsidRDefault="007516AC" w:rsidP="008B63A3">
            <w:pPr>
              <w:pStyle w:val="TableBodyText"/>
              <w:rPr>
                <w:sz w:val="18"/>
                <w:szCs w:val="18"/>
              </w:rPr>
            </w:pPr>
            <w:r w:rsidRPr="00E24287">
              <w:rPr>
                <w:sz w:val="18"/>
                <w:szCs w:val="18"/>
              </w:rPr>
              <w:t>12.5</w:t>
            </w:r>
          </w:p>
        </w:tc>
        <w:tc>
          <w:tcPr>
            <w:tcW w:w="495" w:type="pct"/>
            <w:vAlign w:val="bottom"/>
          </w:tcPr>
          <w:p w:rsidR="007516AC" w:rsidRPr="00E24287" w:rsidRDefault="007516AC" w:rsidP="008B63A3">
            <w:pPr>
              <w:pStyle w:val="TableBodyText"/>
              <w:rPr>
                <w:sz w:val="18"/>
                <w:szCs w:val="18"/>
              </w:rPr>
            </w:pPr>
            <w:r w:rsidRPr="00E24287">
              <w:rPr>
                <w:sz w:val="18"/>
                <w:szCs w:val="18"/>
              </w:rPr>
              <w:t>7.9</w:t>
            </w:r>
          </w:p>
        </w:tc>
        <w:tc>
          <w:tcPr>
            <w:tcW w:w="495" w:type="pct"/>
            <w:shd w:val="clear" w:color="auto" w:fill="auto"/>
            <w:vAlign w:val="bottom"/>
          </w:tcPr>
          <w:p w:rsidR="007516AC" w:rsidRPr="00E24287" w:rsidRDefault="007516AC" w:rsidP="008B63A3">
            <w:pPr>
              <w:pStyle w:val="TableBodyText"/>
              <w:rPr>
                <w:sz w:val="18"/>
                <w:szCs w:val="18"/>
              </w:rPr>
            </w:pPr>
            <w:r w:rsidRPr="00E24287">
              <w:rPr>
                <w:sz w:val="18"/>
                <w:szCs w:val="18"/>
              </w:rPr>
              <w:t>9.3</w:t>
            </w:r>
          </w:p>
        </w:tc>
        <w:tc>
          <w:tcPr>
            <w:tcW w:w="495" w:type="pct"/>
            <w:shd w:val="clear" w:color="auto" w:fill="auto"/>
            <w:vAlign w:val="bottom"/>
          </w:tcPr>
          <w:p w:rsidR="007516AC" w:rsidRPr="00E24287" w:rsidRDefault="007516AC" w:rsidP="008B63A3">
            <w:pPr>
              <w:pStyle w:val="TableBodyText"/>
              <w:rPr>
                <w:sz w:val="18"/>
                <w:szCs w:val="18"/>
              </w:rPr>
            </w:pPr>
            <w:r w:rsidRPr="00E24287">
              <w:rPr>
                <w:sz w:val="18"/>
                <w:szCs w:val="18"/>
              </w:rPr>
              <w:t>11.5</w:t>
            </w:r>
          </w:p>
        </w:tc>
        <w:tc>
          <w:tcPr>
            <w:tcW w:w="488" w:type="pct"/>
            <w:shd w:val="clear" w:color="auto" w:fill="auto"/>
            <w:vAlign w:val="bottom"/>
          </w:tcPr>
          <w:p w:rsidR="007516AC" w:rsidRPr="00E24287" w:rsidRDefault="007516AC" w:rsidP="008B63A3">
            <w:pPr>
              <w:pStyle w:val="TableBodyText"/>
              <w:rPr>
                <w:sz w:val="18"/>
                <w:szCs w:val="18"/>
              </w:rPr>
            </w:pPr>
            <w:r w:rsidRPr="00E24287">
              <w:rPr>
                <w:sz w:val="18"/>
                <w:szCs w:val="18"/>
              </w:rPr>
              <w:t>11.9</w:t>
            </w:r>
          </w:p>
        </w:tc>
      </w:tr>
      <w:tr w:rsidR="007516AC" w:rsidTr="008B63A3">
        <w:trPr>
          <w:trHeight w:val="227"/>
        </w:trPr>
        <w:tc>
          <w:tcPr>
            <w:tcW w:w="1946" w:type="pct"/>
            <w:vAlign w:val="bottom"/>
          </w:tcPr>
          <w:p w:rsidR="007516AC" w:rsidRPr="007758AB" w:rsidRDefault="007516AC" w:rsidP="008B63A3">
            <w:pPr>
              <w:pStyle w:val="TableBodyText"/>
              <w:jc w:val="left"/>
              <w:rPr>
                <w:sz w:val="18"/>
                <w:szCs w:val="18"/>
              </w:rPr>
            </w:pPr>
            <w:r w:rsidRPr="007758AB">
              <w:rPr>
                <w:sz w:val="18"/>
                <w:szCs w:val="18"/>
              </w:rPr>
              <w:t>Health care and social assistance</w:t>
            </w:r>
          </w:p>
        </w:tc>
        <w:tc>
          <w:tcPr>
            <w:tcW w:w="586" w:type="pct"/>
            <w:vAlign w:val="bottom"/>
          </w:tcPr>
          <w:p w:rsidR="007516AC" w:rsidRPr="00E24287" w:rsidRDefault="007516AC" w:rsidP="008B63A3">
            <w:pPr>
              <w:pStyle w:val="TableBodyText"/>
              <w:rPr>
                <w:sz w:val="18"/>
                <w:szCs w:val="18"/>
              </w:rPr>
            </w:pPr>
            <w:r w:rsidRPr="00E24287">
              <w:rPr>
                <w:sz w:val="18"/>
                <w:szCs w:val="18"/>
              </w:rPr>
              <w:t>19.0</w:t>
            </w:r>
          </w:p>
        </w:tc>
        <w:tc>
          <w:tcPr>
            <w:tcW w:w="495" w:type="pct"/>
            <w:vAlign w:val="bottom"/>
          </w:tcPr>
          <w:p w:rsidR="007516AC" w:rsidRPr="00E24287" w:rsidRDefault="007516AC" w:rsidP="008B63A3">
            <w:pPr>
              <w:pStyle w:val="TableBodyText"/>
              <w:rPr>
                <w:sz w:val="18"/>
                <w:szCs w:val="18"/>
              </w:rPr>
            </w:pPr>
            <w:r w:rsidRPr="00E24287">
              <w:rPr>
                <w:sz w:val="18"/>
                <w:szCs w:val="18"/>
              </w:rPr>
              <w:t>24.2</w:t>
            </w:r>
          </w:p>
        </w:tc>
        <w:tc>
          <w:tcPr>
            <w:tcW w:w="495" w:type="pct"/>
            <w:vAlign w:val="bottom"/>
          </w:tcPr>
          <w:p w:rsidR="007516AC" w:rsidRPr="00E24287" w:rsidRDefault="007516AC" w:rsidP="008B63A3">
            <w:pPr>
              <w:pStyle w:val="TableBodyText"/>
              <w:rPr>
                <w:sz w:val="18"/>
                <w:szCs w:val="18"/>
              </w:rPr>
            </w:pPr>
            <w:r w:rsidRPr="00E24287">
              <w:rPr>
                <w:sz w:val="18"/>
                <w:szCs w:val="18"/>
              </w:rPr>
              <w:t>19.3</w:t>
            </w:r>
          </w:p>
        </w:tc>
        <w:tc>
          <w:tcPr>
            <w:tcW w:w="495" w:type="pct"/>
            <w:shd w:val="clear" w:color="auto" w:fill="auto"/>
            <w:vAlign w:val="bottom"/>
          </w:tcPr>
          <w:p w:rsidR="007516AC" w:rsidRPr="00E24287" w:rsidRDefault="007516AC" w:rsidP="008B63A3">
            <w:pPr>
              <w:pStyle w:val="TableBodyText"/>
              <w:rPr>
                <w:sz w:val="18"/>
                <w:szCs w:val="18"/>
              </w:rPr>
            </w:pPr>
            <w:r w:rsidRPr="00E24287">
              <w:rPr>
                <w:sz w:val="18"/>
                <w:szCs w:val="18"/>
              </w:rPr>
              <w:t>18.4</w:t>
            </w:r>
          </w:p>
        </w:tc>
        <w:tc>
          <w:tcPr>
            <w:tcW w:w="495" w:type="pct"/>
            <w:shd w:val="clear" w:color="auto" w:fill="auto"/>
            <w:vAlign w:val="bottom"/>
          </w:tcPr>
          <w:p w:rsidR="007516AC" w:rsidRPr="00E24287" w:rsidRDefault="007516AC" w:rsidP="008B63A3">
            <w:pPr>
              <w:pStyle w:val="TableBodyText"/>
              <w:rPr>
                <w:sz w:val="18"/>
                <w:szCs w:val="18"/>
              </w:rPr>
            </w:pPr>
            <w:r w:rsidRPr="00E24287">
              <w:rPr>
                <w:sz w:val="18"/>
                <w:szCs w:val="18"/>
              </w:rPr>
              <w:t>25.2</w:t>
            </w:r>
          </w:p>
        </w:tc>
        <w:tc>
          <w:tcPr>
            <w:tcW w:w="488" w:type="pct"/>
            <w:shd w:val="clear" w:color="auto" w:fill="auto"/>
            <w:vAlign w:val="bottom"/>
          </w:tcPr>
          <w:p w:rsidR="007516AC" w:rsidRPr="00E24287" w:rsidRDefault="007516AC" w:rsidP="008B63A3">
            <w:pPr>
              <w:pStyle w:val="TableBodyText"/>
              <w:rPr>
                <w:sz w:val="18"/>
                <w:szCs w:val="18"/>
              </w:rPr>
            </w:pPr>
            <w:r w:rsidRPr="00E24287">
              <w:rPr>
                <w:sz w:val="18"/>
                <w:szCs w:val="18"/>
              </w:rPr>
              <w:t>33.4</w:t>
            </w:r>
          </w:p>
        </w:tc>
      </w:tr>
      <w:tr w:rsidR="007516AC" w:rsidTr="008B63A3">
        <w:trPr>
          <w:trHeight w:val="227"/>
        </w:trPr>
        <w:tc>
          <w:tcPr>
            <w:tcW w:w="1946" w:type="pct"/>
            <w:vAlign w:val="bottom"/>
          </w:tcPr>
          <w:p w:rsidR="007516AC" w:rsidRPr="007758AB" w:rsidRDefault="007516AC" w:rsidP="008B63A3">
            <w:pPr>
              <w:pStyle w:val="TableBodyText"/>
              <w:jc w:val="left"/>
              <w:rPr>
                <w:sz w:val="18"/>
                <w:szCs w:val="18"/>
              </w:rPr>
            </w:pPr>
            <w:r w:rsidRPr="007758AB">
              <w:rPr>
                <w:sz w:val="18"/>
                <w:szCs w:val="18"/>
              </w:rPr>
              <w:t>Arts and recreation services</w:t>
            </w:r>
          </w:p>
        </w:tc>
        <w:tc>
          <w:tcPr>
            <w:tcW w:w="586" w:type="pct"/>
            <w:vAlign w:val="bottom"/>
          </w:tcPr>
          <w:p w:rsidR="007516AC" w:rsidRPr="00E24287" w:rsidRDefault="007516AC" w:rsidP="008B63A3">
            <w:pPr>
              <w:pStyle w:val="TableBodyText"/>
              <w:rPr>
                <w:sz w:val="18"/>
                <w:szCs w:val="18"/>
              </w:rPr>
            </w:pPr>
            <w:r w:rsidRPr="00E24287">
              <w:rPr>
                <w:sz w:val="18"/>
                <w:szCs w:val="18"/>
              </w:rPr>
              <w:t>4.7</w:t>
            </w:r>
          </w:p>
        </w:tc>
        <w:tc>
          <w:tcPr>
            <w:tcW w:w="495" w:type="pct"/>
            <w:vAlign w:val="bottom"/>
          </w:tcPr>
          <w:p w:rsidR="007516AC" w:rsidRPr="00E24287" w:rsidRDefault="007516AC" w:rsidP="008B63A3">
            <w:pPr>
              <w:pStyle w:val="TableBodyText"/>
              <w:rPr>
                <w:sz w:val="18"/>
                <w:szCs w:val="18"/>
              </w:rPr>
            </w:pPr>
            <w:r w:rsidRPr="00E24287">
              <w:rPr>
                <w:sz w:val="18"/>
                <w:szCs w:val="18"/>
              </w:rPr>
              <w:t>3.5</w:t>
            </w:r>
          </w:p>
        </w:tc>
        <w:tc>
          <w:tcPr>
            <w:tcW w:w="495" w:type="pct"/>
            <w:vAlign w:val="bottom"/>
          </w:tcPr>
          <w:p w:rsidR="007516AC" w:rsidRPr="00E24287" w:rsidRDefault="007516AC" w:rsidP="008B63A3">
            <w:pPr>
              <w:pStyle w:val="TableBodyText"/>
              <w:rPr>
                <w:sz w:val="18"/>
                <w:szCs w:val="18"/>
              </w:rPr>
            </w:pPr>
            <w:r w:rsidRPr="00E24287">
              <w:rPr>
                <w:sz w:val="18"/>
                <w:szCs w:val="18"/>
              </w:rPr>
              <w:t>3.1</w:t>
            </w:r>
          </w:p>
        </w:tc>
        <w:tc>
          <w:tcPr>
            <w:tcW w:w="495" w:type="pct"/>
            <w:shd w:val="clear" w:color="auto" w:fill="auto"/>
            <w:vAlign w:val="bottom"/>
          </w:tcPr>
          <w:p w:rsidR="007516AC" w:rsidRPr="00E24287" w:rsidRDefault="007516AC" w:rsidP="008B63A3">
            <w:pPr>
              <w:pStyle w:val="TableBodyText"/>
              <w:rPr>
                <w:sz w:val="18"/>
                <w:szCs w:val="18"/>
              </w:rPr>
            </w:pPr>
            <w:r w:rsidRPr="00E24287">
              <w:rPr>
                <w:sz w:val="18"/>
                <w:szCs w:val="18"/>
              </w:rPr>
              <w:t>2.0</w:t>
            </w:r>
          </w:p>
        </w:tc>
        <w:tc>
          <w:tcPr>
            <w:tcW w:w="495" w:type="pct"/>
            <w:shd w:val="clear" w:color="auto" w:fill="auto"/>
            <w:vAlign w:val="bottom"/>
          </w:tcPr>
          <w:p w:rsidR="007516AC" w:rsidRPr="00E24287" w:rsidRDefault="007516AC" w:rsidP="008B63A3">
            <w:pPr>
              <w:pStyle w:val="TableBodyText"/>
              <w:rPr>
                <w:sz w:val="18"/>
                <w:szCs w:val="18"/>
              </w:rPr>
            </w:pPr>
            <w:r>
              <w:rPr>
                <w:sz w:val="18"/>
                <w:szCs w:val="18"/>
              </w:rPr>
              <w:noBreakHyphen/>
            </w:r>
          </w:p>
        </w:tc>
        <w:tc>
          <w:tcPr>
            <w:tcW w:w="488" w:type="pct"/>
            <w:shd w:val="clear" w:color="auto" w:fill="auto"/>
            <w:vAlign w:val="bottom"/>
          </w:tcPr>
          <w:p w:rsidR="007516AC" w:rsidRPr="00E24287" w:rsidRDefault="007516AC" w:rsidP="008B63A3">
            <w:pPr>
              <w:pStyle w:val="TableBodyText"/>
              <w:rPr>
                <w:sz w:val="18"/>
                <w:szCs w:val="18"/>
              </w:rPr>
            </w:pPr>
            <w:r>
              <w:rPr>
                <w:sz w:val="18"/>
                <w:szCs w:val="18"/>
              </w:rPr>
              <w:noBreakHyphen/>
            </w:r>
          </w:p>
        </w:tc>
      </w:tr>
      <w:tr w:rsidR="007516AC" w:rsidTr="008B63A3">
        <w:trPr>
          <w:trHeight w:val="227"/>
        </w:trPr>
        <w:tc>
          <w:tcPr>
            <w:tcW w:w="1946" w:type="pct"/>
            <w:tcBorders>
              <w:bottom w:val="single" w:sz="4" w:space="0" w:color="auto"/>
            </w:tcBorders>
            <w:vAlign w:val="bottom"/>
          </w:tcPr>
          <w:p w:rsidR="007516AC" w:rsidRPr="007758AB" w:rsidRDefault="007516AC" w:rsidP="008B63A3">
            <w:pPr>
              <w:pStyle w:val="TableBodyText"/>
              <w:jc w:val="left"/>
              <w:rPr>
                <w:b/>
                <w:bCs/>
                <w:sz w:val="18"/>
                <w:szCs w:val="18"/>
              </w:rPr>
            </w:pPr>
            <w:r w:rsidRPr="007758AB">
              <w:rPr>
                <w:b/>
                <w:bCs/>
                <w:sz w:val="18"/>
                <w:szCs w:val="18"/>
              </w:rPr>
              <w:t>Total</w:t>
            </w:r>
          </w:p>
        </w:tc>
        <w:tc>
          <w:tcPr>
            <w:tcW w:w="586" w:type="pct"/>
            <w:tcBorders>
              <w:bottom w:val="single" w:sz="4" w:space="0" w:color="auto"/>
            </w:tcBorders>
            <w:vAlign w:val="bottom"/>
          </w:tcPr>
          <w:p w:rsidR="007516AC" w:rsidRPr="00E24287" w:rsidRDefault="007516AC" w:rsidP="008B63A3">
            <w:pPr>
              <w:pStyle w:val="TableBodyText"/>
              <w:rPr>
                <w:b/>
                <w:sz w:val="18"/>
                <w:szCs w:val="18"/>
              </w:rPr>
            </w:pPr>
            <w:r w:rsidRPr="00E24287">
              <w:rPr>
                <w:b/>
                <w:sz w:val="18"/>
                <w:szCs w:val="18"/>
              </w:rPr>
              <w:t>150.8</w:t>
            </w:r>
          </w:p>
        </w:tc>
        <w:tc>
          <w:tcPr>
            <w:tcW w:w="495" w:type="pct"/>
            <w:tcBorders>
              <w:bottom w:val="single" w:sz="4" w:space="0" w:color="auto"/>
            </w:tcBorders>
            <w:vAlign w:val="bottom"/>
          </w:tcPr>
          <w:p w:rsidR="007516AC" w:rsidRPr="00E24287" w:rsidRDefault="007516AC" w:rsidP="008B63A3">
            <w:pPr>
              <w:pStyle w:val="TableBodyText"/>
              <w:rPr>
                <w:b/>
                <w:sz w:val="18"/>
                <w:szCs w:val="18"/>
              </w:rPr>
            </w:pPr>
            <w:r w:rsidRPr="00E24287">
              <w:rPr>
                <w:b/>
                <w:sz w:val="18"/>
                <w:szCs w:val="18"/>
              </w:rPr>
              <w:t>169.7</w:t>
            </w:r>
          </w:p>
        </w:tc>
        <w:tc>
          <w:tcPr>
            <w:tcW w:w="495" w:type="pct"/>
            <w:tcBorders>
              <w:bottom w:val="single" w:sz="4" w:space="0" w:color="auto"/>
            </w:tcBorders>
            <w:vAlign w:val="bottom"/>
          </w:tcPr>
          <w:p w:rsidR="007516AC" w:rsidRPr="00E24287" w:rsidRDefault="007516AC" w:rsidP="008B63A3">
            <w:pPr>
              <w:pStyle w:val="TableBodyText"/>
              <w:rPr>
                <w:b/>
                <w:sz w:val="18"/>
                <w:szCs w:val="18"/>
              </w:rPr>
            </w:pPr>
            <w:r w:rsidRPr="00E24287">
              <w:rPr>
                <w:b/>
                <w:sz w:val="18"/>
                <w:szCs w:val="18"/>
              </w:rPr>
              <w:t>140.9</w:t>
            </w:r>
          </w:p>
        </w:tc>
        <w:tc>
          <w:tcPr>
            <w:tcW w:w="495" w:type="pct"/>
            <w:tcBorders>
              <w:bottom w:val="single" w:sz="4" w:space="0" w:color="auto"/>
            </w:tcBorders>
            <w:shd w:val="clear" w:color="auto" w:fill="auto"/>
            <w:vAlign w:val="bottom"/>
          </w:tcPr>
          <w:p w:rsidR="007516AC" w:rsidRPr="00E24287" w:rsidRDefault="007516AC" w:rsidP="008B63A3">
            <w:pPr>
              <w:pStyle w:val="TableBodyText"/>
              <w:rPr>
                <w:b/>
                <w:sz w:val="18"/>
                <w:szCs w:val="18"/>
              </w:rPr>
            </w:pPr>
            <w:r w:rsidRPr="00E24287">
              <w:rPr>
                <w:b/>
                <w:sz w:val="18"/>
                <w:szCs w:val="18"/>
              </w:rPr>
              <w:t>141.2</w:t>
            </w:r>
          </w:p>
        </w:tc>
        <w:tc>
          <w:tcPr>
            <w:tcW w:w="495" w:type="pct"/>
            <w:tcBorders>
              <w:bottom w:val="single" w:sz="4" w:space="0" w:color="auto"/>
            </w:tcBorders>
            <w:shd w:val="clear" w:color="auto" w:fill="auto"/>
            <w:vAlign w:val="bottom"/>
          </w:tcPr>
          <w:p w:rsidR="007516AC" w:rsidRPr="00E24287" w:rsidRDefault="007516AC" w:rsidP="008B63A3">
            <w:pPr>
              <w:pStyle w:val="TableBodyText"/>
              <w:rPr>
                <w:b/>
                <w:sz w:val="18"/>
                <w:szCs w:val="18"/>
              </w:rPr>
            </w:pPr>
            <w:r w:rsidRPr="00E24287">
              <w:rPr>
                <w:b/>
                <w:sz w:val="18"/>
                <w:szCs w:val="18"/>
              </w:rPr>
              <w:t>134.3</w:t>
            </w:r>
          </w:p>
        </w:tc>
        <w:tc>
          <w:tcPr>
            <w:tcW w:w="488" w:type="pct"/>
            <w:tcBorders>
              <w:bottom w:val="single" w:sz="4" w:space="0" w:color="auto"/>
            </w:tcBorders>
            <w:shd w:val="clear" w:color="auto" w:fill="auto"/>
            <w:vAlign w:val="bottom"/>
          </w:tcPr>
          <w:p w:rsidR="007516AC" w:rsidRPr="00E24287" w:rsidRDefault="007516AC" w:rsidP="008B63A3">
            <w:pPr>
              <w:pStyle w:val="TableBodyText"/>
              <w:rPr>
                <w:b/>
                <w:sz w:val="18"/>
                <w:szCs w:val="18"/>
              </w:rPr>
            </w:pPr>
            <w:r w:rsidRPr="00E24287">
              <w:rPr>
                <w:b/>
                <w:sz w:val="18"/>
                <w:szCs w:val="18"/>
              </w:rPr>
              <w:t>131.2</w:t>
            </w:r>
          </w:p>
        </w:tc>
      </w:tr>
    </w:tbl>
    <w:p w:rsidR="007516AC" w:rsidRDefault="007516AC" w:rsidP="007516AC">
      <w:pPr>
        <w:pStyle w:val="Source"/>
        <w:spacing w:after="0"/>
        <w:rPr>
          <w:i/>
        </w:rPr>
      </w:pPr>
      <w:r w:rsidRPr="00A2379F">
        <w:noBreakHyphen/>
        <w:t xml:space="preserve"> </w:t>
      </w:r>
      <w:r>
        <w:t xml:space="preserve">Nil. </w:t>
      </w:r>
      <w:r w:rsidRPr="008E77FE">
        <w:rPr>
          <w:rStyle w:val="NoteLabel"/>
        </w:rPr>
        <w:t>a</w:t>
      </w:r>
      <w:r>
        <w:t xml:space="preserve"> </w:t>
      </w:r>
      <w:r w:rsidRPr="00B81ACC">
        <w:t>Unallocated includes general programs where details of beneficiaries are unknown</w:t>
      </w:r>
      <w:r>
        <w:t>.</w:t>
      </w:r>
    </w:p>
    <w:p w:rsidR="007516AC" w:rsidRDefault="007516AC" w:rsidP="007516AC">
      <w:pPr>
        <w:pStyle w:val="Source"/>
      </w:pPr>
      <w:r>
        <w:rPr>
          <w:i/>
        </w:rPr>
        <w:t>Source</w:t>
      </w:r>
      <w:r>
        <w:t>: Commission estimates based on detailed CSIRO data by SEO classification.</w:t>
      </w:r>
    </w:p>
    <w:p w:rsidR="00411B63" w:rsidRPr="00411B63" w:rsidRDefault="00411B63" w:rsidP="00411B63">
      <w:r>
        <w:br w:type="page"/>
      </w:r>
    </w:p>
    <w:p w:rsidR="00314DFB" w:rsidRDefault="00FA09C3" w:rsidP="00314DFB">
      <w:pPr>
        <w:pStyle w:val="Heading2"/>
      </w:pPr>
      <w:r>
        <w:lastRenderedPageBreak/>
        <w:t>A.</w:t>
      </w:r>
      <w:r>
        <w:rPr>
          <w:noProof/>
        </w:rPr>
        <w:t>22</w:t>
      </w:r>
      <w:r w:rsidR="00314DFB">
        <w:tab/>
        <w:t>Export Market Development Grants Scheme</w:t>
      </w:r>
    </w:p>
    <w:p w:rsidR="00314DFB" w:rsidRDefault="00314DFB" w:rsidP="00314DFB">
      <w:pPr>
        <w:pStyle w:val="BodyText"/>
      </w:pPr>
      <w:r>
        <w:t>The Export Market Development Grants (EMDG) scheme provides taxable grants for up to 50 per cent of marketing and promotion expenses that firms incur in export markets. The scheme assists small and medium exporters to seek out and develop export markets. There were over 2993 grant recipients in 2011</w:t>
      </w:r>
      <w:r>
        <w:noBreakHyphen/>
        <w:t xml:space="preserve">12 worth around $126 million </w:t>
      </w:r>
      <w:r w:rsidRPr="000138D9">
        <w:t>(</w:t>
      </w:r>
      <w:r w:rsidRPr="002D4BCB">
        <w:t>Austrade 2012</w:t>
      </w:r>
      <w:r w:rsidRPr="000138D9">
        <w:t>)</w:t>
      </w:r>
      <w:r>
        <w:t>.</w:t>
      </w:r>
    </w:p>
    <w:p w:rsidR="00314DFB" w:rsidRDefault="00314DFB" w:rsidP="00314DFB">
      <w:pPr>
        <w:pStyle w:val="BodyText"/>
      </w:pPr>
      <w:r>
        <w:t>Austrade reports total payments made under the EMDG scheme in each financial year. This figure may include payments made for claims relevant to previous years, as eligible exporters may not make claims under the scheme immediately.</w:t>
      </w:r>
    </w:p>
    <w:p w:rsidR="00314DFB" w:rsidRDefault="00314DFB" w:rsidP="00314DFB">
      <w:pPr>
        <w:pStyle w:val="BodyText"/>
      </w:pPr>
      <w:r>
        <w:t>Austrade also provides the Commission with detailed grants data by ANZSIC. This information is used to allocate total EMDG funding among the Commission’s ANZSIC-based industry groupings (table A.22).</w:t>
      </w:r>
    </w:p>
    <w:p w:rsidR="00314DFB" w:rsidRDefault="00314DFB" w:rsidP="00314DFB">
      <w:pPr>
        <w:pStyle w:val="TableTitle"/>
      </w:pPr>
      <w:r>
        <w:rPr>
          <w:b w:val="0"/>
        </w:rPr>
        <w:lastRenderedPageBreak/>
        <w:t xml:space="preserve">Table </w:t>
      </w:r>
      <w:r w:rsidR="00FA09C3">
        <w:rPr>
          <w:b w:val="0"/>
        </w:rPr>
        <w:t>A.</w:t>
      </w:r>
      <w:r w:rsidR="00FA09C3">
        <w:rPr>
          <w:b w:val="0"/>
          <w:noProof/>
        </w:rPr>
        <w:t>22</w:t>
      </w:r>
      <w:r>
        <w:tab/>
        <w:t xml:space="preserve">Allocation of Export Market Development Grants Scheme </w:t>
      </w:r>
      <w:r w:rsidR="001A5D30" w:rsidRPr="001A5D30">
        <w:t>to industry</w:t>
      </w:r>
      <w:r>
        <w:t>, 2006</w:t>
      </w:r>
      <w:r>
        <w:noBreakHyphen/>
        <w:t>07 to 2011</w:t>
      </w:r>
      <w:r>
        <w:noBreakHyphen/>
        <w:t>12</w:t>
      </w:r>
    </w:p>
    <w:p w:rsidR="00314DFB" w:rsidRDefault="00314DFB" w:rsidP="00314DFB">
      <w:pPr>
        <w:pStyle w:val="Subtitle"/>
      </w:pPr>
      <w:r>
        <w:t>$ million (nominal)</w:t>
      </w:r>
    </w:p>
    <w:tbl>
      <w:tblPr>
        <w:tblW w:w="5000" w:type="pct"/>
        <w:tblCellMar>
          <w:left w:w="0" w:type="dxa"/>
          <w:right w:w="0" w:type="dxa"/>
        </w:tblCellMar>
        <w:tblLook w:val="0000" w:firstRow="0" w:lastRow="0" w:firstColumn="0" w:lastColumn="0" w:noHBand="0" w:noVBand="0"/>
      </w:tblPr>
      <w:tblGrid>
        <w:gridCol w:w="3443"/>
        <w:gridCol w:w="893"/>
        <w:gridCol w:w="893"/>
        <w:gridCol w:w="893"/>
        <w:gridCol w:w="893"/>
        <w:gridCol w:w="893"/>
        <w:gridCol w:w="881"/>
      </w:tblGrid>
      <w:tr w:rsidR="00314DFB" w:rsidRPr="00411B63" w:rsidTr="008B63A3">
        <w:trPr>
          <w:trHeight w:val="227"/>
        </w:trPr>
        <w:tc>
          <w:tcPr>
            <w:tcW w:w="1959" w:type="pct"/>
            <w:tcBorders>
              <w:top w:val="single" w:sz="6" w:space="0" w:color="auto"/>
              <w:bottom w:val="single" w:sz="6" w:space="0" w:color="auto"/>
            </w:tcBorders>
          </w:tcPr>
          <w:p w:rsidR="00314DFB" w:rsidRPr="00411B63" w:rsidRDefault="00314DFB" w:rsidP="008B63A3">
            <w:pPr>
              <w:pStyle w:val="TableColumnHeading"/>
              <w:jc w:val="left"/>
              <w:rPr>
                <w:sz w:val="18"/>
                <w:szCs w:val="18"/>
              </w:rPr>
            </w:pPr>
            <w:r w:rsidRPr="00411B63">
              <w:rPr>
                <w:sz w:val="18"/>
                <w:szCs w:val="18"/>
              </w:rPr>
              <w:t>Industry grouping</w:t>
            </w:r>
          </w:p>
        </w:tc>
        <w:tc>
          <w:tcPr>
            <w:tcW w:w="508" w:type="pct"/>
            <w:tcBorders>
              <w:top w:val="single" w:sz="6" w:space="0" w:color="auto"/>
              <w:bottom w:val="single" w:sz="6" w:space="0" w:color="auto"/>
            </w:tcBorders>
          </w:tcPr>
          <w:p w:rsidR="00314DFB" w:rsidRPr="00411B63" w:rsidRDefault="00314DFB" w:rsidP="008B63A3">
            <w:pPr>
              <w:pStyle w:val="TableColumnHeading"/>
              <w:ind w:right="28"/>
              <w:rPr>
                <w:sz w:val="18"/>
                <w:szCs w:val="18"/>
              </w:rPr>
            </w:pPr>
            <w:r w:rsidRPr="00411B63">
              <w:rPr>
                <w:sz w:val="18"/>
                <w:szCs w:val="18"/>
              </w:rPr>
              <w:t>2006-07</w:t>
            </w:r>
          </w:p>
        </w:tc>
        <w:tc>
          <w:tcPr>
            <w:tcW w:w="508" w:type="pct"/>
            <w:tcBorders>
              <w:top w:val="single" w:sz="6" w:space="0" w:color="auto"/>
              <w:bottom w:val="single" w:sz="6" w:space="0" w:color="auto"/>
            </w:tcBorders>
          </w:tcPr>
          <w:p w:rsidR="00314DFB" w:rsidRPr="00411B63" w:rsidRDefault="00314DFB" w:rsidP="008B63A3">
            <w:pPr>
              <w:pStyle w:val="TableColumnHeading"/>
              <w:ind w:right="28"/>
              <w:rPr>
                <w:sz w:val="18"/>
                <w:szCs w:val="18"/>
              </w:rPr>
            </w:pPr>
            <w:r w:rsidRPr="00411B63">
              <w:rPr>
                <w:sz w:val="18"/>
                <w:szCs w:val="18"/>
              </w:rPr>
              <w:t>2007-08</w:t>
            </w:r>
          </w:p>
        </w:tc>
        <w:tc>
          <w:tcPr>
            <w:tcW w:w="508" w:type="pct"/>
            <w:tcBorders>
              <w:top w:val="single" w:sz="6" w:space="0" w:color="auto"/>
              <w:bottom w:val="single" w:sz="6" w:space="0" w:color="auto"/>
            </w:tcBorders>
          </w:tcPr>
          <w:p w:rsidR="00314DFB" w:rsidRPr="00411B63" w:rsidRDefault="00314DFB" w:rsidP="008B63A3">
            <w:pPr>
              <w:pStyle w:val="TableColumnHeading"/>
              <w:ind w:right="28"/>
              <w:rPr>
                <w:sz w:val="18"/>
                <w:szCs w:val="18"/>
              </w:rPr>
            </w:pPr>
            <w:r w:rsidRPr="00411B63">
              <w:rPr>
                <w:sz w:val="18"/>
                <w:szCs w:val="18"/>
              </w:rPr>
              <w:t>2008-09</w:t>
            </w:r>
          </w:p>
        </w:tc>
        <w:tc>
          <w:tcPr>
            <w:tcW w:w="508" w:type="pct"/>
            <w:tcBorders>
              <w:top w:val="single" w:sz="6" w:space="0" w:color="auto"/>
              <w:bottom w:val="single" w:sz="6" w:space="0" w:color="auto"/>
            </w:tcBorders>
            <w:shd w:val="clear" w:color="auto" w:fill="auto"/>
          </w:tcPr>
          <w:p w:rsidR="00314DFB" w:rsidRPr="00411B63" w:rsidRDefault="00314DFB" w:rsidP="008B63A3">
            <w:pPr>
              <w:pStyle w:val="TableColumnHeading"/>
              <w:ind w:right="28"/>
              <w:rPr>
                <w:sz w:val="18"/>
                <w:szCs w:val="18"/>
              </w:rPr>
            </w:pPr>
            <w:r w:rsidRPr="00411B63">
              <w:rPr>
                <w:sz w:val="18"/>
                <w:szCs w:val="18"/>
              </w:rPr>
              <w:t>2009-10</w:t>
            </w:r>
          </w:p>
        </w:tc>
        <w:tc>
          <w:tcPr>
            <w:tcW w:w="508" w:type="pct"/>
            <w:tcBorders>
              <w:top w:val="single" w:sz="6" w:space="0" w:color="auto"/>
              <w:bottom w:val="single" w:sz="6" w:space="0" w:color="auto"/>
            </w:tcBorders>
            <w:shd w:val="clear" w:color="auto" w:fill="auto"/>
          </w:tcPr>
          <w:p w:rsidR="00314DFB" w:rsidRPr="00411B63" w:rsidRDefault="00314DFB" w:rsidP="008B63A3">
            <w:pPr>
              <w:pStyle w:val="TableColumnHeading"/>
              <w:ind w:right="28"/>
              <w:rPr>
                <w:sz w:val="18"/>
                <w:szCs w:val="18"/>
              </w:rPr>
            </w:pPr>
            <w:r w:rsidRPr="00411B63">
              <w:rPr>
                <w:sz w:val="18"/>
                <w:szCs w:val="18"/>
              </w:rPr>
              <w:t>2010-11</w:t>
            </w:r>
          </w:p>
        </w:tc>
        <w:tc>
          <w:tcPr>
            <w:tcW w:w="501" w:type="pct"/>
            <w:tcBorders>
              <w:top w:val="single" w:sz="6" w:space="0" w:color="auto"/>
              <w:bottom w:val="single" w:sz="6" w:space="0" w:color="auto"/>
            </w:tcBorders>
            <w:shd w:val="clear" w:color="auto" w:fill="auto"/>
          </w:tcPr>
          <w:p w:rsidR="00314DFB" w:rsidRPr="00411B63" w:rsidRDefault="00314DFB" w:rsidP="008B63A3">
            <w:pPr>
              <w:pStyle w:val="TableColumnHeading"/>
              <w:ind w:right="28"/>
              <w:rPr>
                <w:sz w:val="18"/>
                <w:szCs w:val="18"/>
              </w:rPr>
            </w:pPr>
            <w:r w:rsidRPr="00411B63">
              <w:rPr>
                <w:sz w:val="18"/>
                <w:szCs w:val="18"/>
              </w:rPr>
              <w:t>2011-12</w:t>
            </w:r>
          </w:p>
        </w:tc>
      </w:tr>
      <w:tr w:rsidR="00314DFB" w:rsidTr="008B63A3">
        <w:trPr>
          <w:trHeight w:val="227"/>
        </w:trPr>
        <w:tc>
          <w:tcPr>
            <w:tcW w:w="1959" w:type="pct"/>
            <w:tcBorders>
              <w:top w:val="single" w:sz="6" w:space="0" w:color="auto"/>
            </w:tcBorders>
            <w:vAlign w:val="bottom"/>
          </w:tcPr>
          <w:p w:rsidR="00314DFB" w:rsidRPr="003A08A6" w:rsidRDefault="00314DFB" w:rsidP="008B63A3">
            <w:pPr>
              <w:pStyle w:val="TableBodyText"/>
              <w:jc w:val="left"/>
              <w:rPr>
                <w:b/>
                <w:sz w:val="18"/>
                <w:szCs w:val="18"/>
              </w:rPr>
            </w:pPr>
            <w:r w:rsidRPr="003A08A6">
              <w:rPr>
                <w:b/>
                <w:sz w:val="18"/>
                <w:szCs w:val="18"/>
              </w:rPr>
              <w:t>Primary production</w:t>
            </w:r>
          </w:p>
        </w:tc>
        <w:tc>
          <w:tcPr>
            <w:tcW w:w="508" w:type="pct"/>
            <w:tcBorders>
              <w:top w:val="single" w:sz="6" w:space="0" w:color="auto"/>
            </w:tcBorders>
            <w:vAlign w:val="bottom"/>
          </w:tcPr>
          <w:p w:rsidR="00314DFB" w:rsidRPr="0052043B" w:rsidRDefault="00314DFB" w:rsidP="008B63A3">
            <w:pPr>
              <w:pStyle w:val="TableBodyText"/>
              <w:rPr>
                <w:b/>
                <w:sz w:val="18"/>
                <w:szCs w:val="18"/>
              </w:rPr>
            </w:pPr>
            <w:r w:rsidRPr="0052043B">
              <w:rPr>
                <w:b/>
                <w:sz w:val="18"/>
                <w:szCs w:val="18"/>
              </w:rPr>
              <w:t>3.0</w:t>
            </w:r>
          </w:p>
        </w:tc>
        <w:tc>
          <w:tcPr>
            <w:tcW w:w="508" w:type="pct"/>
            <w:tcBorders>
              <w:top w:val="single" w:sz="6" w:space="0" w:color="auto"/>
            </w:tcBorders>
            <w:vAlign w:val="bottom"/>
          </w:tcPr>
          <w:p w:rsidR="00314DFB" w:rsidRPr="0052043B" w:rsidRDefault="00314DFB" w:rsidP="008B63A3">
            <w:pPr>
              <w:pStyle w:val="TableBodyText"/>
              <w:rPr>
                <w:b/>
                <w:sz w:val="18"/>
                <w:szCs w:val="18"/>
              </w:rPr>
            </w:pPr>
            <w:r w:rsidRPr="0052043B">
              <w:rPr>
                <w:b/>
                <w:sz w:val="18"/>
                <w:szCs w:val="18"/>
              </w:rPr>
              <w:t>3.2</w:t>
            </w:r>
          </w:p>
        </w:tc>
        <w:tc>
          <w:tcPr>
            <w:tcW w:w="508" w:type="pct"/>
            <w:tcBorders>
              <w:top w:val="single" w:sz="6" w:space="0" w:color="auto"/>
            </w:tcBorders>
            <w:vAlign w:val="bottom"/>
          </w:tcPr>
          <w:p w:rsidR="00314DFB" w:rsidRPr="0052043B" w:rsidRDefault="00314DFB" w:rsidP="008B63A3">
            <w:pPr>
              <w:pStyle w:val="TableBodyText"/>
              <w:rPr>
                <w:b/>
                <w:sz w:val="18"/>
                <w:szCs w:val="18"/>
              </w:rPr>
            </w:pPr>
            <w:r w:rsidRPr="0052043B">
              <w:rPr>
                <w:b/>
                <w:sz w:val="18"/>
                <w:szCs w:val="18"/>
              </w:rPr>
              <w:t>4.4</w:t>
            </w:r>
          </w:p>
        </w:tc>
        <w:tc>
          <w:tcPr>
            <w:tcW w:w="508" w:type="pct"/>
            <w:tcBorders>
              <w:top w:val="single" w:sz="6" w:space="0" w:color="auto"/>
            </w:tcBorders>
            <w:vAlign w:val="bottom"/>
          </w:tcPr>
          <w:p w:rsidR="00314DFB" w:rsidRPr="0052043B" w:rsidRDefault="00314DFB" w:rsidP="008B63A3">
            <w:pPr>
              <w:pStyle w:val="TableBodyText"/>
              <w:rPr>
                <w:b/>
                <w:sz w:val="18"/>
                <w:szCs w:val="18"/>
              </w:rPr>
            </w:pPr>
            <w:r w:rsidRPr="0052043B">
              <w:rPr>
                <w:b/>
                <w:sz w:val="18"/>
                <w:szCs w:val="18"/>
              </w:rPr>
              <w:t>4.7</w:t>
            </w:r>
          </w:p>
        </w:tc>
        <w:tc>
          <w:tcPr>
            <w:tcW w:w="508" w:type="pct"/>
            <w:tcBorders>
              <w:top w:val="single" w:sz="6" w:space="0" w:color="auto"/>
            </w:tcBorders>
            <w:vAlign w:val="bottom"/>
          </w:tcPr>
          <w:p w:rsidR="00314DFB" w:rsidRPr="0052043B" w:rsidRDefault="00314DFB" w:rsidP="008B63A3">
            <w:pPr>
              <w:pStyle w:val="TableBodyText"/>
              <w:rPr>
                <w:b/>
                <w:sz w:val="18"/>
                <w:szCs w:val="18"/>
              </w:rPr>
            </w:pPr>
            <w:r w:rsidRPr="0052043B">
              <w:rPr>
                <w:b/>
                <w:sz w:val="18"/>
                <w:szCs w:val="18"/>
              </w:rPr>
              <w:t>3.8</w:t>
            </w:r>
          </w:p>
        </w:tc>
        <w:tc>
          <w:tcPr>
            <w:tcW w:w="501" w:type="pct"/>
            <w:tcBorders>
              <w:top w:val="single" w:sz="6" w:space="0" w:color="auto"/>
            </w:tcBorders>
            <w:vAlign w:val="bottom"/>
          </w:tcPr>
          <w:p w:rsidR="00314DFB" w:rsidRPr="0052043B" w:rsidRDefault="00314DFB" w:rsidP="008B63A3">
            <w:pPr>
              <w:pStyle w:val="TableBodyText"/>
              <w:rPr>
                <w:b/>
                <w:sz w:val="18"/>
                <w:szCs w:val="18"/>
              </w:rPr>
            </w:pPr>
            <w:r w:rsidRPr="0052043B">
              <w:rPr>
                <w:b/>
                <w:sz w:val="18"/>
                <w:szCs w:val="18"/>
              </w:rPr>
              <w:t>2.9</w:t>
            </w:r>
          </w:p>
        </w:tc>
      </w:tr>
      <w:tr w:rsidR="00314DFB" w:rsidTr="008B63A3">
        <w:trPr>
          <w:trHeight w:val="227"/>
        </w:trPr>
        <w:tc>
          <w:tcPr>
            <w:tcW w:w="1959" w:type="pct"/>
            <w:vAlign w:val="bottom"/>
          </w:tcPr>
          <w:p w:rsidR="00314DFB" w:rsidRPr="007758AB" w:rsidRDefault="00314DFB" w:rsidP="008B63A3">
            <w:pPr>
              <w:pStyle w:val="TableBodyText"/>
              <w:jc w:val="left"/>
              <w:rPr>
                <w:sz w:val="18"/>
                <w:szCs w:val="18"/>
              </w:rPr>
            </w:pPr>
            <w:r w:rsidRPr="007758AB">
              <w:rPr>
                <w:sz w:val="18"/>
                <w:szCs w:val="18"/>
              </w:rPr>
              <w:t>Horticulture and fruit growing</w:t>
            </w:r>
          </w:p>
        </w:tc>
        <w:tc>
          <w:tcPr>
            <w:tcW w:w="508" w:type="pct"/>
            <w:vAlign w:val="bottom"/>
          </w:tcPr>
          <w:p w:rsidR="00314DFB" w:rsidRPr="0052043B" w:rsidRDefault="00314DFB" w:rsidP="008B63A3">
            <w:pPr>
              <w:pStyle w:val="TableBodyText"/>
              <w:rPr>
                <w:sz w:val="18"/>
                <w:szCs w:val="18"/>
              </w:rPr>
            </w:pPr>
            <w:r w:rsidRPr="0052043B">
              <w:rPr>
                <w:sz w:val="18"/>
                <w:szCs w:val="18"/>
              </w:rPr>
              <w:t>0.9</w:t>
            </w:r>
          </w:p>
        </w:tc>
        <w:tc>
          <w:tcPr>
            <w:tcW w:w="508" w:type="pct"/>
            <w:vAlign w:val="bottom"/>
          </w:tcPr>
          <w:p w:rsidR="00314DFB" w:rsidRPr="0052043B" w:rsidRDefault="00314DFB" w:rsidP="008B63A3">
            <w:pPr>
              <w:pStyle w:val="TableBodyText"/>
              <w:rPr>
                <w:sz w:val="18"/>
                <w:szCs w:val="18"/>
              </w:rPr>
            </w:pPr>
            <w:r w:rsidRPr="0052043B">
              <w:rPr>
                <w:sz w:val="18"/>
                <w:szCs w:val="18"/>
              </w:rPr>
              <w:t>0.9</w:t>
            </w:r>
          </w:p>
        </w:tc>
        <w:tc>
          <w:tcPr>
            <w:tcW w:w="508" w:type="pct"/>
            <w:vAlign w:val="bottom"/>
          </w:tcPr>
          <w:p w:rsidR="00314DFB" w:rsidRPr="0052043B" w:rsidRDefault="00314DFB" w:rsidP="008B63A3">
            <w:pPr>
              <w:pStyle w:val="TableBodyText"/>
              <w:rPr>
                <w:sz w:val="18"/>
                <w:szCs w:val="18"/>
              </w:rPr>
            </w:pPr>
            <w:r w:rsidRPr="0052043B">
              <w:rPr>
                <w:sz w:val="18"/>
                <w:szCs w:val="18"/>
              </w:rPr>
              <w:t>1.4</w:t>
            </w:r>
          </w:p>
        </w:tc>
        <w:tc>
          <w:tcPr>
            <w:tcW w:w="508" w:type="pct"/>
            <w:vAlign w:val="bottom"/>
          </w:tcPr>
          <w:p w:rsidR="00314DFB" w:rsidRPr="0052043B" w:rsidRDefault="00314DFB" w:rsidP="008B63A3">
            <w:pPr>
              <w:pStyle w:val="TableBodyText"/>
              <w:rPr>
                <w:sz w:val="18"/>
                <w:szCs w:val="18"/>
              </w:rPr>
            </w:pPr>
            <w:r w:rsidRPr="0052043B">
              <w:rPr>
                <w:sz w:val="18"/>
                <w:szCs w:val="18"/>
              </w:rPr>
              <w:t>1.0</w:t>
            </w:r>
          </w:p>
        </w:tc>
        <w:tc>
          <w:tcPr>
            <w:tcW w:w="508" w:type="pct"/>
            <w:vAlign w:val="bottom"/>
          </w:tcPr>
          <w:p w:rsidR="00314DFB" w:rsidRPr="0052043B" w:rsidRDefault="00314DFB" w:rsidP="008B63A3">
            <w:pPr>
              <w:pStyle w:val="TableBodyText"/>
              <w:rPr>
                <w:sz w:val="18"/>
                <w:szCs w:val="18"/>
              </w:rPr>
            </w:pPr>
            <w:r w:rsidRPr="0052043B">
              <w:rPr>
                <w:sz w:val="18"/>
                <w:szCs w:val="18"/>
              </w:rPr>
              <w:t>1.3</w:t>
            </w:r>
          </w:p>
        </w:tc>
        <w:tc>
          <w:tcPr>
            <w:tcW w:w="501" w:type="pct"/>
            <w:vAlign w:val="bottom"/>
          </w:tcPr>
          <w:p w:rsidR="00314DFB" w:rsidRPr="0052043B" w:rsidRDefault="00314DFB" w:rsidP="008B63A3">
            <w:pPr>
              <w:pStyle w:val="TableBodyText"/>
              <w:rPr>
                <w:sz w:val="18"/>
                <w:szCs w:val="18"/>
              </w:rPr>
            </w:pPr>
            <w:r w:rsidRPr="0052043B">
              <w:rPr>
                <w:sz w:val="18"/>
                <w:szCs w:val="18"/>
              </w:rPr>
              <w:t>1.0</w:t>
            </w:r>
          </w:p>
        </w:tc>
      </w:tr>
      <w:tr w:rsidR="00314DFB" w:rsidTr="008B63A3">
        <w:trPr>
          <w:trHeight w:val="227"/>
        </w:trPr>
        <w:tc>
          <w:tcPr>
            <w:tcW w:w="1959" w:type="pct"/>
            <w:vAlign w:val="bottom"/>
          </w:tcPr>
          <w:p w:rsidR="00314DFB" w:rsidRPr="007758AB" w:rsidRDefault="00314DFB" w:rsidP="008B63A3">
            <w:pPr>
              <w:pStyle w:val="TableBodyText"/>
              <w:jc w:val="left"/>
              <w:rPr>
                <w:sz w:val="18"/>
                <w:szCs w:val="18"/>
              </w:rPr>
            </w:pPr>
            <w:r w:rsidRPr="007758AB">
              <w:rPr>
                <w:sz w:val="18"/>
                <w:szCs w:val="18"/>
              </w:rPr>
              <w:t>Sheep, beef cattle and grain farming</w:t>
            </w:r>
          </w:p>
        </w:tc>
        <w:tc>
          <w:tcPr>
            <w:tcW w:w="508" w:type="pct"/>
            <w:vAlign w:val="bottom"/>
          </w:tcPr>
          <w:p w:rsidR="00314DFB" w:rsidRPr="0052043B" w:rsidRDefault="00314DFB" w:rsidP="008B63A3">
            <w:pPr>
              <w:pStyle w:val="TableBodyText"/>
              <w:rPr>
                <w:sz w:val="18"/>
                <w:szCs w:val="18"/>
              </w:rPr>
            </w:pPr>
            <w:r w:rsidRPr="0052043B">
              <w:rPr>
                <w:sz w:val="18"/>
                <w:szCs w:val="18"/>
              </w:rPr>
              <w:t>0.5</w:t>
            </w:r>
          </w:p>
        </w:tc>
        <w:tc>
          <w:tcPr>
            <w:tcW w:w="508" w:type="pct"/>
            <w:vAlign w:val="bottom"/>
          </w:tcPr>
          <w:p w:rsidR="00314DFB" w:rsidRPr="0052043B" w:rsidRDefault="00314DFB" w:rsidP="008B63A3">
            <w:pPr>
              <w:pStyle w:val="TableBodyText"/>
              <w:rPr>
                <w:sz w:val="18"/>
                <w:szCs w:val="18"/>
              </w:rPr>
            </w:pPr>
            <w:r w:rsidRPr="0052043B">
              <w:rPr>
                <w:sz w:val="18"/>
                <w:szCs w:val="18"/>
              </w:rPr>
              <w:t>0.5</w:t>
            </w:r>
          </w:p>
        </w:tc>
        <w:tc>
          <w:tcPr>
            <w:tcW w:w="508" w:type="pct"/>
            <w:vAlign w:val="bottom"/>
          </w:tcPr>
          <w:p w:rsidR="00314DFB" w:rsidRPr="0052043B" w:rsidRDefault="00314DFB" w:rsidP="008B63A3">
            <w:pPr>
              <w:pStyle w:val="TableBodyText"/>
              <w:rPr>
                <w:sz w:val="18"/>
                <w:szCs w:val="18"/>
              </w:rPr>
            </w:pPr>
            <w:r w:rsidRPr="0052043B">
              <w:rPr>
                <w:sz w:val="18"/>
                <w:szCs w:val="18"/>
              </w:rPr>
              <w:t>0.6</w:t>
            </w:r>
          </w:p>
        </w:tc>
        <w:tc>
          <w:tcPr>
            <w:tcW w:w="508" w:type="pct"/>
            <w:vAlign w:val="bottom"/>
          </w:tcPr>
          <w:p w:rsidR="00314DFB" w:rsidRPr="0052043B" w:rsidRDefault="00314DFB" w:rsidP="008B63A3">
            <w:pPr>
              <w:pStyle w:val="TableBodyText"/>
              <w:rPr>
                <w:sz w:val="18"/>
                <w:szCs w:val="18"/>
              </w:rPr>
            </w:pPr>
            <w:r w:rsidRPr="0052043B">
              <w:rPr>
                <w:sz w:val="18"/>
                <w:szCs w:val="18"/>
              </w:rPr>
              <w:t>0.8</w:t>
            </w:r>
          </w:p>
        </w:tc>
        <w:tc>
          <w:tcPr>
            <w:tcW w:w="508" w:type="pct"/>
            <w:vAlign w:val="bottom"/>
          </w:tcPr>
          <w:p w:rsidR="00314DFB" w:rsidRPr="0052043B" w:rsidRDefault="00314DFB" w:rsidP="008B63A3">
            <w:pPr>
              <w:pStyle w:val="TableBodyText"/>
              <w:rPr>
                <w:sz w:val="18"/>
                <w:szCs w:val="18"/>
              </w:rPr>
            </w:pPr>
            <w:r w:rsidRPr="0052043B">
              <w:rPr>
                <w:sz w:val="18"/>
                <w:szCs w:val="18"/>
              </w:rPr>
              <w:t>0.6</w:t>
            </w:r>
          </w:p>
        </w:tc>
        <w:tc>
          <w:tcPr>
            <w:tcW w:w="501" w:type="pct"/>
            <w:vAlign w:val="bottom"/>
          </w:tcPr>
          <w:p w:rsidR="00314DFB" w:rsidRPr="0052043B" w:rsidRDefault="00314DFB" w:rsidP="008B63A3">
            <w:pPr>
              <w:pStyle w:val="TableBodyText"/>
              <w:rPr>
                <w:sz w:val="18"/>
                <w:szCs w:val="18"/>
              </w:rPr>
            </w:pPr>
            <w:r w:rsidRPr="0052043B">
              <w:rPr>
                <w:sz w:val="18"/>
                <w:szCs w:val="18"/>
              </w:rPr>
              <w:t>0.4</w:t>
            </w:r>
          </w:p>
        </w:tc>
      </w:tr>
      <w:tr w:rsidR="00314DFB" w:rsidTr="008B63A3">
        <w:trPr>
          <w:trHeight w:val="227"/>
        </w:trPr>
        <w:tc>
          <w:tcPr>
            <w:tcW w:w="1959" w:type="pct"/>
            <w:vAlign w:val="bottom"/>
          </w:tcPr>
          <w:p w:rsidR="00314DFB" w:rsidRPr="007758AB" w:rsidRDefault="00314DFB" w:rsidP="008B63A3">
            <w:pPr>
              <w:pStyle w:val="TableBodyText"/>
              <w:jc w:val="left"/>
              <w:rPr>
                <w:sz w:val="18"/>
                <w:szCs w:val="18"/>
              </w:rPr>
            </w:pPr>
            <w:r w:rsidRPr="007758AB">
              <w:rPr>
                <w:sz w:val="18"/>
                <w:szCs w:val="18"/>
              </w:rPr>
              <w:t>Other crop growing</w:t>
            </w:r>
          </w:p>
        </w:tc>
        <w:tc>
          <w:tcPr>
            <w:tcW w:w="508" w:type="pct"/>
            <w:vAlign w:val="bottom"/>
          </w:tcPr>
          <w:p w:rsidR="00314DFB" w:rsidRPr="0052043B" w:rsidRDefault="00314DFB" w:rsidP="008B63A3">
            <w:pPr>
              <w:pStyle w:val="TableBodyText"/>
              <w:rPr>
                <w:sz w:val="18"/>
                <w:szCs w:val="18"/>
              </w:rPr>
            </w:pPr>
            <w:r w:rsidRPr="0052043B">
              <w:rPr>
                <w:sz w:val="18"/>
                <w:szCs w:val="18"/>
              </w:rPr>
              <w:t>0.2</w:t>
            </w:r>
          </w:p>
        </w:tc>
        <w:tc>
          <w:tcPr>
            <w:tcW w:w="508" w:type="pct"/>
            <w:vAlign w:val="bottom"/>
          </w:tcPr>
          <w:p w:rsidR="00314DFB" w:rsidRPr="0052043B" w:rsidRDefault="00314DFB" w:rsidP="008B63A3">
            <w:pPr>
              <w:pStyle w:val="TableBodyText"/>
              <w:rPr>
                <w:sz w:val="18"/>
                <w:szCs w:val="18"/>
              </w:rPr>
            </w:pPr>
            <w:r w:rsidRPr="0052043B">
              <w:rPr>
                <w:sz w:val="18"/>
                <w:szCs w:val="18"/>
              </w:rPr>
              <w:t>0.2</w:t>
            </w:r>
          </w:p>
        </w:tc>
        <w:tc>
          <w:tcPr>
            <w:tcW w:w="508" w:type="pct"/>
            <w:vAlign w:val="bottom"/>
          </w:tcPr>
          <w:p w:rsidR="00314DFB" w:rsidRPr="0052043B" w:rsidRDefault="00314DFB" w:rsidP="008B63A3">
            <w:pPr>
              <w:pStyle w:val="TableBodyText"/>
              <w:rPr>
                <w:sz w:val="18"/>
                <w:szCs w:val="18"/>
              </w:rPr>
            </w:pPr>
            <w:r w:rsidRPr="0052043B">
              <w:rPr>
                <w:sz w:val="18"/>
                <w:szCs w:val="18"/>
              </w:rPr>
              <w:t>0.4</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0.6</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0.4</w:t>
            </w:r>
          </w:p>
        </w:tc>
        <w:tc>
          <w:tcPr>
            <w:tcW w:w="501" w:type="pct"/>
            <w:shd w:val="clear" w:color="auto" w:fill="auto"/>
            <w:vAlign w:val="bottom"/>
          </w:tcPr>
          <w:p w:rsidR="00314DFB" w:rsidRPr="0052043B" w:rsidRDefault="00314DFB" w:rsidP="008B63A3">
            <w:pPr>
              <w:pStyle w:val="TableBodyText"/>
              <w:rPr>
                <w:sz w:val="18"/>
                <w:szCs w:val="18"/>
              </w:rPr>
            </w:pPr>
            <w:r w:rsidRPr="0052043B">
              <w:rPr>
                <w:sz w:val="18"/>
                <w:szCs w:val="18"/>
              </w:rPr>
              <w:t>0.5</w:t>
            </w:r>
          </w:p>
        </w:tc>
      </w:tr>
      <w:tr w:rsidR="00314DFB" w:rsidTr="008B63A3">
        <w:trPr>
          <w:trHeight w:val="227"/>
        </w:trPr>
        <w:tc>
          <w:tcPr>
            <w:tcW w:w="1959" w:type="pct"/>
            <w:vAlign w:val="bottom"/>
          </w:tcPr>
          <w:p w:rsidR="00314DFB" w:rsidRPr="007758AB" w:rsidRDefault="00314DFB" w:rsidP="008B63A3">
            <w:pPr>
              <w:pStyle w:val="TableBodyText"/>
              <w:jc w:val="left"/>
              <w:rPr>
                <w:sz w:val="18"/>
                <w:szCs w:val="18"/>
              </w:rPr>
            </w:pPr>
            <w:r w:rsidRPr="007758AB">
              <w:rPr>
                <w:sz w:val="18"/>
                <w:szCs w:val="18"/>
              </w:rPr>
              <w:t>Dairy cattle farming</w:t>
            </w:r>
          </w:p>
        </w:tc>
        <w:tc>
          <w:tcPr>
            <w:tcW w:w="508" w:type="pct"/>
            <w:vAlign w:val="bottom"/>
          </w:tcPr>
          <w:p w:rsidR="00314DFB" w:rsidRPr="0052043B" w:rsidRDefault="00314DFB" w:rsidP="008B63A3">
            <w:pPr>
              <w:pStyle w:val="TableBodyText"/>
              <w:rPr>
                <w:sz w:val="18"/>
                <w:szCs w:val="18"/>
              </w:rPr>
            </w:pPr>
            <w:r>
              <w:rPr>
                <w:sz w:val="18"/>
                <w:szCs w:val="18"/>
              </w:rPr>
              <w:t>&lt;</w:t>
            </w:r>
            <w:r w:rsidRPr="00E17EEF">
              <w:rPr>
                <w:sz w:val="18"/>
                <w:szCs w:val="18"/>
              </w:rPr>
              <w:t>0.</w:t>
            </w:r>
            <w:r>
              <w:rPr>
                <w:sz w:val="18"/>
                <w:szCs w:val="18"/>
              </w:rPr>
              <w:t>1</w:t>
            </w:r>
          </w:p>
        </w:tc>
        <w:tc>
          <w:tcPr>
            <w:tcW w:w="508" w:type="pct"/>
            <w:vAlign w:val="bottom"/>
          </w:tcPr>
          <w:p w:rsidR="00314DFB" w:rsidRPr="0052043B" w:rsidRDefault="00314DFB" w:rsidP="008B63A3">
            <w:pPr>
              <w:pStyle w:val="TableBodyText"/>
              <w:rPr>
                <w:sz w:val="18"/>
                <w:szCs w:val="18"/>
              </w:rPr>
            </w:pPr>
            <w:r>
              <w:rPr>
                <w:sz w:val="18"/>
                <w:szCs w:val="18"/>
              </w:rPr>
              <w:t>&lt;</w:t>
            </w:r>
            <w:r w:rsidRPr="0052043B">
              <w:rPr>
                <w:sz w:val="18"/>
                <w:szCs w:val="18"/>
              </w:rPr>
              <w:t>0.1</w:t>
            </w:r>
          </w:p>
        </w:tc>
        <w:tc>
          <w:tcPr>
            <w:tcW w:w="508" w:type="pct"/>
            <w:vAlign w:val="bottom"/>
          </w:tcPr>
          <w:p w:rsidR="00314DFB" w:rsidRPr="0052043B" w:rsidRDefault="00314DFB" w:rsidP="008B63A3">
            <w:pPr>
              <w:pStyle w:val="TableBodyText"/>
              <w:rPr>
                <w:sz w:val="18"/>
                <w:szCs w:val="18"/>
              </w:rPr>
            </w:pPr>
            <w:r>
              <w:rPr>
                <w:sz w:val="18"/>
                <w:szCs w:val="18"/>
              </w:rPr>
              <w:noBreakHyphen/>
            </w:r>
          </w:p>
        </w:tc>
        <w:tc>
          <w:tcPr>
            <w:tcW w:w="508" w:type="pct"/>
            <w:shd w:val="clear" w:color="auto" w:fill="auto"/>
            <w:vAlign w:val="bottom"/>
          </w:tcPr>
          <w:p w:rsidR="00314DFB" w:rsidRPr="0052043B" w:rsidRDefault="00314DFB" w:rsidP="008B63A3">
            <w:pPr>
              <w:pStyle w:val="TableBodyText"/>
              <w:rPr>
                <w:sz w:val="18"/>
                <w:szCs w:val="18"/>
              </w:rPr>
            </w:pPr>
            <w:r>
              <w:rPr>
                <w:sz w:val="18"/>
                <w:szCs w:val="18"/>
              </w:rPr>
              <w:t>&lt;</w:t>
            </w:r>
            <w:r w:rsidRPr="00E17EEF">
              <w:rPr>
                <w:sz w:val="18"/>
                <w:szCs w:val="18"/>
              </w:rPr>
              <w:t>0.</w:t>
            </w:r>
            <w:r>
              <w:rPr>
                <w:sz w:val="18"/>
                <w:szCs w:val="18"/>
              </w:rPr>
              <w:t>1</w:t>
            </w:r>
          </w:p>
        </w:tc>
        <w:tc>
          <w:tcPr>
            <w:tcW w:w="508" w:type="pct"/>
            <w:shd w:val="clear" w:color="auto" w:fill="auto"/>
            <w:vAlign w:val="bottom"/>
          </w:tcPr>
          <w:p w:rsidR="00314DFB" w:rsidRPr="0052043B" w:rsidRDefault="00314DFB" w:rsidP="008B63A3">
            <w:pPr>
              <w:pStyle w:val="TableBodyText"/>
              <w:rPr>
                <w:sz w:val="18"/>
                <w:szCs w:val="18"/>
              </w:rPr>
            </w:pPr>
            <w:r>
              <w:rPr>
                <w:sz w:val="18"/>
                <w:szCs w:val="18"/>
              </w:rPr>
              <w:noBreakHyphen/>
            </w:r>
          </w:p>
        </w:tc>
        <w:tc>
          <w:tcPr>
            <w:tcW w:w="501" w:type="pct"/>
            <w:shd w:val="clear" w:color="auto" w:fill="auto"/>
            <w:vAlign w:val="bottom"/>
          </w:tcPr>
          <w:p w:rsidR="00314DFB" w:rsidRPr="0052043B" w:rsidRDefault="00314DFB" w:rsidP="008B63A3">
            <w:pPr>
              <w:pStyle w:val="TableBodyText"/>
              <w:rPr>
                <w:sz w:val="18"/>
                <w:szCs w:val="18"/>
              </w:rPr>
            </w:pPr>
            <w:r>
              <w:rPr>
                <w:sz w:val="18"/>
                <w:szCs w:val="18"/>
              </w:rPr>
              <w:noBreakHyphen/>
            </w:r>
          </w:p>
        </w:tc>
      </w:tr>
      <w:tr w:rsidR="00314DFB" w:rsidTr="008B63A3">
        <w:trPr>
          <w:trHeight w:val="227"/>
        </w:trPr>
        <w:tc>
          <w:tcPr>
            <w:tcW w:w="1959" w:type="pct"/>
            <w:vAlign w:val="bottom"/>
          </w:tcPr>
          <w:p w:rsidR="00314DFB" w:rsidRPr="007758AB" w:rsidRDefault="00314DFB" w:rsidP="008B63A3">
            <w:pPr>
              <w:pStyle w:val="TableBodyText"/>
              <w:jc w:val="left"/>
              <w:rPr>
                <w:sz w:val="18"/>
                <w:szCs w:val="18"/>
              </w:rPr>
            </w:pPr>
            <w:r w:rsidRPr="007758AB">
              <w:rPr>
                <w:sz w:val="18"/>
                <w:szCs w:val="18"/>
              </w:rPr>
              <w:t>Other livestock farming</w:t>
            </w:r>
          </w:p>
        </w:tc>
        <w:tc>
          <w:tcPr>
            <w:tcW w:w="508" w:type="pct"/>
            <w:vAlign w:val="bottom"/>
          </w:tcPr>
          <w:p w:rsidR="00314DFB" w:rsidRPr="0052043B" w:rsidRDefault="00314DFB" w:rsidP="008B63A3">
            <w:pPr>
              <w:pStyle w:val="TableBodyText"/>
              <w:rPr>
                <w:sz w:val="18"/>
                <w:szCs w:val="18"/>
              </w:rPr>
            </w:pPr>
            <w:r w:rsidRPr="0052043B">
              <w:rPr>
                <w:sz w:val="18"/>
                <w:szCs w:val="18"/>
              </w:rPr>
              <w:t>0.6</w:t>
            </w:r>
          </w:p>
        </w:tc>
        <w:tc>
          <w:tcPr>
            <w:tcW w:w="508" w:type="pct"/>
            <w:vAlign w:val="bottom"/>
          </w:tcPr>
          <w:p w:rsidR="00314DFB" w:rsidRPr="0052043B" w:rsidRDefault="00314DFB" w:rsidP="008B63A3">
            <w:pPr>
              <w:pStyle w:val="TableBodyText"/>
              <w:rPr>
                <w:sz w:val="18"/>
                <w:szCs w:val="18"/>
              </w:rPr>
            </w:pPr>
            <w:r w:rsidRPr="0052043B">
              <w:rPr>
                <w:sz w:val="18"/>
                <w:szCs w:val="18"/>
              </w:rPr>
              <w:t>0.6</w:t>
            </w:r>
          </w:p>
        </w:tc>
        <w:tc>
          <w:tcPr>
            <w:tcW w:w="508" w:type="pct"/>
            <w:vAlign w:val="bottom"/>
          </w:tcPr>
          <w:p w:rsidR="00314DFB" w:rsidRPr="0052043B" w:rsidRDefault="00314DFB" w:rsidP="008B63A3">
            <w:pPr>
              <w:pStyle w:val="TableBodyText"/>
              <w:rPr>
                <w:sz w:val="18"/>
                <w:szCs w:val="18"/>
              </w:rPr>
            </w:pPr>
            <w:r w:rsidRPr="0052043B">
              <w:rPr>
                <w:sz w:val="18"/>
                <w:szCs w:val="18"/>
              </w:rPr>
              <w:t>0.9</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0.6</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0.6</w:t>
            </w:r>
          </w:p>
        </w:tc>
        <w:tc>
          <w:tcPr>
            <w:tcW w:w="501" w:type="pct"/>
            <w:shd w:val="clear" w:color="auto" w:fill="auto"/>
            <w:vAlign w:val="bottom"/>
          </w:tcPr>
          <w:p w:rsidR="00314DFB" w:rsidRPr="0052043B" w:rsidRDefault="00314DFB" w:rsidP="008B63A3">
            <w:pPr>
              <w:pStyle w:val="TableBodyText"/>
              <w:rPr>
                <w:sz w:val="18"/>
                <w:szCs w:val="18"/>
              </w:rPr>
            </w:pPr>
            <w:r w:rsidRPr="0052043B">
              <w:rPr>
                <w:sz w:val="18"/>
                <w:szCs w:val="18"/>
              </w:rPr>
              <w:t>0.2</w:t>
            </w:r>
          </w:p>
        </w:tc>
      </w:tr>
      <w:tr w:rsidR="00314DFB" w:rsidTr="008B63A3">
        <w:trPr>
          <w:trHeight w:val="227"/>
        </w:trPr>
        <w:tc>
          <w:tcPr>
            <w:tcW w:w="1959" w:type="pct"/>
            <w:vAlign w:val="bottom"/>
          </w:tcPr>
          <w:p w:rsidR="00314DFB" w:rsidRPr="007758AB" w:rsidRDefault="00314DFB" w:rsidP="008B63A3">
            <w:pPr>
              <w:pStyle w:val="TableBodyText"/>
              <w:jc w:val="left"/>
              <w:rPr>
                <w:sz w:val="18"/>
                <w:szCs w:val="18"/>
              </w:rPr>
            </w:pPr>
            <w:r w:rsidRPr="007758AB">
              <w:rPr>
                <w:sz w:val="18"/>
                <w:szCs w:val="18"/>
              </w:rPr>
              <w:t>Aquaculture and fishing</w:t>
            </w:r>
          </w:p>
        </w:tc>
        <w:tc>
          <w:tcPr>
            <w:tcW w:w="508" w:type="pct"/>
            <w:vAlign w:val="bottom"/>
          </w:tcPr>
          <w:p w:rsidR="00314DFB" w:rsidRPr="0052043B" w:rsidRDefault="00314DFB" w:rsidP="008B63A3">
            <w:pPr>
              <w:pStyle w:val="TableBodyText"/>
              <w:rPr>
                <w:sz w:val="18"/>
                <w:szCs w:val="18"/>
              </w:rPr>
            </w:pPr>
            <w:r w:rsidRPr="0052043B">
              <w:rPr>
                <w:sz w:val="18"/>
                <w:szCs w:val="18"/>
              </w:rPr>
              <w:t>0.5</w:t>
            </w:r>
          </w:p>
        </w:tc>
        <w:tc>
          <w:tcPr>
            <w:tcW w:w="508" w:type="pct"/>
            <w:vAlign w:val="bottom"/>
          </w:tcPr>
          <w:p w:rsidR="00314DFB" w:rsidRPr="0052043B" w:rsidRDefault="00314DFB" w:rsidP="008B63A3">
            <w:pPr>
              <w:pStyle w:val="TableBodyText"/>
              <w:rPr>
                <w:sz w:val="18"/>
                <w:szCs w:val="18"/>
              </w:rPr>
            </w:pPr>
            <w:r w:rsidRPr="0052043B">
              <w:rPr>
                <w:sz w:val="18"/>
                <w:szCs w:val="18"/>
              </w:rPr>
              <w:t>0.3</w:t>
            </w:r>
          </w:p>
        </w:tc>
        <w:tc>
          <w:tcPr>
            <w:tcW w:w="508" w:type="pct"/>
            <w:vAlign w:val="bottom"/>
          </w:tcPr>
          <w:p w:rsidR="00314DFB" w:rsidRPr="0052043B" w:rsidRDefault="00314DFB" w:rsidP="008B63A3">
            <w:pPr>
              <w:pStyle w:val="TableBodyText"/>
              <w:rPr>
                <w:sz w:val="18"/>
                <w:szCs w:val="18"/>
              </w:rPr>
            </w:pPr>
            <w:r w:rsidRPr="0052043B">
              <w:rPr>
                <w:sz w:val="18"/>
                <w:szCs w:val="18"/>
              </w:rPr>
              <w:t>0.5</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0.9</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0.6</w:t>
            </w:r>
          </w:p>
        </w:tc>
        <w:tc>
          <w:tcPr>
            <w:tcW w:w="501" w:type="pct"/>
            <w:shd w:val="clear" w:color="auto" w:fill="auto"/>
            <w:vAlign w:val="bottom"/>
          </w:tcPr>
          <w:p w:rsidR="00314DFB" w:rsidRPr="0052043B" w:rsidRDefault="00314DFB" w:rsidP="008B63A3">
            <w:pPr>
              <w:pStyle w:val="TableBodyText"/>
              <w:rPr>
                <w:sz w:val="18"/>
                <w:szCs w:val="18"/>
              </w:rPr>
            </w:pPr>
            <w:r w:rsidRPr="0052043B">
              <w:rPr>
                <w:sz w:val="18"/>
                <w:szCs w:val="18"/>
              </w:rPr>
              <w:t>0.4</w:t>
            </w:r>
          </w:p>
        </w:tc>
      </w:tr>
      <w:tr w:rsidR="00314DFB" w:rsidTr="008B63A3">
        <w:trPr>
          <w:trHeight w:val="227"/>
        </w:trPr>
        <w:tc>
          <w:tcPr>
            <w:tcW w:w="1959" w:type="pct"/>
            <w:vAlign w:val="bottom"/>
          </w:tcPr>
          <w:p w:rsidR="00314DFB" w:rsidRPr="007758AB" w:rsidRDefault="00314DFB" w:rsidP="008B63A3">
            <w:pPr>
              <w:pStyle w:val="TableBodyText"/>
              <w:jc w:val="left"/>
              <w:rPr>
                <w:sz w:val="18"/>
                <w:szCs w:val="18"/>
              </w:rPr>
            </w:pPr>
            <w:r w:rsidRPr="007758AB">
              <w:rPr>
                <w:sz w:val="18"/>
                <w:szCs w:val="18"/>
              </w:rPr>
              <w:t>Forestry and logging</w:t>
            </w:r>
          </w:p>
        </w:tc>
        <w:tc>
          <w:tcPr>
            <w:tcW w:w="508" w:type="pct"/>
            <w:vAlign w:val="bottom"/>
          </w:tcPr>
          <w:p w:rsidR="00314DFB" w:rsidRPr="0052043B" w:rsidRDefault="00314DFB" w:rsidP="008B63A3">
            <w:pPr>
              <w:pStyle w:val="TableBodyText"/>
              <w:rPr>
                <w:sz w:val="18"/>
                <w:szCs w:val="18"/>
              </w:rPr>
            </w:pPr>
            <w:r>
              <w:rPr>
                <w:sz w:val="18"/>
                <w:szCs w:val="18"/>
              </w:rPr>
              <w:t>&lt;</w:t>
            </w:r>
            <w:r w:rsidRPr="00E17EEF">
              <w:rPr>
                <w:sz w:val="18"/>
                <w:szCs w:val="18"/>
              </w:rPr>
              <w:t>0.</w:t>
            </w:r>
            <w:r>
              <w:rPr>
                <w:sz w:val="18"/>
                <w:szCs w:val="18"/>
              </w:rPr>
              <w:t>1</w:t>
            </w:r>
          </w:p>
        </w:tc>
        <w:tc>
          <w:tcPr>
            <w:tcW w:w="508" w:type="pct"/>
            <w:vAlign w:val="bottom"/>
          </w:tcPr>
          <w:p w:rsidR="00314DFB" w:rsidRPr="0052043B" w:rsidRDefault="00314DFB" w:rsidP="008B63A3">
            <w:pPr>
              <w:pStyle w:val="TableBodyText"/>
              <w:rPr>
                <w:sz w:val="18"/>
                <w:szCs w:val="18"/>
              </w:rPr>
            </w:pPr>
            <w:r>
              <w:rPr>
                <w:sz w:val="18"/>
                <w:szCs w:val="18"/>
              </w:rPr>
              <w:t>&lt;</w:t>
            </w:r>
            <w:r w:rsidRPr="00E17EEF">
              <w:rPr>
                <w:sz w:val="18"/>
                <w:szCs w:val="18"/>
              </w:rPr>
              <w:t>0.</w:t>
            </w:r>
            <w:r>
              <w:rPr>
                <w:sz w:val="18"/>
                <w:szCs w:val="18"/>
              </w:rPr>
              <w:t>1</w:t>
            </w:r>
          </w:p>
        </w:tc>
        <w:tc>
          <w:tcPr>
            <w:tcW w:w="508" w:type="pct"/>
            <w:vAlign w:val="bottom"/>
          </w:tcPr>
          <w:p w:rsidR="00314DFB" w:rsidRPr="0052043B" w:rsidRDefault="00314DFB" w:rsidP="008B63A3">
            <w:pPr>
              <w:pStyle w:val="TableBodyText"/>
              <w:rPr>
                <w:sz w:val="18"/>
                <w:szCs w:val="18"/>
              </w:rPr>
            </w:pPr>
            <w:r>
              <w:rPr>
                <w:sz w:val="18"/>
                <w:szCs w:val="18"/>
              </w:rPr>
              <w:t>&lt;</w:t>
            </w:r>
            <w:r w:rsidRPr="00E17EEF">
              <w:rPr>
                <w:sz w:val="18"/>
                <w:szCs w:val="18"/>
              </w:rPr>
              <w:t>0.</w:t>
            </w:r>
            <w:r>
              <w:rPr>
                <w:sz w:val="18"/>
                <w:szCs w:val="18"/>
              </w:rPr>
              <w:t>1</w:t>
            </w:r>
          </w:p>
        </w:tc>
        <w:tc>
          <w:tcPr>
            <w:tcW w:w="508" w:type="pct"/>
            <w:shd w:val="clear" w:color="auto" w:fill="auto"/>
            <w:vAlign w:val="bottom"/>
          </w:tcPr>
          <w:p w:rsidR="00314DFB" w:rsidRPr="0052043B" w:rsidRDefault="00314DFB" w:rsidP="008B63A3">
            <w:pPr>
              <w:pStyle w:val="TableBodyText"/>
              <w:rPr>
                <w:sz w:val="18"/>
                <w:szCs w:val="18"/>
              </w:rPr>
            </w:pPr>
            <w:r>
              <w:rPr>
                <w:sz w:val="18"/>
                <w:szCs w:val="18"/>
              </w:rPr>
              <w:t>&lt;</w:t>
            </w:r>
            <w:r w:rsidRPr="0052043B">
              <w:rPr>
                <w:sz w:val="18"/>
                <w:szCs w:val="18"/>
              </w:rPr>
              <w:t>0.1</w:t>
            </w:r>
          </w:p>
        </w:tc>
        <w:tc>
          <w:tcPr>
            <w:tcW w:w="508" w:type="pct"/>
            <w:shd w:val="clear" w:color="auto" w:fill="auto"/>
            <w:vAlign w:val="bottom"/>
          </w:tcPr>
          <w:p w:rsidR="00314DFB" w:rsidRPr="0052043B" w:rsidRDefault="00314DFB" w:rsidP="008B63A3">
            <w:pPr>
              <w:pStyle w:val="TableBodyText"/>
              <w:rPr>
                <w:sz w:val="18"/>
                <w:szCs w:val="18"/>
              </w:rPr>
            </w:pPr>
            <w:r>
              <w:rPr>
                <w:sz w:val="18"/>
                <w:szCs w:val="18"/>
              </w:rPr>
              <w:t>&lt;</w:t>
            </w:r>
            <w:r w:rsidRPr="0052043B">
              <w:rPr>
                <w:sz w:val="18"/>
                <w:szCs w:val="18"/>
              </w:rPr>
              <w:t>0.1</w:t>
            </w:r>
          </w:p>
        </w:tc>
        <w:tc>
          <w:tcPr>
            <w:tcW w:w="501" w:type="pct"/>
            <w:shd w:val="clear" w:color="auto" w:fill="auto"/>
            <w:vAlign w:val="bottom"/>
          </w:tcPr>
          <w:p w:rsidR="00314DFB" w:rsidRPr="0052043B" w:rsidRDefault="00314DFB" w:rsidP="008B63A3">
            <w:pPr>
              <w:pStyle w:val="TableBodyText"/>
              <w:rPr>
                <w:sz w:val="18"/>
                <w:szCs w:val="18"/>
              </w:rPr>
            </w:pPr>
            <w:r>
              <w:rPr>
                <w:sz w:val="18"/>
                <w:szCs w:val="18"/>
              </w:rPr>
              <w:t>&lt;</w:t>
            </w:r>
            <w:r w:rsidRPr="0052043B">
              <w:rPr>
                <w:sz w:val="18"/>
                <w:szCs w:val="18"/>
              </w:rPr>
              <w:t>0.1</w:t>
            </w:r>
          </w:p>
        </w:tc>
      </w:tr>
      <w:tr w:rsidR="00314DFB" w:rsidTr="008B63A3">
        <w:trPr>
          <w:trHeight w:val="227"/>
        </w:trPr>
        <w:tc>
          <w:tcPr>
            <w:tcW w:w="1959" w:type="pct"/>
            <w:vAlign w:val="bottom"/>
          </w:tcPr>
          <w:p w:rsidR="00314DFB" w:rsidRPr="007758AB" w:rsidRDefault="00314DFB" w:rsidP="008B63A3">
            <w:pPr>
              <w:pStyle w:val="TableBodyText"/>
              <w:jc w:val="left"/>
              <w:rPr>
                <w:sz w:val="18"/>
                <w:szCs w:val="18"/>
              </w:rPr>
            </w:pPr>
            <w:r w:rsidRPr="007758AB">
              <w:rPr>
                <w:sz w:val="18"/>
                <w:szCs w:val="18"/>
              </w:rPr>
              <w:t>Primary production support services</w:t>
            </w:r>
          </w:p>
        </w:tc>
        <w:tc>
          <w:tcPr>
            <w:tcW w:w="508" w:type="pct"/>
            <w:vAlign w:val="bottom"/>
          </w:tcPr>
          <w:p w:rsidR="00314DFB" w:rsidRPr="0052043B" w:rsidRDefault="00314DFB" w:rsidP="008B63A3">
            <w:pPr>
              <w:pStyle w:val="TableBodyText"/>
              <w:rPr>
                <w:sz w:val="18"/>
                <w:szCs w:val="18"/>
              </w:rPr>
            </w:pPr>
            <w:r w:rsidRPr="0052043B">
              <w:rPr>
                <w:sz w:val="18"/>
                <w:szCs w:val="18"/>
              </w:rPr>
              <w:t>0.3</w:t>
            </w:r>
          </w:p>
        </w:tc>
        <w:tc>
          <w:tcPr>
            <w:tcW w:w="508" w:type="pct"/>
            <w:vAlign w:val="bottom"/>
          </w:tcPr>
          <w:p w:rsidR="00314DFB" w:rsidRPr="0052043B" w:rsidRDefault="00314DFB" w:rsidP="008B63A3">
            <w:pPr>
              <w:pStyle w:val="TableBodyText"/>
              <w:rPr>
                <w:sz w:val="18"/>
                <w:szCs w:val="18"/>
              </w:rPr>
            </w:pPr>
            <w:r w:rsidRPr="0052043B">
              <w:rPr>
                <w:sz w:val="18"/>
                <w:szCs w:val="18"/>
              </w:rPr>
              <w:t>0.5</w:t>
            </w:r>
          </w:p>
        </w:tc>
        <w:tc>
          <w:tcPr>
            <w:tcW w:w="508" w:type="pct"/>
            <w:vAlign w:val="bottom"/>
          </w:tcPr>
          <w:p w:rsidR="00314DFB" w:rsidRPr="0052043B" w:rsidRDefault="00314DFB" w:rsidP="008B63A3">
            <w:pPr>
              <w:pStyle w:val="TableBodyText"/>
              <w:rPr>
                <w:sz w:val="18"/>
                <w:szCs w:val="18"/>
              </w:rPr>
            </w:pPr>
            <w:r w:rsidRPr="0052043B">
              <w:rPr>
                <w:sz w:val="18"/>
                <w:szCs w:val="18"/>
              </w:rPr>
              <w:t>0.7</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0.7</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0.4</w:t>
            </w:r>
          </w:p>
        </w:tc>
        <w:tc>
          <w:tcPr>
            <w:tcW w:w="501" w:type="pct"/>
            <w:shd w:val="clear" w:color="auto" w:fill="auto"/>
            <w:vAlign w:val="bottom"/>
          </w:tcPr>
          <w:p w:rsidR="00314DFB" w:rsidRPr="0052043B" w:rsidRDefault="00314DFB" w:rsidP="008B63A3">
            <w:pPr>
              <w:pStyle w:val="TableBodyText"/>
              <w:rPr>
                <w:sz w:val="18"/>
                <w:szCs w:val="18"/>
              </w:rPr>
            </w:pPr>
            <w:r w:rsidRPr="0052043B">
              <w:rPr>
                <w:sz w:val="18"/>
                <w:szCs w:val="18"/>
              </w:rPr>
              <w:t>0.3</w:t>
            </w:r>
          </w:p>
        </w:tc>
      </w:tr>
      <w:tr w:rsidR="00314DFB" w:rsidTr="008B63A3">
        <w:trPr>
          <w:trHeight w:val="227"/>
        </w:trPr>
        <w:tc>
          <w:tcPr>
            <w:tcW w:w="1959" w:type="pct"/>
            <w:vAlign w:val="bottom"/>
          </w:tcPr>
          <w:p w:rsidR="00314DFB" w:rsidRPr="003A08A6" w:rsidRDefault="00314DFB" w:rsidP="008B63A3">
            <w:pPr>
              <w:pStyle w:val="TableBodyText"/>
              <w:jc w:val="left"/>
              <w:rPr>
                <w:b/>
                <w:sz w:val="18"/>
                <w:szCs w:val="18"/>
              </w:rPr>
            </w:pPr>
            <w:r w:rsidRPr="003A08A6">
              <w:rPr>
                <w:b/>
                <w:sz w:val="18"/>
                <w:szCs w:val="18"/>
              </w:rPr>
              <w:t>Mining</w:t>
            </w:r>
          </w:p>
        </w:tc>
        <w:tc>
          <w:tcPr>
            <w:tcW w:w="508" w:type="pct"/>
            <w:vAlign w:val="bottom"/>
          </w:tcPr>
          <w:p w:rsidR="00314DFB" w:rsidRPr="0052043B" w:rsidRDefault="00314DFB" w:rsidP="008B63A3">
            <w:pPr>
              <w:pStyle w:val="TableBodyText"/>
              <w:rPr>
                <w:b/>
                <w:sz w:val="18"/>
                <w:szCs w:val="18"/>
              </w:rPr>
            </w:pPr>
            <w:r w:rsidRPr="0052043B">
              <w:rPr>
                <w:b/>
                <w:sz w:val="18"/>
                <w:szCs w:val="18"/>
              </w:rPr>
              <w:t>1.4</w:t>
            </w:r>
          </w:p>
        </w:tc>
        <w:tc>
          <w:tcPr>
            <w:tcW w:w="508" w:type="pct"/>
            <w:vAlign w:val="bottom"/>
          </w:tcPr>
          <w:p w:rsidR="00314DFB" w:rsidRPr="0052043B" w:rsidRDefault="00314DFB" w:rsidP="008B63A3">
            <w:pPr>
              <w:pStyle w:val="TableBodyText"/>
              <w:rPr>
                <w:b/>
                <w:sz w:val="18"/>
                <w:szCs w:val="18"/>
              </w:rPr>
            </w:pPr>
            <w:r w:rsidRPr="0052043B">
              <w:rPr>
                <w:b/>
                <w:sz w:val="18"/>
                <w:szCs w:val="18"/>
              </w:rPr>
              <w:t>1.6</w:t>
            </w:r>
          </w:p>
        </w:tc>
        <w:tc>
          <w:tcPr>
            <w:tcW w:w="508" w:type="pct"/>
            <w:vAlign w:val="bottom"/>
          </w:tcPr>
          <w:p w:rsidR="00314DFB" w:rsidRPr="0052043B" w:rsidRDefault="00314DFB" w:rsidP="008B63A3">
            <w:pPr>
              <w:pStyle w:val="TableBodyText"/>
              <w:rPr>
                <w:b/>
                <w:sz w:val="18"/>
                <w:szCs w:val="18"/>
              </w:rPr>
            </w:pPr>
            <w:r w:rsidRPr="0052043B">
              <w:rPr>
                <w:b/>
                <w:sz w:val="18"/>
                <w:szCs w:val="18"/>
              </w:rPr>
              <w:t>1.6</w:t>
            </w:r>
          </w:p>
        </w:tc>
        <w:tc>
          <w:tcPr>
            <w:tcW w:w="508" w:type="pct"/>
            <w:shd w:val="clear" w:color="auto" w:fill="auto"/>
            <w:vAlign w:val="bottom"/>
          </w:tcPr>
          <w:p w:rsidR="00314DFB" w:rsidRPr="0052043B" w:rsidRDefault="00314DFB" w:rsidP="008B63A3">
            <w:pPr>
              <w:pStyle w:val="TableBodyText"/>
              <w:rPr>
                <w:b/>
                <w:sz w:val="18"/>
                <w:szCs w:val="18"/>
              </w:rPr>
            </w:pPr>
            <w:r w:rsidRPr="0052043B">
              <w:rPr>
                <w:b/>
                <w:sz w:val="18"/>
                <w:szCs w:val="18"/>
              </w:rPr>
              <w:t>2.2</w:t>
            </w:r>
          </w:p>
        </w:tc>
        <w:tc>
          <w:tcPr>
            <w:tcW w:w="508" w:type="pct"/>
            <w:shd w:val="clear" w:color="auto" w:fill="auto"/>
            <w:vAlign w:val="bottom"/>
          </w:tcPr>
          <w:p w:rsidR="00314DFB" w:rsidRPr="0052043B" w:rsidRDefault="00314DFB" w:rsidP="008B63A3">
            <w:pPr>
              <w:pStyle w:val="TableBodyText"/>
              <w:rPr>
                <w:b/>
                <w:sz w:val="18"/>
                <w:szCs w:val="18"/>
              </w:rPr>
            </w:pPr>
            <w:r w:rsidRPr="0052043B">
              <w:rPr>
                <w:b/>
                <w:sz w:val="18"/>
                <w:szCs w:val="18"/>
              </w:rPr>
              <w:t>1.4</w:t>
            </w:r>
          </w:p>
        </w:tc>
        <w:tc>
          <w:tcPr>
            <w:tcW w:w="501" w:type="pct"/>
            <w:shd w:val="clear" w:color="auto" w:fill="auto"/>
            <w:vAlign w:val="bottom"/>
          </w:tcPr>
          <w:p w:rsidR="00314DFB" w:rsidRPr="0052043B" w:rsidRDefault="00314DFB" w:rsidP="008B63A3">
            <w:pPr>
              <w:pStyle w:val="TableBodyText"/>
              <w:rPr>
                <w:b/>
                <w:sz w:val="18"/>
                <w:szCs w:val="18"/>
              </w:rPr>
            </w:pPr>
            <w:r w:rsidRPr="0052043B">
              <w:rPr>
                <w:b/>
                <w:sz w:val="18"/>
                <w:szCs w:val="18"/>
              </w:rPr>
              <w:t>1.8</w:t>
            </w:r>
          </w:p>
        </w:tc>
      </w:tr>
      <w:tr w:rsidR="00314DFB" w:rsidTr="008B63A3">
        <w:trPr>
          <w:trHeight w:val="227"/>
        </w:trPr>
        <w:tc>
          <w:tcPr>
            <w:tcW w:w="1959" w:type="pct"/>
            <w:vAlign w:val="bottom"/>
          </w:tcPr>
          <w:p w:rsidR="00314DFB" w:rsidRPr="003A08A6" w:rsidRDefault="00314DFB" w:rsidP="008B63A3">
            <w:pPr>
              <w:pStyle w:val="TableBodyText"/>
              <w:jc w:val="left"/>
              <w:rPr>
                <w:b/>
                <w:sz w:val="18"/>
                <w:szCs w:val="18"/>
              </w:rPr>
            </w:pPr>
            <w:r w:rsidRPr="003A08A6">
              <w:rPr>
                <w:b/>
                <w:sz w:val="18"/>
                <w:szCs w:val="18"/>
              </w:rPr>
              <w:t>Manufacturing</w:t>
            </w:r>
          </w:p>
        </w:tc>
        <w:tc>
          <w:tcPr>
            <w:tcW w:w="508" w:type="pct"/>
            <w:vAlign w:val="bottom"/>
          </w:tcPr>
          <w:p w:rsidR="00314DFB" w:rsidRPr="0052043B" w:rsidRDefault="00314DFB" w:rsidP="008B63A3">
            <w:pPr>
              <w:pStyle w:val="TableBodyText"/>
              <w:rPr>
                <w:b/>
                <w:sz w:val="18"/>
                <w:szCs w:val="18"/>
              </w:rPr>
            </w:pPr>
            <w:r w:rsidRPr="0052043B">
              <w:rPr>
                <w:b/>
                <w:sz w:val="18"/>
                <w:szCs w:val="18"/>
              </w:rPr>
              <w:t>55.9</w:t>
            </w:r>
          </w:p>
        </w:tc>
        <w:tc>
          <w:tcPr>
            <w:tcW w:w="508" w:type="pct"/>
            <w:vAlign w:val="bottom"/>
          </w:tcPr>
          <w:p w:rsidR="00314DFB" w:rsidRPr="0052043B" w:rsidRDefault="00314DFB" w:rsidP="008B63A3">
            <w:pPr>
              <w:pStyle w:val="TableBodyText"/>
              <w:rPr>
                <w:b/>
                <w:sz w:val="18"/>
                <w:szCs w:val="18"/>
              </w:rPr>
            </w:pPr>
            <w:r w:rsidRPr="0052043B">
              <w:rPr>
                <w:b/>
                <w:sz w:val="18"/>
                <w:szCs w:val="18"/>
              </w:rPr>
              <w:t>52.5</w:t>
            </w:r>
          </w:p>
        </w:tc>
        <w:tc>
          <w:tcPr>
            <w:tcW w:w="508" w:type="pct"/>
            <w:vAlign w:val="bottom"/>
          </w:tcPr>
          <w:p w:rsidR="00314DFB" w:rsidRPr="0052043B" w:rsidRDefault="00314DFB" w:rsidP="008B63A3">
            <w:pPr>
              <w:pStyle w:val="TableBodyText"/>
              <w:rPr>
                <w:b/>
                <w:sz w:val="18"/>
                <w:szCs w:val="18"/>
              </w:rPr>
            </w:pPr>
            <w:r w:rsidRPr="0052043B">
              <w:rPr>
                <w:b/>
                <w:sz w:val="18"/>
                <w:szCs w:val="18"/>
              </w:rPr>
              <w:t>63.1</w:t>
            </w:r>
          </w:p>
        </w:tc>
        <w:tc>
          <w:tcPr>
            <w:tcW w:w="508" w:type="pct"/>
            <w:shd w:val="clear" w:color="auto" w:fill="auto"/>
            <w:vAlign w:val="bottom"/>
          </w:tcPr>
          <w:p w:rsidR="00314DFB" w:rsidRPr="0052043B" w:rsidRDefault="00314DFB" w:rsidP="008B63A3">
            <w:pPr>
              <w:pStyle w:val="TableBodyText"/>
              <w:rPr>
                <w:b/>
                <w:sz w:val="18"/>
                <w:szCs w:val="18"/>
              </w:rPr>
            </w:pPr>
            <w:r w:rsidRPr="0052043B">
              <w:rPr>
                <w:b/>
                <w:sz w:val="18"/>
                <w:szCs w:val="18"/>
              </w:rPr>
              <w:t>66.1</w:t>
            </w:r>
          </w:p>
        </w:tc>
        <w:tc>
          <w:tcPr>
            <w:tcW w:w="508" w:type="pct"/>
            <w:shd w:val="clear" w:color="auto" w:fill="auto"/>
            <w:vAlign w:val="bottom"/>
          </w:tcPr>
          <w:p w:rsidR="00314DFB" w:rsidRPr="0052043B" w:rsidRDefault="00314DFB" w:rsidP="008B63A3">
            <w:pPr>
              <w:pStyle w:val="TableBodyText"/>
              <w:rPr>
                <w:b/>
                <w:sz w:val="18"/>
                <w:szCs w:val="18"/>
              </w:rPr>
            </w:pPr>
            <w:r w:rsidRPr="0052043B">
              <w:rPr>
                <w:b/>
                <w:sz w:val="18"/>
                <w:szCs w:val="18"/>
              </w:rPr>
              <w:t>47.6</w:t>
            </w:r>
          </w:p>
        </w:tc>
        <w:tc>
          <w:tcPr>
            <w:tcW w:w="501" w:type="pct"/>
            <w:shd w:val="clear" w:color="auto" w:fill="auto"/>
            <w:vAlign w:val="bottom"/>
          </w:tcPr>
          <w:p w:rsidR="00314DFB" w:rsidRPr="0052043B" w:rsidRDefault="00314DFB" w:rsidP="008B63A3">
            <w:pPr>
              <w:pStyle w:val="TableBodyText"/>
              <w:rPr>
                <w:b/>
                <w:sz w:val="18"/>
                <w:szCs w:val="18"/>
              </w:rPr>
            </w:pPr>
            <w:r w:rsidRPr="0052043B">
              <w:rPr>
                <w:b/>
                <w:sz w:val="18"/>
                <w:szCs w:val="18"/>
              </w:rPr>
              <w:t>38.8</w:t>
            </w:r>
          </w:p>
        </w:tc>
      </w:tr>
      <w:tr w:rsidR="00314DFB" w:rsidTr="008B63A3">
        <w:trPr>
          <w:trHeight w:val="227"/>
        </w:trPr>
        <w:tc>
          <w:tcPr>
            <w:tcW w:w="1959" w:type="pct"/>
            <w:vAlign w:val="bottom"/>
          </w:tcPr>
          <w:p w:rsidR="00314DFB" w:rsidRPr="007758AB" w:rsidRDefault="00314DFB" w:rsidP="008B63A3">
            <w:pPr>
              <w:pStyle w:val="TableBodyText"/>
              <w:jc w:val="left"/>
              <w:rPr>
                <w:sz w:val="18"/>
                <w:szCs w:val="18"/>
              </w:rPr>
            </w:pPr>
            <w:r w:rsidRPr="007758AB">
              <w:rPr>
                <w:sz w:val="18"/>
                <w:szCs w:val="18"/>
              </w:rPr>
              <w:t>Food, beverages and tobacco</w:t>
            </w:r>
          </w:p>
        </w:tc>
        <w:tc>
          <w:tcPr>
            <w:tcW w:w="508" w:type="pct"/>
            <w:vAlign w:val="bottom"/>
          </w:tcPr>
          <w:p w:rsidR="00314DFB" w:rsidRPr="0052043B" w:rsidRDefault="00314DFB" w:rsidP="008B63A3">
            <w:pPr>
              <w:pStyle w:val="TableBodyText"/>
              <w:rPr>
                <w:sz w:val="18"/>
                <w:szCs w:val="18"/>
              </w:rPr>
            </w:pPr>
            <w:r w:rsidRPr="0052043B">
              <w:rPr>
                <w:sz w:val="18"/>
                <w:szCs w:val="18"/>
              </w:rPr>
              <w:t>16.1</w:t>
            </w:r>
          </w:p>
        </w:tc>
        <w:tc>
          <w:tcPr>
            <w:tcW w:w="508" w:type="pct"/>
            <w:vAlign w:val="bottom"/>
          </w:tcPr>
          <w:p w:rsidR="00314DFB" w:rsidRPr="0052043B" w:rsidRDefault="00314DFB" w:rsidP="008B63A3">
            <w:pPr>
              <w:pStyle w:val="TableBodyText"/>
              <w:rPr>
                <w:sz w:val="18"/>
                <w:szCs w:val="18"/>
              </w:rPr>
            </w:pPr>
            <w:r w:rsidRPr="0052043B">
              <w:rPr>
                <w:sz w:val="18"/>
                <w:szCs w:val="18"/>
              </w:rPr>
              <w:t>13.8</w:t>
            </w:r>
          </w:p>
        </w:tc>
        <w:tc>
          <w:tcPr>
            <w:tcW w:w="508" w:type="pct"/>
            <w:vAlign w:val="bottom"/>
          </w:tcPr>
          <w:p w:rsidR="00314DFB" w:rsidRPr="0052043B" w:rsidRDefault="00314DFB" w:rsidP="008B63A3">
            <w:pPr>
              <w:pStyle w:val="TableBodyText"/>
              <w:rPr>
                <w:sz w:val="18"/>
                <w:szCs w:val="18"/>
              </w:rPr>
            </w:pPr>
            <w:r w:rsidRPr="0052043B">
              <w:rPr>
                <w:sz w:val="18"/>
                <w:szCs w:val="18"/>
              </w:rPr>
              <w:t>16.0</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14.4</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11.4</w:t>
            </w:r>
          </w:p>
        </w:tc>
        <w:tc>
          <w:tcPr>
            <w:tcW w:w="501" w:type="pct"/>
            <w:shd w:val="clear" w:color="auto" w:fill="auto"/>
            <w:vAlign w:val="bottom"/>
          </w:tcPr>
          <w:p w:rsidR="00314DFB" w:rsidRPr="0052043B" w:rsidRDefault="00314DFB" w:rsidP="008B63A3">
            <w:pPr>
              <w:pStyle w:val="TableBodyText"/>
              <w:rPr>
                <w:sz w:val="18"/>
                <w:szCs w:val="18"/>
              </w:rPr>
            </w:pPr>
            <w:r w:rsidRPr="0052043B">
              <w:rPr>
                <w:sz w:val="18"/>
                <w:szCs w:val="18"/>
              </w:rPr>
              <w:t>8.1</w:t>
            </w:r>
          </w:p>
        </w:tc>
      </w:tr>
      <w:tr w:rsidR="00314DFB" w:rsidTr="008B63A3">
        <w:trPr>
          <w:trHeight w:val="227"/>
        </w:trPr>
        <w:tc>
          <w:tcPr>
            <w:tcW w:w="1959" w:type="pct"/>
            <w:vAlign w:val="bottom"/>
          </w:tcPr>
          <w:p w:rsidR="00314DFB" w:rsidRPr="007758AB" w:rsidRDefault="00314DFB" w:rsidP="008B63A3">
            <w:pPr>
              <w:pStyle w:val="TableBodyText"/>
              <w:jc w:val="left"/>
              <w:rPr>
                <w:sz w:val="18"/>
                <w:szCs w:val="18"/>
              </w:rPr>
            </w:pPr>
            <w:r w:rsidRPr="007758AB">
              <w:rPr>
                <w:sz w:val="18"/>
                <w:szCs w:val="18"/>
              </w:rPr>
              <w:t>Textile, leather, clothing and footwear</w:t>
            </w:r>
          </w:p>
        </w:tc>
        <w:tc>
          <w:tcPr>
            <w:tcW w:w="508" w:type="pct"/>
            <w:vAlign w:val="bottom"/>
          </w:tcPr>
          <w:p w:rsidR="00314DFB" w:rsidRPr="0052043B" w:rsidRDefault="00314DFB" w:rsidP="008B63A3">
            <w:pPr>
              <w:pStyle w:val="TableBodyText"/>
              <w:rPr>
                <w:sz w:val="18"/>
                <w:szCs w:val="18"/>
              </w:rPr>
            </w:pPr>
            <w:r w:rsidRPr="0052043B">
              <w:rPr>
                <w:sz w:val="18"/>
                <w:szCs w:val="18"/>
              </w:rPr>
              <w:t>4.5</w:t>
            </w:r>
          </w:p>
        </w:tc>
        <w:tc>
          <w:tcPr>
            <w:tcW w:w="508" w:type="pct"/>
            <w:vAlign w:val="bottom"/>
          </w:tcPr>
          <w:p w:rsidR="00314DFB" w:rsidRPr="0052043B" w:rsidRDefault="00314DFB" w:rsidP="008B63A3">
            <w:pPr>
              <w:pStyle w:val="TableBodyText"/>
              <w:rPr>
                <w:sz w:val="18"/>
                <w:szCs w:val="18"/>
              </w:rPr>
            </w:pPr>
            <w:r w:rsidRPr="0052043B">
              <w:rPr>
                <w:sz w:val="18"/>
                <w:szCs w:val="18"/>
              </w:rPr>
              <w:t>5.4</w:t>
            </w:r>
          </w:p>
        </w:tc>
        <w:tc>
          <w:tcPr>
            <w:tcW w:w="508" w:type="pct"/>
            <w:vAlign w:val="bottom"/>
          </w:tcPr>
          <w:p w:rsidR="00314DFB" w:rsidRPr="0052043B" w:rsidRDefault="00314DFB" w:rsidP="008B63A3">
            <w:pPr>
              <w:pStyle w:val="TableBodyText"/>
              <w:rPr>
                <w:sz w:val="18"/>
                <w:szCs w:val="18"/>
              </w:rPr>
            </w:pPr>
            <w:r w:rsidRPr="0052043B">
              <w:rPr>
                <w:sz w:val="18"/>
                <w:szCs w:val="18"/>
              </w:rPr>
              <w:t>8.0</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6.9</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5.3</w:t>
            </w:r>
          </w:p>
        </w:tc>
        <w:tc>
          <w:tcPr>
            <w:tcW w:w="501" w:type="pct"/>
            <w:shd w:val="clear" w:color="auto" w:fill="auto"/>
            <w:vAlign w:val="bottom"/>
          </w:tcPr>
          <w:p w:rsidR="00314DFB" w:rsidRPr="0052043B" w:rsidRDefault="00314DFB" w:rsidP="008B63A3">
            <w:pPr>
              <w:pStyle w:val="TableBodyText"/>
              <w:rPr>
                <w:sz w:val="18"/>
                <w:szCs w:val="18"/>
              </w:rPr>
            </w:pPr>
            <w:r w:rsidRPr="0052043B">
              <w:rPr>
                <w:sz w:val="18"/>
                <w:szCs w:val="18"/>
              </w:rPr>
              <w:t>4.6</w:t>
            </w:r>
          </w:p>
        </w:tc>
      </w:tr>
      <w:tr w:rsidR="00314DFB" w:rsidTr="008B63A3">
        <w:trPr>
          <w:trHeight w:val="227"/>
        </w:trPr>
        <w:tc>
          <w:tcPr>
            <w:tcW w:w="1959" w:type="pct"/>
            <w:vAlign w:val="bottom"/>
          </w:tcPr>
          <w:p w:rsidR="00314DFB" w:rsidRPr="007758AB" w:rsidRDefault="00314DFB" w:rsidP="008B63A3">
            <w:pPr>
              <w:pStyle w:val="TableBodyText"/>
              <w:jc w:val="left"/>
              <w:rPr>
                <w:sz w:val="18"/>
                <w:szCs w:val="18"/>
              </w:rPr>
            </w:pPr>
            <w:r w:rsidRPr="007758AB">
              <w:rPr>
                <w:sz w:val="18"/>
                <w:szCs w:val="18"/>
              </w:rPr>
              <w:t>Wood and paper products</w:t>
            </w:r>
          </w:p>
        </w:tc>
        <w:tc>
          <w:tcPr>
            <w:tcW w:w="508" w:type="pct"/>
            <w:vAlign w:val="bottom"/>
          </w:tcPr>
          <w:p w:rsidR="00314DFB" w:rsidRPr="0052043B" w:rsidRDefault="00314DFB" w:rsidP="008B63A3">
            <w:pPr>
              <w:pStyle w:val="TableBodyText"/>
              <w:rPr>
                <w:sz w:val="18"/>
                <w:szCs w:val="18"/>
              </w:rPr>
            </w:pPr>
            <w:r w:rsidRPr="0052043B">
              <w:rPr>
                <w:sz w:val="18"/>
                <w:szCs w:val="18"/>
              </w:rPr>
              <w:t>0.9</w:t>
            </w:r>
          </w:p>
        </w:tc>
        <w:tc>
          <w:tcPr>
            <w:tcW w:w="508" w:type="pct"/>
            <w:vAlign w:val="bottom"/>
          </w:tcPr>
          <w:p w:rsidR="00314DFB" w:rsidRPr="0052043B" w:rsidRDefault="00314DFB" w:rsidP="008B63A3">
            <w:pPr>
              <w:pStyle w:val="TableBodyText"/>
              <w:rPr>
                <w:sz w:val="18"/>
                <w:szCs w:val="18"/>
              </w:rPr>
            </w:pPr>
            <w:r w:rsidRPr="0052043B">
              <w:rPr>
                <w:sz w:val="18"/>
                <w:szCs w:val="18"/>
              </w:rPr>
              <w:t>1.0</w:t>
            </w:r>
          </w:p>
        </w:tc>
        <w:tc>
          <w:tcPr>
            <w:tcW w:w="508" w:type="pct"/>
            <w:vAlign w:val="bottom"/>
          </w:tcPr>
          <w:p w:rsidR="00314DFB" w:rsidRPr="0052043B" w:rsidRDefault="00314DFB" w:rsidP="008B63A3">
            <w:pPr>
              <w:pStyle w:val="TableBodyText"/>
              <w:rPr>
                <w:sz w:val="18"/>
                <w:szCs w:val="18"/>
              </w:rPr>
            </w:pPr>
            <w:r w:rsidRPr="0052043B">
              <w:rPr>
                <w:sz w:val="18"/>
                <w:szCs w:val="18"/>
              </w:rPr>
              <w:t>0.9</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0.8</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0.7</w:t>
            </w:r>
          </w:p>
        </w:tc>
        <w:tc>
          <w:tcPr>
            <w:tcW w:w="501" w:type="pct"/>
            <w:shd w:val="clear" w:color="auto" w:fill="auto"/>
            <w:vAlign w:val="bottom"/>
          </w:tcPr>
          <w:p w:rsidR="00314DFB" w:rsidRPr="0052043B" w:rsidRDefault="00314DFB" w:rsidP="008B63A3">
            <w:pPr>
              <w:pStyle w:val="TableBodyText"/>
              <w:rPr>
                <w:sz w:val="18"/>
                <w:szCs w:val="18"/>
              </w:rPr>
            </w:pPr>
            <w:r w:rsidRPr="0052043B">
              <w:rPr>
                <w:sz w:val="18"/>
                <w:szCs w:val="18"/>
              </w:rPr>
              <w:t>0.4</w:t>
            </w:r>
          </w:p>
        </w:tc>
      </w:tr>
      <w:tr w:rsidR="00314DFB" w:rsidTr="008B63A3">
        <w:trPr>
          <w:trHeight w:val="227"/>
        </w:trPr>
        <w:tc>
          <w:tcPr>
            <w:tcW w:w="1959" w:type="pct"/>
            <w:vAlign w:val="bottom"/>
          </w:tcPr>
          <w:p w:rsidR="00314DFB" w:rsidRPr="007758AB" w:rsidRDefault="00314DFB" w:rsidP="008B63A3">
            <w:pPr>
              <w:pStyle w:val="TableBodyText"/>
              <w:jc w:val="left"/>
              <w:rPr>
                <w:sz w:val="18"/>
                <w:szCs w:val="18"/>
              </w:rPr>
            </w:pPr>
            <w:r w:rsidRPr="007758AB">
              <w:rPr>
                <w:sz w:val="18"/>
                <w:szCs w:val="18"/>
              </w:rPr>
              <w:t>Printing and recorded media</w:t>
            </w:r>
          </w:p>
        </w:tc>
        <w:tc>
          <w:tcPr>
            <w:tcW w:w="508" w:type="pct"/>
            <w:vAlign w:val="bottom"/>
          </w:tcPr>
          <w:p w:rsidR="00314DFB" w:rsidRPr="0052043B" w:rsidRDefault="00314DFB" w:rsidP="008B63A3">
            <w:pPr>
              <w:pStyle w:val="TableBodyText"/>
              <w:rPr>
                <w:sz w:val="18"/>
                <w:szCs w:val="18"/>
              </w:rPr>
            </w:pPr>
            <w:r w:rsidRPr="0052043B">
              <w:rPr>
                <w:sz w:val="18"/>
                <w:szCs w:val="18"/>
              </w:rPr>
              <w:t>3.6</w:t>
            </w:r>
          </w:p>
        </w:tc>
        <w:tc>
          <w:tcPr>
            <w:tcW w:w="508" w:type="pct"/>
            <w:vAlign w:val="bottom"/>
          </w:tcPr>
          <w:p w:rsidR="00314DFB" w:rsidRPr="0052043B" w:rsidRDefault="00314DFB" w:rsidP="008B63A3">
            <w:pPr>
              <w:pStyle w:val="TableBodyText"/>
              <w:rPr>
                <w:sz w:val="18"/>
                <w:szCs w:val="18"/>
              </w:rPr>
            </w:pPr>
            <w:r w:rsidRPr="0052043B">
              <w:rPr>
                <w:sz w:val="18"/>
                <w:szCs w:val="18"/>
              </w:rPr>
              <w:t>0.8</w:t>
            </w:r>
          </w:p>
        </w:tc>
        <w:tc>
          <w:tcPr>
            <w:tcW w:w="508" w:type="pct"/>
            <w:vAlign w:val="bottom"/>
          </w:tcPr>
          <w:p w:rsidR="00314DFB" w:rsidRPr="0052043B" w:rsidRDefault="00314DFB" w:rsidP="008B63A3">
            <w:pPr>
              <w:pStyle w:val="TableBodyText"/>
              <w:rPr>
                <w:sz w:val="18"/>
                <w:szCs w:val="18"/>
              </w:rPr>
            </w:pPr>
            <w:r w:rsidRPr="0052043B">
              <w:rPr>
                <w:sz w:val="18"/>
                <w:szCs w:val="18"/>
              </w:rPr>
              <w:t>0.6</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0.4</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0.2</w:t>
            </w:r>
          </w:p>
        </w:tc>
        <w:tc>
          <w:tcPr>
            <w:tcW w:w="501" w:type="pct"/>
            <w:shd w:val="clear" w:color="auto" w:fill="auto"/>
            <w:vAlign w:val="bottom"/>
          </w:tcPr>
          <w:p w:rsidR="00314DFB" w:rsidRPr="0052043B" w:rsidRDefault="00314DFB" w:rsidP="008B63A3">
            <w:pPr>
              <w:pStyle w:val="TableBodyText"/>
              <w:rPr>
                <w:sz w:val="18"/>
                <w:szCs w:val="18"/>
              </w:rPr>
            </w:pPr>
            <w:r w:rsidRPr="0052043B">
              <w:rPr>
                <w:sz w:val="18"/>
                <w:szCs w:val="18"/>
              </w:rPr>
              <w:t>0.2</w:t>
            </w:r>
          </w:p>
        </w:tc>
      </w:tr>
      <w:tr w:rsidR="00314DFB" w:rsidTr="008B63A3">
        <w:trPr>
          <w:trHeight w:val="227"/>
        </w:trPr>
        <w:tc>
          <w:tcPr>
            <w:tcW w:w="1959" w:type="pct"/>
            <w:vAlign w:val="bottom"/>
          </w:tcPr>
          <w:p w:rsidR="00314DFB" w:rsidRPr="007758AB" w:rsidRDefault="00314DFB" w:rsidP="008B63A3">
            <w:pPr>
              <w:pStyle w:val="TableBodyText"/>
              <w:jc w:val="left"/>
              <w:rPr>
                <w:sz w:val="18"/>
                <w:szCs w:val="18"/>
              </w:rPr>
            </w:pPr>
            <w:r w:rsidRPr="007758AB">
              <w:rPr>
                <w:sz w:val="18"/>
                <w:szCs w:val="18"/>
              </w:rPr>
              <w:t>Petroleum, coal, chemical and rubber products</w:t>
            </w:r>
          </w:p>
        </w:tc>
        <w:tc>
          <w:tcPr>
            <w:tcW w:w="508" w:type="pct"/>
            <w:vAlign w:val="bottom"/>
          </w:tcPr>
          <w:p w:rsidR="00314DFB" w:rsidRPr="0052043B" w:rsidRDefault="00314DFB" w:rsidP="008B63A3">
            <w:pPr>
              <w:pStyle w:val="TableBodyText"/>
              <w:rPr>
                <w:sz w:val="18"/>
                <w:szCs w:val="18"/>
              </w:rPr>
            </w:pPr>
            <w:r w:rsidRPr="0052043B">
              <w:rPr>
                <w:sz w:val="18"/>
                <w:szCs w:val="18"/>
              </w:rPr>
              <w:t>4.8</w:t>
            </w:r>
          </w:p>
        </w:tc>
        <w:tc>
          <w:tcPr>
            <w:tcW w:w="508" w:type="pct"/>
            <w:vAlign w:val="bottom"/>
          </w:tcPr>
          <w:p w:rsidR="00314DFB" w:rsidRPr="0052043B" w:rsidRDefault="00314DFB" w:rsidP="008B63A3">
            <w:pPr>
              <w:pStyle w:val="TableBodyText"/>
              <w:rPr>
                <w:sz w:val="18"/>
                <w:szCs w:val="18"/>
              </w:rPr>
            </w:pPr>
            <w:r w:rsidRPr="0052043B">
              <w:rPr>
                <w:sz w:val="18"/>
                <w:szCs w:val="18"/>
              </w:rPr>
              <w:t>7.2</w:t>
            </w:r>
          </w:p>
        </w:tc>
        <w:tc>
          <w:tcPr>
            <w:tcW w:w="508" w:type="pct"/>
            <w:vAlign w:val="bottom"/>
          </w:tcPr>
          <w:p w:rsidR="00314DFB" w:rsidRPr="0052043B" w:rsidRDefault="00314DFB" w:rsidP="008B63A3">
            <w:pPr>
              <w:pStyle w:val="TableBodyText"/>
              <w:rPr>
                <w:sz w:val="18"/>
                <w:szCs w:val="18"/>
              </w:rPr>
            </w:pPr>
            <w:r w:rsidRPr="0052043B">
              <w:rPr>
                <w:sz w:val="18"/>
                <w:szCs w:val="18"/>
              </w:rPr>
              <w:t>8.2</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9.7</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7.0</w:t>
            </w:r>
          </w:p>
        </w:tc>
        <w:tc>
          <w:tcPr>
            <w:tcW w:w="501" w:type="pct"/>
            <w:shd w:val="clear" w:color="auto" w:fill="auto"/>
            <w:vAlign w:val="bottom"/>
          </w:tcPr>
          <w:p w:rsidR="00314DFB" w:rsidRPr="0052043B" w:rsidRDefault="00314DFB" w:rsidP="008B63A3">
            <w:pPr>
              <w:pStyle w:val="TableBodyText"/>
              <w:rPr>
                <w:sz w:val="18"/>
                <w:szCs w:val="18"/>
              </w:rPr>
            </w:pPr>
            <w:r w:rsidRPr="0052043B">
              <w:rPr>
                <w:sz w:val="18"/>
                <w:szCs w:val="18"/>
              </w:rPr>
              <w:t>5.3</w:t>
            </w:r>
          </w:p>
        </w:tc>
      </w:tr>
      <w:tr w:rsidR="00314DFB" w:rsidTr="008B63A3">
        <w:trPr>
          <w:trHeight w:val="227"/>
        </w:trPr>
        <w:tc>
          <w:tcPr>
            <w:tcW w:w="1959" w:type="pct"/>
            <w:vAlign w:val="bottom"/>
          </w:tcPr>
          <w:p w:rsidR="00314DFB" w:rsidRPr="007758AB" w:rsidRDefault="00314DFB" w:rsidP="00221114">
            <w:pPr>
              <w:pStyle w:val="TableBodyText"/>
              <w:jc w:val="left"/>
              <w:rPr>
                <w:sz w:val="18"/>
                <w:szCs w:val="18"/>
              </w:rPr>
            </w:pPr>
            <w:r w:rsidRPr="007758AB">
              <w:rPr>
                <w:sz w:val="18"/>
                <w:szCs w:val="18"/>
              </w:rPr>
              <w:t>Non-</w:t>
            </w:r>
            <w:r w:rsidR="00221114">
              <w:rPr>
                <w:sz w:val="18"/>
                <w:szCs w:val="18"/>
              </w:rPr>
              <w:t>m</w:t>
            </w:r>
            <w:r w:rsidR="00221114" w:rsidRPr="007758AB">
              <w:rPr>
                <w:sz w:val="18"/>
                <w:szCs w:val="18"/>
              </w:rPr>
              <w:t xml:space="preserve">etallic </w:t>
            </w:r>
            <w:r w:rsidRPr="007758AB">
              <w:rPr>
                <w:sz w:val="18"/>
                <w:szCs w:val="18"/>
              </w:rPr>
              <w:t>mineral products</w:t>
            </w:r>
          </w:p>
        </w:tc>
        <w:tc>
          <w:tcPr>
            <w:tcW w:w="508" w:type="pct"/>
            <w:vAlign w:val="bottom"/>
          </w:tcPr>
          <w:p w:rsidR="00314DFB" w:rsidRPr="0052043B" w:rsidRDefault="00314DFB" w:rsidP="008B63A3">
            <w:pPr>
              <w:pStyle w:val="TableBodyText"/>
              <w:rPr>
                <w:sz w:val="18"/>
                <w:szCs w:val="18"/>
              </w:rPr>
            </w:pPr>
            <w:r w:rsidRPr="0052043B">
              <w:rPr>
                <w:sz w:val="18"/>
                <w:szCs w:val="18"/>
              </w:rPr>
              <w:t>1.0</w:t>
            </w:r>
          </w:p>
        </w:tc>
        <w:tc>
          <w:tcPr>
            <w:tcW w:w="508" w:type="pct"/>
            <w:vAlign w:val="bottom"/>
          </w:tcPr>
          <w:p w:rsidR="00314DFB" w:rsidRPr="0052043B" w:rsidRDefault="00314DFB" w:rsidP="008B63A3">
            <w:pPr>
              <w:pStyle w:val="TableBodyText"/>
              <w:rPr>
                <w:sz w:val="18"/>
                <w:szCs w:val="18"/>
              </w:rPr>
            </w:pPr>
            <w:r w:rsidRPr="0052043B">
              <w:rPr>
                <w:sz w:val="18"/>
                <w:szCs w:val="18"/>
              </w:rPr>
              <w:t>0.9</w:t>
            </w:r>
          </w:p>
        </w:tc>
        <w:tc>
          <w:tcPr>
            <w:tcW w:w="508" w:type="pct"/>
            <w:vAlign w:val="bottom"/>
          </w:tcPr>
          <w:p w:rsidR="00314DFB" w:rsidRPr="0052043B" w:rsidRDefault="00314DFB" w:rsidP="008B63A3">
            <w:pPr>
              <w:pStyle w:val="TableBodyText"/>
              <w:rPr>
                <w:sz w:val="18"/>
                <w:szCs w:val="18"/>
              </w:rPr>
            </w:pPr>
            <w:r w:rsidRPr="0052043B">
              <w:rPr>
                <w:sz w:val="18"/>
                <w:szCs w:val="18"/>
              </w:rPr>
              <w:t>0.5</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0.7</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0.4</w:t>
            </w:r>
          </w:p>
        </w:tc>
        <w:tc>
          <w:tcPr>
            <w:tcW w:w="501" w:type="pct"/>
            <w:shd w:val="clear" w:color="auto" w:fill="auto"/>
            <w:vAlign w:val="bottom"/>
          </w:tcPr>
          <w:p w:rsidR="00314DFB" w:rsidRPr="0052043B" w:rsidRDefault="00314DFB" w:rsidP="008B63A3">
            <w:pPr>
              <w:pStyle w:val="TableBodyText"/>
              <w:rPr>
                <w:sz w:val="18"/>
                <w:szCs w:val="18"/>
              </w:rPr>
            </w:pPr>
            <w:r w:rsidRPr="0052043B">
              <w:rPr>
                <w:sz w:val="18"/>
                <w:szCs w:val="18"/>
              </w:rPr>
              <w:t>0.4</w:t>
            </w:r>
          </w:p>
        </w:tc>
      </w:tr>
      <w:tr w:rsidR="00314DFB" w:rsidTr="008B63A3">
        <w:trPr>
          <w:trHeight w:val="227"/>
        </w:trPr>
        <w:tc>
          <w:tcPr>
            <w:tcW w:w="1959" w:type="pct"/>
            <w:vAlign w:val="bottom"/>
          </w:tcPr>
          <w:p w:rsidR="00314DFB" w:rsidRPr="007758AB" w:rsidRDefault="00314DFB" w:rsidP="008B63A3">
            <w:pPr>
              <w:pStyle w:val="TableBodyText"/>
              <w:jc w:val="left"/>
              <w:rPr>
                <w:sz w:val="18"/>
                <w:szCs w:val="18"/>
              </w:rPr>
            </w:pPr>
            <w:r w:rsidRPr="007758AB">
              <w:rPr>
                <w:sz w:val="18"/>
                <w:szCs w:val="18"/>
              </w:rPr>
              <w:t>Metal and fabricated metal products</w:t>
            </w:r>
          </w:p>
        </w:tc>
        <w:tc>
          <w:tcPr>
            <w:tcW w:w="508" w:type="pct"/>
            <w:vAlign w:val="bottom"/>
          </w:tcPr>
          <w:p w:rsidR="00314DFB" w:rsidRPr="0052043B" w:rsidRDefault="00314DFB" w:rsidP="008B63A3">
            <w:pPr>
              <w:pStyle w:val="TableBodyText"/>
              <w:rPr>
                <w:sz w:val="18"/>
                <w:szCs w:val="18"/>
              </w:rPr>
            </w:pPr>
            <w:r w:rsidRPr="0052043B">
              <w:rPr>
                <w:sz w:val="18"/>
                <w:szCs w:val="18"/>
              </w:rPr>
              <w:t>1.6</w:t>
            </w:r>
          </w:p>
        </w:tc>
        <w:tc>
          <w:tcPr>
            <w:tcW w:w="508" w:type="pct"/>
            <w:vAlign w:val="bottom"/>
          </w:tcPr>
          <w:p w:rsidR="00314DFB" w:rsidRPr="0052043B" w:rsidRDefault="00314DFB" w:rsidP="008B63A3">
            <w:pPr>
              <w:pStyle w:val="TableBodyText"/>
              <w:rPr>
                <w:sz w:val="18"/>
                <w:szCs w:val="18"/>
              </w:rPr>
            </w:pPr>
            <w:r w:rsidRPr="0052043B">
              <w:rPr>
                <w:sz w:val="18"/>
                <w:szCs w:val="18"/>
              </w:rPr>
              <w:t>3.4</w:t>
            </w:r>
          </w:p>
        </w:tc>
        <w:tc>
          <w:tcPr>
            <w:tcW w:w="508" w:type="pct"/>
            <w:vAlign w:val="bottom"/>
          </w:tcPr>
          <w:p w:rsidR="00314DFB" w:rsidRPr="0052043B" w:rsidRDefault="00314DFB" w:rsidP="008B63A3">
            <w:pPr>
              <w:pStyle w:val="TableBodyText"/>
              <w:rPr>
                <w:sz w:val="18"/>
                <w:szCs w:val="18"/>
              </w:rPr>
            </w:pPr>
            <w:r w:rsidRPr="0052043B">
              <w:rPr>
                <w:sz w:val="18"/>
                <w:szCs w:val="18"/>
              </w:rPr>
              <w:t>3.8</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3.0</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2.6</w:t>
            </w:r>
          </w:p>
        </w:tc>
        <w:tc>
          <w:tcPr>
            <w:tcW w:w="501" w:type="pct"/>
            <w:shd w:val="clear" w:color="auto" w:fill="auto"/>
            <w:vAlign w:val="bottom"/>
          </w:tcPr>
          <w:p w:rsidR="00314DFB" w:rsidRPr="0052043B" w:rsidRDefault="00314DFB" w:rsidP="008B63A3">
            <w:pPr>
              <w:pStyle w:val="TableBodyText"/>
              <w:rPr>
                <w:sz w:val="18"/>
                <w:szCs w:val="18"/>
              </w:rPr>
            </w:pPr>
            <w:r w:rsidRPr="0052043B">
              <w:rPr>
                <w:sz w:val="18"/>
                <w:szCs w:val="18"/>
              </w:rPr>
              <w:t>2.2</w:t>
            </w:r>
          </w:p>
        </w:tc>
      </w:tr>
      <w:tr w:rsidR="00314DFB" w:rsidTr="008B63A3">
        <w:trPr>
          <w:trHeight w:val="227"/>
        </w:trPr>
        <w:tc>
          <w:tcPr>
            <w:tcW w:w="1959" w:type="pct"/>
            <w:vAlign w:val="bottom"/>
          </w:tcPr>
          <w:p w:rsidR="00314DFB" w:rsidRPr="007758AB" w:rsidRDefault="00314DFB" w:rsidP="008B63A3">
            <w:pPr>
              <w:pStyle w:val="TableBodyText"/>
              <w:jc w:val="left"/>
              <w:rPr>
                <w:sz w:val="18"/>
                <w:szCs w:val="18"/>
              </w:rPr>
            </w:pPr>
            <w:r w:rsidRPr="007758AB">
              <w:rPr>
                <w:sz w:val="18"/>
                <w:szCs w:val="18"/>
              </w:rPr>
              <w:t>Motor vehicle and parts</w:t>
            </w:r>
          </w:p>
        </w:tc>
        <w:tc>
          <w:tcPr>
            <w:tcW w:w="508" w:type="pct"/>
            <w:vAlign w:val="bottom"/>
          </w:tcPr>
          <w:p w:rsidR="00314DFB" w:rsidRPr="0052043B" w:rsidRDefault="00314DFB" w:rsidP="008B63A3">
            <w:pPr>
              <w:pStyle w:val="TableBodyText"/>
              <w:rPr>
                <w:sz w:val="18"/>
                <w:szCs w:val="18"/>
              </w:rPr>
            </w:pPr>
            <w:r w:rsidRPr="0052043B">
              <w:rPr>
                <w:sz w:val="18"/>
                <w:szCs w:val="18"/>
              </w:rPr>
              <w:t>1.6</w:t>
            </w:r>
          </w:p>
        </w:tc>
        <w:tc>
          <w:tcPr>
            <w:tcW w:w="508" w:type="pct"/>
            <w:vAlign w:val="bottom"/>
          </w:tcPr>
          <w:p w:rsidR="00314DFB" w:rsidRPr="0052043B" w:rsidRDefault="00314DFB" w:rsidP="008B63A3">
            <w:pPr>
              <w:pStyle w:val="TableBodyText"/>
              <w:rPr>
                <w:sz w:val="18"/>
                <w:szCs w:val="18"/>
              </w:rPr>
            </w:pPr>
            <w:r w:rsidRPr="0052043B">
              <w:rPr>
                <w:sz w:val="18"/>
                <w:szCs w:val="18"/>
              </w:rPr>
              <w:t>1.1</w:t>
            </w:r>
          </w:p>
        </w:tc>
        <w:tc>
          <w:tcPr>
            <w:tcW w:w="508" w:type="pct"/>
            <w:vAlign w:val="bottom"/>
          </w:tcPr>
          <w:p w:rsidR="00314DFB" w:rsidRPr="0052043B" w:rsidRDefault="00314DFB" w:rsidP="008B63A3">
            <w:pPr>
              <w:pStyle w:val="TableBodyText"/>
              <w:rPr>
                <w:sz w:val="18"/>
                <w:szCs w:val="18"/>
              </w:rPr>
            </w:pPr>
            <w:r w:rsidRPr="0052043B">
              <w:rPr>
                <w:sz w:val="18"/>
                <w:szCs w:val="18"/>
              </w:rPr>
              <w:t>1.6</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2.0</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1.3</w:t>
            </w:r>
          </w:p>
        </w:tc>
        <w:tc>
          <w:tcPr>
            <w:tcW w:w="501" w:type="pct"/>
            <w:shd w:val="clear" w:color="auto" w:fill="auto"/>
            <w:vAlign w:val="bottom"/>
          </w:tcPr>
          <w:p w:rsidR="00314DFB" w:rsidRPr="0052043B" w:rsidRDefault="00314DFB" w:rsidP="008B63A3">
            <w:pPr>
              <w:pStyle w:val="TableBodyText"/>
              <w:rPr>
                <w:sz w:val="18"/>
                <w:szCs w:val="18"/>
              </w:rPr>
            </w:pPr>
            <w:r w:rsidRPr="0052043B">
              <w:rPr>
                <w:sz w:val="18"/>
                <w:szCs w:val="18"/>
              </w:rPr>
              <w:t>0.9</w:t>
            </w:r>
          </w:p>
        </w:tc>
      </w:tr>
      <w:tr w:rsidR="00314DFB" w:rsidTr="008B63A3">
        <w:trPr>
          <w:trHeight w:val="227"/>
        </w:trPr>
        <w:tc>
          <w:tcPr>
            <w:tcW w:w="1959" w:type="pct"/>
            <w:vAlign w:val="bottom"/>
          </w:tcPr>
          <w:p w:rsidR="00314DFB" w:rsidRPr="007758AB" w:rsidRDefault="00314DFB" w:rsidP="008B63A3">
            <w:pPr>
              <w:pStyle w:val="TableBodyText"/>
              <w:jc w:val="left"/>
              <w:rPr>
                <w:sz w:val="18"/>
                <w:szCs w:val="18"/>
              </w:rPr>
            </w:pPr>
            <w:r w:rsidRPr="007758AB">
              <w:rPr>
                <w:sz w:val="18"/>
                <w:szCs w:val="18"/>
              </w:rPr>
              <w:t>Other transport equipment</w:t>
            </w:r>
          </w:p>
        </w:tc>
        <w:tc>
          <w:tcPr>
            <w:tcW w:w="508" w:type="pct"/>
            <w:vAlign w:val="bottom"/>
          </w:tcPr>
          <w:p w:rsidR="00314DFB" w:rsidRPr="0052043B" w:rsidRDefault="00314DFB" w:rsidP="008B63A3">
            <w:pPr>
              <w:pStyle w:val="TableBodyText"/>
              <w:rPr>
                <w:sz w:val="18"/>
                <w:szCs w:val="18"/>
              </w:rPr>
            </w:pPr>
            <w:r w:rsidRPr="0052043B">
              <w:rPr>
                <w:sz w:val="18"/>
                <w:szCs w:val="18"/>
              </w:rPr>
              <w:t>1.5</w:t>
            </w:r>
          </w:p>
        </w:tc>
        <w:tc>
          <w:tcPr>
            <w:tcW w:w="508" w:type="pct"/>
            <w:vAlign w:val="bottom"/>
          </w:tcPr>
          <w:p w:rsidR="00314DFB" w:rsidRPr="0052043B" w:rsidRDefault="00314DFB" w:rsidP="008B63A3">
            <w:pPr>
              <w:pStyle w:val="TableBodyText"/>
              <w:rPr>
                <w:sz w:val="18"/>
                <w:szCs w:val="18"/>
              </w:rPr>
            </w:pPr>
            <w:r w:rsidRPr="0052043B">
              <w:rPr>
                <w:sz w:val="18"/>
                <w:szCs w:val="18"/>
              </w:rPr>
              <w:t>1.3</w:t>
            </w:r>
          </w:p>
        </w:tc>
        <w:tc>
          <w:tcPr>
            <w:tcW w:w="508" w:type="pct"/>
            <w:vAlign w:val="bottom"/>
          </w:tcPr>
          <w:p w:rsidR="00314DFB" w:rsidRPr="0052043B" w:rsidRDefault="00314DFB" w:rsidP="008B63A3">
            <w:pPr>
              <w:pStyle w:val="TableBodyText"/>
              <w:rPr>
                <w:sz w:val="18"/>
                <w:szCs w:val="18"/>
              </w:rPr>
            </w:pPr>
            <w:r w:rsidRPr="0052043B">
              <w:rPr>
                <w:sz w:val="18"/>
                <w:szCs w:val="18"/>
              </w:rPr>
              <w:t>1.2</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1.3</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1.5</w:t>
            </w:r>
          </w:p>
        </w:tc>
        <w:tc>
          <w:tcPr>
            <w:tcW w:w="501" w:type="pct"/>
            <w:shd w:val="clear" w:color="auto" w:fill="auto"/>
            <w:vAlign w:val="bottom"/>
          </w:tcPr>
          <w:p w:rsidR="00314DFB" w:rsidRPr="0052043B" w:rsidRDefault="00314DFB" w:rsidP="008B63A3">
            <w:pPr>
              <w:pStyle w:val="TableBodyText"/>
              <w:rPr>
                <w:sz w:val="18"/>
                <w:szCs w:val="18"/>
              </w:rPr>
            </w:pPr>
            <w:r w:rsidRPr="0052043B">
              <w:rPr>
                <w:sz w:val="18"/>
                <w:szCs w:val="18"/>
              </w:rPr>
              <w:t>1.1</w:t>
            </w:r>
          </w:p>
        </w:tc>
      </w:tr>
      <w:tr w:rsidR="00314DFB" w:rsidTr="008B63A3">
        <w:trPr>
          <w:trHeight w:val="227"/>
        </w:trPr>
        <w:tc>
          <w:tcPr>
            <w:tcW w:w="1959" w:type="pct"/>
            <w:vAlign w:val="bottom"/>
          </w:tcPr>
          <w:p w:rsidR="00314DFB" w:rsidRPr="007758AB" w:rsidRDefault="00314DFB" w:rsidP="008B63A3">
            <w:pPr>
              <w:pStyle w:val="TableBodyText"/>
              <w:jc w:val="left"/>
              <w:rPr>
                <w:sz w:val="18"/>
                <w:szCs w:val="18"/>
              </w:rPr>
            </w:pPr>
            <w:r w:rsidRPr="007758AB">
              <w:rPr>
                <w:sz w:val="18"/>
                <w:szCs w:val="18"/>
              </w:rPr>
              <w:t>Machinery and equipment manufacturing</w:t>
            </w:r>
          </w:p>
        </w:tc>
        <w:tc>
          <w:tcPr>
            <w:tcW w:w="508" w:type="pct"/>
            <w:vAlign w:val="bottom"/>
          </w:tcPr>
          <w:p w:rsidR="00314DFB" w:rsidRPr="0052043B" w:rsidRDefault="00314DFB" w:rsidP="008B63A3">
            <w:pPr>
              <w:pStyle w:val="TableBodyText"/>
              <w:rPr>
                <w:sz w:val="18"/>
                <w:szCs w:val="18"/>
              </w:rPr>
            </w:pPr>
            <w:r w:rsidRPr="0052043B">
              <w:rPr>
                <w:sz w:val="18"/>
                <w:szCs w:val="18"/>
              </w:rPr>
              <w:t>13.9</w:t>
            </w:r>
          </w:p>
        </w:tc>
        <w:tc>
          <w:tcPr>
            <w:tcW w:w="508" w:type="pct"/>
            <w:vAlign w:val="bottom"/>
          </w:tcPr>
          <w:p w:rsidR="00314DFB" w:rsidRPr="0052043B" w:rsidRDefault="00314DFB" w:rsidP="008B63A3">
            <w:pPr>
              <w:pStyle w:val="TableBodyText"/>
              <w:rPr>
                <w:sz w:val="18"/>
                <w:szCs w:val="18"/>
              </w:rPr>
            </w:pPr>
            <w:r w:rsidRPr="0052043B">
              <w:rPr>
                <w:sz w:val="18"/>
                <w:szCs w:val="18"/>
              </w:rPr>
              <w:t>13.8</w:t>
            </w:r>
          </w:p>
        </w:tc>
        <w:tc>
          <w:tcPr>
            <w:tcW w:w="508" w:type="pct"/>
            <w:vAlign w:val="bottom"/>
          </w:tcPr>
          <w:p w:rsidR="00314DFB" w:rsidRPr="0052043B" w:rsidRDefault="00314DFB" w:rsidP="008B63A3">
            <w:pPr>
              <w:pStyle w:val="TableBodyText"/>
              <w:rPr>
                <w:sz w:val="18"/>
                <w:szCs w:val="18"/>
              </w:rPr>
            </w:pPr>
            <w:r w:rsidRPr="0052043B">
              <w:rPr>
                <w:sz w:val="18"/>
                <w:szCs w:val="18"/>
              </w:rPr>
              <w:t>16.3</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19.5</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11.6</w:t>
            </w:r>
          </w:p>
        </w:tc>
        <w:tc>
          <w:tcPr>
            <w:tcW w:w="501" w:type="pct"/>
            <w:shd w:val="clear" w:color="auto" w:fill="auto"/>
            <w:vAlign w:val="bottom"/>
          </w:tcPr>
          <w:p w:rsidR="00314DFB" w:rsidRPr="0052043B" w:rsidRDefault="00314DFB" w:rsidP="008B63A3">
            <w:pPr>
              <w:pStyle w:val="TableBodyText"/>
              <w:rPr>
                <w:sz w:val="18"/>
                <w:szCs w:val="18"/>
              </w:rPr>
            </w:pPr>
            <w:r w:rsidRPr="0052043B">
              <w:rPr>
                <w:sz w:val="18"/>
                <w:szCs w:val="18"/>
              </w:rPr>
              <w:t>9.7</w:t>
            </w:r>
          </w:p>
        </w:tc>
      </w:tr>
      <w:tr w:rsidR="00314DFB" w:rsidTr="008B63A3">
        <w:trPr>
          <w:trHeight w:val="227"/>
        </w:trPr>
        <w:tc>
          <w:tcPr>
            <w:tcW w:w="1959" w:type="pct"/>
            <w:vAlign w:val="bottom"/>
          </w:tcPr>
          <w:p w:rsidR="00314DFB" w:rsidRPr="007758AB" w:rsidRDefault="00314DFB" w:rsidP="008B63A3">
            <w:pPr>
              <w:pStyle w:val="TableBodyText"/>
              <w:jc w:val="left"/>
              <w:rPr>
                <w:sz w:val="18"/>
                <w:szCs w:val="18"/>
              </w:rPr>
            </w:pPr>
            <w:r w:rsidRPr="007758AB">
              <w:rPr>
                <w:sz w:val="18"/>
                <w:szCs w:val="18"/>
              </w:rPr>
              <w:t>Furniture and other manufacturing</w:t>
            </w:r>
          </w:p>
        </w:tc>
        <w:tc>
          <w:tcPr>
            <w:tcW w:w="508" w:type="pct"/>
            <w:vAlign w:val="bottom"/>
          </w:tcPr>
          <w:p w:rsidR="00314DFB" w:rsidRPr="0052043B" w:rsidRDefault="00314DFB" w:rsidP="008B63A3">
            <w:pPr>
              <w:pStyle w:val="TableBodyText"/>
              <w:rPr>
                <w:sz w:val="18"/>
                <w:szCs w:val="18"/>
              </w:rPr>
            </w:pPr>
            <w:r w:rsidRPr="0052043B">
              <w:rPr>
                <w:sz w:val="18"/>
                <w:szCs w:val="18"/>
              </w:rPr>
              <w:t>6.4</w:t>
            </w:r>
          </w:p>
        </w:tc>
        <w:tc>
          <w:tcPr>
            <w:tcW w:w="508" w:type="pct"/>
            <w:vAlign w:val="bottom"/>
          </w:tcPr>
          <w:p w:rsidR="00314DFB" w:rsidRPr="0052043B" w:rsidRDefault="00314DFB" w:rsidP="008B63A3">
            <w:pPr>
              <w:pStyle w:val="TableBodyText"/>
              <w:rPr>
                <w:sz w:val="18"/>
                <w:szCs w:val="18"/>
              </w:rPr>
            </w:pPr>
            <w:r w:rsidRPr="0052043B">
              <w:rPr>
                <w:sz w:val="18"/>
                <w:szCs w:val="18"/>
              </w:rPr>
              <w:t>4.0</w:t>
            </w:r>
          </w:p>
        </w:tc>
        <w:tc>
          <w:tcPr>
            <w:tcW w:w="508" w:type="pct"/>
            <w:vAlign w:val="bottom"/>
          </w:tcPr>
          <w:p w:rsidR="00314DFB" w:rsidRPr="0052043B" w:rsidRDefault="00314DFB" w:rsidP="008B63A3">
            <w:pPr>
              <w:pStyle w:val="TableBodyText"/>
              <w:rPr>
                <w:sz w:val="18"/>
                <w:szCs w:val="18"/>
              </w:rPr>
            </w:pPr>
            <w:r w:rsidRPr="0052043B">
              <w:rPr>
                <w:sz w:val="18"/>
                <w:szCs w:val="18"/>
              </w:rPr>
              <w:t>6.0</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7.6</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5.7</w:t>
            </w:r>
          </w:p>
        </w:tc>
        <w:tc>
          <w:tcPr>
            <w:tcW w:w="501" w:type="pct"/>
            <w:shd w:val="clear" w:color="auto" w:fill="auto"/>
            <w:vAlign w:val="bottom"/>
          </w:tcPr>
          <w:p w:rsidR="00314DFB" w:rsidRPr="0052043B" w:rsidRDefault="00314DFB" w:rsidP="008B63A3">
            <w:pPr>
              <w:pStyle w:val="TableBodyText"/>
              <w:rPr>
                <w:sz w:val="18"/>
                <w:szCs w:val="18"/>
              </w:rPr>
            </w:pPr>
            <w:r w:rsidRPr="0052043B">
              <w:rPr>
                <w:sz w:val="18"/>
                <w:szCs w:val="18"/>
              </w:rPr>
              <w:t>6.0</w:t>
            </w:r>
          </w:p>
        </w:tc>
      </w:tr>
      <w:tr w:rsidR="00314DFB" w:rsidRPr="003A08A6" w:rsidTr="008B63A3">
        <w:trPr>
          <w:trHeight w:val="227"/>
        </w:trPr>
        <w:tc>
          <w:tcPr>
            <w:tcW w:w="1959" w:type="pct"/>
            <w:vAlign w:val="bottom"/>
          </w:tcPr>
          <w:p w:rsidR="00314DFB" w:rsidRPr="003A08A6" w:rsidRDefault="00314DFB" w:rsidP="008B63A3">
            <w:pPr>
              <w:pStyle w:val="TableBodyText"/>
              <w:jc w:val="left"/>
              <w:rPr>
                <w:b/>
                <w:sz w:val="18"/>
                <w:szCs w:val="18"/>
              </w:rPr>
            </w:pPr>
            <w:r w:rsidRPr="003A08A6">
              <w:rPr>
                <w:b/>
                <w:sz w:val="18"/>
                <w:szCs w:val="18"/>
              </w:rPr>
              <w:t>Services</w:t>
            </w:r>
          </w:p>
        </w:tc>
        <w:tc>
          <w:tcPr>
            <w:tcW w:w="508" w:type="pct"/>
            <w:vAlign w:val="bottom"/>
          </w:tcPr>
          <w:p w:rsidR="00314DFB" w:rsidRPr="0052043B" w:rsidRDefault="00314DFB" w:rsidP="008B63A3">
            <w:pPr>
              <w:pStyle w:val="TableBodyText"/>
              <w:rPr>
                <w:b/>
                <w:sz w:val="18"/>
                <w:szCs w:val="18"/>
              </w:rPr>
            </w:pPr>
            <w:r w:rsidRPr="0052043B">
              <w:rPr>
                <w:b/>
                <w:sz w:val="18"/>
                <w:szCs w:val="18"/>
              </w:rPr>
              <w:t>84.7</w:t>
            </w:r>
          </w:p>
        </w:tc>
        <w:tc>
          <w:tcPr>
            <w:tcW w:w="508" w:type="pct"/>
            <w:vAlign w:val="bottom"/>
          </w:tcPr>
          <w:p w:rsidR="00314DFB" w:rsidRPr="0052043B" w:rsidRDefault="00314DFB" w:rsidP="008B63A3">
            <w:pPr>
              <w:pStyle w:val="TableBodyText"/>
              <w:rPr>
                <w:b/>
                <w:sz w:val="18"/>
                <w:szCs w:val="18"/>
              </w:rPr>
            </w:pPr>
            <w:r w:rsidRPr="0052043B">
              <w:rPr>
                <w:b/>
                <w:sz w:val="18"/>
                <w:szCs w:val="18"/>
              </w:rPr>
              <w:t>93.1</w:t>
            </w:r>
          </w:p>
        </w:tc>
        <w:tc>
          <w:tcPr>
            <w:tcW w:w="508" w:type="pct"/>
            <w:vAlign w:val="bottom"/>
          </w:tcPr>
          <w:p w:rsidR="00314DFB" w:rsidRPr="0052043B" w:rsidRDefault="00314DFB" w:rsidP="008B63A3">
            <w:pPr>
              <w:pStyle w:val="TableBodyText"/>
              <w:rPr>
                <w:b/>
                <w:sz w:val="18"/>
                <w:szCs w:val="18"/>
              </w:rPr>
            </w:pPr>
            <w:r w:rsidRPr="0052043B">
              <w:rPr>
                <w:b/>
                <w:sz w:val="18"/>
                <w:szCs w:val="18"/>
              </w:rPr>
              <w:t>116.8</w:t>
            </w:r>
          </w:p>
        </w:tc>
        <w:tc>
          <w:tcPr>
            <w:tcW w:w="508" w:type="pct"/>
            <w:shd w:val="clear" w:color="auto" w:fill="auto"/>
            <w:vAlign w:val="bottom"/>
          </w:tcPr>
          <w:p w:rsidR="00314DFB" w:rsidRPr="0052043B" w:rsidRDefault="00314DFB" w:rsidP="008B63A3">
            <w:pPr>
              <w:pStyle w:val="TableBodyText"/>
              <w:rPr>
                <w:b/>
                <w:sz w:val="18"/>
                <w:szCs w:val="18"/>
              </w:rPr>
            </w:pPr>
            <w:r w:rsidRPr="0052043B">
              <w:rPr>
                <w:b/>
                <w:sz w:val="18"/>
                <w:szCs w:val="18"/>
              </w:rPr>
              <w:t>125.0</w:t>
            </w:r>
          </w:p>
        </w:tc>
        <w:tc>
          <w:tcPr>
            <w:tcW w:w="508" w:type="pct"/>
            <w:shd w:val="clear" w:color="auto" w:fill="auto"/>
            <w:vAlign w:val="bottom"/>
          </w:tcPr>
          <w:p w:rsidR="00314DFB" w:rsidRPr="0052043B" w:rsidRDefault="00314DFB" w:rsidP="008B63A3">
            <w:pPr>
              <w:pStyle w:val="TableBodyText"/>
              <w:rPr>
                <w:b/>
                <w:sz w:val="18"/>
                <w:szCs w:val="18"/>
              </w:rPr>
            </w:pPr>
            <w:r w:rsidRPr="0052043B">
              <w:rPr>
                <w:b/>
                <w:sz w:val="18"/>
                <w:szCs w:val="18"/>
              </w:rPr>
              <w:t>90.3</w:t>
            </w:r>
          </w:p>
        </w:tc>
        <w:tc>
          <w:tcPr>
            <w:tcW w:w="501" w:type="pct"/>
            <w:shd w:val="clear" w:color="auto" w:fill="auto"/>
            <w:vAlign w:val="bottom"/>
          </w:tcPr>
          <w:p w:rsidR="00314DFB" w:rsidRPr="0052043B" w:rsidRDefault="00314DFB" w:rsidP="008B63A3">
            <w:pPr>
              <w:pStyle w:val="TableBodyText"/>
              <w:rPr>
                <w:b/>
                <w:sz w:val="18"/>
                <w:szCs w:val="18"/>
              </w:rPr>
            </w:pPr>
            <w:r w:rsidRPr="0052043B">
              <w:rPr>
                <w:b/>
                <w:sz w:val="18"/>
                <w:szCs w:val="18"/>
              </w:rPr>
              <w:t>82.1</w:t>
            </w:r>
          </w:p>
        </w:tc>
      </w:tr>
      <w:tr w:rsidR="00314DFB" w:rsidTr="008B63A3">
        <w:trPr>
          <w:trHeight w:val="227"/>
        </w:trPr>
        <w:tc>
          <w:tcPr>
            <w:tcW w:w="1959" w:type="pct"/>
            <w:vAlign w:val="bottom"/>
          </w:tcPr>
          <w:p w:rsidR="00314DFB" w:rsidRPr="007758AB" w:rsidRDefault="00314DFB" w:rsidP="008B63A3">
            <w:pPr>
              <w:pStyle w:val="TableBodyText"/>
              <w:jc w:val="left"/>
              <w:rPr>
                <w:sz w:val="18"/>
                <w:szCs w:val="18"/>
              </w:rPr>
            </w:pPr>
            <w:r w:rsidRPr="007758AB">
              <w:rPr>
                <w:sz w:val="18"/>
                <w:szCs w:val="18"/>
              </w:rPr>
              <w:t>Electricity, gas, water and waste services</w:t>
            </w:r>
          </w:p>
        </w:tc>
        <w:tc>
          <w:tcPr>
            <w:tcW w:w="508" w:type="pct"/>
            <w:vAlign w:val="bottom"/>
          </w:tcPr>
          <w:p w:rsidR="00314DFB" w:rsidRPr="0052043B" w:rsidRDefault="00314DFB" w:rsidP="008B63A3">
            <w:pPr>
              <w:pStyle w:val="TableBodyText"/>
              <w:rPr>
                <w:sz w:val="18"/>
                <w:szCs w:val="18"/>
              </w:rPr>
            </w:pPr>
            <w:r w:rsidRPr="0052043B">
              <w:rPr>
                <w:sz w:val="18"/>
                <w:szCs w:val="18"/>
              </w:rPr>
              <w:t>0.6</w:t>
            </w:r>
          </w:p>
        </w:tc>
        <w:tc>
          <w:tcPr>
            <w:tcW w:w="508" w:type="pct"/>
            <w:vAlign w:val="bottom"/>
          </w:tcPr>
          <w:p w:rsidR="00314DFB" w:rsidRPr="0052043B" w:rsidRDefault="00314DFB" w:rsidP="008B63A3">
            <w:pPr>
              <w:pStyle w:val="TableBodyText"/>
              <w:rPr>
                <w:sz w:val="18"/>
                <w:szCs w:val="18"/>
              </w:rPr>
            </w:pPr>
            <w:r w:rsidRPr="0052043B">
              <w:rPr>
                <w:sz w:val="18"/>
                <w:szCs w:val="18"/>
              </w:rPr>
              <w:t>0.6</w:t>
            </w:r>
          </w:p>
        </w:tc>
        <w:tc>
          <w:tcPr>
            <w:tcW w:w="508" w:type="pct"/>
            <w:vAlign w:val="bottom"/>
          </w:tcPr>
          <w:p w:rsidR="00314DFB" w:rsidRPr="0052043B" w:rsidRDefault="00314DFB" w:rsidP="008B63A3">
            <w:pPr>
              <w:pStyle w:val="TableBodyText"/>
              <w:rPr>
                <w:sz w:val="18"/>
                <w:szCs w:val="18"/>
              </w:rPr>
            </w:pPr>
            <w:r w:rsidRPr="0052043B">
              <w:rPr>
                <w:sz w:val="18"/>
                <w:szCs w:val="18"/>
              </w:rPr>
              <w:t>0.6</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0.8</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0.5</w:t>
            </w:r>
          </w:p>
        </w:tc>
        <w:tc>
          <w:tcPr>
            <w:tcW w:w="501" w:type="pct"/>
            <w:shd w:val="clear" w:color="auto" w:fill="auto"/>
            <w:vAlign w:val="bottom"/>
          </w:tcPr>
          <w:p w:rsidR="00314DFB" w:rsidRPr="0052043B" w:rsidRDefault="00314DFB" w:rsidP="008B63A3">
            <w:pPr>
              <w:pStyle w:val="TableBodyText"/>
              <w:rPr>
                <w:sz w:val="18"/>
                <w:szCs w:val="18"/>
              </w:rPr>
            </w:pPr>
            <w:r w:rsidRPr="0052043B">
              <w:rPr>
                <w:sz w:val="18"/>
                <w:szCs w:val="18"/>
              </w:rPr>
              <w:t>0.3</w:t>
            </w:r>
          </w:p>
        </w:tc>
      </w:tr>
      <w:tr w:rsidR="00314DFB" w:rsidTr="008B63A3">
        <w:trPr>
          <w:trHeight w:val="227"/>
        </w:trPr>
        <w:tc>
          <w:tcPr>
            <w:tcW w:w="1959" w:type="pct"/>
            <w:vAlign w:val="bottom"/>
          </w:tcPr>
          <w:p w:rsidR="00314DFB" w:rsidRPr="007758AB" w:rsidRDefault="00314DFB" w:rsidP="008B63A3">
            <w:pPr>
              <w:pStyle w:val="TableBodyText"/>
              <w:jc w:val="left"/>
              <w:rPr>
                <w:sz w:val="18"/>
                <w:szCs w:val="18"/>
              </w:rPr>
            </w:pPr>
            <w:r w:rsidRPr="007758AB">
              <w:rPr>
                <w:sz w:val="18"/>
                <w:szCs w:val="18"/>
              </w:rPr>
              <w:t>Construction</w:t>
            </w:r>
          </w:p>
        </w:tc>
        <w:tc>
          <w:tcPr>
            <w:tcW w:w="508" w:type="pct"/>
            <w:vAlign w:val="bottom"/>
          </w:tcPr>
          <w:p w:rsidR="00314DFB" w:rsidRPr="0052043B" w:rsidRDefault="00314DFB" w:rsidP="008B63A3">
            <w:pPr>
              <w:pStyle w:val="TableBodyText"/>
              <w:rPr>
                <w:sz w:val="18"/>
                <w:szCs w:val="18"/>
              </w:rPr>
            </w:pPr>
            <w:r w:rsidRPr="0052043B">
              <w:rPr>
                <w:sz w:val="18"/>
                <w:szCs w:val="18"/>
              </w:rPr>
              <w:t>1.3</w:t>
            </w:r>
          </w:p>
        </w:tc>
        <w:tc>
          <w:tcPr>
            <w:tcW w:w="508" w:type="pct"/>
            <w:vAlign w:val="bottom"/>
          </w:tcPr>
          <w:p w:rsidR="00314DFB" w:rsidRPr="0052043B" w:rsidRDefault="00314DFB" w:rsidP="008B63A3">
            <w:pPr>
              <w:pStyle w:val="TableBodyText"/>
              <w:rPr>
                <w:sz w:val="18"/>
                <w:szCs w:val="18"/>
              </w:rPr>
            </w:pPr>
            <w:r w:rsidRPr="0052043B">
              <w:rPr>
                <w:sz w:val="18"/>
                <w:szCs w:val="18"/>
              </w:rPr>
              <w:t>1.1</w:t>
            </w:r>
          </w:p>
        </w:tc>
        <w:tc>
          <w:tcPr>
            <w:tcW w:w="508" w:type="pct"/>
            <w:vAlign w:val="bottom"/>
          </w:tcPr>
          <w:p w:rsidR="00314DFB" w:rsidRPr="0052043B" w:rsidRDefault="00314DFB" w:rsidP="008B63A3">
            <w:pPr>
              <w:pStyle w:val="TableBodyText"/>
              <w:rPr>
                <w:sz w:val="18"/>
                <w:szCs w:val="18"/>
              </w:rPr>
            </w:pPr>
            <w:r w:rsidRPr="0052043B">
              <w:rPr>
                <w:sz w:val="18"/>
                <w:szCs w:val="18"/>
              </w:rPr>
              <w:t>1.6</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1.1</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0.6</w:t>
            </w:r>
          </w:p>
        </w:tc>
        <w:tc>
          <w:tcPr>
            <w:tcW w:w="501" w:type="pct"/>
            <w:shd w:val="clear" w:color="auto" w:fill="auto"/>
            <w:vAlign w:val="bottom"/>
          </w:tcPr>
          <w:p w:rsidR="00314DFB" w:rsidRPr="0052043B" w:rsidRDefault="00314DFB" w:rsidP="008B63A3">
            <w:pPr>
              <w:pStyle w:val="TableBodyText"/>
              <w:rPr>
                <w:sz w:val="18"/>
                <w:szCs w:val="18"/>
              </w:rPr>
            </w:pPr>
            <w:r w:rsidRPr="0052043B">
              <w:rPr>
                <w:sz w:val="18"/>
                <w:szCs w:val="18"/>
              </w:rPr>
              <w:t>0.9</w:t>
            </w:r>
          </w:p>
        </w:tc>
      </w:tr>
      <w:tr w:rsidR="00314DFB" w:rsidTr="008B63A3">
        <w:trPr>
          <w:trHeight w:val="227"/>
        </w:trPr>
        <w:tc>
          <w:tcPr>
            <w:tcW w:w="1959" w:type="pct"/>
            <w:vAlign w:val="bottom"/>
          </w:tcPr>
          <w:p w:rsidR="00314DFB" w:rsidRPr="007758AB" w:rsidRDefault="00314DFB" w:rsidP="008B63A3">
            <w:pPr>
              <w:pStyle w:val="TableBodyText"/>
              <w:jc w:val="left"/>
              <w:rPr>
                <w:sz w:val="18"/>
                <w:szCs w:val="18"/>
              </w:rPr>
            </w:pPr>
            <w:r w:rsidRPr="007758AB">
              <w:rPr>
                <w:sz w:val="18"/>
                <w:szCs w:val="18"/>
              </w:rPr>
              <w:t>Wholesale trade</w:t>
            </w:r>
          </w:p>
        </w:tc>
        <w:tc>
          <w:tcPr>
            <w:tcW w:w="508" w:type="pct"/>
            <w:vAlign w:val="bottom"/>
          </w:tcPr>
          <w:p w:rsidR="00314DFB" w:rsidRPr="0052043B" w:rsidRDefault="00314DFB" w:rsidP="008B63A3">
            <w:pPr>
              <w:pStyle w:val="TableBodyText"/>
              <w:rPr>
                <w:sz w:val="18"/>
                <w:szCs w:val="18"/>
              </w:rPr>
            </w:pPr>
            <w:r w:rsidRPr="0052043B">
              <w:rPr>
                <w:sz w:val="18"/>
                <w:szCs w:val="18"/>
              </w:rPr>
              <w:t>11.6</w:t>
            </w:r>
          </w:p>
        </w:tc>
        <w:tc>
          <w:tcPr>
            <w:tcW w:w="508" w:type="pct"/>
            <w:vAlign w:val="bottom"/>
          </w:tcPr>
          <w:p w:rsidR="00314DFB" w:rsidRPr="0052043B" w:rsidRDefault="00314DFB" w:rsidP="008B63A3">
            <w:pPr>
              <w:pStyle w:val="TableBodyText"/>
              <w:rPr>
                <w:sz w:val="18"/>
                <w:szCs w:val="18"/>
              </w:rPr>
            </w:pPr>
            <w:r w:rsidRPr="0052043B">
              <w:rPr>
                <w:sz w:val="18"/>
                <w:szCs w:val="18"/>
              </w:rPr>
              <w:t>12.5</w:t>
            </w:r>
          </w:p>
        </w:tc>
        <w:tc>
          <w:tcPr>
            <w:tcW w:w="508" w:type="pct"/>
            <w:vAlign w:val="bottom"/>
          </w:tcPr>
          <w:p w:rsidR="00314DFB" w:rsidRPr="0052043B" w:rsidRDefault="00314DFB" w:rsidP="008B63A3">
            <w:pPr>
              <w:pStyle w:val="TableBodyText"/>
              <w:rPr>
                <w:sz w:val="18"/>
                <w:szCs w:val="18"/>
              </w:rPr>
            </w:pPr>
            <w:r w:rsidRPr="0052043B">
              <w:rPr>
                <w:sz w:val="18"/>
                <w:szCs w:val="18"/>
              </w:rPr>
              <w:t>14.3</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13.8</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11.1</w:t>
            </w:r>
          </w:p>
        </w:tc>
        <w:tc>
          <w:tcPr>
            <w:tcW w:w="501" w:type="pct"/>
            <w:shd w:val="clear" w:color="auto" w:fill="auto"/>
            <w:vAlign w:val="bottom"/>
          </w:tcPr>
          <w:p w:rsidR="00314DFB" w:rsidRPr="0052043B" w:rsidRDefault="00314DFB" w:rsidP="008B63A3">
            <w:pPr>
              <w:pStyle w:val="TableBodyText"/>
              <w:rPr>
                <w:sz w:val="18"/>
                <w:szCs w:val="18"/>
              </w:rPr>
            </w:pPr>
            <w:r w:rsidRPr="0052043B">
              <w:rPr>
                <w:sz w:val="18"/>
                <w:szCs w:val="18"/>
              </w:rPr>
              <w:t>10.3</w:t>
            </w:r>
          </w:p>
        </w:tc>
      </w:tr>
      <w:tr w:rsidR="00314DFB" w:rsidTr="008B63A3">
        <w:trPr>
          <w:trHeight w:val="227"/>
        </w:trPr>
        <w:tc>
          <w:tcPr>
            <w:tcW w:w="1959" w:type="pct"/>
            <w:vAlign w:val="bottom"/>
          </w:tcPr>
          <w:p w:rsidR="00314DFB" w:rsidRPr="007758AB" w:rsidRDefault="00314DFB" w:rsidP="008B63A3">
            <w:pPr>
              <w:pStyle w:val="TableBodyText"/>
              <w:jc w:val="left"/>
              <w:rPr>
                <w:sz w:val="18"/>
                <w:szCs w:val="18"/>
              </w:rPr>
            </w:pPr>
            <w:r w:rsidRPr="007758AB">
              <w:rPr>
                <w:sz w:val="18"/>
                <w:szCs w:val="18"/>
              </w:rPr>
              <w:t>Retail trade</w:t>
            </w:r>
          </w:p>
        </w:tc>
        <w:tc>
          <w:tcPr>
            <w:tcW w:w="508" w:type="pct"/>
            <w:vAlign w:val="bottom"/>
          </w:tcPr>
          <w:p w:rsidR="00314DFB" w:rsidRPr="0052043B" w:rsidRDefault="00314DFB" w:rsidP="008B63A3">
            <w:pPr>
              <w:pStyle w:val="TableBodyText"/>
              <w:rPr>
                <w:sz w:val="18"/>
                <w:szCs w:val="18"/>
              </w:rPr>
            </w:pPr>
            <w:r w:rsidRPr="0052043B">
              <w:rPr>
                <w:sz w:val="18"/>
                <w:szCs w:val="18"/>
              </w:rPr>
              <w:t>1.3</w:t>
            </w:r>
          </w:p>
        </w:tc>
        <w:tc>
          <w:tcPr>
            <w:tcW w:w="508" w:type="pct"/>
            <w:vAlign w:val="bottom"/>
          </w:tcPr>
          <w:p w:rsidR="00314DFB" w:rsidRPr="0052043B" w:rsidRDefault="00314DFB" w:rsidP="008B63A3">
            <w:pPr>
              <w:pStyle w:val="TableBodyText"/>
              <w:rPr>
                <w:sz w:val="18"/>
                <w:szCs w:val="18"/>
              </w:rPr>
            </w:pPr>
            <w:r w:rsidRPr="0052043B">
              <w:rPr>
                <w:sz w:val="18"/>
                <w:szCs w:val="18"/>
              </w:rPr>
              <w:t>1.5</w:t>
            </w:r>
          </w:p>
        </w:tc>
        <w:tc>
          <w:tcPr>
            <w:tcW w:w="508" w:type="pct"/>
            <w:vAlign w:val="bottom"/>
          </w:tcPr>
          <w:p w:rsidR="00314DFB" w:rsidRPr="0052043B" w:rsidRDefault="00314DFB" w:rsidP="008B63A3">
            <w:pPr>
              <w:pStyle w:val="TableBodyText"/>
              <w:rPr>
                <w:sz w:val="18"/>
                <w:szCs w:val="18"/>
              </w:rPr>
            </w:pPr>
            <w:r w:rsidRPr="0052043B">
              <w:rPr>
                <w:sz w:val="18"/>
                <w:szCs w:val="18"/>
              </w:rPr>
              <w:t>2.1</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1.4</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1.2</w:t>
            </w:r>
          </w:p>
        </w:tc>
        <w:tc>
          <w:tcPr>
            <w:tcW w:w="501" w:type="pct"/>
            <w:shd w:val="clear" w:color="auto" w:fill="auto"/>
            <w:vAlign w:val="bottom"/>
          </w:tcPr>
          <w:p w:rsidR="00314DFB" w:rsidRPr="0052043B" w:rsidRDefault="00314DFB" w:rsidP="008B63A3">
            <w:pPr>
              <w:pStyle w:val="TableBodyText"/>
              <w:rPr>
                <w:sz w:val="18"/>
                <w:szCs w:val="18"/>
              </w:rPr>
            </w:pPr>
            <w:r w:rsidRPr="0052043B">
              <w:rPr>
                <w:sz w:val="18"/>
                <w:szCs w:val="18"/>
              </w:rPr>
              <w:t>1.2</w:t>
            </w:r>
          </w:p>
        </w:tc>
      </w:tr>
      <w:tr w:rsidR="00314DFB" w:rsidTr="008B63A3">
        <w:trPr>
          <w:trHeight w:val="227"/>
        </w:trPr>
        <w:tc>
          <w:tcPr>
            <w:tcW w:w="1959" w:type="pct"/>
            <w:vAlign w:val="bottom"/>
          </w:tcPr>
          <w:p w:rsidR="00314DFB" w:rsidRPr="007758AB" w:rsidRDefault="00314DFB" w:rsidP="008B63A3">
            <w:pPr>
              <w:pStyle w:val="TableBodyText"/>
              <w:jc w:val="left"/>
              <w:rPr>
                <w:sz w:val="18"/>
                <w:szCs w:val="18"/>
              </w:rPr>
            </w:pPr>
            <w:r w:rsidRPr="007758AB">
              <w:rPr>
                <w:sz w:val="18"/>
                <w:szCs w:val="18"/>
              </w:rPr>
              <w:t>Accommodation and food services</w:t>
            </w:r>
          </w:p>
        </w:tc>
        <w:tc>
          <w:tcPr>
            <w:tcW w:w="508" w:type="pct"/>
            <w:vAlign w:val="bottom"/>
          </w:tcPr>
          <w:p w:rsidR="00314DFB" w:rsidRPr="0052043B" w:rsidRDefault="00314DFB" w:rsidP="008B63A3">
            <w:pPr>
              <w:pStyle w:val="TableBodyText"/>
              <w:rPr>
                <w:sz w:val="18"/>
                <w:szCs w:val="18"/>
              </w:rPr>
            </w:pPr>
            <w:r w:rsidRPr="0052043B">
              <w:rPr>
                <w:sz w:val="18"/>
                <w:szCs w:val="18"/>
              </w:rPr>
              <w:t>5.0</w:t>
            </w:r>
          </w:p>
        </w:tc>
        <w:tc>
          <w:tcPr>
            <w:tcW w:w="508" w:type="pct"/>
            <w:vAlign w:val="bottom"/>
          </w:tcPr>
          <w:p w:rsidR="00314DFB" w:rsidRPr="0052043B" w:rsidRDefault="00314DFB" w:rsidP="008B63A3">
            <w:pPr>
              <w:pStyle w:val="TableBodyText"/>
              <w:rPr>
                <w:sz w:val="18"/>
                <w:szCs w:val="18"/>
              </w:rPr>
            </w:pPr>
            <w:r w:rsidRPr="0052043B">
              <w:rPr>
                <w:sz w:val="18"/>
                <w:szCs w:val="18"/>
              </w:rPr>
              <w:t>4.1</w:t>
            </w:r>
          </w:p>
        </w:tc>
        <w:tc>
          <w:tcPr>
            <w:tcW w:w="508" w:type="pct"/>
            <w:vAlign w:val="bottom"/>
          </w:tcPr>
          <w:p w:rsidR="00314DFB" w:rsidRPr="0052043B" w:rsidRDefault="00314DFB" w:rsidP="008B63A3">
            <w:pPr>
              <w:pStyle w:val="TableBodyText"/>
              <w:rPr>
                <w:sz w:val="18"/>
                <w:szCs w:val="18"/>
              </w:rPr>
            </w:pPr>
            <w:r w:rsidRPr="0052043B">
              <w:rPr>
                <w:sz w:val="18"/>
                <w:szCs w:val="18"/>
              </w:rPr>
              <w:t>5.0</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6.5</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4.3</w:t>
            </w:r>
          </w:p>
        </w:tc>
        <w:tc>
          <w:tcPr>
            <w:tcW w:w="501" w:type="pct"/>
            <w:shd w:val="clear" w:color="auto" w:fill="auto"/>
            <w:vAlign w:val="bottom"/>
          </w:tcPr>
          <w:p w:rsidR="00314DFB" w:rsidRPr="0052043B" w:rsidRDefault="00314DFB" w:rsidP="008B63A3">
            <w:pPr>
              <w:pStyle w:val="TableBodyText"/>
              <w:rPr>
                <w:sz w:val="18"/>
                <w:szCs w:val="18"/>
              </w:rPr>
            </w:pPr>
            <w:r w:rsidRPr="0052043B">
              <w:rPr>
                <w:sz w:val="18"/>
                <w:szCs w:val="18"/>
              </w:rPr>
              <w:t>3.2</w:t>
            </w:r>
          </w:p>
        </w:tc>
      </w:tr>
      <w:tr w:rsidR="00314DFB" w:rsidTr="008B63A3">
        <w:trPr>
          <w:trHeight w:val="227"/>
        </w:trPr>
        <w:tc>
          <w:tcPr>
            <w:tcW w:w="1959" w:type="pct"/>
            <w:vAlign w:val="bottom"/>
          </w:tcPr>
          <w:p w:rsidR="00314DFB" w:rsidRPr="007758AB" w:rsidRDefault="00314DFB" w:rsidP="008B63A3">
            <w:pPr>
              <w:pStyle w:val="TableBodyText"/>
              <w:jc w:val="left"/>
              <w:rPr>
                <w:sz w:val="18"/>
                <w:szCs w:val="18"/>
              </w:rPr>
            </w:pPr>
            <w:r w:rsidRPr="007758AB">
              <w:rPr>
                <w:sz w:val="18"/>
                <w:szCs w:val="18"/>
              </w:rPr>
              <w:t>Transport, postal and warehousing</w:t>
            </w:r>
          </w:p>
        </w:tc>
        <w:tc>
          <w:tcPr>
            <w:tcW w:w="508" w:type="pct"/>
            <w:vAlign w:val="bottom"/>
          </w:tcPr>
          <w:p w:rsidR="00314DFB" w:rsidRPr="0052043B" w:rsidRDefault="00314DFB" w:rsidP="008B63A3">
            <w:pPr>
              <w:pStyle w:val="TableBodyText"/>
              <w:rPr>
                <w:sz w:val="18"/>
                <w:szCs w:val="18"/>
              </w:rPr>
            </w:pPr>
            <w:r w:rsidRPr="0052043B">
              <w:rPr>
                <w:sz w:val="18"/>
                <w:szCs w:val="18"/>
              </w:rPr>
              <w:t>5.5</w:t>
            </w:r>
          </w:p>
        </w:tc>
        <w:tc>
          <w:tcPr>
            <w:tcW w:w="508" w:type="pct"/>
            <w:vAlign w:val="bottom"/>
          </w:tcPr>
          <w:p w:rsidR="00314DFB" w:rsidRPr="0052043B" w:rsidRDefault="00314DFB" w:rsidP="008B63A3">
            <w:pPr>
              <w:pStyle w:val="TableBodyText"/>
              <w:rPr>
                <w:sz w:val="18"/>
                <w:szCs w:val="18"/>
              </w:rPr>
            </w:pPr>
            <w:r w:rsidRPr="0052043B">
              <w:rPr>
                <w:sz w:val="18"/>
                <w:szCs w:val="18"/>
              </w:rPr>
              <w:t>5.9</w:t>
            </w:r>
          </w:p>
        </w:tc>
        <w:tc>
          <w:tcPr>
            <w:tcW w:w="508" w:type="pct"/>
            <w:vAlign w:val="bottom"/>
          </w:tcPr>
          <w:p w:rsidR="00314DFB" w:rsidRPr="0052043B" w:rsidRDefault="00314DFB" w:rsidP="008B63A3">
            <w:pPr>
              <w:pStyle w:val="TableBodyText"/>
              <w:rPr>
                <w:sz w:val="18"/>
                <w:szCs w:val="18"/>
              </w:rPr>
            </w:pPr>
            <w:r w:rsidRPr="0052043B">
              <w:rPr>
                <w:sz w:val="18"/>
                <w:szCs w:val="18"/>
              </w:rPr>
              <w:t>6.0</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8.3</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5.6</w:t>
            </w:r>
          </w:p>
        </w:tc>
        <w:tc>
          <w:tcPr>
            <w:tcW w:w="501" w:type="pct"/>
            <w:shd w:val="clear" w:color="auto" w:fill="auto"/>
            <w:vAlign w:val="bottom"/>
          </w:tcPr>
          <w:p w:rsidR="00314DFB" w:rsidRPr="0052043B" w:rsidRDefault="00314DFB" w:rsidP="008B63A3">
            <w:pPr>
              <w:pStyle w:val="TableBodyText"/>
              <w:rPr>
                <w:sz w:val="18"/>
                <w:szCs w:val="18"/>
              </w:rPr>
            </w:pPr>
            <w:r w:rsidRPr="0052043B">
              <w:rPr>
                <w:sz w:val="18"/>
                <w:szCs w:val="18"/>
              </w:rPr>
              <w:t>2.7</w:t>
            </w:r>
          </w:p>
        </w:tc>
      </w:tr>
      <w:tr w:rsidR="00314DFB" w:rsidTr="008B63A3">
        <w:trPr>
          <w:trHeight w:val="227"/>
        </w:trPr>
        <w:tc>
          <w:tcPr>
            <w:tcW w:w="1959" w:type="pct"/>
            <w:vAlign w:val="bottom"/>
          </w:tcPr>
          <w:p w:rsidR="00314DFB" w:rsidRPr="007758AB" w:rsidRDefault="00314DFB" w:rsidP="008B63A3">
            <w:pPr>
              <w:pStyle w:val="TableBodyText"/>
              <w:jc w:val="left"/>
              <w:rPr>
                <w:sz w:val="18"/>
                <w:szCs w:val="18"/>
              </w:rPr>
            </w:pPr>
            <w:r w:rsidRPr="007758AB">
              <w:rPr>
                <w:sz w:val="18"/>
                <w:szCs w:val="18"/>
              </w:rPr>
              <w:t>Information, media and telecommunications</w:t>
            </w:r>
          </w:p>
        </w:tc>
        <w:tc>
          <w:tcPr>
            <w:tcW w:w="508" w:type="pct"/>
            <w:vAlign w:val="bottom"/>
          </w:tcPr>
          <w:p w:rsidR="00314DFB" w:rsidRPr="0052043B" w:rsidRDefault="00314DFB" w:rsidP="008B63A3">
            <w:pPr>
              <w:pStyle w:val="TableBodyText"/>
              <w:rPr>
                <w:sz w:val="18"/>
                <w:szCs w:val="18"/>
              </w:rPr>
            </w:pPr>
            <w:r w:rsidRPr="0052043B">
              <w:rPr>
                <w:sz w:val="18"/>
                <w:szCs w:val="18"/>
              </w:rPr>
              <w:t>2.5</w:t>
            </w:r>
          </w:p>
        </w:tc>
        <w:tc>
          <w:tcPr>
            <w:tcW w:w="508" w:type="pct"/>
            <w:vAlign w:val="bottom"/>
          </w:tcPr>
          <w:p w:rsidR="00314DFB" w:rsidRPr="0052043B" w:rsidRDefault="00314DFB" w:rsidP="008B63A3">
            <w:pPr>
              <w:pStyle w:val="TableBodyText"/>
              <w:rPr>
                <w:sz w:val="18"/>
                <w:szCs w:val="18"/>
              </w:rPr>
            </w:pPr>
            <w:r w:rsidRPr="0052043B">
              <w:rPr>
                <w:sz w:val="18"/>
                <w:szCs w:val="18"/>
              </w:rPr>
              <w:t>22.4</w:t>
            </w:r>
          </w:p>
        </w:tc>
        <w:tc>
          <w:tcPr>
            <w:tcW w:w="508" w:type="pct"/>
            <w:vAlign w:val="bottom"/>
          </w:tcPr>
          <w:p w:rsidR="00314DFB" w:rsidRPr="0052043B" w:rsidRDefault="00314DFB" w:rsidP="008B63A3">
            <w:pPr>
              <w:pStyle w:val="TableBodyText"/>
              <w:rPr>
                <w:sz w:val="18"/>
                <w:szCs w:val="18"/>
              </w:rPr>
            </w:pPr>
            <w:r w:rsidRPr="0052043B">
              <w:rPr>
                <w:sz w:val="18"/>
                <w:szCs w:val="18"/>
              </w:rPr>
              <w:t>27.7</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27.8</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19.4</w:t>
            </w:r>
          </w:p>
        </w:tc>
        <w:tc>
          <w:tcPr>
            <w:tcW w:w="501" w:type="pct"/>
            <w:shd w:val="clear" w:color="auto" w:fill="auto"/>
            <w:vAlign w:val="bottom"/>
          </w:tcPr>
          <w:p w:rsidR="00314DFB" w:rsidRPr="0052043B" w:rsidRDefault="00314DFB" w:rsidP="008B63A3">
            <w:pPr>
              <w:pStyle w:val="TableBodyText"/>
              <w:rPr>
                <w:sz w:val="18"/>
                <w:szCs w:val="18"/>
              </w:rPr>
            </w:pPr>
            <w:r w:rsidRPr="0052043B">
              <w:rPr>
                <w:sz w:val="18"/>
                <w:szCs w:val="18"/>
              </w:rPr>
              <w:t>19.2</w:t>
            </w:r>
          </w:p>
        </w:tc>
      </w:tr>
      <w:tr w:rsidR="00314DFB" w:rsidTr="008B63A3">
        <w:trPr>
          <w:trHeight w:val="227"/>
        </w:trPr>
        <w:tc>
          <w:tcPr>
            <w:tcW w:w="1959" w:type="pct"/>
            <w:vAlign w:val="bottom"/>
          </w:tcPr>
          <w:p w:rsidR="00314DFB" w:rsidRPr="007758AB" w:rsidRDefault="00314DFB" w:rsidP="008B63A3">
            <w:pPr>
              <w:pStyle w:val="TableBodyText"/>
              <w:jc w:val="left"/>
              <w:rPr>
                <w:sz w:val="18"/>
                <w:szCs w:val="18"/>
              </w:rPr>
            </w:pPr>
            <w:r w:rsidRPr="007758AB">
              <w:rPr>
                <w:sz w:val="18"/>
                <w:szCs w:val="18"/>
              </w:rPr>
              <w:t>Financial and insurance services</w:t>
            </w:r>
          </w:p>
        </w:tc>
        <w:tc>
          <w:tcPr>
            <w:tcW w:w="508" w:type="pct"/>
            <w:vAlign w:val="bottom"/>
          </w:tcPr>
          <w:p w:rsidR="00314DFB" w:rsidRPr="0052043B" w:rsidRDefault="00314DFB" w:rsidP="008B63A3">
            <w:pPr>
              <w:pStyle w:val="TableBodyText"/>
              <w:rPr>
                <w:sz w:val="18"/>
                <w:szCs w:val="18"/>
              </w:rPr>
            </w:pPr>
            <w:r w:rsidRPr="0052043B">
              <w:rPr>
                <w:sz w:val="18"/>
                <w:szCs w:val="18"/>
              </w:rPr>
              <w:t>1.4</w:t>
            </w:r>
          </w:p>
        </w:tc>
        <w:tc>
          <w:tcPr>
            <w:tcW w:w="508" w:type="pct"/>
            <w:vAlign w:val="bottom"/>
          </w:tcPr>
          <w:p w:rsidR="00314DFB" w:rsidRPr="0052043B" w:rsidRDefault="00314DFB" w:rsidP="008B63A3">
            <w:pPr>
              <w:pStyle w:val="TableBodyText"/>
              <w:rPr>
                <w:sz w:val="18"/>
                <w:szCs w:val="18"/>
              </w:rPr>
            </w:pPr>
            <w:r w:rsidRPr="0052043B">
              <w:rPr>
                <w:sz w:val="18"/>
                <w:szCs w:val="18"/>
              </w:rPr>
              <w:t>0.5</w:t>
            </w:r>
          </w:p>
        </w:tc>
        <w:tc>
          <w:tcPr>
            <w:tcW w:w="508" w:type="pct"/>
            <w:vAlign w:val="bottom"/>
          </w:tcPr>
          <w:p w:rsidR="00314DFB" w:rsidRPr="0052043B" w:rsidRDefault="00314DFB" w:rsidP="008B63A3">
            <w:pPr>
              <w:pStyle w:val="TableBodyText"/>
              <w:rPr>
                <w:sz w:val="18"/>
                <w:szCs w:val="18"/>
              </w:rPr>
            </w:pPr>
            <w:r w:rsidRPr="0052043B">
              <w:rPr>
                <w:sz w:val="18"/>
                <w:szCs w:val="18"/>
              </w:rPr>
              <w:t>0.9</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1.2</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0.6</w:t>
            </w:r>
          </w:p>
        </w:tc>
        <w:tc>
          <w:tcPr>
            <w:tcW w:w="501" w:type="pct"/>
            <w:shd w:val="clear" w:color="auto" w:fill="auto"/>
            <w:vAlign w:val="bottom"/>
          </w:tcPr>
          <w:p w:rsidR="00314DFB" w:rsidRPr="0052043B" w:rsidRDefault="00314DFB" w:rsidP="008B63A3">
            <w:pPr>
              <w:pStyle w:val="TableBodyText"/>
              <w:rPr>
                <w:sz w:val="18"/>
                <w:szCs w:val="18"/>
              </w:rPr>
            </w:pPr>
            <w:r w:rsidRPr="0052043B">
              <w:rPr>
                <w:sz w:val="18"/>
                <w:szCs w:val="18"/>
              </w:rPr>
              <w:t>0.2</w:t>
            </w:r>
          </w:p>
        </w:tc>
      </w:tr>
      <w:tr w:rsidR="00314DFB" w:rsidTr="008B63A3">
        <w:trPr>
          <w:trHeight w:val="227"/>
        </w:trPr>
        <w:tc>
          <w:tcPr>
            <w:tcW w:w="1959" w:type="pct"/>
            <w:vAlign w:val="bottom"/>
          </w:tcPr>
          <w:p w:rsidR="00314DFB" w:rsidRPr="007758AB" w:rsidRDefault="00314DFB" w:rsidP="008B63A3">
            <w:pPr>
              <w:pStyle w:val="TableBodyText"/>
              <w:jc w:val="left"/>
              <w:rPr>
                <w:sz w:val="18"/>
                <w:szCs w:val="18"/>
              </w:rPr>
            </w:pPr>
            <w:r w:rsidRPr="007758AB">
              <w:rPr>
                <w:sz w:val="18"/>
                <w:szCs w:val="18"/>
              </w:rPr>
              <w:t>Property, professional and administrative services</w:t>
            </w:r>
          </w:p>
        </w:tc>
        <w:tc>
          <w:tcPr>
            <w:tcW w:w="508" w:type="pct"/>
            <w:vAlign w:val="bottom"/>
          </w:tcPr>
          <w:p w:rsidR="00314DFB" w:rsidRPr="0052043B" w:rsidRDefault="00314DFB" w:rsidP="008B63A3">
            <w:pPr>
              <w:pStyle w:val="TableBodyText"/>
              <w:rPr>
                <w:sz w:val="18"/>
                <w:szCs w:val="18"/>
              </w:rPr>
            </w:pPr>
            <w:r w:rsidRPr="0052043B">
              <w:rPr>
                <w:sz w:val="18"/>
                <w:szCs w:val="18"/>
              </w:rPr>
              <w:t>32.1</w:t>
            </w:r>
          </w:p>
        </w:tc>
        <w:tc>
          <w:tcPr>
            <w:tcW w:w="508" w:type="pct"/>
            <w:vAlign w:val="bottom"/>
          </w:tcPr>
          <w:p w:rsidR="00314DFB" w:rsidRPr="0052043B" w:rsidRDefault="00314DFB" w:rsidP="008B63A3">
            <w:pPr>
              <w:pStyle w:val="TableBodyText"/>
              <w:rPr>
                <w:sz w:val="18"/>
                <w:szCs w:val="18"/>
              </w:rPr>
            </w:pPr>
            <w:r w:rsidRPr="0052043B">
              <w:rPr>
                <w:sz w:val="18"/>
                <w:szCs w:val="18"/>
              </w:rPr>
              <w:t>26.9</w:t>
            </w:r>
          </w:p>
        </w:tc>
        <w:tc>
          <w:tcPr>
            <w:tcW w:w="508" w:type="pct"/>
            <w:vAlign w:val="bottom"/>
          </w:tcPr>
          <w:p w:rsidR="00314DFB" w:rsidRPr="0052043B" w:rsidRDefault="00314DFB" w:rsidP="008B63A3">
            <w:pPr>
              <w:pStyle w:val="TableBodyText"/>
              <w:rPr>
                <w:sz w:val="18"/>
                <w:szCs w:val="18"/>
              </w:rPr>
            </w:pPr>
            <w:r w:rsidRPr="0052043B">
              <w:rPr>
                <w:sz w:val="18"/>
                <w:szCs w:val="18"/>
              </w:rPr>
              <w:t>35.7</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37.2</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26.8</w:t>
            </w:r>
          </w:p>
        </w:tc>
        <w:tc>
          <w:tcPr>
            <w:tcW w:w="501" w:type="pct"/>
            <w:shd w:val="clear" w:color="auto" w:fill="auto"/>
            <w:vAlign w:val="bottom"/>
          </w:tcPr>
          <w:p w:rsidR="00314DFB" w:rsidRPr="0052043B" w:rsidRDefault="00314DFB" w:rsidP="008B63A3">
            <w:pPr>
              <w:pStyle w:val="TableBodyText"/>
              <w:rPr>
                <w:sz w:val="18"/>
                <w:szCs w:val="18"/>
              </w:rPr>
            </w:pPr>
            <w:r w:rsidRPr="0052043B">
              <w:rPr>
                <w:sz w:val="18"/>
                <w:szCs w:val="18"/>
              </w:rPr>
              <w:t>27.1</w:t>
            </w:r>
          </w:p>
        </w:tc>
      </w:tr>
      <w:tr w:rsidR="00314DFB" w:rsidTr="008B63A3">
        <w:trPr>
          <w:trHeight w:val="227"/>
        </w:trPr>
        <w:tc>
          <w:tcPr>
            <w:tcW w:w="1959" w:type="pct"/>
            <w:vAlign w:val="bottom"/>
          </w:tcPr>
          <w:p w:rsidR="00314DFB" w:rsidRPr="007758AB" w:rsidRDefault="00314DFB" w:rsidP="008B63A3">
            <w:pPr>
              <w:pStyle w:val="TableBodyText"/>
              <w:jc w:val="left"/>
              <w:rPr>
                <w:sz w:val="18"/>
                <w:szCs w:val="18"/>
              </w:rPr>
            </w:pPr>
            <w:r w:rsidRPr="007758AB">
              <w:rPr>
                <w:sz w:val="18"/>
                <w:szCs w:val="18"/>
              </w:rPr>
              <w:t>Public administration and safety</w:t>
            </w:r>
          </w:p>
        </w:tc>
        <w:tc>
          <w:tcPr>
            <w:tcW w:w="508" w:type="pct"/>
            <w:vAlign w:val="bottom"/>
          </w:tcPr>
          <w:p w:rsidR="00314DFB" w:rsidRPr="0052043B" w:rsidRDefault="00314DFB" w:rsidP="008B63A3">
            <w:pPr>
              <w:pStyle w:val="TableBodyText"/>
              <w:rPr>
                <w:sz w:val="18"/>
                <w:szCs w:val="18"/>
              </w:rPr>
            </w:pPr>
            <w:r>
              <w:rPr>
                <w:sz w:val="18"/>
                <w:szCs w:val="18"/>
              </w:rPr>
              <w:noBreakHyphen/>
            </w:r>
          </w:p>
        </w:tc>
        <w:tc>
          <w:tcPr>
            <w:tcW w:w="508" w:type="pct"/>
            <w:vAlign w:val="bottom"/>
          </w:tcPr>
          <w:p w:rsidR="00314DFB" w:rsidRPr="0052043B" w:rsidRDefault="00314DFB" w:rsidP="008B63A3">
            <w:pPr>
              <w:pStyle w:val="TableBodyText"/>
              <w:rPr>
                <w:sz w:val="18"/>
                <w:szCs w:val="18"/>
              </w:rPr>
            </w:pPr>
            <w:r w:rsidRPr="0052043B">
              <w:rPr>
                <w:sz w:val="18"/>
                <w:szCs w:val="18"/>
              </w:rPr>
              <w:t>0.3</w:t>
            </w:r>
          </w:p>
        </w:tc>
        <w:tc>
          <w:tcPr>
            <w:tcW w:w="508" w:type="pct"/>
            <w:vAlign w:val="bottom"/>
          </w:tcPr>
          <w:p w:rsidR="00314DFB" w:rsidRPr="0052043B" w:rsidRDefault="00314DFB" w:rsidP="008B63A3">
            <w:pPr>
              <w:pStyle w:val="TableBodyText"/>
              <w:rPr>
                <w:sz w:val="18"/>
                <w:szCs w:val="18"/>
              </w:rPr>
            </w:pPr>
            <w:r w:rsidRPr="0052043B">
              <w:rPr>
                <w:sz w:val="18"/>
                <w:szCs w:val="18"/>
              </w:rPr>
              <w:t>0.4</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0.3</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0.2</w:t>
            </w:r>
          </w:p>
        </w:tc>
        <w:tc>
          <w:tcPr>
            <w:tcW w:w="501" w:type="pct"/>
            <w:shd w:val="clear" w:color="auto" w:fill="auto"/>
            <w:vAlign w:val="bottom"/>
          </w:tcPr>
          <w:p w:rsidR="00314DFB" w:rsidRPr="0052043B" w:rsidRDefault="00314DFB" w:rsidP="008B63A3">
            <w:pPr>
              <w:pStyle w:val="TableBodyText"/>
              <w:rPr>
                <w:sz w:val="18"/>
                <w:szCs w:val="18"/>
              </w:rPr>
            </w:pPr>
            <w:r w:rsidRPr="0052043B">
              <w:rPr>
                <w:sz w:val="18"/>
                <w:szCs w:val="18"/>
              </w:rPr>
              <w:t>0.1</w:t>
            </w:r>
          </w:p>
        </w:tc>
      </w:tr>
      <w:tr w:rsidR="00314DFB" w:rsidTr="008B63A3">
        <w:trPr>
          <w:trHeight w:val="227"/>
        </w:trPr>
        <w:tc>
          <w:tcPr>
            <w:tcW w:w="1959" w:type="pct"/>
            <w:vAlign w:val="bottom"/>
          </w:tcPr>
          <w:p w:rsidR="00314DFB" w:rsidRPr="007758AB" w:rsidRDefault="00314DFB" w:rsidP="008B63A3">
            <w:pPr>
              <w:pStyle w:val="TableBodyText"/>
              <w:jc w:val="left"/>
              <w:rPr>
                <w:sz w:val="18"/>
                <w:szCs w:val="18"/>
              </w:rPr>
            </w:pPr>
            <w:r w:rsidRPr="007758AB">
              <w:rPr>
                <w:sz w:val="18"/>
                <w:szCs w:val="18"/>
              </w:rPr>
              <w:t>Education and training</w:t>
            </w:r>
          </w:p>
        </w:tc>
        <w:tc>
          <w:tcPr>
            <w:tcW w:w="508" w:type="pct"/>
            <w:vAlign w:val="bottom"/>
          </w:tcPr>
          <w:p w:rsidR="00314DFB" w:rsidRPr="0052043B" w:rsidRDefault="00314DFB" w:rsidP="008B63A3">
            <w:pPr>
              <w:pStyle w:val="TableBodyText"/>
              <w:rPr>
                <w:sz w:val="18"/>
                <w:szCs w:val="18"/>
              </w:rPr>
            </w:pPr>
            <w:r w:rsidRPr="0052043B">
              <w:rPr>
                <w:sz w:val="18"/>
                <w:szCs w:val="18"/>
              </w:rPr>
              <w:t>7.4</w:t>
            </w:r>
          </w:p>
        </w:tc>
        <w:tc>
          <w:tcPr>
            <w:tcW w:w="508" w:type="pct"/>
            <w:vAlign w:val="bottom"/>
          </w:tcPr>
          <w:p w:rsidR="00314DFB" w:rsidRPr="0052043B" w:rsidRDefault="00314DFB" w:rsidP="008B63A3">
            <w:pPr>
              <w:pStyle w:val="TableBodyText"/>
              <w:rPr>
                <w:sz w:val="18"/>
                <w:szCs w:val="18"/>
              </w:rPr>
            </w:pPr>
            <w:r w:rsidRPr="0052043B">
              <w:rPr>
                <w:sz w:val="18"/>
                <w:szCs w:val="18"/>
              </w:rPr>
              <w:t>8.6</w:t>
            </w:r>
          </w:p>
        </w:tc>
        <w:tc>
          <w:tcPr>
            <w:tcW w:w="508" w:type="pct"/>
            <w:vAlign w:val="bottom"/>
          </w:tcPr>
          <w:p w:rsidR="00314DFB" w:rsidRPr="0052043B" w:rsidRDefault="00314DFB" w:rsidP="008B63A3">
            <w:pPr>
              <w:pStyle w:val="TableBodyText"/>
              <w:rPr>
                <w:sz w:val="18"/>
                <w:szCs w:val="18"/>
              </w:rPr>
            </w:pPr>
            <w:r w:rsidRPr="0052043B">
              <w:rPr>
                <w:sz w:val="18"/>
                <w:szCs w:val="18"/>
              </w:rPr>
              <w:t>12.3</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14.9</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11.1</w:t>
            </w:r>
          </w:p>
        </w:tc>
        <w:tc>
          <w:tcPr>
            <w:tcW w:w="501" w:type="pct"/>
            <w:shd w:val="clear" w:color="auto" w:fill="auto"/>
            <w:vAlign w:val="bottom"/>
          </w:tcPr>
          <w:p w:rsidR="00314DFB" w:rsidRPr="0052043B" w:rsidRDefault="00314DFB" w:rsidP="008B63A3">
            <w:pPr>
              <w:pStyle w:val="TableBodyText"/>
              <w:rPr>
                <w:sz w:val="18"/>
                <w:szCs w:val="18"/>
              </w:rPr>
            </w:pPr>
            <w:r w:rsidRPr="0052043B">
              <w:rPr>
                <w:sz w:val="18"/>
                <w:szCs w:val="18"/>
              </w:rPr>
              <w:t>9.2</w:t>
            </w:r>
          </w:p>
        </w:tc>
      </w:tr>
      <w:tr w:rsidR="00314DFB" w:rsidTr="008B63A3">
        <w:trPr>
          <w:trHeight w:val="227"/>
        </w:trPr>
        <w:tc>
          <w:tcPr>
            <w:tcW w:w="1959" w:type="pct"/>
            <w:vAlign w:val="bottom"/>
          </w:tcPr>
          <w:p w:rsidR="00314DFB" w:rsidRPr="007758AB" w:rsidRDefault="00314DFB" w:rsidP="008B63A3">
            <w:pPr>
              <w:pStyle w:val="TableBodyText"/>
              <w:jc w:val="left"/>
              <w:rPr>
                <w:sz w:val="18"/>
                <w:szCs w:val="18"/>
              </w:rPr>
            </w:pPr>
            <w:r w:rsidRPr="007758AB">
              <w:rPr>
                <w:sz w:val="18"/>
                <w:szCs w:val="18"/>
              </w:rPr>
              <w:t>Health care and social assistance</w:t>
            </w:r>
          </w:p>
        </w:tc>
        <w:tc>
          <w:tcPr>
            <w:tcW w:w="508" w:type="pct"/>
            <w:vAlign w:val="bottom"/>
          </w:tcPr>
          <w:p w:rsidR="00314DFB" w:rsidRPr="0052043B" w:rsidRDefault="00314DFB" w:rsidP="008B63A3">
            <w:pPr>
              <w:pStyle w:val="TableBodyText"/>
              <w:rPr>
                <w:sz w:val="18"/>
                <w:szCs w:val="18"/>
              </w:rPr>
            </w:pPr>
            <w:r w:rsidRPr="0052043B">
              <w:rPr>
                <w:sz w:val="18"/>
                <w:szCs w:val="18"/>
              </w:rPr>
              <w:t>2.1</w:t>
            </w:r>
          </w:p>
        </w:tc>
        <w:tc>
          <w:tcPr>
            <w:tcW w:w="508" w:type="pct"/>
            <w:vAlign w:val="bottom"/>
          </w:tcPr>
          <w:p w:rsidR="00314DFB" w:rsidRPr="0052043B" w:rsidRDefault="00314DFB" w:rsidP="008B63A3">
            <w:pPr>
              <w:pStyle w:val="TableBodyText"/>
              <w:rPr>
                <w:sz w:val="18"/>
                <w:szCs w:val="18"/>
              </w:rPr>
            </w:pPr>
            <w:r w:rsidRPr="0052043B">
              <w:rPr>
                <w:sz w:val="18"/>
                <w:szCs w:val="18"/>
              </w:rPr>
              <w:t>1.4</w:t>
            </w:r>
          </w:p>
        </w:tc>
        <w:tc>
          <w:tcPr>
            <w:tcW w:w="508" w:type="pct"/>
            <w:vAlign w:val="bottom"/>
          </w:tcPr>
          <w:p w:rsidR="00314DFB" w:rsidRPr="0052043B" w:rsidRDefault="00314DFB" w:rsidP="008B63A3">
            <w:pPr>
              <w:pStyle w:val="TableBodyText"/>
              <w:rPr>
                <w:sz w:val="18"/>
                <w:szCs w:val="18"/>
              </w:rPr>
            </w:pPr>
            <w:r w:rsidRPr="0052043B">
              <w:rPr>
                <w:sz w:val="18"/>
                <w:szCs w:val="18"/>
              </w:rPr>
              <w:t>1.8</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2.1</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1.7</w:t>
            </w:r>
          </w:p>
        </w:tc>
        <w:tc>
          <w:tcPr>
            <w:tcW w:w="501" w:type="pct"/>
            <w:shd w:val="clear" w:color="auto" w:fill="auto"/>
            <w:vAlign w:val="bottom"/>
          </w:tcPr>
          <w:p w:rsidR="00314DFB" w:rsidRPr="0052043B" w:rsidRDefault="00314DFB" w:rsidP="008B63A3">
            <w:pPr>
              <w:pStyle w:val="TableBodyText"/>
              <w:rPr>
                <w:sz w:val="18"/>
                <w:szCs w:val="18"/>
              </w:rPr>
            </w:pPr>
            <w:r w:rsidRPr="0052043B">
              <w:rPr>
                <w:sz w:val="18"/>
                <w:szCs w:val="18"/>
              </w:rPr>
              <w:t>1.6</w:t>
            </w:r>
          </w:p>
        </w:tc>
      </w:tr>
      <w:tr w:rsidR="00314DFB" w:rsidTr="008B63A3">
        <w:trPr>
          <w:trHeight w:val="227"/>
        </w:trPr>
        <w:tc>
          <w:tcPr>
            <w:tcW w:w="1959" w:type="pct"/>
            <w:vAlign w:val="bottom"/>
          </w:tcPr>
          <w:p w:rsidR="00314DFB" w:rsidRPr="007758AB" w:rsidRDefault="00314DFB" w:rsidP="008B63A3">
            <w:pPr>
              <w:pStyle w:val="TableBodyText"/>
              <w:jc w:val="left"/>
              <w:rPr>
                <w:sz w:val="18"/>
                <w:szCs w:val="18"/>
              </w:rPr>
            </w:pPr>
            <w:r w:rsidRPr="007758AB">
              <w:rPr>
                <w:sz w:val="18"/>
                <w:szCs w:val="18"/>
              </w:rPr>
              <w:t>Arts and recreation services</w:t>
            </w:r>
          </w:p>
        </w:tc>
        <w:tc>
          <w:tcPr>
            <w:tcW w:w="508" w:type="pct"/>
            <w:vAlign w:val="bottom"/>
          </w:tcPr>
          <w:p w:rsidR="00314DFB" w:rsidRPr="0052043B" w:rsidRDefault="00314DFB" w:rsidP="008B63A3">
            <w:pPr>
              <w:pStyle w:val="TableBodyText"/>
              <w:rPr>
                <w:sz w:val="18"/>
                <w:szCs w:val="18"/>
              </w:rPr>
            </w:pPr>
            <w:r w:rsidRPr="0052043B">
              <w:rPr>
                <w:sz w:val="18"/>
                <w:szCs w:val="18"/>
              </w:rPr>
              <w:t>12.8</w:t>
            </w:r>
          </w:p>
        </w:tc>
        <w:tc>
          <w:tcPr>
            <w:tcW w:w="508" w:type="pct"/>
            <w:vAlign w:val="bottom"/>
          </w:tcPr>
          <w:p w:rsidR="00314DFB" w:rsidRPr="0052043B" w:rsidRDefault="00314DFB" w:rsidP="008B63A3">
            <w:pPr>
              <w:pStyle w:val="TableBodyText"/>
              <w:rPr>
                <w:sz w:val="18"/>
                <w:szCs w:val="18"/>
              </w:rPr>
            </w:pPr>
            <w:r w:rsidRPr="0052043B">
              <w:rPr>
                <w:sz w:val="18"/>
                <w:szCs w:val="18"/>
              </w:rPr>
              <w:t>5.6</w:t>
            </w:r>
          </w:p>
        </w:tc>
        <w:tc>
          <w:tcPr>
            <w:tcW w:w="508" w:type="pct"/>
            <w:vAlign w:val="bottom"/>
          </w:tcPr>
          <w:p w:rsidR="00314DFB" w:rsidRPr="0052043B" w:rsidRDefault="00314DFB" w:rsidP="008B63A3">
            <w:pPr>
              <w:pStyle w:val="TableBodyText"/>
              <w:rPr>
                <w:sz w:val="18"/>
                <w:szCs w:val="18"/>
              </w:rPr>
            </w:pPr>
            <w:r w:rsidRPr="0052043B">
              <w:rPr>
                <w:sz w:val="18"/>
                <w:szCs w:val="18"/>
              </w:rPr>
              <w:t>5.9</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6.5</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4.9</w:t>
            </w:r>
          </w:p>
        </w:tc>
        <w:tc>
          <w:tcPr>
            <w:tcW w:w="501" w:type="pct"/>
            <w:shd w:val="clear" w:color="auto" w:fill="auto"/>
            <w:vAlign w:val="bottom"/>
          </w:tcPr>
          <w:p w:rsidR="00314DFB" w:rsidRPr="0052043B" w:rsidRDefault="00314DFB" w:rsidP="008B63A3">
            <w:pPr>
              <w:pStyle w:val="TableBodyText"/>
              <w:rPr>
                <w:sz w:val="18"/>
                <w:szCs w:val="18"/>
              </w:rPr>
            </w:pPr>
            <w:r w:rsidRPr="0052043B">
              <w:rPr>
                <w:sz w:val="18"/>
                <w:szCs w:val="18"/>
              </w:rPr>
              <w:t>4.6</w:t>
            </w:r>
          </w:p>
        </w:tc>
      </w:tr>
      <w:tr w:rsidR="00314DFB" w:rsidTr="008B63A3">
        <w:trPr>
          <w:trHeight w:val="227"/>
        </w:trPr>
        <w:tc>
          <w:tcPr>
            <w:tcW w:w="1959" w:type="pct"/>
            <w:vAlign w:val="bottom"/>
          </w:tcPr>
          <w:p w:rsidR="00314DFB" w:rsidRPr="007758AB" w:rsidRDefault="00314DFB" w:rsidP="008B63A3">
            <w:pPr>
              <w:pStyle w:val="TableBodyText"/>
              <w:jc w:val="left"/>
              <w:rPr>
                <w:sz w:val="18"/>
                <w:szCs w:val="18"/>
              </w:rPr>
            </w:pPr>
            <w:r w:rsidRPr="007758AB">
              <w:rPr>
                <w:sz w:val="18"/>
                <w:szCs w:val="18"/>
              </w:rPr>
              <w:t>Other services</w:t>
            </w:r>
          </w:p>
        </w:tc>
        <w:tc>
          <w:tcPr>
            <w:tcW w:w="508" w:type="pct"/>
            <w:vAlign w:val="bottom"/>
          </w:tcPr>
          <w:p w:rsidR="00314DFB" w:rsidRPr="0052043B" w:rsidRDefault="00314DFB" w:rsidP="008B63A3">
            <w:pPr>
              <w:pStyle w:val="TableBodyText"/>
              <w:rPr>
                <w:sz w:val="18"/>
                <w:szCs w:val="18"/>
              </w:rPr>
            </w:pPr>
            <w:r w:rsidRPr="0052043B">
              <w:rPr>
                <w:sz w:val="18"/>
                <w:szCs w:val="18"/>
              </w:rPr>
              <w:t>1.3</w:t>
            </w:r>
          </w:p>
        </w:tc>
        <w:tc>
          <w:tcPr>
            <w:tcW w:w="508" w:type="pct"/>
            <w:vAlign w:val="bottom"/>
          </w:tcPr>
          <w:p w:rsidR="00314DFB" w:rsidRPr="0052043B" w:rsidRDefault="00314DFB" w:rsidP="008B63A3">
            <w:pPr>
              <w:pStyle w:val="TableBodyText"/>
              <w:rPr>
                <w:sz w:val="18"/>
                <w:szCs w:val="18"/>
              </w:rPr>
            </w:pPr>
            <w:r w:rsidRPr="0052043B">
              <w:rPr>
                <w:sz w:val="18"/>
                <w:szCs w:val="18"/>
              </w:rPr>
              <w:t>1.7</w:t>
            </w:r>
          </w:p>
        </w:tc>
        <w:tc>
          <w:tcPr>
            <w:tcW w:w="508" w:type="pct"/>
            <w:vAlign w:val="bottom"/>
          </w:tcPr>
          <w:p w:rsidR="00314DFB" w:rsidRPr="0052043B" w:rsidRDefault="00314DFB" w:rsidP="008B63A3">
            <w:pPr>
              <w:pStyle w:val="TableBodyText"/>
              <w:rPr>
                <w:sz w:val="18"/>
                <w:szCs w:val="18"/>
              </w:rPr>
            </w:pPr>
            <w:r w:rsidRPr="0052043B">
              <w:rPr>
                <w:sz w:val="18"/>
                <w:szCs w:val="18"/>
              </w:rPr>
              <w:t>2.4</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3.1</w:t>
            </w:r>
          </w:p>
        </w:tc>
        <w:tc>
          <w:tcPr>
            <w:tcW w:w="508" w:type="pct"/>
            <w:shd w:val="clear" w:color="auto" w:fill="auto"/>
            <w:vAlign w:val="bottom"/>
          </w:tcPr>
          <w:p w:rsidR="00314DFB" w:rsidRPr="0052043B" w:rsidRDefault="00314DFB" w:rsidP="008B63A3">
            <w:pPr>
              <w:pStyle w:val="TableBodyText"/>
              <w:rPr>
                <w:sz w:val="18"/>
                <w:szCs w:val="18"/>
              </w:rPr>
            </w:pPr>
            <w:r w:rsidRPr="0052043B">
              <w:rPr>
                <w:sz w:val="18"/>
                <w:szCs w:val="18"/>
              </w:rPr>
              <w:t>2.2</w:t>
            </w:r>
          </w:p>
        </w:tc>
        <w:tc>
          <w:tcPr>
            <w:tcW w:w="501" w:type="pct"/>
            <w:shd w:val="clear" w:color="auto" w:fill="auto"/>
            <w:vAlign w:val="bottom"/>
          </w:tcPr>
          <w:p w:rsidR="00314DFB" w:rsidRPr="0052043B" w:rsidRDefault="00314DFB" w:rsidP="008B63A3">
            <w:pPr>
              <w:pStyle w:val="TableBodyText"/>
              <w:rPr>
                <w:sz w:val="18"/>
                <w:szCs w:val="18"/>
              </w:rPr>
            </w:pPr>
            <w:r w:rsidRPr="0052043B">
              <w:rPr>
                <w:sz w:val="18"/>
                <w:szCs w:val="18"/>
              </w:rPr>
              <w:t>1.4</w:t>
            </w:r>
          </w:p>
        </w:tc>
      </w:tr>
      <w:tr w:rsidR="00314DFB" w:rsidTr="008B63A3">
        <w:trPr>
          <w:trHeight w:val="227"/>
        </w:trPr>
        <w:tc>
          <w:tcPr>
            <w:tcW w:w="1959" w:type="pct"/>
            <w:tcBorders>
              <w:bottom w:val="single" w:sz="4" w:space="0" w:color="auto"/>
            </w:tcBorders>
            <w:vAlign w:val="bottom"/>
          </w:tcPr>
          <w:p w:rsidR="00314DFB" w:rsidRPr="007758AB" w:rsidRDefault="00314DFB" w:rsidP="008B63A3">
            <w:pPr>
              <w:pStyle w:val="TableBodyText"/>
              <w:jc w:val="left"/>
              <w:rPr>
                <w:b/>
                <w:bCs/>
                <w:sz w:val="18"/>
                <w:szCs w:val="18"/>
              </w:rPr>
            </w:pPr>
            <w:r w:rsidRPr="007758AB">
              <w:rPr>
                <w:b/>
                <w:bCs/>
                <w:sz w:val="18"/>
                <w:szCs w:val="18"/>
              </w:rPr>
              <w:t>Total</w:t>
            </w:r>
          </w:p>
        </w:tc>
        <w:tc>
          <w:tcPr>
            <w:tcW w:w="508" w:type="pct"/>
            <w:tcBorders>
              <w:bottom w:val="single" w:sz="4" w:space="0" w:color="auto"/>
            </w:tcBorders>
            <w:vAlign w:val="bottom"/>
          </w:tcPr>
          <w:p w:rsidR="00314DFB" w:rsidRPr="0052043B" w:rsidRDefault="00314DFB" w:rsidP="008B63A3">
            <w:pPr>
              <w:pStyle w:val="TableBodyText"/>
              <w:rPr>
                <w:b/>
                <w:sz w:val="18"/>
                <w:szCs w:val="18"/>
              </w:rPr>
            </w:pPr>
            <w:r w:rsidRPr="0052043B">
              <w:rPr>
                <w:b/>
                <w:sz w:val="18"/>
                <w:szCs w:val="18"/>
              </w:rPr>
              <w:t>145.1</w:t>
            </w:r>
          </w:p>
        </w:tc>
        <w:tc>
          <w:tcPr>
            <w:tcW w:w="508" w:type="pct"/>
            <w:tcBorders>
              <w:bottom w:val="single" w:sz="4" w:space="0" w:color="auto"/>
            </w:tcBorders>
            <w:vAlign w:val="bottom"/>
          </w:tcPr>
          <w:p w:rsidR="00314DFB" w:rsidRPr="0052043B" w:rsidRDefault="00314DFB" w:rsidP="008B63A3">
            <w:pPr>
              <w:pStyle w:val="TableBodyText"/>
              <w:rPr>
                <w:b/>
                <w:sz w:val="18"/>
                <w:szCs w:val="18"/>
              </w:rPr>
            </w:pPr>
            <w:r w:rsidRPr="0052043B">
              <w:rPr>
                <w:b/>
                <w:sz w:val="18"/>
                <w:szCs w:val="18"/>
              </w:rPr>
              <w:t>150.3</w:t>
            </w:r>
          </w:p>
        </w:tc>
        <w:tc>
          <w:tcPr>
            <w:tcW w:w="508" w:type="pct"/>
            <w:tcBorders>
              <w:bottom w:val="single" w:sz="4" w:space="0" w:color="auto"/>
            </w:tcBorders>
            <w:vAlign w:val="bottom"/>
          </w:tcPr>
          <w:p w:rsidR="00314DFB" w:rsidRPr="0052043B" w:rsidRDefault="00314DFB" w:rsidP="008B63A3">
            <w:pPr>
              <w:pStyle w:val="TableBodyText"/>
              <w:rPr>
                <w:b/>
                <w:sz w:val="18"/>
                <w:szCs w:val="18"/>
              </w:rPr>
            </w:pPr>
            <w:r w:rsidRPr="0052043B">
              <w:rPr>
                <w:b/>
                <w:sz w:val="18"/>
                <w:szCs w:val="18"/>
              </w:rPr>
              <w:t>185.9</w:t>
            </w:r>
          </w:p>
        </w:tc>
        <w:tc>
          <w:tcPr>
            <w:tcW w:w="508" w:type="pct"/>
            <w:tcBorders>
              <w:bottom w:val="single" w:sz="4" w:space="0" w:color="auto"/>
            </w:tcBorders>
            <w:shd w:val="clear" w:color="auto" w:fill="auto"/>
            <w:vAlign w:val="bottom"/>
          </w:tcPr>
          <w:p w:rsidR="00314DFB" w:rsidRPr="0052043B" w:rsidRDefault="00314DFB" w:rsidP="008B63A3">
            <w:pPr>
              <w:pStyle w:val="TableBodyText"/>
              <w:rPr>
                <w:b/>
                <w:sz w:val="18"/>
                <w:szCs w:val="18"/>
              </w:rPr>
            </w:pPr>
            <w:r w:rsidRPr="0052043B">
              <w:rPr>
                <w:b/>
                <w:sz w:val="18"/>
                <w:szCs w:val="18"/>
              </w:rPr>
              <w:t>198.1</w:t>
            </w:r>
          </w:p>
        </w:tc>
        <w:tc>
          <w:tcPr>
            <w:tcW w:w="508" w:type="pct"/>
            <w:tcBorders>
              <w:bottom w:val="single" w:sz="4" w:space="0" w:color="auto"/>
            </w:tcBorders>
            <w:shd w:val="clear" w:color="auto" w:fill="auto"/>
            <w:vAlign w:val="bottom"/>
          </w:tcPr>
          <w:p w:rsidR="00314DFB" w:rsidRPr="0052043B" w:rsidRDefault="00314DFB" w:rsidP="008B63A3">
            <w:pPr>
              <w:pStyle w:val="TableBodyText"/>
              <w:rPr>
                <w:b/>
                <w:sz w:val="18"/>
                <w:szCs w:val="18"/>
              </w:rPr>
            </w:pPr>
            <w:r w:rsidRPr="0052043B">
              <w:rPr>
                <w:b/>
                <w:sz w:val="18"/>
                <w:szCs w:val="18"/>
              </w:rPr>
              <w:t>143.1</w:t>
            </w:r>
          </w:p>
        </w:tc>
        <w:tc>
          <w:tcPr>
            <w:tcW w:w="501" w:type="pct"/>
            <w:tcBorders>
              <w:bottom w:val="single" w:sz="4" w:space="0" w:color="auto"/>
            </w:tcBorders>
            <w:shd w:val="clear" w:color="auto" w:fill="auto"/>
            <w:vAlign w:val="bottom"/>
          </w:tcPr>
          <w:p w:rsidR="00314DFB" w:rsidRPr="0052043B" w:rsidRDefault="00314DFB" w:rsidP="008B63A3">
            <w:pPr>
              <w:pStyle w:val="TableBodyText"/>
              <w:rPr>
                <w:b/>
                <w:sz w:val="18"/>
                <w:szCs w:val="18"/>
              </w:rPr>
            </w:pPr>
            <w:r w:rsidRPr="0052043B">
              <w:rPr>
                <w:b/>
                <w:sz w:val="18"/>
                <w:szCs w:val="18"/>
              </w:rPr>
              <w:t>125.6</w:t>
            </w:r>
          </w:p>
        </w:tc>
      </w:tr>
    </w:tbl>
    <w:p w:rsidR="00314DFB" w:rsidRDefault="00314DFB" w:rsidP="00314DFB">
      <w:pPr>
        <w:pStyle w:val="Note"/>
      </w:pPr>
      <w:r w:rsidRPr="00A2379F">
        <w:noBreakHyphen/>
        <w:t xml:space="preserve"> </w:t>
      </w:r>
      <w:r>
        <w:t>Nil.</w:t>
      </w:r>
    </w:p>
    <w:p w:rsidR="00314DFB" w:rsidRPr="008E77FE" w:rsidRDefault="00314DFB" w:rsidP="00314DFB">
      <w:pPr>
        <w:pStyle w:val="Source"/>
      </w:pPr>
      <w:r>
        <w:rPr>
          <w:i/>
        </w:rPr>
        <w:t>Source</w:t>
      </w:r>
      <w:r>
        <w:t>: Commission estimates based on Austrade Annual Report 2011</w:t>
      </w:r>
      <w:r>
        <w:noBreakHyphen/>
        <w:t>12 (and earlier years).</w:t>
      </w:r>
    </w:p>
    <w:p w:rsidR="00E2652D" w:rsidRDefault="00FA09C3" w:rsidP="00E2652D">
      <w:pPr>
        <w:pStyle w:val="Heading2"/>
      </w:pPr>
      <w:r>
        <w:lastRenderedPageBreak/>
        <w:t>A.</w:t>
      </w:r>
      <w:r>
        <w:rPr>
          <w:noProof/>
        </w:rPr>
        <w:t>23</w:t>
      </w:r>
      <w:r w:rsidR="00E2652D">
        <w:tab/>
        <w:t>Green Car Innovation Fund</w:t>
      </w:r>
    </w:p>
    <w:p w:rsidR="00E2652D" w:rsidRPr="00D8370B" w:rsidRDefault="00E2652D" w:rsidP="00E2652D">
      <w:pPr>
        <w:pStyle w:val="BodyText"/>
      </w:pPr>
      <w:r>
        <w:t>Launched on 24 April 2009 as part of the Australian Government’s New Car Plan For a Greener Future, the Green Car Innovation Fund is a competitive merit-based grants program designed to support and enhance the research and development and commercialisation of Australian technologies that significantly reduce the greenhouse gas emissions and/or fuel consumption of passenger motor vehicles (</w:t>
      </w:r>
      <w:r w:rsidRPr="002D4BCB">
        <w:t>DIISR 2011</w:t>
      </w:r>
      <w:r>
        <w:t>).</w:t>
      </w:r>
    </w:p>
    <w:p w:rsidR="00E2652D" w:rsidRDefault="00E2652D" w:rsidP="00E2652D">
      <w:pPr>
        <w:pStyle w:val="BodyText"/>
      </w:pPr>
      <w:r>
        <w:t xml:space="preserve">The Green Car Innovation Fund </w:t>
      </w:r>
      <w:r w:rsidRPr="00FF4899">
        <w:t xml:space="preserve">is classified to the </w:t>
      </w:r>
      <w:r w:rsidRPr="00FF4899">
        <w:rPr>
          <w:i/>
        </w:rPr>
        <w:t>Motor vehicle</w:t>
      </w:r>
      <w:r>
        <w:rPr>
          <w:i/>
        </w:rPr>
        <w:t>s</w:t>
      </w:r>
      <w:r w:rsidRPr="00FF4899">
        <w:rPr>
          <w:i/>
        </w:rPr>
        <w:t xml:space="preserve"> </w:t>
      </w:r>
      <w:r>
        <w:rPr>
          <w:i/>
        </w:rPr>
        <w:t>and</w:t>
      </w:r>
      <w:r w:rsidRPr="00FF4899">
        <w:rPr>
          <w:i/>
        </w:rPr>
        <w:t xml:space="preserve"> parts</w:t>
      </w:r>
      <w:r w:rsidRPr="00FF4899">
        <w:t xml:space="preserve"> industry grouping in the Commission’s ANZSIC-based classification (table</w:t>
      </w:r>
      <w:r>
        <w:t> </w:t>
      </w:r>
      <w:r w:rsidRPr="00FF4899">
        <w:t>A.</w:t>
      </w:r>
      <w:r>
        <w:t>23</w:t>
      </w:r>
      <w:r w:rsidRPr="00FF4899">
        <w:t>)</w:t>
      </w:r>
      <w:r>
        <w:t>.</w:t>
      </w:r>
    </w:p>
    <w:p w:rsidR="00E2652D" w:rsidRDefault="00E2652D" w:rsidP="00E2652D">
      <w:pPr>
        <w:pStyle w:val="TableTitle"/>
      </w:pPr>
      <w:r>
        <w:rPr>
          <w:b w:val="0"/>
        </w:rPr>
        <w:t xml:space="preserve">Table </w:t>
      </w:r>
      <w:r w:rsidR="00FA09C3">
        <w:rPr>
          <w:b w:val="0"/>
        </w:rPr>
        <w:t>A.</w:t>
      </w:r>
      <w:r w:rsidR="00FA09C3">
        <w:rPr>
          <w:b w:val="0"/>
          <w:noProof/>
        </w:rPr>
        <w:t>23</w:t>
      </w:r>
      <w:r>
        <w:tab/>
        <w:t>Allocation of Green Car Innovation Fund</w:t>
      </w:r>
      <w:r w:rsidR="001A5D30" w:rsidRPr="001A5D30">
        <w:t xml:space="preserve"> to industry</w:t>
      </w:r>
      <w:r>
        <w:t>, 2006</w:t>
      </w:r>
      <w:r>
        <w:noBreakHyphen/>
        <w:t>07 to 2011</w:t>
      </w:r>
      <w:r>
        <w:noBreakHyphen/>
        <w:t>12</w:t>
      </w:r>
    </w:p>
    <w:p w:rsidR="00E2652D" w:rsidRDefault="00E2652D" w:rsidP="00E2652D">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E2652D" w:rsidRPr="00AF699A" w:rsidTr="008B63A3">
        <w:tc>
          <w:tcPr>
            <w:tcW w:w="1960" w:type="pct"/>
            <w:tcBorders>
              <w:top w:val="single" w:sz="6" w:space="0" w:color="auto"/>
              <w:bottom w:val="single" w:sz="6" w:space="0" w:color="auto"/>
            </w:tcBorders>
          </w:tcPr>
          <w:p w:rsidR="00E2652D" w:rsidRPr="00AF699A" w:rsidRDefault="00E2652D" w:rsidP="008B63A3">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E2652D" w:rsidRPr="00AF699A" w:rsidRDefault="00E2652D" w:rsidP="008B63A3">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E2652D" w:rsidRPr="00AF699A" w:rsidRDefault="00E2652D" w:rsidP="008B63A3">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E2652D" w:rsidRPr="00AF699A" w:rsidRDefault="00E2652D" w:rsidP="008B63A3">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E2652D" w:rsidRPr="00AF699A" w:rsidRDefault="00E2652D" w:rsidP="008B63A3">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E2652D" w:rsidRPr="00AF699A" w:rsidRDefault="00E2652D" w:rsidP="008B63A3">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E2652D" w:rsidRPr="00AF699A" w:rsidRDefault="00E2652D" w:rsidP="008B63A3">
            <w:pPr>
              <w:pStyle w:val="TableColumnHeading"/>
              <w:ind w:right="28"/>
              <w:rPr>
                <w:rFonts w:cs="Arial"/>
                <w:sz w:val="18"/>
                <w:szCs w:val="18"/>
              </w:rPr>
            </w:pPr>
            <w:r w:rsidRPr="00AF699A">
              <w:rPr>
                <w:rFonts w:cs="Arial"/>
                <w:sz w:val="18"/>
                <w:szCs w:val="18"/>
              </w:rPr>
              <w:t>2011-12</w:t>
            </w:r>
          </w:p>
        </w:tc>
      </w:tr>
      <w:tr w:rsidR="00E2652D" w:rsidRPr="006C5A80" w:rsidTr="008B63A3">
        <w:tc>
          <w:tcPr>
            <w:tcW w:w="1960" w:type="pct"/>
            <w:tcBorders>
              <w:bottom w:val="single" w:sz="4" w:space="0" w:color="auto"/>
            </w:tcBorders>
            <w:vAlign w:val="bottom"/>
          </w:tcPr>
          <w:p w:rsidR="00E2652D" w:rsidRPr="00C944BA" w:rsidRDefault="00E2652D" w:rsidP="008B63A3">
            <w:pPr>
              <w:pStyle w:val="TableBodyText"/>
              <w:jc w:val="left"/>
            </w:pPr>
            <w:r>
              <w:t>Motor vehicle and parts</w:t>
            </w:r>
          </w:p>
        </w:tc>
        <w:tc>
          <w:tcPr>
            <w:tcW w:w="507" w:type="pct"/>
            <w:tcBorders>
              <w:bottom w:val="single" w:sz="4" w:space="0" w:color="auto"/>
            </w:tcBorders>
            <w:vAlign w:val="bottom"/>
          </w:tcPr>
          <w:p w:rsidR="00E2652D" w:rsidRPr="00F567A8" w:rsidRDefault="00E2652D" w:rsidP="008B63A3">
            <w:pPr>
              <w:pStyle w:val="TableBodyText"/>
            </w:pPr>
            <w:r>
              <w:noBreakHyphen/>
            </w:r>
          </w:p>
        </w:tc>
        <w:tc>
          <w:tcPr>
            <w:tcW w:w="507" w:type="pct"/>
            <w:tcBorders>
              <w:bottom w:val="single" w:sz="4" w:space="0" w:color="auto"/>
            </w:tcBorders>
            <w:vAlign w:val="bottom"/>
          </w:tcPr>
          <w:p w:rsidR="00E2652D" w:rsidRPr="00F567A8" w:rsidRDefault="00E2652D" w:rsidP="008B63A3">
            <w:pPr>
              <w:pStyle w:val="TableBodyText"/>
            </w:pPr>
            <w:r>
              <w:noBreakHyphen/>
            </w:r>
          </w:p>
        </w:tc>
        <w:tc>
          <w:tcPr>
            <w:tcW w:w="507" w:type="pct"/>
            <w:tcBorders>
              <w:bottom w:val="single" w:sz="4" w:space="0" w:color="auto"/>
            </w:tcBorders>
            <w:vAlign w:val="bottom"/>
          </w:tcPr>
          <w:p w:rsidR="00E2652D" w:rsidRPr="00F567A8" w:rsidRDefault="00E2652D" w:rsidP="008B63A3">
            <w:pPr>
              <w:pStyle w:val="TableBodyText"/>
            </w:pPr>
            <w:r>
              <w:noBreakHyphen/>
            </w:r>
          </w:p>
        </w:tc>
        <w:tc>
          <w:tcPr>
            <w:tcW w:w="507" w:type="pct"/>
            <w:tcBorders>
              <w:bottom w:val="single" w:sz="4" w:space="0" w:color="auto"/>
            </w:tcBorders>
            <w:vAlign w:val="bottom"/>
          </w:tcPr>
          <w:p w:rsidR="00E2652D" w:rsidRPr="00F567A8" w:rsidRDefault="00E2652D" w:rsidP="008B63A3">
            <w:pPr>
              <w:pStyle w:val="TableBodyText"/>
            </w:pPr>
            <w:r>
              <w:t>108.1</w:t>
            </w:r>
          </w:p>
        </w:tc>
        <w:tc>
          <w:tcPr>
            <w:tcW w:w="507" w:type="pct"/>
            <w:tcBorders>
              <w:bottom w:val="single" w:sz="4" w:space="0" w:color="auto"/>
            </w:tcBorders>
            <w:shd w:val="clear" w:color="auto" w:fill="auto"/>
            <w:vAlign w:val="bottom"/>
          </w:tcPr>
          <w:p w:rsidR="00E2652D" w:rsidRPr="00F567A8" w:rsidRDefault="00E2652D" w:rsidP="008B63A3">
            <w:pPr>
              <w:pStyle w:val="TableBodyText"/>
            </w:pPr>
            <w:r>
              <w:t>63.0</w:t>
            </w:r>
          </w:p>
        </w:tc>
        <w:tc>
          <w:tcPr>
            <w:tcW w:w="505" w:type="pct"/>
            <w:tcBorders>
              <w:bottom w:val="single" w:sz="4" w:space="0" w:color="auto"/>
            </w:tcBorders>
            <w:shd w:val="clear" w:color="auto" w:fill="auto"/>
            <w:vAlign w:val="bottom"/>
          </w:tcPr>
          <w:p w:rsidR="00E2652D" w:rsidRPr="00F567A8" w:rsidRDefault="00E2652D" w:rsidP="008B63A3">
            <w:pPr>
              <w:pStyle w:val="TableBodyText"/>
            </w:pPr>
            <w:r>
              <w:t>125.5</w:t>
            </w:r>
          </w:p>
        </w:tc>
      </w:tr>
    </w:tbl>
    <w:p w:rsidR="00E2652D" w:rsidRPr="00F60026" w:rsidRDefault="00E2652D" w:rsidP="00E2652D">
      <w:pPr>
        <w:pStyle w:val="Source"/>
        <w:spacing w:after="0"/>
        <w:rPr>
          <w:i/>
        </w:rPr>
      </w:pPr>
      <w:r w:rsidRPr="00A2379F">
        <w:noBreakHyphen/>
        <w:t xml:space="preserve"> </w:t>
      </w:r>
      <w:r>
        <w:t>Nil</w:t>
      </w:r>
      <w:r w:rsidRPr="00A2379F">
        <w:t>.</w:t>
      </w:r>
    </w:p>
    <w:p w:rsidR="00E2652D" w:rsidRDefault="00E2652D" w:rsidP="00E2652D">
      <w:pPr>
        <w:pStyle w:val="Source"/>
      </w:pPr>
      <w:r>
        <w:rPr>
          <w:i/>
        </w:rPr>
        <w:t>Sources</w:t>
      </w:r>
      <w:r>
        <w:t>: Commission estimates based on DIISR</w:t>
      </w:r>
      <w:r w:rsidRPr="004C2899">
        <w:t xml:space="preserve"> Annual Report 20</w:t>
      </w:r>
      <w:r>
        <w:t>09</w:t>
      </w:r>
      <w:r w:rsidR="00221114">
        <w:noBreakHyphen/>
      </w:r>
      <w:r w:rsidRPr="004C2899">
        <w:t>1</w:t>
      </w:r>
      <w:r>
        <w:t>0</w:t>
      </w:r>
      <w:r w:rsidR="00221114">
        <w:t>;</w:t>
      </w:r>
      <w:r>
        <w:t xml:space="preserve"> and detailed DIISR data by ANZSIC industry.</w:t>
      </w:r>
    </w:p>
    <w:p w:rsidR="00D95AF5" w:rsidRDefault="00FA09C3" w:rsidP="00D95AF5">
      <w:pPr>
        <w:pStyle w:val="Heading2"/>
      </w:pPr>
      <w:r>
        <w:t>A.</w:t>
      </w:r>
      <w:r>
        <w:rPr>
          <w:noProof/>
        </w:rPr>
        <w:t>24</w:t>
      </w:r>
      <w:r w:rsidR="00D95AF5">
        <w:tab/>
        <w:t>Small business capital gains tax exemption for assets held more than 15 years</w:t>
      </w:r>
    </w:p>
    <w:p w:rsidR="00D95AF5" w:rsidRDefault="00D95AF5" w:rsidP="00D95AF5">
      <w:pPr>
        <w:pStyle w:val="BodyText"/>
      </w:pPr>
      <w:r>
        <w:t>Under this concession, capital gains arising from the disposal of active small business assets that have been held continuously for 15 years are exempt from capital gains tax. This exemption is available only if the taxpayer is permanently incapacitated or reaches the age of 55 and retires. An eligible small business is one where the net value of assets that the taxpayer and connected entities own is no more than $6 million, or where the aggregated annual turnover is less than $2 million (</w:t>
      </w:r>
      <w:r w:rsidRPr="002D4BCB">
        <w:t>Tax Expenditure Statement, Australian Government 2013, Item C 17</w:t>
      </w:r>
      <w:r w:rsidRPr="000138D9">
        <w:t>)</w:t>
      </w:r>
      <w:r>
        <w:t>.</w:t>
      </w:r>
    </w:p>
    <w:p w:rsidR="00D95AF5" w:rsidRDefault="00D95AF5" w:rsidP="00D95AF5">
      <w:pPr>
        <w:pStyle w:val="BodyText"/>
      </w:pPr>
      <w:r>
        <w:t>The Commission has obtained information from the ATO detailing claim data for the concession by ANZSIC industry. The industry shares from the ATO claim data have been used to allocate Treasury estimates of total revenue forgone for the concession to the Commission’s ANZSIC-based industry groupings (table A.24).</w:t>
      </w:r>
    </w:p>
    <w:p w:rsidR="00D95AF5" w:rsidRDefault="00D95AF5" w:rsidP="00D95AF5">
      <w:pPr>
        <w:pStyle w:val="TableTitle"/>
      </w:pPr>
      <w:r>
        <w:rPr>
          <w:b w:val="0"/>
        </w:rPr>
        <w:lastRenderedPageBreak/>
        <w:t xml:space="preserve">Table </w:t>
      </w:r>
      <w:r w:rsidR="00FA09C3">
        <w:rPr>
          <w:b w:val="0"/>
        </w:rPr>
        <w:t>A.</w:t>
      </w:r>
      <w:r w:rsidR="00FA09C3">
        <w:rPr>
          <w:b w:val="0"/>
          <w:noProof/>
        </w:rPr>
        <w:t>24</w:t>
      </w:r>
      <w:r>
        <w:tab/>
        <w:t xml:space="preserve">Allocation of </w:t>
      </w:r>
      <w:r w:rsidR="00221114">
        <w:t xml:space="preserve">small </w:t>
      </w:r>
      <w:r>
        <w:t>business capital gains tax exemption for assets held more than 15 years</w:t>
      </w:r>
      <w:r w:rsidR="001A5D30" w:rsidRPr="001A5D30">
        <w:t xml:space="preserve"> to industry</w:t>
      </w:r>
      <w:r>
        <w:t>, 2006</w:t>
      </w:r>
      <w:r>
        <w:noBreakHyphen/>
        <w:t>07 to 2011</w:t>
      </w:r>
      <w:r>
        <w:noBreakHyphen/>
        <w:t>12</w:t>
      </w:r>
    </w:p>
    <w:p w:rsidR="00D95AF5" w:rsidRDefault="00D95AF5" w:rsidP="00D95AF5">
      <w:pPr>
        <w:pStyle w:val="Subtitle"/>
      </w:pPr>
      <w:r>
        <w:t>$ million (nominal)</w:t>
      </w:r>
    </w:p>
    <w:tbl>
      <w:tblPr>
        <w:tblW w:w="5000" w:type="pct"/>
        <w:tblCellMar>
          <w:left w:w="0" w:type="dxa"/>
          <w:right w:w="0" w:type="dxa"/>
        </w:tblCellMar>
        <w:tblLook w:val="0000" w:firstRow="0" w:lastRow="0" w:firstColumn="0" w:lastColumn="0" w:noHBand="0" w:noVBand="0"/>
      </w:tblPr>
      <w:tblGrid>
        <w:gridCol w:w="3421"/>
        <w:gridCol w:w="1030"/>
        <w:gridCol w:w="870"/>
        <w:gridCol w:w="870"/>
        <w:gridCol w:w="870"/>
        <w:gridCol w:w="870"/>
        <w:gridCol w:w="858"/>
      </w:tblGrid>
      <w:tr w:rsidR="00D95AF5" w:rsidRPr="00411B63" w:rsidTr="008B63A3">
        <w:trPr>
          <w:trHeight w:val="227"/>
        </w:trPr>
        <w:tc>
          <w:tcPr>
            <w:tcW w:w="1946" w:type="pct"/>
            <w:tcBorders>
              <w:top w:val="single" w:sz="6" w:space="0" w:color="auto"/>
              <w:bottom w:val="single" w:sz="6" w:space="0" w:color="auto"/>
            </w:tcBorders>
          </w:tcPr>
          <w:p w:rsidR="00D95AF5" w:rsidRPr="00411B63" w:rsidRDefault="00D95AF5" w:rsidP="008B63A3">
            <w:pPr>
              <w:pStyle w:val="TableColumnHeading"/>
              <w:jc w:val="left"/>
              <w:rPr>
                <w:sz w:val="18"/>
                <w:szCs w:val="18"/>
              </w:rPr>
            </w:pPr>
            <w:r w:rsidRPr="00411B63">
              <w:rPr>
                <w:sz w:val="18"/>
                <w:szCs w:val="18"/>
              </w:rPr>
              <w:t>Industry grouping</w:t>
            </w:r>
          </w:p>
        </w:tc>
        <w:tc>
          <w:tcPr>
            <w:tcW w:w="586" w:type="pct"/>
            <w:tcBorders>
              <w:top w:val="single" w:sz="6" w:space="0" w:color="auto"/>
              <w:bottom w:val="single" w:sz="6" w:space="0" w:color="auto"/>
            </w:tcBorders>
          </w:tcPr>
          <w:p w:rsidR="00D95AF5" w:rsidRPr="00411B63" w:rsidRDefault="00D95AF5" w:rsidP="008B63A3">
            <w:pPr>
              <w:pStyle w:val="TableColumnHeading"/>
              <w:ind w:right="28"/>
              <w:rPr>
                <w:sz w:val="18"/>
                <w:szCs w:val="18"/>
              </w:rPr>
            </w:pPr>
            <w:r w:rsidRPr="00411B63">
              <w:rPr>
                <w:sz w:val="18"/>
                <w:szCs w:val="18"/>
              </w:rPr>
              <w:t>2006-07</w:t>
            </w:r>
          </w:p>
        </w:tc>
        <w:tc>
          <w:tcPr>
            <w:tcW w:w="495" w:type="pct"/>
            <w:tcBorders>
              <w:top w:val="single" w:sz="6" w:space="0" w:color="auto"/>
              <w:bottom w:val="single" w:sz="6" w:space="0" w:color="auto"/>
            </w:tcBorders>
          </w:tcPr>
          <w:p w:rsidR="00D95AF5" w:rsidRPr="00411B63" w:rsidRDefault="00D95AF5" w:rsidP="008B63A3">
            <w:pPr>
              <w:pStyle w:val="TableColumnHeading"/>
              <w:ind w:right="28"/>
              <w:rPr>
                <w:sz w:val="18"/>
                <w:szCs w:val="18"/>
              </w:rPr>
            </w:pPr>
            <w:r w:rsidRPr="00411B63">
              <w:rPr>
                <w:sz w:val="18"/>
                <w:szCs w:val="18"/>
              </w:rPr>
              <w:t>2007-08</w:t>
            </w:r>
          </w:p>
        </w:tc>
        <w:tc>
          <w:tcPr>
            <w:tcW w:w="495" w:type="pct"/>
            <w:tcBorders>
              <w:top w:val="single" w:sz="6" w:space="0" w:color="auto"/>
              <w:bottom w:val="single" w:sz="6" w:space="0" w:color="auto"/>
            </w:tcBorders>
          </w:tcPr>
          <w:p w:rsidR="00D95AF5" w:rsidRPr="00411B63" w:rsidRDefault="00D95AF5" w:rsidP="008B63A3">
            <w:pPr>
              <w:pStyle w:val="TableColumnHeading"/>
              <w:ind w:right="28"/>
              <w:rPr>
                <w:sz w:val="18"/>
                <w:szCs w:val="18"/>
              </w:rPr>
            </w:pPr>
            <w:r w:rsidRPr="00411B63">
              <w:rPr>
                <w:sz w:val="18"/>
                <w:szCs w:val="18"/>
              </w:rPr>
              <w:t>2008-09</w:t>
            </w:r>
          </w:p>
        </w:tc>
        <w:tc>
          <w:tcPr>
            <w:tcW w:w="495" w:type="pct"/>
            <w:tcBorders>
              <w:top w:val="single" w:sz="6" w:space="0" w:color="auto"/>
              <w:bottom w:val="single" w:sz="6" w:space="0" w:color="auto"/>
            </w:tcBorders>
            <w:shd w:val="clear" w:color="auto" w:fill="auto"/>
          </w:tcPr>
          <w:p w:rsidR="00D95AF5" w:rsidRPr="00411B63" w:rsidRDefault="00D95AF5" w:rsidP="008B63A3">
            <w:pPr>
              <w:pStyle w:val="TableColumnHeading"/>
              <w:ind w:right="28"/>
              <w:rPr>
                <w:sz w:val="18"/>
                <w:szCs w:val="18"/>
              </w:rPr>
            </w:pPr>
            <w:r w:rsidRPr="00411B63">
              <w:rPr>
                <w:sz w:val="18"/>
                <w:szCs w:val="18"/>
              </w:rPr>
              <w:t>2009-10</w:t>
            </w:r>
          </w:p>
        </w:tc>
        <w:tc>
          <w:tcPr>
            <w:tcW w:w="495" w:type="pct"/>
            <w:tcBorders>
              <w:top w:val="single" w:sz="6" w:space="0" w:color="auto"/>
              <w:bottom w:val="single" w:sz="6" w:space="0" w:color="auto"/>
            </w:tcBorders>
            <w:shd w:val="clear" w:color="auto" w:fill="auto"/>
          </w:tcPr>
          <w:p w:rsidR="00D95AF5" w:rsidRPr="00411B63" w:rsidRDefault="00D95AF5" w:rsidP="008B63A3">
            <w:pPr>
              <w:pStyle w:val="TableColumnHeading"/>
              <w:ind w:right="28"/>
              <w:rPr>
                <w:sz w:val="18"/>
                <w:szCs w:val="18"/>
              </w:rPr>
            </w:pPr>
            <w:r w:rsidRPr="00411B63">
              <w:rPr>
                <w:sz w:val="18"/>
                <w:szCs w:val="18"/>
              </w:rPr>
              <w:t>2010-11</w:t>
            </w:r>
          </w:p>
        </w:tc>
        <w:tc>
          <w:tcPr>
            <w:tcW w:w="488" w:type="pct"/>
            <w:tcBorders>
              <w:top w:val="single" w:sz="6" w:space="0" w:color="auto"/>
              <w:bottom w:val="single" w:sz="6" w:space="0" w:color="auto"/>
            </w:tcBorders>
            <w:shd w:val="clear" w:color="auto" w:fill="auto"/>
          </w:tcPr>
          <w:p w:rsidR="00D95AF5" w:rsidRPr="00411B63" w:rsidRDefault="00D95AF5" w:rsidP="008B63A3">
            <w:pPr>
              <w:pStyle w:val="TableColumnHeading"/>
              <w:ind w:right="28"/>
              <w:rPr>
                <w:sz w:val="18"/>
                <w:szCs w:val="18"/>
              </w:rPr>
            </w:pPr>
            <w:r w:rsidRPr="00411B63">
              <w:rPr>
                <w:sz w:val="18"/>
                <w:szCs w:val="18"/>
              </w:rPr>
              <w:t>2011-12</w:t>
            </w:r>
          </w:p>
        </w:tc>
      </w:tr>
      <w:tr w:rsidR="00D95AF5" w:rsidTr="008B63A3">
        <w:trPr>
          <w:trHeight w:val="227"/>
        </w:trPr>
        <w:tc>
          <w:tcPr>
            <w:tcW w:w="1946" w:type="pct"/>
            <w:tcBorders>
              <w:top w:val="single" w:sz="6" w:space="0" w:color="auto"/>
            </w:tcBorders>
            <w:vAlign w:val="bottom"/>
          </w:tcPr>
          <w:p w:rsidR="00D95AF5" w:rsidRPr="00DC145C" w:rsidRDefault="00D95AF5" w:rsidP="008B63A3">
            <w:pPr>
              <w:pStyle w:val="TableBodyText"/>
              <w:jc w:val="left"/>
              <w:rPr>
                <w:b/>
                <w:sz w:val="18"/>
                <w:szCs w:val="18"/>
              </w:rPr>
            </w:pPr>
            <w:r w:rsidRPr="00DC145C">
              <w:rPr>
                <w:b/>
                <w:sz w:val="18"/>
                <w:szCs w:val="18"/>
              </w:rPr>
              <w:t>Primary production</w:t>
            </w:r>
          </w:p>
        </w:tc>
        <w:tc>
          <w:tcPr>
            <w:tcW w:w="586" w:type="pct"/>
            <w:tcBorders>
              <w:top w:val="single" w:sz="6" w:space="0" w:color="auto"/>
            </w:tcBorders>
            <w:vAlign w:val="bottom"/>
          </w:tcPr>
          <w:p w:rsidR="00D95AF5" w:rsidRPr="005269AB" w:rsidRDefault="00D95AF5" w:rsidP="008B63A3">
            <w:pPr>
              <w:pStyle w:val="TableBodyText"/>
              <w:rPr>
                <w:b/>
                <w:sz w:val="18"/>
                <w:szCs w:val="18"/>
              </w:rPr>
            </w:pPr>
            <w:r w:rsidRPr="005269AB">
              <w:rPr>
                <w:b/>
                <w:sz w:val="18"/>
                <w:szCs w:val="18"/>
              </w:rPr>
              <w:t>4.3</w:t>
            </w:r>
          </w:p>
        </w:tc>
        <w:tc>
          <w:tcPr>
            <w:tcW w:w="495" w:type="pct"/>
            <w:tcBorders>
              <w:top w:val="single" w:sz="6" w:space="0" w:color="auto"/>
            </w:tcBorders>
            <w:vAlign w:val="bottom"/>
          </w:tcPr>
          <w:p w:rsidR="00D95AF5" w:rsidRPr="005269AB" w:rsidRDefault="00D95AF5" w:rsidP="008B63A3">
            <w:pPr>
              <w:pStyle w:val="TableBodyText"/>
              <w:rPr>
                <w:b/>
                <w:sz w:val="18"/>
                <w:szCs w:val="18"/>
              </w:rPr>
            </w:pPr>
            <w:r w:rsidRPr="005269AB">
              <w:rPr>
                <w:b/>
                <w:sz w:val="18"/>
                <w:szCs w:val="18"/>
              </w:rPr>
              <w:t>15.6</w:t>
            </w:r>
          </w:p>
        </w:tc>
        <w:tc>
          <w:tcPr>
            <w:tcW w:w="495" w:type="pct"/>
            <w:tcBorders>
              <w:top w:val="single" w:sz="6" w:space="0" w:color="auto"/>
            </w:tcBorders>
            <w:vAlign w:val="bottom"/>
          </w:tcPr>
          <w:p w:rsidR="00D95AF5" w:rsidRPr="005269AB" w:rsidRDefault="00D95AF5" w:rsidP="008B63A3">
            <w:pPr>
              <w:pStyle w:val="TableBodyText"/>
              <w:rPr>
                <w:b/>
                <w:sz w:val="18"/>
                <w:szCs w:val="18"/>
              </w:rPr>
            </w:pPr>
            <w:r w:rsidRPr="005269AB">
              <w:rPr>
                <w:b/>
                <w:sz w:val="18"/>
                <w:szCs w:val="18"/>
              </w:rPr>
              <w:t>19.2</w:t>
            </w:r>
          </w:p>
        </w:tc>
        <w:tc>
          <w:tcPr>
            <w:tcW w:w="495" w:type="pct"/>
            <w:tcBorders>
              <w:top w:val="single" w:sz="6" w:space="0" w:color="auto"/>
            </w:tcBorders>
            <w:vAlign w:val="bottom"/>
          </w:tcPr>
          <w:p w:rsidR="00D95AF5" w:rsidRPr="005269AB" w:rsidRDefault="00D95AF5" w:rsidP="008B63A3">
            <w:pPr>
              <w:pStyle w:val="TableBodyText"/>
              <w:rPr>
                <w:b/>
                <w:sz w:val="18"/>
                <w:szCs w:val="18"/>
              </w:rPr>
            </w:pPr>
            <w:r w:rsidRPr="005269AB">
              <w:rPr>
                <w:b/>
                <w:sz w:val="18"/>
                <w:szCs w:val="18"/>
              </w:rPr>
              <w:t>13.7</w:t>
            </w:r>
          </w:p>
        </w:tc>
        <w:tc>
          <w:tcPr>
            <w:tcW w:w="495" w:type="pct"/>
            <w:tcBorders>
              <w:top w:val="single" w:sz="6" w:space="0" w:color="auto"/>
            </w:tcBorders>
            <w:vAlign w:val="bottom"/>
          </w:tcPr>
          <w:p w:rsidR="00D95AF5" w:rsidRPr="005269AB" w:rsidRDefault="00D95AF5" w:rsidP="008B63A3">
            <w:pPr>
              <w:pStyle w:val="TableBodyText"/>
              <w:rPr>
                <w:b/>
                <w:sz w:val="18"/>
                <w:szCs w:val="18"/>
              </w:rPr>
            </w:pPr>
            <w:r w:rsidRPr="005269AB">
              <w:rPr>
                <w:b/>
                <w:sz w:val="18"/>
                <w:szCs w:val="18"/>
              </w:rPr>
              <w:t>13.7</w:t>
            </w:r>
          </w:p>
        </w:tc>
        <w:tc>
          <w:tcPr>
            <w:tcW w:w="488" w:type="pct"/>
            <w:tcBorders>
              <w:top w:val="single" w:sz="6" w:space="0" w:color="auto"/>
            </w:tcBorders>
            <w:vAlign w:val="bottom"/>
          </w:tcPr>
          <w:p w:rsidR="00D95AF5" w:rsidRPr="005269AB" w:rsidRDefault="00D95AF5" w:rsidP="008B63A3">
            <w:pPr>
              <w:pStyle w:val="TableBodyText"/>
              <w:rPr>
                <w:b/>
                <w:sz w:val="18"/>
                <w:szCs w:val="18"/>
              </w:rPr>
            </w:pPr>
            <w:r w:rsidRPr="005269AB">
              <w:rPr>
                <w:b/>
                <w:sz w:val="18"/>
                <w:szCs w:val="18"/>
              </w:rPr>
              <w:t>17.3</w:t>
            </w:r>
          </w:p>
        </w:tc>
      </w:tr>
      <w:tr w:rsidR="00D95AF5" w:rsidTr="008B63A3">
        <w:trPr>
          <w:trHeight w:val="227"/>
        </w:trPr>
        <w:tc>
          <w:tcPr>
            <w:tcW w:w="1946" w:type="pct"/>
            <w:vAlign w:val="bottom"/>
          </w:tcPr>
          <w:p w:rsidR="00D95AF5" w:rsidRPr="007758AB" w:rsidRDefault="00D95AF5" w:rsidP="008B63A3">
            <w:pPr>
              <w:pStyle w:val="TableBodyText"/>
              <w:jc w:val="left"/>
              <w:rPr>
                <w:sz w:val="18"/>
                <w:szCs w:val="18"/>
              </w:rPr>
            </w:pPr>
            <w:r>
              <w:rPr>
                <w:sz w:val="18"/>
                <w:szCs w:val="18"/>
              </w:rPr>
              <w:t>Horticulture and fruit growing</w:t>
            </w:r>
          </w:p>
        </w:tc>
        <w:tc>
          <w:tcPr>
            <w:tcW w:w="586" w:type="pct"/>
            <w:vAlign w:val="bottom"/>
          </w:tcPr>
          <w:p w:rsidR="00D95AF5" w:rsidRPr="005269AB" w:rsidRDefault="00D95AF5" w:rsidP="008B63A3">
            <w:pPr>
              <w:pStyle w:val="TableBodyText"/>
              <w:rPr>
                <w:sz w:val="18"/>
                <w:szCs w:val="18"/>
              </w:rPr>
            </w:pPr>
            <w:r>
              <w:rPr>
                <w:sz w:val="18"/>
                <w:szCs w:val="18"/>
              </w:rPr>
              <w:noBreakHyphen/>
            </w:r>
          </w:p>
        </w:tc>
        <w:tc>
          <w:tcPr>
            <w:tcW w:w="495" w:type="pct"/>
            <w:vAlign w:val="bottom"/>
          </w:tcPr>
          <w:p w:rsidR="00D95AF5" w:rsidRPr="005269AB" w:rsidRDefault="00D95AF5" w:rsidP="008B63A3">
            <w:pPr>
              <w:pStyle w:val="TableBodyText"/>
              <w:rPr>
                <w:sz w:val="18"/>
                <w:szCs w:val="18"/>
              </w:rPr>
            </w:pPr>
            <w:r w:rsidRPr="005269AB">
              <w:rPr>
                <w:sz w:val="18"/>
                <w:szCs w:val="18"/>
              </w:rPr>
              <w:t>0.6</w:t>
            </w:r>
          </w:p>
        </w:tc>
        <w:tc>
          <w:tcPr>
            <w:tcW w:w="495" w:type="pct"/>
            <w:vAlign w:val="bottom"/>
          </w:tcPr>
          <w:p w:rsidR="00D95AF5" w:rsidRPr="005269AB" w:rsidRDefault="00D95AF5" w:rsidP="008B63A3">
            <w:pPr>
              <w:pStyle w:val="TableBodyText"/>
              <w:rPr>
                <w:sz w:val="18"/>
                <w:szCs w:val="18"/>
              </w:rPr>
            </w:pPr>
            <w:r>
              <w:rPr>
                <w:sz w:val="18"/>
                <w:szCs w:val="18"/>
              </w:rPr>
              <w:noBreakHyphen/>
            </w:r>
          </w:p>
        </w:tc>
        <w:tc>
          <w:tcPr>
            <w:tcW w:w="495" w:type="pct"/>
            <w:vAlign w:val="bottom"/>
          </w:tcPr>
          <w:p w:rsidR="00D95AF5" w:rsidRPr="005269AB" w:rsidRDefault="00D95AF5" w:rsidP="008B63A3">
            <w:pPr>
              <w:pStyle w:val="TableBodyText"/>
              <w:rPr>
                <w:sz w:val="18"/>
                <w:szCs w:val="18"/>
              </w:rPr>
            </w:pPr>
            <w:r w:rsidRPr="005269AB">
              <w:rPr>
                <w:sz w:val="18"/>
                <w:szCs w:val="18"/>
              </w:rPr>
              <w:t>1.8</w:t>
            </w:r>
          </w:p>
        </w:tc>
        <w:tc>
          <w:tcPr>
            <w:tcW w:w="495" w:type="pct"/>
            <w:vAlign w:val="bottom"/>
          </w:tcPr>
          <w:p w:rsidR="00D95AF5" w:rsidRPr="005269AB" w:rsidRDefault="00D95AF5" w:rsidP="008B63A3">
            <w:pPr>
              <w:pStyle w:val="TableBodyText"/>
              <w:rPr>
                <w:sz w:val="18"/>
                <w:szCs w:val="18"/>
              </w:rPr>
            </w:pPr>
            <w:r w:rsidRPr="005269AB">
              <w:rPr>
                <w:sz w:val="18"/>
                <w:szCs w:val="18"/>
              </w:rPr>
              <w:t>1.8</w:t>
            </w:r>
          </w:p>
        </w:tc>
        <w:tc>
          <w:tcPr>
            <w:tcW w:w="488" w:type="pct"/>
            <w:vAlign w:val="bottom"/>
          </w:tcPr>
          <w:p w:rsidR="00D95AF5" w:rsidRPr="005269AB" w:rsidRDefault="00D95AF5" w:rsidP="008B63A3">
            <w:pPr>
              <w:pStyle w:val="TableBodyText"/>
              <w:rPr>
                <w:sz w:val="18"/>
                <w:szCs w:val="18"/>
              </w:rPr>
            </w:pPr>
            <w:r w:rsidRPr="005269AB">
              <w:rPr>
                <w:sz w:val="18"/>
                <w:szCs w:val="18"/>
              </w:rPr>
              <w:t>2.3</w:t>
            </w:r>
          </w:p>
        </w:tc>
      </w:tr>
      <w:tr w:rsidR="00D95AF5" w:rsidTr="008B63A3">
        <w:trPr>
          <w:trHeight w:val="227"/>
        </w:trPr>
        <w:tc>
          <w:tcPr>
            <w:tcW w:w="1946" w:type="pct"/>
            <w:vAlign w:val="bottom"/>
          </w:tcPr>
          <w:p w:rsidR="00D95AF5" w:rsidRPr="007758AB" w:rsidRDefault="00D95AF5" w:rsidP="008B63A3">
            <w:pPr>
              <w:pStyle w:val="TableBodyText"/>
              <w:jc w:val="left"/>
              <w:rPr>
                <w:sz w:val="18"/>
                <w:szCs w:val="18"/>
              </w:rPr>
            </w:pPr>
            <w:r w:rsidRPr="007758AB">
              <w:rPr>
                <w:sz w:val="18"/>
                <w:szCs w:val="18"/>
              </w:rPr>
              <w:t>Sheep, beef cattle and grain farming</w:t>
            </w:r>
          </w:p>
        </w:tc>
        <w:tc>
          <w:tcPr>
            <w:tcW w:w="586" w:type="pct"/>
            <w:vAlign w:val="bottom"/>
          </w:tcPr>
          <w:p w:rsidR="00D95AF5" w:rsidRPr="005269AB" w:rsidRDefault="00D95AF5" w:rsidP="008B63A3">
            <w:pPr>
              <w:pStyle w:val="TableBodyText"/>
              <w:rPr>
                <w:sz w:val="18"/>
                <w:szCs w:val="18"/>
              </w:rPr>
            </w:pPr>
            <w:r w:rsidRPr="005269AB">
              <w:rPr>
                <w:sz w:val="18"/>
                <w:szCs w:val="18"/>
              </w:rPr>
              <w:t>3.7</w:t>
            </w:r>
          </w:p>
        </w:tc>
        <w:tc>
          <w:tcPr>
            <w:tcW w:w="495" w:type="pct"/>
            <w:vAlign w:val="bottom"/>
          </w:tcPr>
          <w:p w:rsidR="00D95AF5" w:rsidRPr="005269AB" w:rsidRDefault="00D95AF5" w:rsidP="008B63A3">
            <w:pPr>
              <w:pStyle w:val="TableBodyText"/>
              <w:rPr>
                <w:sz w:val="18"/>
                <w:szCs w:val="18"/>
              </w:rPr>
            </w:pPr>
            <w:r w:rsidRPr="005269AB">
              <w:rPr>
                <w:sz w:val="18"/>
                <w:szCs w:val="18"/>
              </w:rPr>
              <w:t>14.4</w:t>
            </w:r>
          </w:p>
        </w:tc>
        <w:tc>
          <w:tcPr>
            <w:tcW w:w="495" w:type="pct"/>
            <w:vAlign w:val="bottom"/>
          </w:tcPr>
          <w:p w:rsidR="00D95AF5" w:rsidRPr="005269AB" w:rsidRDefault="00D95AF5" w:rsidP="008B63A3">
            <w:pPr>
              <w:pStyle w:val="TableBodyText"/>
              <w:rPr>
                <w:sz w:val="18"/>
                <w:szCs w:val="18"/>
              </w:rPr>
            </w:pPr>
            <w:r w:rsidRPr="005269AB">
              <w:rPr>
                <w:sz w:val="18"/>
                <w:szCs w:val="18"/>
              </w:rPr>
              <w:t>18.8</w:t>
            </w:r>
          </w:p>
        </w:tc>
        <w:tc>
          <w:tcPr>
            <w:tcW w:w="495" w:type="pct"/>
            <w:vAlign w:val="bottom"/>
          </w:tcPr>
          <w:p w:rsidR="00D95AF5" w:rsidRPr="005269AB" w:rsidRDefault="00D95AF5" w:rsidP="008B63A3">
            <w:pPr>
              <w:pStyle w:val="TableBodyText"/>
              <w:rPr>
                <w:sz w:val="18"/>
                <w:szCs w:val="18"/>
              </w:rPr>
            </w:pPr>
            <w:r w:rsidRPr="005269AB">
              <w:rPr>
                <w:sz w:val="18"/>
                <w:szCs w:val="18"/>
              </w:rPr>
              <w:t>11.4</w:t>
            </w:r>
          </w:p>
        </w:tc>
        <w:tc>
          <w:tcPr>
            <w:tcW w:w="495" w:type="pct"/>
            <w:vAlign w:val="bottom"/>
          </w:tcPr>
          <w:p w:rsidR="00D95AF5" w:rsidRPr="005269AB" w:rsidRDefault="00D95AF5" w:rsidP="008B63A3">
            <w:pPr>
              <w:pStyle w:val="TableBodyText"/>
              <w:rPr>
                <w:sz w:val="18"/>
                <w:szCs w:val="18"/>
              </w:rPr>
            </w:pPr>
            <w:r w:rsidRPr="005269AB">
              <w:rPr>
                <w:sz w:val="18"/>
                <w:szCs w:val="18"/>
              </w:rPr>
              <w:t>11.4</w:t>
            </w:r>
          </w:p>
        </w:tc>
        <w:tc>
          <w:tcPr>
            <w:tcW w:w="488" w:type="pct"/>
            <w:vAlign w:val="bottom"/>
          </w:tcPr>
          <w:p w:rsidR="00D95AF5" w:rsidRPr="005269AB" w:rsidRDefault="00D95AF5" w:rsidP="008B63A3">
            <w:pPr>
              <w:pStyle w:val="TableBodyText"/>
              <w:rPr>
                <w:sz w:val="18"/>
                <w:szCs w:val="18"/>
              </w:rPr>
            </w:pPr>
            <w:r w:rsidRPr="005269AB">
              <w:rPr>
                <w:sz w:val="18"/>
                <w:szCs w:val="18"/>
              </w:rPr>
              <w:t>14.4</w:t>
            </w:r>
          </w:p>
        </w:tc>
      </w:tr>
      <w:tr w:rsidR="00D95AF5" w:rsidTr="008B63A3">
        <w:trPr>
          <w:trHeight w:val="227"/>
        </w:trPr>
        <w:tc>
          <w:tcPr>
            <w:tcW w:w="1946" w:type="pct"/>
            <w:vAlign w:val="bottom"/>
          </w:tcPr>
          <w:p w:rsidR="00D95AF5" w:rsidRPr="007758AB" w:rsidRDefault="00D95AF5" w:rsidP="008B63A3">
            <w:pPr>
              <w:pStyle w:val="TableBodyText"/>
              <w:jc w:val="left"/>
              <w:rPr>
                <w:sz w:val="18"/>
                <w:szCs w:val="18"/>
              </w:rPr>
            </w:pPr>
            <w:r w:rsidRPr="007758AB">
              <w:rPr>
                <w:sz w:val="18"/>
                <w:szCs w:val="18"/>
              </w:rPr>
              <w:t>Other crop growing</w:t>
            </w:r>
          </w:p>
        </w:tc>
        <w:tc>
          <w:tcPr>
            <w:tcW w:w="586" w:type="pct"/>
            <w:vAlign w:val="bottom"/>
          </w:tcPr>
          <w:p w:rsidR="00D95AF5" w:rsidRPr="005269AB" w:rsidRDefault="00D95AF5" w:rsidP="008B63A3">
            <w:pPr>
              <w:pStyle w:val="TableBodyText"/>
              <w:rPr>
                <w:sz w:val="18"/>
                <w:szCs w:val="18"/>
              </w:rPr>
            </w:pPr>
            <w:r w:rsidRPr="005269AB">
              <w:rPr>
                <w:sz w:val="18"/>
                <w:szCs w:val="18"/>
              </w:rPr>
              <w:t>0.6</w:t>
            </w:r>
          </w:p>
        </w:tc>
        <w:tc>
          <w:tcPr>
            <w:tcW w:w="495" w:type="pct"/>
            <w:vAlign w:val="bottom"/>
          </w:tcPr>
          <w:p w:rsidR="00D95AF5" w:rsidRPr="005269AB" w:rsidRDefault="00D95AF5" w:rsidP="008B63A3">
            <w:pPr>
              <w:pStyle w:val="TableBodyText"/>
              <w:rPr>
                <w:sz w:val="18"/>
                <w:szCs w:val="18"/>
              </w:rPr>
            </w:pPr>
            <w:r>
              <w:rPr>
                <w:sz w:val="18"/>
                <w:szCs w:val="18"/>
              </w:rPr>
              <w:noBreakHyphen/>
            </w:r>
          </w:p>
        </w:tc>
        <w:tc>
          <w:tcPr>
            <w:tcW w:w="495" w:type="pct"/>
            <w:vAlign w:val="bottom"/>
          </w:tcPr>
          <w:p w:rsidR="00D95AF5" w:rsidRPr="005269AB" w:rsidRDefault="00D95AF5" w:rsidP="008B63A3">
            <w:pPr>
              <w:pStyle w:val="TableBodyText"/>
              <w:rPr>
                <w:sz w:val="18"/>
                <w:szCs w:val="18"/>
              </w:rPr>
            </w:pPr>
            <w:r>
              <w:rPr>
                <w:sz w:val="18"/>
                <w:szCs w:val="18"/>
              </w:rPr>
              <w:noBreakHyphen/>
            </w:r>
          </w:p>
        </w:tc>
        <w:tc>
          <w:tcPr>
            <w:tcW w:w="495" w:type="pct"/>
            <w:shd w:val="clear" w:color="auto" w:fill="auto"/>
            <w:vAlign w:val="bottom"/>
          </w:tcPr>
          <w:p w:rsidR="00D95AF5" w:rsidRPr="005269AB" w:rsidRDefault="00D95AF5" w:rsidP="008B63A3">
            <w:pPr>
              <w:pStyle w:val="TableBodyText"/>
              <w:rPr>
                <w:sz w:val="18"/>
                <w:szCs w:val="18"/>
              </w:rPr>
            </w:pPr>
            <w:r w:rsidRPr="005269AB">
              <w:rPr>
                <w:sz w:val="18"/>
                <w:szCs w:val="18"/>
              </w:rPr>
              <w:t>0.5</w:t>
            </w:r>
          </w:p>
        </w:tc>
        <w:tc>
          <w:tcPr>
            <w:tcW w:w="495" w:type="pct"/>
            <w:shd w:val="clear" w:color="auto" w:fill="auto"/>
            <w:vAlign w:val="bottom"/>
          </w:tcPr>
          <w:p w:rsidR="00D95AF5" w:rsidRPr="005269AB" w:rsidRDefault="00D95AF5" w:rsidP="008B63A3">
            <w:pPr>
              <w:pStyle w:val="TableBodyText"/>
              <w:rPr>
                <w:sz w:val="18"/>
                <w:szCs w:val="18"/>
              </w:rPr>
            </w:pPr>
            <w:r w:rsidRPr="005269AB">
              <w:rPr>
                <w:sz w:val="18"/>
                <w:szCs w:val="18"/>
              </w:rPr>
              <w:t>0.5</w:t>
            </w:r>
          </w:p>
        </w:tc>
        <w:tc>
          <w:tcPr>
            <w:tcW w:w="488" w:type="pct"/>
            <w:shd w:val="clear" w:color="auto" w:fill="auto"/>
            <w:vAlign w:val="bottom"/>
          </w:tcPr>
          <w:p w:rsidR="00D95AF5" w:rsidRPr="005269AB" w:rsidRDefault="00D95AF5" w:rsidP="008B63A3">
            <w:pPr>
              <w:pStyle w:val="TableBodyText"/>
              <w:rPr>
                <w:sz w:val="18"/>
                <w:szCs w:val="18"/>
              </w:rPr>
            </w:pPr>
            <w:r w:rsidRPr="005269AB">
              <w:rPr>
                <w:sz w:val="18"/>
                <w:szCs w:val="18"/>
              </w:rPr>
              <w:t>0.6</w:t>
            </w:r>
          </w:p>
        </w:tc>
      </w:tr>
      <w:tr w:rsidR="00D95AF5" w:rsidTr="008B63A3">
        <w:trPr>
          <w:trHeight w:val="227"/>
        </w:trPr>
        <w:tc>
          <w:tcPr>
            <w:tcW w:w="1946" w:type="pct"/>
            <w:vAlign w:val="bottom"/>
          </w:tcPr>
          <w:p w:rsidR="00D95AF5" w:rsidRPr="007758AB" w:rsidRDefault="00D95AF5" w:rsidP="008B63A3">
            <w:pPr>
              <w:pStyle w:val="TableBodyText"/>
              <w:jc w:val="left"/>
              <w:rPr>
                <w:sz w:val="18"/>
                <w:szCs w:val="18"/>
              </w:rPr>
            </w:pPr>
            <w:r w:rsidRPr="007758AB">
              <w:rPr>
                <w:sz w:val="18"/>
                <w:szCs w:val="18"/>
              </w:rPr>
              <w:t>Forestry and logging</w:t>
            </w:r>
          </w:p>
        </w:tc>
        <w:tc>
          <w:tcPr>
            <w:tcW w:w="586" w:type="pct"/>
            <w:vAlign w:val="bottom"/>
          </w:tcPr>
          <w:p w:rsidR="00D95AF5" w:rsidRPr="005269AB" w:rsidRDefault="00D95AF5" w:rsidP="008B63A3">
            <w:pPr>
              <w:pStyle w:val="TableBodyText"/>
              <w:rPr>
                <w:sz w:val="18"/>
                <w:szCs w:val="18"/>
              </w:rPr>
            </w:pPr>
            <w:r>
              <w:rPr>
                <w:sz w:val="18"/>
                <w:szCs w:val="18"/>
              </w:rPr>
              <w:noBreakHyphen/>
            </w:r>
          </w:p>
        </w:tc>
        <w:tc>
          <w:tcPr>
            <w:tcW w:w="495" w:type="pct"/>
            <w:vAlign w:val="bottom"/>
          </w:tcPr>
          <w:p w:rsidR="00D95AF5" w:rsidRPr="005269AB" w:rsidRDefault="00D95AF5" w:rsidP="008B63A3">
            <w:pPr>
              <w:pStyle w:val="TableBodyText"/>
              <w:rPr>
                <w:sz w:val="18"/>
                <w:szCs w:val="18"/>
              </w:rPr>
            </w:pPr>
            <w:r w:rsidRPr="005269AB">
              <w:rPr>
                <w:sz w:val="18"/>
                <w:szCs w:val="18"/>
              </w:rPr>
              <w:t>0.6</w:t>
            </w:r>
          </w:p>
        </w:tc>
        <w:tc>
          <w:tcPr>
            <w:tcW w:w="495" w:type="pct"/>
            <w:vAlign w:val="bottom"/>
          </w:tcPr>
          <w:p w:rsidR="00D95AF5" w:rsidRPr="005269AB" w:rsidRDefault="00D95AF5" w:rsidP="008B63A3">
            <w:pPr>
              <w:pStyle w:val="TableBodyText"/>
              <w:rPr>
                <w:sz w:val="18"/>
                <w:szCs w:val="18"/>
              </w:rPr>
            </w:pPr>
            <w:r w:rsidRPr="005269AB">
              <w:rPr>
                <w:sz w:val="18"/>
                <w:szCs w:val="18"/>
              </w:rPr>
              <w:t>0.4</w:t>
            </w:r>
          </w:p>
        </w:tc>
        <w:tc>
          <w:tcPr>
            <w:tcW w:w="495" w:type="pct"/>
            <w:shd w:val="clear" w:color="auto" w:fill="auto"/>
            <w:vAlign w:val="bottom"/>
          </w:tcPr>
          <w:p w:rsidR="00D95AF5" w:rsidRPr="005269AB" w:rsidRDefault="00D95AF5" w:rsidP="008B63A3">
            <w:pPr>
              <w:pStyle w:val="TableBodyText"/>
              <w:rPr>
                <w:sz w:val="18"/>
                <w:szCs w:val="18"/>
              </w:rPr>
            </w:pPr>
            <w:r>
              <w:rPr>
                <w:sz w:val="18"/>
                <w:szCs w:val="18"/>
              </w:rPr>
              <w:noBreakHyphen/>
            </w:r>
          </w:p>
        </w:tc>
        <w:tc>
          <w:tcPr>
            <w:tcW w:w="495" w:type="pct"/>
            <w:shd w:val="clear" w:color="auto" w:fill="auto"/>
            <w:vAlign w:val="bottom"/>
          </w:tcPr>
          <w:p w:rsidR="00D95AF5" w:rsidRPr="005269AB" w:rsidRDefault="00D95AF5" w:rsidP="008B63A3">
            <w:pPr>
              <w:pStyle w:val="TableBodyText"/>
              <w:rPr>
                <w:sz w:val="18"/>
                <w:szCs w:val="18"/>
              </w:rPr>
            </w:pPr>
            <w:r>
              <w:rPr>
                <w:sz w:val="18"/>
                <w:szCs w:val="18"/>
              </w:rPr>
              <w:noBreakHyphen/>
            </w:r>
          </w:p>
        </w:tc>
        <w:tc>
          <w:tcPr>
            <w:tcW w:w="488" w:type="pct"/>
            <w:shd w:val="clear" w:color="auto" w:fill="auto"/>
            <w:vAlign w:val="bottom"/>
          </w:tcPr>
          <w:p w:rsidR="00D95AF5" w:rsidRPr="005269AB" w:rsidRDefault="00D95AF5" w:rsidP="008B63A3">
            <w:pPr>
              <w:pStyle w:val="TableBodyText"/>
              <w:rPr>
                <w:sz w:val="18"/>
                <w:szCs w:val="18"/>
              </w:rPr>
            </w:pPr>
            <w:r>
              <w:rPr>
                <w:sz w:val="18"/>
                <w:szCs w:val="18"/>
              </w:rPr>
              <w:noBreakHyphen/>
            </w:r>
          </w:p>
        </w:tc>
      </w:tr>
      <w:tr w:rsidR="00D95AF5" w:rsidTr="008B63A3">
        <w:trPr>
          <w:trHeight w:val="227"/>
        </w:trPr>
        <w:tc>
          <w:tcPr>
            <w:tcW w:w="1946" w:type="pct"/>
            <w:vAlign w:val="bottom"/>
          </w:tcPr>
          <w:p w:rsidR="00D95AF5" w:rsidRPr="00DC145C" w:rsidRDefault="00D95AF5" w:rsidP="008B63A3">
            <w:pPr>
              <w:pStyle w:val="TableBodyText"/>
              <w:jc w:val="left"/>
              <w:rPr>
                <w:b/>
                <w:sz w:val="18"/>
                <w:szCs w:val="18"/>
              </w:rPr>
            </w:pPr>
            <w:r w:rsidRPr="00DC145C">
              <w:rPr>
                <w:b/>
                <w:sz w:val="18"/>
                <w:szCs w:val="18"/>
              </w:rPr>
              <w:t>Manufacturing</w:t>
            </w:r>
          </w:p>
        </w:tc>
        <w:tc>
          <w:tcPr>
            <w:tcW w:w="586" w:type="pct"/>
            <w:vAlign w:val="bottom"/>
          </w:tcPr>
          <w:p w:rsidR="00D95AF5" w:rsidRPr="005269AB" w:rsidRDefault="00D95AF5" w:rsidP="008B63A3">
            <w:pPr>
              <w:pStyle w:val="TableBodyText"/>
              <w:rPr>
                <w:b/>
                <w:sz w:val="18"/>
                <w:szCs w:val="18"/>
              </w:rPr>
            </w:pPr>
            <w:r w:rsidRPr="005269AB">
              <w:rPr>
                <w:b/>
                <w:sz w:val="18"/>
                <w:szCs w:val="18"/>
              </w:rPr>
              <w:t>1.2</w:t>
            </w:r>
          </w:p>
        </w:tc>
        <w:tc>
          <w:tcPr>
            <w:tcW w:w="495" w:type="pct"/>
            <w:vAlign w:val="bottom"/>
          </w:tcPr>
          <w:p w:rsidR="00D95AF5" w:rsidRPr="005269AB" w:rsidRDefault="00D95AF5" w:rsidP="008B63A3">
            <w:pPr>
              <w:pStyle w:val="TableBodyText"/>
              <w:rPr>
                <w:b/>
                <w:sz w:val="18"/>
                <w:szCs w:val="18"/>
              </w:rPr>
            </w:pPr>
            <w:r w:rsidRPr="005269AB">
              <w:rPr>
                <w:b/>
                <w:sz w:val="18"/>
                <w:szCs w:val="18"/>
              </w:rPr>
              <w:t>2.2</w:t>
            </w:r>
          </w:p>
        </w:tc>
        <w:tc>
          <w:tcPr>
            <w:tcW w:w="495" w:type="pct"/>
            <w:vAlign w:val="bottom"/>
          </w:tcPr>
          <w:p w:rsidR="00D95AF5" w:rsidRPr="005269AB" w:rsidRDefault="00D95AF5" w:rsidP="008B63A3">
            <w:pPr>
              <w:pStyle w:val="TableBodyText"/>
              <w:rPr>
                <w:b/>
                <w:sz w:val="18"/>
                <w:szCs w:val="18"/>
              </w:rPr>
            </w:pPr>
            <w:r w:rsidRPr="005269AB">
              <w:rPr>
                <w:b/>
                <w:sz w:val="18"/>
                <w:szCs w:val="18"/>
              </w:rPr>
              <w:t>0.9</w:t>
            </w:r>
          </w:p>
        </w:tc>
        <w:tc>
          <w:tcPr>
            <w:tcW w:w="495" w:type="pct"/>
            <w:shd w:val="clear" w:color="auto" w:fill="auto"/>
            <w:vAlign w:val="bottom"/>
          </w:tcPr>
          <w:p w:rsidR="00D95AF5" w:rsidRPr="005269AB" w:rsidRDefault="00D95AF5" w:rsidP="008B63A3">
            <w:pPr>
              <w:pStyle w:val="TableBodyText"/>
              <w:rPr>
                <w:b/>
                <w:sz w:val="18"/>
                <w:szCs w:val="18"/>
              </w:rPr>
            </w:pPr>
            <w:r>
              <w:rPr>
                <w:b/>
                <w:sz w:val="18"/>
                <w:szCs w:val="18"/>
              </w:rPr>
              <w:noBreakHyphen/>
            </w:r>
          </w:p>
        </w:tc>
        <w:tc>
          <w:tcPr>
            <w:tcW w:w="495" w:type="pct"/>
            <w:shd w:val="clear" w:color="auto" w:fill="auto"/>
            <w:vAlign w:val="bottom"/>
          </w:tcPr>
          <w:p w:rsidR="00D95AF5" w:rsidRPr="005269AB" w:rsidRDefault="00D95AF5" w:rsidP="008B63A3">
            <w:pPr>
              <w:pStyle w:val="TableBodyText"/>
              <w:rPr>
                <w:b/>
                <w:sz w:val="18"/>
                <w:szCs w:val="18"/>
              </w:rPr>
            </w:pPr>
            <w:r>
              <w:rPr>
                <w:b/>
                <w:sz w:val="18"/>
                <w:szCs w:val="18"/>
              </w:rPr>
              <w:noBreakHyphen/>
            </w:r>
          </w:p>
        </w:tc>
        <w:tc>
          <w:tcPr>
            <w:tcW w:w="488" w:type="pct"/>
            <w:shd w:val="clear" w:color="auto" w:fill="auto"/>
            <w:vAlign w:val="bottom"/>
          </w:tcPr>
          <w:p w:rsidR="00D95AF5" w:rsidRPr="005269AB" w:rsidRDefault="00D95AF5" w:rsidP="008B63A3">
            <w:pPr>
              <w:pStyle w:val="TableBodyText"/>
              <w:rPr>
                <w:b/>
                <w:sz w:val="18"/>
                <w:szCs w:val="18"/>
              </w:rPr>
            </w:pPr>
            <w:r>
              <w:rPr>
                <w:b/>
                <w:sz w:val="18"/>
                <w:szCs w:val="18"/>
              </w:rPr>
              <w:noBreakHyphen/>
            </w:r>
          </w:p>
        </w:tc>
      </w:tr>
      <w:tr w:rsidR="00D95AF5" w:rsidTr="008B63A3">
        <w:trPr>
          <w:trHeight w:val="227"/>
        </w:trPr>
        <w:tc>
          <w:tcPr>
            <w:tcW w:w="1946" w:type="pct"/>
            <w:vAlign w:val="bottom"/>
          </w:tcPr>
          <w:p w:rsidR="00D95AF5" w:rsidRPr="007758AB" w:rsidRDefault="00D95AF5" w:rsidP="008B63A3">
            <w:pPr>
              <w:pStyle w:val="TableBodyText"/>
              <w:jc w:val="left"/>
              <w:rPr>
                <w:sz w:val="18"/>
                <w:szCs w:val="18"/>
              </w:rPr>
            </w:pPr>
            <w:r w:rsidRPr="007758AB">
              <w:rPr>
                <w:sz w:val="18"/>
                <w:szCs w:val="18"/>
              </w:rPr>
              <w:t>Food, beverages and tobacco</w:t>
            </w:r>
          </w:p>
        </w:tc>
        <w:tc>
          <w:tcPr>
            <w:tcW w:w="586" w:type="pct"/>
            <w:vAlign w:val="bottom"/>
          </w:tcPr>
          <w:p w:rsidR="00D95AF5" w:rsidRPr="005269AB" w:rsidRDefault="00D95AF5" w:rsidP="008B63A3">
            <w:pPr>
              <w:pStyle w:val="TableBodyText"/>
              <w:rPr>
                <w:sz w:val="18"/>
                <w:szCs w:val="18"/>
              </w:rPr>
            </w:pPr>
            <w:r>
              <w:rPr>
                <w:sz w:val="18"/>
                <w:szCs w:val="18"/>
              </w:rPr>
              <w:noBreakHyphen/>
            </w:r>
          </w:p>
        </w:tc>
        <w:tc>
          <w:tcPr>
            <w:tcW w:w="495" w:type="pct"/>
            <w:vAlign w:val="bottom"/>
          </w:tcPr>
          <w:p w:rsidR="00D95AF5" w:rsidRPr="005269AB" w:rsidRDefault="00D95AF5" w:rsidP="008B63A3">
            <w:pPr>
              <w:pStyle w:val="TableBodyText"/>
              <w:rPr>
                <w:sz w:val="18"/>
                <w:szCs w:val="18"/>
              </w:rPr>
            </w:pPr>
            <w:r w:rsidRPr="005269AB">
              <w:rPr>
                <w:sz w:val="18"/>
                <w:szCs w:val="18"/>
              </w:rPr>
              <w:t>0.4</w:t>
            </w:r>
          </w:p>
        </w:tc>
        <w:tc>
          <w:tcPr>
            <w:tcW w:w="495" w:type="pct"/>
            <w:vAlign w:val="bottom"/>
          </w:tcPr>
          <w:p w:rsidR="00D95AF5" w:rsidRPr="005269AB" w:rsidRDefault="00D95AF5" w:rsidP="008B63A3">
            <w:pPr>
              <w:pStyle w:val="TableBodyText"/>
              <w:rPr>
                <w:sz w:val="18"/>
                <w:szCs w:val="18"/>
              </w:rPr>
            </w:pPr>
            <w:r>
              <w:rPr>
                <w:sz w:val="18"/>
                <w:szCs w:val="18"/>
              </w:rPr>
              <w:noBreakHyphen/>
            </w:r>
          </w:p>
        </w:tc>
        <w:tc>
          <w:tcPr>
            <w:tcW w:w="495" w:type="pct"/>
            <w:shd w:val="clear" w:color="auto" w:fill="auto"/>
            <w:vAlign w:val="bottom"/>
          </w:tcPr>
          <w:p w:rsidR="00D95AF5" w:rsidRPr="005269AB" w:rsidRDefault="00D95AF5" w:rsidP="008B63A3">
            <w:pPr>
              <w:pStyle w:val="TableBodyText"/>
              <w:rPr>
                <w:sz w:val="18"/>
                <w:szCs w:val="18"/>
              </w:rPr>
            </w:pPr>
            <w:r>
              <w:rPr>
                <w:sz w:val="18"/>
                <w:szCs w:val="18"/>
              </w:rPr>
              <w:noBreakHyphen/>
            </w:r>
          </w:p>
        </w:tc>
        <w:tc>
          <w:tcPr>
            <w:tcW w:w="495" w:type="pct"/>
            <w:shd w:val="clear" w:color="auto" w:fill="auto"/>
            <w:vAlign w:val="bottom"/>
          </w:tcPr>
          <w:p w:rsidR="00D95AF5" w:rsidRPr="005269AB" w:rsidRDefault="00D95AF5" w:rsidP="008B63A3">
            <w:pPr>
              <w:pStyle w:val="TableBodyText"/>
              <w:rPr>
                <w:sz w:val="18"/>
                <w:szCs w:val="18"/>
              </w:rPr>
            </w:pPr>
            <w:r>
              <w:rPr>
                <w:sz w:val="18"/>
                <w:szCs w:val="18"/>
              </w:rPr>
              <w:noBreakHyphen/>
            </w:r>
          </w:p>
        </w:tc>
        <w:tc>
          <w:tcPr>
            <w:tcW w:w="488" w:type="pct"/>
            <w:shd w:val="clear" w:color="auto" w:fill="auto"/>
            <w:vAlign w:val="bottom"/>
          </w:tcPr>
          <w:p w:rsidR="00D95AF5" w:rsidRPr="005269AB" w:rsidRDefault="00D95AF5" w:rsidP="008B63A3">
            <w:pPr>
              <w:pStyle w:val="TableBodyText"/>
              <w:rPr>
                <w:sz w:val="18"/>
                <w:szCs w:val="18"/>
              </w:rPr>
            </w:pPr>
            <w:r>
              <w:rPr>
                <w:sz w:val="18"/>
                <w:szCs w:val="18"/>
              </w:rPr>
              <w:noBreakHyphen/>
            </w:r>
          </w:p>
        </w:tc>
      </w:tr>
      <w:tr w:rsidR="00D95AF5" w:rsidTr="008B63A3">
        <w:trPr>
          <w:trHeight w:val="227"/>
        </w:trPr>
        <w:tc>
          <w:tcPr>
            <w:tcW w:w="1946" w:type="pct"/>
            <w:vAlign w:val="bottom"/>
          </w:tcPr>
          <w:p w:rsidR="00D95AF5" w:rsidRPr="007758AB" w:rsidRDefault="00D95AF5" w:rsidP="008B63A3">
            <w:pPr>
              <w:pStyle w:val="TableBodyText"/>
              <w:jc w:val="left"/>
              <w:rPr>
                <w:sz w:val="18"/>
                <w:szCs w:val="18"/>
              </w:rPr>
            </w:pPr>
            <w:r w:rsidRPr="00B45E6C">
              <w:rPr>
                <w:sz w:val="18"/>
                <w:szCs w:val="18"/>
              </w:rPr>
              <w:t>Printing and recorded media</w:t>
            </w:r>
          </w:p>
        </w:tc>
        <w:tc>
          <w:tcPr>
            <w:tcW w:w="586" w:type="pct"/>
            <w:vAlign w:val="bottom"/>
          </w:tcPr>
          <w:p w:rsidR="00D95AF5" w:rsidRPr="005269AB" w:rsidRDefault="00D95AF5" w:rsidP="008B63A3">
            <w:pPr>
              <w:pStyle w:val="TableBodyText"/>
              <w:rPr>
                <w:sz w:val="18"/>
                <w:szCs w:val="18"/>
              </w:rPr>
            </w:pPr>
            <w:r>
              <w:rPr>
                <w:sz w:val="18"/>
                <w:szCs w:val="18"/>
              </w:rPr>
              <w:noBreakHyphen/>
            </w:r>
          </w:p>
        </w:tc>
        <w:tc>
          <w:tcPr>
            <w:tcW w:w="495" w:type="pct"/>
            <w:vAlign w:val="bottom"/>
          </w:tcPr>
          <w:p w:rsidR="00D95AF5" w:rsidRPr="005269AB" w:rsidRDefault="00D95AF5" w:rsidP="008B63A3">
            <w:pPr>
              <w:pStyle w:val="TableBodyText"/>
              <w:rPr>
                <w:sz w:val="18"/>
                <w:szCs w:val="18"/>
              </w:rPr>
            </w:pPr>
            <w:r w:rsidRPr="005269AB">
              <w:rPr>
                <w:sz w:val="18"/>
                <w:szCs w:val="18"/>
              </w:rPr>
              <w:t>1.1</w:t>
            </w:r>
          </w:p>
        </w:tc>
        <w:tc>
          <w:tcPr>
            <w:tcW w:w="495" w:type="pct"/>
            <w:vAlign w:val="bottom"/>
          </w:tcPr>
          <w:p w:rsidR="00D95AF5" w:rsidRPr="005269AB" w:rsidRDefault="00D95AF5" w:rsidP="008B63A3">
            <w:pPr>
              <w:pStyle w:val="TableBodyText"/>
              <w:rPr>
                <w:sz w:val="18"/>
                <w:szCs w:val="18"/>
              </w:rPr>
            </w:pPr>
            <w:r>
              <w:rPr>
                <w:sz w:val="18"/>
                <w:szCs w:val="18"/>
              </w:rPr>
              <w:noBreakHyphen/>
            </w:r>
          </w:p>
        </w:tc>
        <w:tc>
          <w:tcPr>
            <w:tcW w:w="495" w:type="pct"/>
            <w:shd w:val="clear" w:color="auto" w:fill="auto"/>
            <w:vAlign w:val="bottom"/>
          </w:tcPr>
          <w:p w:rsidR="00D95AF5" w:rsidRPr="005269AB" w:rsidRDefault="00D95AF5" w:rsidP="008B63A3">
            <w:pPr>
              <w:pStyle w:val="TableBodyText"/>
              <w:rPr>
                <w:sz w:val="18"/>
                <w:szCs w:val="18"/>
              </w:rPr>
            </w:pPr>
            <w:r>
              <w:rPr>
                <w:sz w:val="18"/>
                <w:szCs w:val="18"/>
              </w:rPr>
              <w:noBreakHyphen/>
            </w:r>
          </w:p>
        </w:tc>
        <w:tc>
          <w:tcPr>
            <w:tcW w:w="495" w:type="pct"/>
            <w:shd w:val="clear" w:color="auto" w:fill="auto"/>
            <w:vAlign w:val="bottom"/>
          </w:tcPr>
          <w:p w:rsidR="00D95AF5" w:rsidRPr="005269AB" w:rsidRDefault="00D95AF5" w:rsidP="008B63A3">
            <w:pPr>
              <w:pStyle w:val="TableBodyText"/>
              <w:rPr>
                <w:sz w:val="18"/>
                <w:szCs w:val="18"/>
              </w:rPr>
            </w:pPr>
            <w:r>
              <w:rPr>
                <w:sz w:val="18"/>
                <w:szCs w:val="18"/>
              </w:rPr>
              <w:noBreakHyphen/>
            </w:r>
          </w:p>
        </w:tc>
        <w:tc>
          <w:tcPr>
            <w:tcW w:w="488" w:type="pct"/>
            <w:shd w:val="clear" w:color="auto" w:fill="auto"/>
            <w:vAlign w:val="bottom"/>
          </w:tcPr>
          <w:p w:rsidR="00D95AF5" w:rsidRPr="005269AB" w:rsidRDefault="00D95AF5" w:rsidP="008B63A3">
            <w:pPr>
              <w:pStyle w:val="TableBodyText"/>
              <w:rPr>
                <w:sz w:val="18"/>
                <w:szCs w:val="18"/>
              </w:rPr>
            </w:pPr>
            <w:r>
              <w:rPr>
                <w:sz w:val="18"/>
                <w:szCs w:val="18"/>
              </w:rPr>
              <w:noBreakHyphen/>
            </w:r>
          </w:p>
        </w:tc>
      </w:tr>
      <w:tr w:rsidR="00D95AF5" w:rsidTr="008B63A3">
        <w:trPr>
          <w:trHeight w:val="227"/>
        </w:trPr>
        <w:tc>
          <w:tcPr>
            <w:tcW w:w="1946" w:type="pct"/>
            <w:vAlign w:val="bottom"/>
          </w:tcPr>
          <w:p w:rsidR="00D95AF5" w:rsidRPr="007758AB" w:rsidRDefault="00D95AF5" w:rsidP="008B63A3">
            <w:pPr>
              <w:pStyle w:val="TableBodyText"/>
              <w:jc w:val="left"/>
              <w:rPr>
                <w:sz w:val="18"/>
                <w:szCs w:val="18"/>
              </w:rPr>
            </w:pPr>
            <w:r w:rsidRPr="007758AB">
              <w:rPr>
                <w:sz w:val="18"/>
                <w:szCs w:val="18"/>
              </w:rPr>
              <w:t>Metal and fabricated metal products</w:t>
            </w:r>
          </w:p>
        </w:tc>
        <w:tc>
          <w:tcPr>
            <w:tcW w:w="586" w:type="pct"/>
            <w:vAlign w:val="bottom"/>
          </w:tcPr>
          <w:p w:rsidR="00D95AF5" w:rsidRPr="005269AB" w:rsidRDefault="00D95AF5" w:rsidP="008B63A3">
            <w:pPr>
              <w:pStyle w:val="TableBodyText"/>
              <w:rPr>
                <w:sz w:val="18"/>
                <w:szCs w:val="18"/>
              </w:rPr>
            </w:pPr>
            <w:r w:rsidRPr="005269AB">
              <w:rPr>
                <w:sz w:val="18"/>
                <w:szCs w:val="18"/>
              </w:rPr>
              <w:t>0.4</w:t>
            </w:r>
          </w:p>
        </w:tc>
        <w:tc>
          <w:tcPr>
            <w:tcW w:w="495" w:type="pct"/>
            <w:vAlign w:val="bottom"/>
          </w:tcPr>
          <w:p w:rsidR="00D95AF5" w:rsidRPr="005269AB" w:rsidRDefault="00D95AF5" w:rsidP="008B63A3">
            <w:pPr>
              <w:pStyle w:val="TableBodyText"/>
              <w:rPr>
                <w:sz w:val="18"/>
                <w:szCs w:val="18"/>
              </w:rPr>
            </w:pPr>
            <w:r>
              <w:rPr>
                <w:sz w:val="18"/>
                <w:szCs w:val="18"/>
              </w:rPr>
              <w:noBreakHyphen/>
            </w:r>
          </w:p>
        </w:tc>
        <w:tc>
          <w:tcPr>
            <w:tcW w:w="495" w:type="pct"/>
            <w:vAlign w:val="bottom"/>
          </w:tcPr>
          <w:p w:rsidR="00D95AF5" w:rsidRPr="005269AB" w:rsidRDefault="00D95AF5" w:rsidP="008B63A3">
            <w:pPr>
              <w:pStyle w:val="TableBodyText"/>
              <w:rPr>
                <w:sz w:val="18"/>
                <w:szCs w:val="18"/>
              </w:rPr>
            </w:pPr>
            <w:r w:rsidRPr="005269AB">
              <w:rPr>
                <w:sz w:val="18"/>
                <w:szCs w:val="18"/>
              </w:rPr>
              <w:t>0.9</w:t>
            </w:r>
          </w:p>
        </w:tc>
        <w:tc>
          <w:tcPr>
            <w:tcW w:w="495" w:type="pct"/>
            <w:shd w:val="clear" w:color="auto" w:fill="auto"/>
            <w:vAlign w:val="bottom"/>
          </w:tcPr>
          <w:p w:rsidR="00D95AF5" w:rsidRPr="005269AB" w:rsidRDefault="00D95AF5" w:rsidP="008B63A3">
            <w:pPr>
              <w:pStyle w:val="TableBodyText"/>
              <w:rPr>
                <w:sz w:val="18"/>
                <w:szCs w:val="18"/>
              </w:rPr>
            </w:pPr>
            <w:r>
              <w:rPr>
                <w:sz w:val="18"/>
                <w:szCs w:val="18"/>
              </w:rPr>
              <w:noBreakHyphen/>
            </w:r>
          </w:p>
        </w:tc>
        <w:tc>
          <w:tcPr>
            <w:tcW w:w="495" w:type="pct"/>
            <w:shd w:val="clear" w:color="auto" w:fill="auto"/>
            <w:vAlign w:val="bottom"/>
          </w:tcPr>
          <w:p w:rsidR="00D95AF5" w:rsidRPr="005269AB" w:rsidRDefault="00D95AF5" w:rsidP="008B63A3">
            <w:pPr>
              <w:pStyle w:val="TableBodyText"/>
              <w:rPr>
                <w:sz w:val="18"/>
                <w:szCs w:val="18"/>
              </w:rPr>
            </w:pPr>
            <w:r>
              <w:rPr>
                <w:sz w:val="18"/>
                <w:szCs w:val="18"/>
              </w:rPr>
              <w:noBreakHyphen/>
            </w:r>
          </w:p>
        </w:tc>
        <w:tc>
          <w:tcPr>
            <w:tcW w:w="488" w:type="pct"/>
            <w:shd w:val="clear" w:color="auto" w:fill="auto"/>
            <w:vAlign w:val="bottom"/>
          </w:tcPr>
          <w:p w:rsidR="00D95AF5" w:rsidRPr="005269AB" w:rsidRDefault="00D95AF5" w:rsidP="008B63A3">
            <w:pPr>
              <w:pStyle w:val="TableBodyText"/>
              <w:rPr>
                <w:sz w:val="18"/>
                <w:szCs w:val="18"/>
              </w:rPr>
            </w:pPr>
            <w:r>
              <w:rPr>
                <w:sz w:val="18"/>
                <w:szCs w:val="18"/>
              </w:rPr>
              <w:noBreakHyphen/>
            </w:r>
          </w:p>
        </w:tc>
      </w:tr>
      <w:tr w:rsidR="00D95AF5" w:rsidTr="008B63A3">
        <w:trPr>
          <w:trHeight w:val="227"/>
        </w:trPr>
        <w:tc>
          <w:tcPr>
            <w:tcW w:w="1946" w:type="pct"/>
            <w:vAlign w:val="bottom"/>
          </w:tcPr>
          <w:p w:rsidR="00D95AF5" w:rsidRPr="007758AB" w:rsidRDefault="00D95AF5" w:rsidP="008B63A3">
            <w:pPr>
              <w:pStyle w:val="TableBodyText"/>
              <w:jc w:val="left"/>
              <w:rPr>
                <w:sz w:val="18"/>
                <w:szCs w:val="18"/>
              </w:rPr>
            </w:pPr>
            <w:r w:rsidRPr="007758AB">
              <w:rPr>
                <w:sz w:val="18"/>
                <w:szCs w:val="18"/>
              </w:rPr>
              <w:t>Machinery and equipment manufacturing</w:t>
            </w:r>
          </w:p>
        </w:tc>
        <w:tc>
          <w:tcPr>
            <w:tcW w:w="586" w:type="pct"/>
            <w:vAlign w:val="bottom"/>
          </w:tcPr>
          <w:p w:rsidR="00D95AF5" w:rsidRPr="005269AB" w:rsidRDefault="00D95AF5" w:rsidP="008B63A3">
            <w:pPr>
              <w:pStyle w:val="TableBodyText"/>
              <w:rPr>
                <w:sz w:val="18"/>
                <w:szCs w:val="18"/>
              </w:rPr>
            </w:pPr>
            <w:r w:rsidRPr="005269AB">
              <w:rPr>
                <w:sz w:val="18"/>
                <w:szCs w:val="18"/>
              </w:rPr>
              <w:t>0.8</w:t>
            </w:r>
          </w:p>
        </w:tc>
        <w:tc>
          <w:tcPr>
            <w:tcW w:w="495" w:type="pct"/>
            <w:vAlign w:val="bottom"/>
          </w:tcPr>
          <w:p w:rsidR="00D95AF5" w:rsidRPr="005269AB" w:rsidRDefault="00D95AF5" w:rsidP="008B63A3">
            <w:pPr>
              <w:pStyle w:val="TableBodyText"/>
              <w:rPr>
                <w:sz w:val="18"/>
                <w:szCs w:val="18"/>
              </w:rPr>
            </w:pPr>
            <w:r w:rsidRPr="005269AB">
              <w:rPr>
                <w:sz w:val="18"/>
                <w:szCs w:val="18"/>
              </w:rPr>
              <w:t>0.7</w:t>
            </w:r>
          </w:p>
        </w:tc>
        <w:tc>
          <w:tcPr>
            <w:tcW w:w="495" w:type="pct"/>
            <w:vAlign w:val="bottom"/>
          </w:tcPr>
          <w:p w:rsidR="00D95AF5" w:rsidRPr="005269AB" w:rsidRDefault="00D95AF5" w:rsidP="008B63A3">
            <w:pPr>
              <w:pStyle w:val="TableBodyText"/>
              <w:rPr>
                <w:sz w:val="18"/>
                <w:szCs w:val="18"/>
              </w:rPr>
            </w:pPr>
            <w:r>
              <w:rPr>
                <w:sz w:val="18"/>
                <w:szCs w:val="18"/>
              </w:rPr>
              <w:noBreakHyphen/>
            </w:r>
          </w:p>
        </w:tc>
        <w:tc>
          <w:tcPr>
            <w:tcW w:w="495" w:type="pct"/>
            <w:shd w:val="clear" w:color="auto" w:fill="auto"/>
            <w:vAlign w:val="bottom"/>
          </w:tcPr>
          <w:p w:rsidR="00D95AF5" w:rsidRPr="005269AB" w:rsidRDefault="00D95AF5" w:rsidP="008B63A3">
            <w:pPr>
              <w:pStyle w:val="TableBodyText"/>
              <w:rPr>
                <w:sz w:val="18"/>
                <w:szCs w:val="18"/>
              </w:rPr>
            </w:pPr>
            <w:r>
              <w:rPr>
                <w:sz w:val="18"/>
                <w:szCs w:val="18"/>
              </w:rPr>
              <w:noBreakHyphen/>
            </w:r>
          </w:p>
        </w:tc>
        <w:tc>
          <w:tcPr>
            <w:tcW w:w="495" w:type="pct"/>
            <w:shd w:val="clear" w:color="auto" w:fill="auto"/>
            <w:vAlign w:val="bottom"/>
          </w:tcPr>
          <w:p w:rsidR="00D95AF5" w:rsidRPr="005269AB" w:rsidRDefault="00D95AF5" w:rsidP="008B63A3">
            <w:pPr>
              <w:pStyle w:val="TableBodyText"/>
              <w:rPr>
                <w:sz w:val="18"/>
                <w:szCs w:val="18"/>
              </w:rPr>
            </w:pPr>
            <w:r>
              <w:rPr>
                <w:sz w:val="18"/>
                <w:szCs w:val="18"/>
              </w:rPr>
              <w:noBreakHyphen/>
            </w:r>
          </w:p>
        </w:tc>
        <w:tc>
          <w:tcPr>
            <w:tcW w:w="488" w:type="pct"/>
            <w:shd w:val="clear" w:color="auto" w:fill="auto"/>
            <w:vAlign w:val="bottom"/>
          </w:tcPr>
          <w:p w:rsidR="00D95AF5" w:rsidRPr="005269AB" w:rsidRDefault="00D95AF5" w:rsidP="008B63A3">
            <w:pPr>
              <w:pStyle w:val="TableBodyText"/>
              <w:rPr>
                <w:sz w:val="18"/>
                <w:szCs w:val="18"/>
              </w:rPr>
            </w:pPr>
            <w:r>
              <w:rPr>
                <w:sz w:val="18"/>
                <w:szCs w:val="18"/>
              </w:rPr>
              <w:noBreakHyphen/>
            </w:r>
          </w:p>
        </w:tc>
      </w:tr>
      <w:tr w:rsidR="00D95AF5" w:rsidTr="008B63A3">
        <w:trPr>
          <w:trHeight w:val="227"/>
        </w:trPr>
        <w:tc>
          <w:tcPr>
            <w:tcW w:w="1946" w:type="pct"/>
            <w:vAlign w:val="bottom"/>
          </w:tcPr>
          <w:p w:rsidR="00D95AF5" w:rsidRPr="00DC145C" w:rsidRDefault="00D95AF5" w:rsidP="008B63A3">
            <w:pPr>
              <w:pStyle w:val="TableBodyText"/>
              <w:jc w:val="left"/>
              <w:rPr>
                <w:b/>
                <w:sz w:val="18"/>
                <w:szCs w:val="18"/>
              </w:rPr>
            </w:pPr>
            <w:r w:rsidRPr="00DC145C">
              <w:rPr>
                <w:b/>
                <w:sz w:val="18"/>
                <w:szCs w:val="18"/>
              </w:rPr>
              <w:t>Services</w:t>
            </w:r>
          </w:p>
        </w:tc>
        <w:tc>
          <w:tcPr>
            <w:tcW w:w="586" w:type="pct"/>
            <w:vAlign w:val="bottom"/>
          </w:tcPr>
          <w:p w:rsidR="00D95AF5" w:rsidRPr="005269AB" w:rsidRDefault="00D95AF5" w:rsidP="008B63A3">
            <w:pPr>
              <w:pStyle w:val="TableBodyText"/>
              <w:rPr>
                <w:b/>
                <w:sz w:val="18"/>
                <w:szCs w:val="18"/>
              </w:rPr>
            </w:pPr>
            <w:r w:rsidRPr="005269AB">
              <w:rPr>
                <w:b/>
                <w:sz w:val="18"/>
                <w:szCs w:val="18"/>
              </w:rPr>
              <w:t>36.6</w:t>
            </w:r>
          </w:p>
        </w:tc>
        <w:tc>
          <w:tcPr>
            <w:tcW w:w="495" w:type="pct"/>
            <w:vAlign w:val="bottom"/>
          </w:tcPr>
          <w:p w:rsidR="00D95AF5" w:rsidRPr="005269AB" w:rsidRDefault="00D95AF5" w:rsidP="008B63A3">
            <w:pPr>
              <w:pStyle w:val="TableBodyText"/>
              <w:rPr>
                <w:b/>
                <w:sz w:val="18"/>
                <w:szCs w:val="18"/>
              </w:rPr>
            </w:pPr>
            <w:r w:rsidRPr="005269AB">
              <w:rPr>
                <w:b/>
                <w:sz w:val="18"/>
                <w:szCs w:val="18"/>
              </w:rPr>
              <w:t>60.0</w:t>
            </w:r>
          </w:p>
        </w:tc>
        <w:tc>
          <w:tcPr>
            <w:tcW w:w="495" w:type="pct"/>
            <w:vAlign w:val="bottom"/>
          </w:tcPr>
          <w:p w:rsidR="00D95AF5" w:rsidRPr="005269AB" w:rsidRDefault="00D95AF5" w:rsidP="008B63A3">
            <w:pPr>
              <w:pStyle w:val="TableBodyText"/>
              <w:rPr>
                <w:b/>
                <w:sz w:val="18"/>
                <w:szCs w:val="18"/>
              </w:rPr>
            </w:pPr>
            <w:r w:rsidRPr="005269AB">
              <w:rPr>
                <w:b/>
                <w:sz w:val="18"/>
                <w:szCs w:val="18"/>
              </w:rPr>
              <w:t>83.7</w:t>
            </w:r>
          </w:p>
        </w:tc>
        <w:tc>
          <w:tcPr>
            <w:tcW w:w="495" w:type="pct"/>
            <w:shd w:val="clear" w:color="auto" w:fill="auto"/>
            <w:vAlign w:val="bottom"/>
          </w:tcPr>
          <w:p w:rsidR="00D95AF5" w:rsidRPr="005269AB" w:rsidRDefault="00D95AF5" w:rsidP="008B63A3">
            <w:pPr>
              <w:pStyle w:val="TableBodyText"/>
              <w:rPr>
                <w:b/>
                <w:sz w:val="18"/>
                <w:szCs w:val="18"/>
              </w:rPr>
            </w:pPr>
            <w:r w:rsidRPr="005269AB">
              <w:rPr>
                <w:b/>
                <w:sz w:val="18"/>
                <w:szCs w:val="18"/>
              </w:rPr>
              <w:t>57.0</w:t>
            </w:r>
          </w:p>
        </w:tc>
        <w:tc>
          <w:tcPr>
            <w:tcW w:w="495" w:type="pct"/>
            <w:shd w:val="clear" w:color="auto" w:fill="auto"/>
            <w:vAlign w:val="bottom"/>
          </w:tcPr>
          <w:p w:rsidR="00D95AF5" w:rsidRPr="005269AB" w:rsidRDefault="00D95AF5" w:rsidP="008B63A3">
            <w:pPr>
              <w:pStyle w:val="TableBodyText"/>
              <w:rPr>
                <w:b/>
                <w:sz w:val="18"/>
                <w:szCs w:val="18"/>
              </w:rPr>
            </w:pPr>
            <w:r w:rsidRPr="005269AB">
              <w:rPr>
                <w:b/>
                <w:sz w:val="18"/>
                <w:szCs w:val="18"/>
              </w:rPr>
              <w:t>57.0</w:t>
            </w:r>
          </w:p>
        </w:tc>
        <w:tc>
          <w:tcPr>
            <w:tcW w:w="488" w:type="pct"/>
            <w:shd w:val="clear" w:color="auto" w:fill="auto"/>
            <w:vAlign w:val="bottom"/>
          </w:tcPr>
          <w:p w:rsidR="00D95AF5" w:rsidRPr="005269AB" w:rsidRDefault="00D95AF5" w:rsidP="008B63A3">
            <w:pPr>
              <w:pStyle w:val="TableBodyText"/>
              <w:rPr>
                <w:b/>
                <w:sz w:val="18"/>
                <w:szCs w:val="18"/>
              </w:rPr>
            </w:pPr>
            <w:r w:rsidRPr="005269AB">
              <w:rPr>
                <w:b/>
                <w:sz w:val="18"/>
                <w:szCs w:val="18"/>
              </w:rPr>
              <w:t>72.0</w:t>
            </w:r>
          </w:p>
        </w:tc>
      </w:tr>
      <w:tr w:rsidR="00D95AF5" w:rsidTr="008B63A3">
        <w:trPr>
          <w:trHeight w:val="227"/>
        </w:trPr>
        <w:tc>
          <w:tcPr>
            <w:tcW w:w="1946" w:type="pct"/>
            <w:vAlign w:val="bottom"/>
          </w:tcPr>
          <w:p w:rsidR="00D95AF5" w:rsidRPr="007758AB" w:rsidRDefault="00D95AF5" w:rsidP="008B63A3">
            <w:pPr>
              <w:pStyle w:val="TableBodyText"/>
              <w:jc w:val="left"/>
              <w:rPr>
                <w:sz w:val="18"/>
                <w:szCs w:val="18"/>
              </w:rPr>
            </w:pPr>
            <w:r w:rsidRPr="007758AB">
              <w:rPr>
                <w:sz w:val="18"/>
                <w:szCs w:val="18"/>
              </w:rPr>
              <w:t>Construction</w:t>
            </w:r>
          </w:p>
        </w:tc>
        <w:tc>
          <w:tcPr>
            <w:tcW w:w="586" w:type="pct"/>
            <w:vAlign w:val="bottom"/>
          </w:tcPr>
          <w:p w:rsidR="00D95AF5" w:rsidRPr="005269AB" w:rsidRDefault="00D95AF5" w:rsidP="008B63A3">
            <w:pPr>
              <w:pStyle w:val="TableBodyText"/>
              <w:rPr>
                <w:sz w:val="18"/>
                <w:szCs w:val="18"/>
              </w:rPr>
            </w:pPr>
            <w:r w:rsidRPr="005269AB">
              <w:rPr>
                <w:sz w:val="18"/>
                <w:szCs w:val="18"/>
              </w:rPr>
              <w:t>-</w:t>
            </w:r>
          </w:p>
        </w:tc>
        <w:tc>
          <w:tcPr>
            <w:tcW w:w="495" w:type="pct"/>
            <w:vAlign w:val="bottom"/>
          </w:tcPr>
          <w:p w:rsidR="00D95AF5" w:rsidRPr="005269AB" w:rsidRDefault="00D95AF5" w:rsidP="008B63A3">
            <w:pPr>
              <w:pStyle w:val="TableBodyText"/>
              <w:rPr>
                <w:sz w:val="18"/>
                <w:szCs w:val="18"/>
              </w:rPr>
            </w:pPr>
            <w:r w:rsidRPr="005269AB">
              <w:rPr>
                <w:sz w:val="18"/>
                <w:szCs w:val="18"/>
              </w:rPr>
              <w:t>1.6</w:t>
            </w:r>
          </w:p>
        </w:tc>
        <w:tc>
          <w:tcPr>
            <w:tcW w:w="495" w:type="pct"/>
            <w:vAlign w:val="bottom"/>
          </w:tcPr>
          <w:p w:rsidR="00D95AF5" w:rsidRPr="005269AB" w:rsidRDefault="00D95AF5" w:rsidP="008B63A3">
            <w:pPr>
              <w:pStyle w:val="TableBodyText"/>
              <w:rPr>
                <w:sz w:val="18"/>
                <w:szCs w:val="18"/>
              </w:rPr>
            </w:pPr>
            <w:r w:rsidRPr="005269AB">
              <w:rPr>
                <w:sz w:val="18"/>
                <w:szCs w:val="18"/>
              </w:rPr>
              <w:t>4.3</w:t>
            </w:r>
          </w:p>
        </w:tc>
        <w:tc>
          <w:tcPr>
            <w:tcW w:w="495" w:type="pct"/>
            <w:shd w:val="clear" w:color="auto" w:fill="auto"/>
            <w:vAlign w:val="bottom"/>
          </w:tcPr>
          <w:p w:rsidR="00D95AF5" w:rsidRPr="005269AB" w:rsidRDefault="00D95AF5" w:rsidP="008B63A3">
            <w:pPr>
              <w:pStyle w:val="TableBodyText"/>
              <w:rPr>
                <w:sz w:val="18"/>
                <w:szCs w:val="18"/>
              </w:rPr>
            </w:pPr>
            <w:r w:rsidRPr="005269AB">
              <w:rPr>
                <w:sz w:val="18"/>
                <w:szCs w:val="18"/>
              </w:rPr>
              <w:t>2.1</w:t>
            </w:r>
          </w:p>
        </w:tc>
        <w:tc>
          <w:tcPr>
            <w:tcW w:w="495" w:type="pct"/>
            <w:shd w:val="clear" w:color="auto" w:fill="auto"/>
            <w:vAlign w:val="bottom"/>
          </w:tcPr>
          <w:p w:rsidR="00D95AF5" w:rsidRPr="005269AB" w:rsidRDefault="00D95AF5" w:rsidP="008B63A3">
            <w:pPr>
              <w:pStyle w:val="TableBodyText"/>
              <w:rPr>
                <w:sz w:val="18"/>
                <w:szCs w:val="18"/>
              </w:rPr>
            </w:pPr>
            <w:r w:rsidRPr="005269AB">
              <w:rPr>
                <w:sz w:val="18"/>
                <w:szCs w:val="18"/>
              </w:rPr>
              <w:t>2.1</w:t>
            </w:r>
          </w:p>
        </w:tc>
        <w:tc>
          <w:tcPr>
            <w:tcW w:w="488" w:type="pct"/>
            <w:shd w:val="clear" w:color="auto" w:fill="auto"/>
            <w:vAlign w:val="bottom"/>
          </w:tcPr>
          <w:p w:rsidR="00D95AF5" w:rsidRPr="005269AB" w:rsidRDefault="00D95AF5" w:rsidP="008B63A3">
            <w:pPr>
              <w:pStyle w:val="TableBodyText"/>
              <w:rPr>
                <w:sz w:val="18"/>
                <w:szCs w:val="18"/>
              </w:rPr>
            </w:pPr>
            <w:r w:rsidRPr="005269AB">
              <w:rPr>
                <w:sz w:val="18"/>
                <w:szCs w:val="18"/>
              </w:rPr>
              <w:t>2.6</w:t>
            </w:r>
          </w:p>
        </w:tc>
      </w:tr>
      <w:tr w:rsidR="00D95AF5" w:rsidTr="008B63A3">
        <w:trPr>
          <w:trHeight w:val="227"/>
        </w:trPr>
        <w:tc>
          <w:tcPr>
            <w:tcW w:w="1946" w:type="pct"/>
            <w:vAlign w:val="bottom"/>
          </w:tcPr>
          <w:p w:rsidR="00D95AF5" w:rsidRPr="007758AB" w:rsidRDefault="00D95AF5" w:rsidP="008B63A3">
            <w:pPr>
              <w:pStyle w:val="TableBodyText"/>
              <w:jc w:val="left"/>
              <w:rPr>
                <w:sz w:val="18"/>
                <w:szCs w:val="18"/>
              </w:rPr>
            </w:pPr>
            <w:r>
              <w:rPr>
                <w:sz w:val="18"/>
                <w:szCs w:val="18"/>
              </w:rPr>
              <w:t>Wholesale trade</w:t>
            </w:r>
          </w:p>
        </w:tc>
        <w:tc>
          <w:tcPr>
            <w:tcW w:w="586" w:type="pct"/>
            <w:vAlign w:val="bottom"/>
          </w:tcPr>
          <w:p w:rsidR="00D95AF5" w:rsidRPr="005269AB" w:rsidRDefault="00D95AF5" w:rsidP="008B63A3">
            <w:pPr>
              <w:pStyle w:val="TableBodyText"/>
              <w:rPr>
                <w:sz w:val="18"/>
                <w:szCs w:val="18"/>
              </w:rPr>
            </w:pPr>
            <w:r w:rsidRPr="005269AB">
              <w:rPr>
                <w:sz w:val="18"/>
                <w:szCs w:val="18"/>
              </w:rPr>
              <w:t>1.5</w:t>
            </w:r>
          </w:p>
        </w:tc>
        <w:tc>
          <w:tcPr>
            <w:tcW w:w="495" w:type="pct"/>
            <w:vAlign w:val="bottom"/>
          </w:tcPr>
          <w:p w:rsidR="00D95AF5" w:rsidRPr="005269AB" w:rsidRDefault="00D95AF5" w:rsidP="008B63A3">
            <w:pPr>
              <w:pStyle w:val="TableBodyText"/>
              <w:rPr>
                <w:sz w:val="18"/>
                <w:szCs w:val="18"/>
              </w:rPr>
            </w:pPr>
            <w:r w:rsidRPr="005269AB">
              <w:rPr>
                <w:sz w:val="18"/>
                <w:szCs w:val="18"/>
              </w:rPr>
              <w:t>3.3</w:t>
            </w:r>
          </w:p>
        </w:tc>
        <w:tc>
          <w:tcPr>
            <w:tcW w:w="495" w:type="pct"/>
            <w:vAlign w:val="bottom"/>
          </w:tcPr>
          <w:p w:rsidR="00D95AF5" w:rsidRPr="005269AB" w:rsidRDefault="00D95AF5" w:rsidP="008B63A3">
            <w:pPr>
              <w:pStyle w:val="TableBodyText"/>
              <w:rPr>
                <w:sz w:val="18"/>
                <w:szCs w:val="18"/>
              </w:rPr>
            </w:pPr>
            <w:r w:rsidRPr="005269AB">
              <w:rPr>
                <w:sz w:val="18"/>
                <w:szCs w:val="18"/>
              </w:rPr>
              <w:t>2.6</w:t>
            </w:r>
          </w:p>
        </w:tc>
        <w:tc>
          <w:tcPr>
            <w:tcW w:w="495" w:type="pct"/>
            <w:shd w:val="clear" w:color="auto" w:fill="auto"/>
            <w:vAlign w:val="bottom"/>
          </w:tcPr>
          <w:p w:rsidR="00D95AF5" w:rsidRPr="005269AB" w:rsidRDefault="00D95AF5" w:rsidP="008B63A3">
            <w:pPr>
              <w:pStyle w:val="TableBodyText"/>
              <w:rPr>
                <w:sz w:val="18"/>
                <w:szCs w:val="18"/>
              </w:rPr>
            </w:pPr>
            <w:r w:rsidRPr="005269AB">
              <w:rPr>
                <w:sz w:val="18"/>
                <w:szCs w:val="18"/>
              </w:rPr>
              <w:t>2.3</w:t>
            </w:r>
          </w:p>
        </w:tc>
        <w:tc>
          <w:tcPr>
            <w:tcW w:w="495" w:type="pct"/>
            <w:shd w:val="clear" w:color="auto" w:fill="auto"/>
            <w:vAlign w:val="bottom"/>
          </w:tcPr>
          <w:p w:rsidR="00D95AF5" w:rsidRPr="005269AB" w:rsidRDefault="00D95AF5" w:rsidP="008B63A3">
            <w:pPr>
              <w:pStyle w:val="TableBodyText"/>
              <w:rPr>
                <w:sz w:val="18"/>
                <w:szCs w:val="18"/>
              </w:rPr>
            </w:pPr>
            <w:r w:rsidRPr="005269AB">
              <w:rPr>
                <w:sz w:val="18"/>
                <w:szCs w:val="18"/>
              </w:rPr>
              <w:t>2.3</w:t>
            </w:r>
          </w:p>
        </w:tc>
        <w:tc>
          <w:tcPr>
            <w:tcW w:w="488" w:type="pct"/>
            <w:shd w:val="clear" w:color="auto" w:fill="auto"/>
            <w:vAlign w:val="bottom"/>
          </w:tcPr>
          <w:p w:rsidR="00D95AF5" w:rsidRPr="005269AB" w:rsidRDefault="00D95AF5" w:rsidP="008B63A3">
            <w:pPr>
              <w:pStyle w:val="TableBodyText"/>
              <w:rPr>
                <w:sz w:val="18"/>
                <w:szCs w:val="18"/>
              </w:rPr>
            </w:pPr>
            <w:r w:rsidRPr="005269AB">
              <w:rPr>
                <w:sz w:val="18"/>
                <w:szCs w:val="18"/>
              </w:rPr>
              <w:t>2.9</w:t>
            </w:r>
          </w:p>
        </w:tc>
      </w:tr>
      <w:tr w:rsidR="00D95AF5" w:rsidTr="008B63A3">
        <w:trPr>
          <w:trHeight w:val="227"/>
        </w:trPr>
        <w:tc>
          <w:tcPr>
            <w:tcW w:w="1946" w:type="pct"/>
            <w:vAlign w:val="bottom"/>
          </w:tcPr>
          <w:p w:rsidR="00D95AF5" w:rsidRPr="007758AB" w:rsidRDefault="00D95AF5" w:rsidP="008B63A3">
            <w:pPr>
              <w:pStyle w:val="TableBodyText"/>
              <w:jc w:val="left"/>
              <w:rPr>
                <w:sz w:val="18"/>
                <w:szCs w:val="18"/>
              </w:rPr>
            </w:pPr>
            <w:r>
              <w:rPr>
                <w:sz w:val="18"/>
                <w:szCs w:val="18"/>
              </w:rPr>
              <w:t>Retail trade</w:t>
            </w:r>
          </w:p>
        </w:tc>
        <w:tc>
          <w:tcPr>
            <w:tcW w:w="586" w:type="pct"/>
            <w:vAlign w:val="bottom"/>
          </w:tcPr>
          <w:p w:rsidR="00D95AF5" w:rsidRPr="005269AB" w:rsidRDefault="00D95AF5" w:rsidP="008B63A3">
            <w:pPr>
              <w:pStyle w:val="TableBodyText"/>
              <w:rPr>
                <w:sz w:val="18"/>
                <w:szCs w:val="18"/>
              </w:rPr>
            </w:pPr>
            <w:r w:rsidRPr="005269AB">
              <w:rPr>
                <w:sz w:val="18"/>
                <w:szCs w:val="18"/>
              </w:rPr>
              <w:t>5.4</w:t>
            </w:r>
          </w:p>
        </w:tc>
        <w:tc>
          <w:tcPr>
            <w:tcW w:w="495" w:type="pct"/>
            <w:vAlign w:val="bottom"/>
          </w:tcPr>
          <w:p w:rsidR="00D95AF5" w:rsidRPr="005269AB" w:rsidRDefault="00D95AF5" w:rsidP="008B63A3">
            <w:pPr>
              <w:pStyle w:val="TableBodyText"/>
              <w:rPr>
                <w:sz w:val="18"/>
                <w:szCs w:val="18"/>
              </w:rPr>
            </w:pPr>
            <w:r w:rsidRPr="005269AB">
              <w:rPr>
                <w:sz w:val="18"/>
                <w:szCs w:val="18"/>
              </w:rPr>
              <w:t>3.8</w:t>
            </w:r>
          </w:p>
        </w:tc>
        <w:tc>
          <w:tcPr>
            <w:tcW w:w="495" w:type="pct"/>
            <w:vAlign w:val="bottom"/>
          </w:tcPr>
          <w:p w:rsidR="00D95AF5" w:rsidRPr="005269AB" w:rsidRDefault="00D95AF5" w:rsidP="008B63A3">
            <w:pPr>
              <w:pStyle w:val="TableBodyText"/>
              <w:rPr>
                <w:sz w:val="18"/>
                <w:szCs w:val="18"/>
              </w:rPr>
            </w:pPr>
            <w:r w:rsidRPr="005269AB">
              <w:rPr>
                <w:sz w:val="18"/>
                <w:szCs w:val="18"/>
              </w:rPr>
              <w:t>3.6</w:t>
            </w:r>
          </w:p>
        </w:tc>
        <w:tc>
          <w:tcPr>
            <w:tcW w:w="495" w:type="pct"/>
            <w:shd w:val="clear" w:color="auto" w:fill="auto"/>
            <w:vAlign w:val="bottom"/>
          </w:tcPr>
          <w:p w:rsidR="00D95AF5" w:rsidRPr="005269AB" w:rsidRDefault="00D95AF5" w:rsidP="008B63A3">
            <w:pPr>
              <w:pStyle w:val="TableBodyText"/>
              <w:rPr>
                <w:sz w:val="18"/>
                <w:szCs w:val="18"/>
              </w:rPr>
            </w:pPr>
            <w:r w:rsidRPr="005269AB">
              <w:rPr>
                <w:sz w:val="18"/>
                <w:szCs w:val="18"/>
              </w:rPr>
              <w:t>8.8</w:t>
            </w:r>
          </w:p>
        </w:tc>
        <w:tc>
          <w:tcPr>
            <w:tcW w:w="495" w:type="pct"/>
            <w:shd w:val="clear" w:color="auto" w:fill="auto"/>
            <w:vAlign w:val="bottom"/>
          </w:tcPr>
          <w:p w:rsidR="00D95AF5" w:rsidRPr="005269AB" w:rsidRDefault="00D95AF5" w:rsidP="008B63A3">
            <w:pPr>
              <w:pStyle w:val="TableBodyText"/>
              <w:rPr>
                <w:sz w:val="18"/>
                <w:szCs w:val="18"/>
              </w:rPr>
            </w:pPr>
            <w:r w:rsidRPr="005269AB">
              <w:rPr>
                <w:sz w:val="18"/>
                <w:szCs w:val="18"/>
              </w:rPr>
              <w:t>8.8</w:t>
            </w:r>
          </w:p>
        </w:tc>
        <w:tc>
          <w:tcPr>
            <w:tcW w:w="488" w:type="pct"/>
            <w:shd w:val="clear" w:color="auto" w:fill="auto"/>
            <w:vAlign w:val="bottom"/>
          </w:tcPr>
          <w:p w:rsidR="00D95AF5" w:rsidRPr="005269AB" w:rsidRDefault="00D95AF5" w:rsidP="008B63A3">
            <w:pPr>
              <w:pStyle w:val="TableBodyText"/>
              <w:rPr>
                <w:sz w:val="18"/>
                <w:szCs w:val="18"/>
              </w:rPr>
            </w:pPr>
            <w:r w:rsidRPr="005269AB">
              <w:rPr>
                <w:sz w:val="18"/>
                <w:szCs w:val="18"/>
              </w:rPr>
              <w:t>11.1</w:t>
            </w:r>
          </w:p>
        </w:tc>
      </w:tr>
      <w:tr w:rsidR="00D95AF5" w:rsidTr="008B63A3">
        <w:trPr>
          <w:trHeight w:val="227"/>
        </w:trPr>
        <w:tc>
          <w:tcPr>
            <w:tcW w:w="1946" w:type="pct"/>
            <w:vAlign w:val="bottom"/>
          </w:tcPr>
          <w:p w:rsidR="00D95AF5" w:rsidRPr="007758AB" w:rsidRDefault="00D95AF5" w:rsidP="008B63A3">
            <w:pPr>
              <w:pStyle w:val="TableBodyText"/>
              <w:jc w:val="left"/>
              <w:rPr>
                <w:sz w:val="18"/>
                <w:szCs w:val="18"/>
              </w:rPr>
            </w:pPr>
            <w:r>
              <w:rPr>
                <w:sz w:val="18"/>
                <w:szCs w:val="18"/>
              </w:rPr>
              <w:t>Accommodation and food services</w:t>
            </w:r>
          </w:p>
        </w:tc>
        <w:tc>
          <w:tcPr>
            <w:tcW w:w="586" w:type="pct"/>
            <w:vAlign w:val="bottom"/>
          </w:tcPr>
          <w:p w:rsidR="00D95AF5" w:rsidRPr="005269AB" w:rsidRDefault="00D95AF5" w:rsidP="008B63A3">
            <w:pPr>
              <w:pStyle w:val="TableBodyText"/>
              <w:rPr>
                <w:sz w:val="18"/>
                <w:szCs w:val="18"/>
              </w:rPr>
            </w:pPr>
            <w:r w:rsidRPr="005269AB">
              <w:rPr>
                <w:sz w:val="18"/>
                <w:szCs w:val="18"/>
              </w:rPr>
              <w:t>3.1</w:t>
            </w:r>
          </w:p>
        </w:tc>
        <w:tc>
          <w:tcPr>
            <w:tcW w:w="495" w:type="pct"/>
            <w:vAlign w:val="bottom"/>
          </w:tcPr>
          <w:p w:rsidR="00D95AF5" w:rsidRPr="005269AB" w:rsidRDefault="00D95AF5" w:rsidP="008B63A3">
            <w:pPr>
              <w:pStyle w:val="TableBodyText"/>
              <w:rPr>
                <w:sz w:val="18"/>
                <w:szCs w:val="18"/>
              </w:rPr>
            </w:pPr>
            <w:r w:rsidRPr="005269AB">
              <w:rPr>
                <w:sz w:val="18"/>
                <w:szCs w:val="18"/>
              </w:rPr>
              <w:t>6.6</w:t>
            </w:r>
          </w:p>
        </w:tc>
        <w:tc>
          <w:tcPr>
            <w:tcW w:w="495" w:type="pct"/>
            <w:vAlign w:val="bottom"/>
          </w:tcPr>
          <w:p w:rsidR="00D95AF5" w:rsidRPr="005269AB" w:rsidRDefault="00D95AF5" w:rsidP="008B63A3">
            <w:pPr>
              <w:pStyle w:val="TableBodyText"/>
              <w:rPr>
                <w:sz w:val="18"/>
                <w:szCs w:val="18"/>
              </w:rPr>
            </w:pPr>
            <w:r w:rsidRPr="005269AB">
              <w:rPr>
                <w:sz w:val="18"/>
                <w:szCs w:val="18"/>
              </w:rPr>
              <w:t>8.1</w:t>
            </w:r>
          </w:p>
        </w:tc>
        <w:tc>
          <w:tcPr>
            <w:tcW w:w="495" w:type="pct"/>
            <w:shd w:val="clear" w:color="auto" w:fill="auto"/>
            <w:vAlign w:val="bottom"/>
          </w:tcPr>
          <w:p w:rsidR="00D95AF5" w:rsidRPr="005269AB" w:rsidRDefault="00D95AF5" w:rsidP="008B63A3">
            <w:pPr>
              <w:pStyle w:val="TableBodyText"/>
              <w:rPr>
                <w:sz w:val="18"/>
                <w:szCs w:val="18"/>
              </w:rPr>
            </w:pPr>
            <w:r w:rsidRPr="005269AB">
              <w:rPr>
                <w:sz w:val="18"/>
                <w:szCs w:val="18"/>
              </w:rPr>
              <w:t>0.6</w:t>
            </w:r>
          </w:p>
        </w:tc>
        <w:tc>
          <w:tcPr>
            <w:tcW w:w="495" w:type="pct"/>
            <w:shd w:val="clear" w:color="auto" w:fill="auto"/>
            <w:vAlign w:val="bottom"/>
          </w:tcPr>
          <w:p w:rsidR="00D95AF5" w:rsidRPr="005269AB" w:rsidRDefault="00D95AF5" w:rsidP="008B63A3">
            <w:pPr>
              <w:pStyle w:val="TableBodyText"/>
              <w:rPr>
                <w:sz w:val="18"/>
                <w:szCs w:val="18"/>
              </w:rPr>
            </w:pPr>
            <w:r w:rsidRPr="005269AB">
              <w:rPr>
                <w:sz w:val="18"/>
                <w:szCs w:val="18"/>
              </w:rPr>
              <w:t>0.6</w:t>
            </w:r>
          </w:p>
        </w:tc>
        <w:tc>
          <w:tcPr>
            <w:tcW w:w="488" w:type="pct"/>
            <w:shd w:val="clear" w:color="auto" w:fill="auto"/>
            <w:vAlign w:val="bottom"/>
          </w:tcPr>
          <w:p w:rsidR="00D95AF5" w:rsidRPr="005269AB" w:rsidRDefault="00D95AF5" w:rsidP="008B63A3">
            <w:pPr>
              <w:pStyle w:val="TableBodyText"/>
              <w:rPr>
                <w:sz w:val="18"/>
                <w:szCs w:val="18"/>
              </w:rPr>
            </w:pPr>
            <w:r w:rsidRPr="005269AB">
              <w:rPr>
                <w:sz w:val="18"/>
                <w:szCs w:val="18"/>
              </w:rPr>
              <w:t>0.8</w:t>
            </w:r>
          </w:p>
        </w:tc>
      </w:tr>
      <w:tr w:rsidR="00D95AF5" w:rsidTr="008B63A3">
        <w:trPr>
          <w:trHeight w:val="227"/>
        </w:trPr>
        <w:tc>
          <w:tcPr>
            <w:tcW w:w="1946" w:type="pct"/>
            <w:vAlign w:val="bottom"/>
          </w:tcPr>
          <w:p w:rsidR="00D95AF5" w:rsidRPr="007758AB" w:rsidRDefault="00D95AF5" w:rsidP="008B63A3">
            <w:pPr>
              <w:pStyle w:val="TableBodyText"/>
              <w:jc w:val="left"/>
              <w:rPr>
                <w:sz w:val="18"/>
                <w:szCs w:val="18"/>
              </w:rPr>
            </w:pPr>
            <w:r>
              <w:rPr>
                <w:sz w:val="18"/>
                <w:szCs w:val="18"/>
              </w:rPr>
              <w:t>Transport, postal and warehousing</w:t>
            </w:r>
          </w:p>
        </w:tc>
        <w:tc>
          <w:tcPr>
            <w:tcW w:w="586" w:type="pct"/>
            <w:vAlign w:val="bottom"/>
          </w:tcPr>
          <w:p w:rsidR="00D95AF5" w:rsidRPr="005269AB" w:rsidRDefault="00D95AF5" w:rsidP="008B63A3">
            <w:pPr>
              <w:pStyle w:val="TableBodyText"/>
              <w:rPr>
                <w:sz w:val="18"/>
                <w:szCs w:val="18"/>
              </w:rPr>
            </w:pPr>
            <w:r w:rsidRPr="005269AB">
              <w:rPr>
                <w:sz w:val="18"/>
                <w:szCs w:val="18"/>
              </w:rPr>
              <w:t>0.9</w:t>
            </w:r>
          </w:p>
        </w:tc>
        <w:tc>
          <w:tcPr>
            <w:tcW w:w="495" w:type="pct"/>
            <w:vAlign w:val="bottom"/>
          </w:tcPr>
          <w:p w:rsidR="00D95AF5" w:rsidRPr="005269AB" w:rsidRDefault="00D95AF5" w:rsidP="008B63A3">
            <w:pPr>
              <w:pStyle w:val="TableBodyText"/>
              <w:rPr>
                <w:sz w:val="18"/>
                <w:szCs w:val="18"/>
              </w:rPr>
            </w:pPr>
            <w:r w:rsidRPr="005269AB">
              <w:rPr>
                <w:sz w:val="18"/>
                <w:szCs w:val="18"/>
              </w:rPr>
              <w:t>1.3</w:t>
            </w:r>
          </w:p>
        </w:tc>
        <w:tc>
          <w:tcPr>
            <w:tcW w:w="495" w:type="pct"/>
            <w:vAlign w:val="bottom"/>
          </w:tcPr>
          <w:p w:rsidR="00D95AF5" w:rsidRPr="005269AB" w:rsidRDefault="00D95AF5" w:rsidP="008B63A3">
            <w:pPr>
              <w:pStyle w:val="TableBodyText"/>
              <w:rPr>
                <w:sz w:val="18"/>
                <w:szCs w:val="18"/>
              </w:rPr>
            </w:pPr>
            <w:r w:rsidRPr="005269AB">
              <w:rPr>
                <w:sz w:val="18"/>
                <w:szCs w:val="18"/>
              </w:rPr>
              <w:t>4.8</w:t>
            </w:r>
          </w:p>
        </w:tc>
        <w:tc>
          <w:tcPr>
            <w:tcW w:w="495" w:type="pct"/>
            <w:shd w:val="clear" w:color="auto" w:fill="auto"/>
            <w:vAlign w:val="bottom"/>
          </w:tcPr>
          <w:p w:rsidR="00D95AF5" w:rsidRPr="005269AB" w:rsidRDefault="00D95AF5" w:rsidP="008B63A3">
            <w:pPr>
              <w:pStyle w:val="TableBodyText"/>
              <w:rPr>
                <w:sz w:val="18"/>
                <w:szCs w:val="18"/>
              </w:rPr>
            </w:pPr>
            <w:r w:rsidRPr="005269AB">
              <w:rPr>
                <w:sz w:val="18"/>
                <w:szCs w:val="18"/>
              </w:rPr>
              <w:t>1.4</w:t>
            </w:r>
          </w:p>
        </w:tc>
        <w:tc>
          <w:tcPr>
            <w:tcW w:w="495" w:type="pct"/>
            <w:shd w:val="clear" w:color="auto" w:fill="auto"/>
            <w:vAlign w:val="bottom"/>
          </w:tcPr>
          <w:p w:rsidR="00D95AF5" w:rsidRPr="005269AB" w:rsidRDefault="00D95AF5" w:rsidP="008B63A3">
            <w:pPr>
              <w:pStyle w:val="TableBodyText"/>
              <w:rPr>
                <w:sz w:val="18"/>
                <w:szCs w:val="18"/>
              </w:rPr>
            </w:pPr>
            <w:r w:rsidRPr="005269AB">
              <w:rPr>
                <w:sz w:val="18"/>
                <w:szCs w:val="18"/>
              </w:rPr>
              <w:t>1.4</w:t>
            </w:r>
          </w:p>
        </w:tc>
        <w:tc>
          <w:tcPr>
            <w:tcW w:w="488" w:type="pct"/>
            <w:shd w:val="clear" w:color="auto" w:fill="auto"/>
            <w:vAlign w:val="bottom"/>
          </w:tcPr>
          <w:p w:rsidR="00D95AF5" w:rsidRPr="005269AB" w:rsidRDefault="00D95AF5" w:rsidP="008B63A3">
            <w:pPr>
              <w:pStyle w:val="TableBodyText"/>
              <w:rPr>
                <w:sz w:val="18"/>
                <w:szCs w:val="18"/>
              </w:rPr>
            </w:pPr>
            <w:r w:rsidRPr="005269AB">
              <w:rPr>
                <w:sz w:val="18"/>
                <w:szCs w:val="18"/>
              </w:rPr>
              <w:t>1.7</w:t>
            </w:r>
          </w:p>
        </w:tc>
      </w:tr>
      <w:tr w:rsidR="00D95AF5" w:rsidTr="008B63A3">
        <w:trPr>
          <w:trHeight w:val="227"/>
        </w:trPr>
        <w:tc>
          <w:tcPr>
            <w:tcW w:w="1946" w:type="pct"/>
            <w:vAlign w:val="bottom"/>
          </w:tcPr>
          <w:p w:rsidR="00D95AF5" w:rsidRPr="007758AB" w:rsidRDefault="00D95AF5" w:rsidP="008B63A3">
            <w:pPr>
              <w:pStyle w:val="TableBodyText"/>
              <w:jc w:val="left"/>
              <w:rPr>
                <w:sz w:val="18"/>
                <w:szCs w:val="18"/>
              </w:rPr>
            </w:pPr>
            <w:r>
              <w:rPr>
                <w:sz w:val="18"/>
                <w:szCs w:val="18"/>
              </w:rPr>
              <w:t>Financial and insurance services</w:t>
            </w:r>
          </w:p>
        </w:tc>
        <w:tc>
          <w:tcPr>
            <w:tcW w:w="586" w:type="pct"/>
            <w:vAlign w:val="bottom"/>
          </w:tcPr>
          <w:p w:rsidR="00D95AF5" w:rsidRPr="005269AB" w:rsidRDefault="00D95AF5" w:rsidP="008B63A3">
            <w:pPr>
              <w:pStyle w:val="TableBodyText"/>
              <w:rPr>
                <w:sz w:val="18"/>
                <w:szCs w:val="18"/>
              </w:rPr>
            </w:pPr>
            <w:r w:rsidRPr="005269AB">
              <w:rPr>
                <w:sz w:val="18"/>
                <w:szCs w:val="18"/>
              </w:rPr>
              <w:t>14.0</w:t>
            </w:r>
          </w:p>
        </w:tc>
        <w:tc>
          <w:tcPr>
            <w:tcW w:w="495" w:type="pct"/>
            <w:vAlign w:val="bottom"/>
          </w:tcPr>
          <w:p w:rsidR="00D95AF5" w:rsidRPr="005269AB" w:rsidRDefault="00D95AF5" w:rsidP="008B63A3">
            <w:pPr>
              <w:pStyle w:val="TableBodyText"/>
              <w:rPr>
                <w:sz w:val="18"/>
                <w:szCs w:val="18"/>
              </w:rPr>
            </w:pPr>
            <w:r w:rsidRPr="005269AB">
              <w:rPr>
                <w:sz w:val="18"/>
                <w:szCs w:val="18"/>
              </w:rPr>
              <w:t>14.5</w:t>
            </w:r>
          </w:p>
        </w:tc>
        <w:tc>
          <w:tcPr>
            <w:tcW w:w="495" w:type="pct"/>
            <w:vAlign w:val="bottom"/>
          </w:tcPr>
          <w:p w:rsidR="00D95AF5" w:rsidRPr="005269AB" w:rsidRDefault="00D95AF5" w:rsidP="008B63A3">
            <w:pPr>
              <w:pStyle w:val="TableBodyText"/>
              <w:rPr>
                <w:sz w:val="18"/>
                <w:szCs w:val="18"/>
              </w:rPr>
            </w:pPr>
            <w:r w:rsidRPr="005269AB">
              <w:rPr>
                <w:sz w:val="18"/>
                <w:szCs w:val="18"/>
              </w:rPr>
              <w:t>34.6</w:t>
            </w:r>
          </w:p>
        </w:tc>
        <w:tc>
          <w:tcPr>
            <w:tcW w:w="495" w:type="pct"/>
            <w:shd w:val="clear" w:color="auto" w:fill="auto"/>
            <w:vAlign w:val="bottom"/>
          </w:tcPr>
          <w:p w:rsidR="00D95AF5" w:rsidRPr="005269AB" w:rsidRDefault="00D95AF5" w:rsidP="008B63A3">
            <w:pPr>
              <w:pStyle w:val="TableBodyText"/>
              <w:rPr>
                <w:sz w:val="18"/>
                <w:szCs w:val="18"/>
              </w:rPr>
            </w:pPr>
            <w:r w:rsidRPr="005269AB">
              <w:rPr>
                <w:sz w:val="18"/>
                <w:szCs w:val="18"/>
              </w:rPr>
              <w:t>23.1</w:t>
            </w:r>
          </w:p>
        </w:tc>
        <w:tc>
          <w:tcPr>
            <w:tcW w:w="495" w:type="pct"/>
            <w:shd w:val="clear" w:color="auto" w:fill="auto"/>
            <w:vAlign w:val="bottom"/>
          </w:tcPr>
          <w:p w:rsidR="00D95AF5" w:rsidRPr="005269AB" w:rsidRDefault="00D95AF5" w:rsidP="008B63A3">
            <w:pPr>
              <w:pStyle w:val="TableBodyText"/>
              <w:rPr>
                <w:sz w:val="18"/>
                <w:szCs w:val="18"/>
              </w:rPr>
            </w:pPr>
            <w:r w:rsidRPr="005269AB">
              <w:rPr>
                <w:sz w:val="18"/>
                <w:szCs w:val="18"/>
              </w:rPr>
              <w:t>23.1</w:t>
            </w:r>
          </w:p>
        </w:tc>
        <w:tc>
          <w:tcPr>
            <w:tcW w:w="488" w:type="pct"/>
            <w:shd w:val="clear" w:color="auto" w:fill="auto"/>
            <w:vAlign w:val="bottom"/>
          </w:tcPr>
          <w:p w:rsidR="00D95AF5" w:rsidRPr="005269AB" w:rsidRDefault="00D95AF5" w:rsidP="008B63A3">
            <w:pPr>
              <w:pStyle w:val="TableBodyText"/>
              <w:rPr>
                <w:sz w:val="18"/>
                <w:szCs w:val="18"/>
              </w:rPr>
            </w:pPr>
            <w:r w:rsidRPr="005269AB">
              <w:rPr>
                <w:sz w:val="18"/>
                <w:szCs w:val="18"/>
              </w:rPr>
              <w:t>29.2</w:t>
            </w:r>
          </w:p>
        </w:tc>
      </w:tr>
      <w:tr w:rsidR="00D95AF5" w:rsidTr="008B63A3">
        <w:trPr>
          <w:trHeight w:val="227"/>
        </w:trPr>
        <w:tc>
          <w:tcPr>
            <w:tcW w:w="1946" w:type="pct"/>
            <w:vAlign w:val="bottom"/>
          </w:tcPr>
          <w:p w:rsidR="00D95AF5" w:rsidRPr="007758AB" w:rsidRDefault="00D95AF5" w:rsidP="008B63A3">
            <w:pPr>
              <w:pStyle w:val="TableBodyText"/>
              <w:jc w:val="left"/>
              <w:rPr>
                <w:sz w:val="18"/>
                <w:szCs w:val="18"/>
              </w:rPr>
            </w:pPr>
            <w:r w:rsidRPr="007758AB">
              <w:rPr>
                <w:sz w:val="18"/>
                <w:szCs w:val="18"/>
              </w:rPr>
              <w:t>Property, professional and administrative services</w:t>
            </w:r>
          </w:p>
        </w:tc>
        <w:tc>
          <w:tcPr>
            <w:tcW w:w="586" w:type="pct"/>
            <w:vAlign w:val="bottom"/>
          </w:tcPr>
          <w:p w:rsidR="00D95AF5" w:rsidRPr="005269AB" w:rsidRDefault="00D95AF5" w:rsidP="008B63A3">
            <w:pPr>
              <w:pStyle w:val="TableBodyText"/>
              <w:rPr>
                <w:sz w:val="18"/>
                <w:szCs w:val="18"/>
              </w:rPr>
            </w:pPr>
            <w:r w:rsidRPr="005269AB">
              <w:rPr>
                <w:sz w:val="18"/>
                <w:szCs w:val="18"/>
              </w:rPr>
              <w:t>8.8</w:t>
            </w:r>
          </w:p>
        </w:tc>
        <w:tc>
          <w:tcPr>
            <w:tcW w:w="495" w:type="pct"/>
            <w:vAlign w:val="bottom"/>
          </w:tcPr>
          <w:p w:rsidR="00D95AF5" w:rsidRPr="005269AB" w:rsidRDefault="00D95AF5" w:rsidP="008B63A3">
            <w:pPr>
              <w:pStyle w:val="TableBodyText"/>
              <w:rPr>
                <w:sz w:val="18"/>
                <w:szCs w:val="18"/>
              </w:rPr>
            </w:pPr>
            <w:r w:rsidRPr="005269AB">
              <w:rPr>
                <w:sz w:val="18"/>
                <w:szCs w:val="18"/>
              </w:rPr>
              <w:t>23.3</w:t>
            </w:r>
          </w:p>
        </w:tc>
        <w:tc>
          <w:tcPr>
            <w:tcW w:w="495" w:type="pct"/>
            <w:vAlign w:val="bottom"/>
          </w:tcPr>
          <w:p w:rsidR="00D95AF5" w:rsidRPr="005269AB" w:rsidRDefault="00D95AF5" w:rsidP="008B63A3">
            <w:pPr>
              <w:pStyle w:val="TableBodyText"/>
              <w:rPr>
                <w:sz w:val="18"/>
                <w:szCs w:val="18"/>
              </w:rPr>
            </w:pPr>
            <w:r w:rsidRPr="005269AB">
              <w:rPr>
                <w:sz w:val="18"/>
                <w:szCs w:val="18"/>
              </w:rPr>
              <w:t>23.5</w:t>
            </w:r>
          </w:p>
        </w:tc>
        <w:tc>
          <w:tcPr>
            <w:tcW w:w="495" w:type="pct"/>
            <w:shd w:val="clear" w:color="auto" w:fill="auto"/>
            <w:vAlign w:val="bottom"/>
          </w:tcPr>
          <w:p w:rsidR="00D95AF5" w:rsidRPr="005269AB" w:rsidRDefault="00D95AF5" w:rsidP="008B63A3">
            <w:pPr>
              <w:pStyle w:val="TableBodyText"/>
              <w:rPr>
                <w:sz w:val="18"/>
                <w:szCs w:val="18"/>
              </w:rPr>
            </w:pPr>
            <w:r w:rsidRPr="005269AB">
              <w:rPr>
                <w:sz w:val="18"/>
                <w:szCs w:val="18"/>
              </w:rPr>
              <w:t>15.7</w:t>
            </w:r>
          </w:p>
        </w:tc>
        <w:tc>
          <w:tcPr>
            <w:tcW w:w="495" w:type="pct"/>
            <w:shd w:val="clear" w:color="auto" w:fill="auto"/>
            <w:vAlign w:val="bottom"/>
          </w:tcPr>
          <w:p w:rsidR="00D95AF5" w:rsidRPr="005269AB" w:rsidRDefault="00D95AF5" w:rsidP="008B63A3">
            <w:pPr>
              <w:pStyle w:val="TableBodyText"/>
              <w:rPr>
                <w:sz w:val="18"/>
                <w:szCs w:val="18"/>
              </w:rPr>
            </w:pPr>
            <w:r w:rsidRPr="005269AB">
              <w:rPr>
                <w:sz w:val="18"/>
                <w:szCs w:val="18"/>
              </w:rPr>
              <w:t>15.7</w:t>
            </w:r>
          </w:p>
        </w:tc>
        <w:tc>
          <w:tcPr>
            <w:tcW w:w="488" w:type="pct"/>
            <w:shd w:val="clear" w:color="auto" w:fill="auto"/>
            <w:vAlign w:val="bottom"/>
          </w:tcPr>
          <w:p w:rsidR="00D95AF5" w:rsidRPr="005269AB" w:rsidRDefault="00D95AF5" w:rsidP="008B63A3">
            <w:pPr>
              <w:pStyle w:val="TableBodyText"/>
              <w:rPr>
                <w:sz w:val="18"/>
                <w:szCs w:val="18"/>
              </w:rPr>
            </w:pPr>
            <w:r w:rsidRPr="005269AB">
              <w:rPr>
                <w:sz w:val="18"/>
                <w:szCs w:val="18"/>
              </w:rPr>
              <w:t>19.8</w:t>
            </w:r>
          </w:p>
        </w:tc>
      </w:tr>
      <w:tr w:rsidR="00D95AF5" w:rsidTr="008B63A3">
        <w:trPr>
          <w:trHeight w:val="227"/>
        </w:trPr>
        <w:tc>
          <w:tcPr>
            <w:tcW w:w="1946" w:type="pct"/>
            <w:vAlign w:val="bottom"/>
          </w:tcPr>
          <w:p w:rsidR="00D95AF5" w:rsidRPr="007758AB" w:rsidRDefault="00D95AF5" w:rsidP="008B63A3">
            <w:pPr>
              <w:pStyle w:val="TableBodyText"/>
              <w:jc w:val="left"/>
              <w:rPr>
                <w:sz w:val="18"/>
                <w:szCs w:val="18"/>
              </w:rPr>
            </w:pPr>
            <w:r>
              <w:rPr>
                <w:sz w:val="18"/>
                <w:szCs w:val="18"/>
              </w:rPr>
              <w:t>Education and training</w:t>
            </w:r>
          </w:p>
        </w:tc>
        <w:tc>
          <w:tcPr>
            <w:tcW w:w="586" w:type="pct"/>
            <w:vAlign w:val="bottom"/>
          </w:tcPr>
          <w:p w:rsidR="00D95AF5" w:rsidRPr="005269AB" w:rsidRDefault="00D95AF5" w:rsidP="008B63A3">
            <w:pPr>
              <w:pStyle w:val="TableBodyText"/>
              <w:rPr>
                <w:sz w:val="18"/>
                <w:szCs w:val="18"/>
              </w:rPr>
            </w:pPr>
            <w:r>
              <w:rPr>
                <w:sz w:val="18"/>
                <w:szCs w:val="18"/>
              </w:rPr>
              <w:noBreakHyphen/>
            </w:r>
          </w:p>
        </w:tc>
        <w:tc>
          <w:tcPr>
            <w:tcW w:w="495" w:type="pct"/>
            <w:vAlign w:val="bottom"/>
          </w:tcPr>
          <w:p w:rsidR="00D95AF5" w:rsidRPr="005269AB" w:rsidRDefault="00D95AF5" w:rsidP="008B63A3">
            <w:pPr>
              <w:pStyle w:val="TableBodyText"/>
              <w:rPr>
                <w:sz w:val="18"/>
                <w:szCs w:val="18"/>
              </w:rPr>
            </w:pPr>
            <w:r>
              <w:rPr>
                <w:sz w:val="18"/>
                <w:szCs w:val="18"/>
              </w:rPr>
              <w:noBreakHyphen/>
            </w:r>
          </w:p>
        </w:tc>
        <w:tc>
          <w:tcPr>
            <w:tcW w:w="495" w:type="pct"/>
            <w:vAlign w:val="bottom"/>
          </w:tcPr>
          <w:p w:rsidR="00D95AF5" w:rsidRPr="005269AB" w:rsidRDefault="00D95AF5" w:rsidP="008B63A3">
            <w:pPr>
              <w:pStyle w:val="TableBodyText"/>
              <w:rPr>
                <w:sz w:val="18"/>
                <w:szCs w:val="18"/>
              </w:rPr>
            </w:pPr>
            <w:r>
              <w:rPr>
                <w:sz w:val="18"/>
                <w:szCs w:val="18"/>
              </w:rPr>
              <w:noBreakHyphen/>
            </w:r>
          </w:p>
        </w:tc>
        <w:tc>
          <w:tcPr>
            <w:tcW w:w="495" w:type="pct"/>
            <w:shd w:val="clear" w:color="auto" w:fill="auto"/>
            <w:vAlign w:val="bottom"/>
          </w:tcPr>
          <w:p w:rsidR="00D95AF5" w:rsidRPr="005269AB" w:rsidRDefault="00D95AF5" w:rsidP="008B63A3">
            <w:pPr>
              <w:pStyle w:val="TableBodyText"/>
              <w:rPr>
                <w:sz w:val="18"/>
                <w:szCs w:val="18"/>
              </w:rPr>
            </w:pPr>
            <w:r w:rsidRPr="005269AB">
              <w:rPr>
                <w:sz w:val="18"/>
                <w:szCs w:val="18"/>
              </w:rPr>
              <w:t>0.1</w:t>
            </w:r>
          </w:p>
        </w:tc>
        <w:tc>
          <w:tcPr>
            <w:tcW w:w="495" w:type="pct"/>
            <w:shd w:val="clear" w:color="auto" w:fill="auto"/>
            <w:vAlign w:val="bottom"/>
          </w:tcPr>
          <w:p w:rsidR="00D95AF5" w:rsidRPr="005269AB" w:rsidRDefault="00D95AF5" w:rsidP="008B63A3">
            <w:pPr>
              <w:pStyle w:val="TableBodyText"/>
              <w:rPr>
                <w:sz w:val="18"/>
                <w:szCs w:val="18"/>
              </w:rPr>
            </w:pPr>
            <w:r w:rsidRPr="005269AB">
              <w:rPr>
                <w:sz w:val="18"/>
                <w:szCs w:val="18"/>
              </w:rPr>
              <w:t>0.1</w:t>
            </w:r>
          </w:p>
        </w:tc>
        <w:tc>
          <w:tcPr>
            <w:tcW w:w="488" w:type="pct"/>
            <w:shd w:val="clear" w:color="auto" w:fill="auto"/>
            <w:vAlign w:val="bottom"/>
          </w:tcPr>
          <w:p w:rsidR="00D95AF5" w:rsidRPr="005269AB" w:rsidRDefault="00D95AF5" w:rsidP="008B63A3">
            <w:pPr>
              <w:pStyle w:val="TableBodyText"/>
              <w:rPr>
                <w:sz w:val="18"/>
                <w:szCs w:val="18"/>
              </w:rPr>
            </w:pPr>
            <w:r w:rsidRPr="005269AB">
              <w:rPr>
                <w:sz w:val="18"/>
                <w:szCs w:val="18"/>
              </w:rPr>
              <w:t>0.2</w:t>
            </w:r>
          </w:p>
        </w:tc>
      </w:tr>
      <w:tr w:rsidR="00D95AF5" w:rsidTr="008B63A3">
        <w:trPr>
          <w:trHeight w:val="227"/>
        </w:trPr>
        <w:tc>
          <w:tcPr>
            <w:tcW w:w="1946" w:type="pct"/>
            <w:vAlign w:val="bottom"/>
          </w:tcPr>
          <w:p w:rsidR="00D95AF5" w:rsidRPr="007758AB" w:rsidRDefault="00D95AF5" w:rsidP="008B63A3">
            <w:pPr>
              <w:pStyle w:val="TableBodyText"/>
              <w:jc w:val="left"/>
              <w:rPr>
                <w:sz w:val="18"/>
                <w:szCs w:val="18"/>
              </w:rPr>
            </w:pPr>
            <w:r w:rsidRPr="007758AB">
              <w:rPr>
                <w:sz w:val="18"/>
                <w:szCs w:val="18"/>
              </w:rPr>
              <w:t>Health care and social assistance</w:t>
            </w:r>
          </w:p>
        </w:tc>
        <w:tc>
          <w:tcPr>
            <w:tcW w:w="586" w:type="pct"/>
            <w:vAlign w:val="bottom"/>
          </w:tcPr>
          <w:p w:rsidR="00D95AF5" w:rsidRPr="005269AB" w:rsidRDefault="00D95AF5" w:rsidP="008B63A3">
            <w:pPr>
              <w:pStyle w:val="TableBodyText"/>
              <w:rPr>
                <w:sz w:val="18"/>
                <w:szCs w:val="18"/>
              </w:rPr>
            </w:pPr>
            <w:r w:rsidRPr="005269AB">
              <w:rPr>
                <w:sz w:val="18"/>
                <w:szCs w:val="18"/>
              </w:rPr>
              <w:t>1.7</w:t>
            </w:r>
          </w:p>
        </w:tc>
        <w:tc>
          <w:tcPr>
            <w:tcW w:w="495" w:type="pct"/>
            <w:vAlign w:val="bottom"/>
          </w:tcPr>
          <w:p w:rsidR="00D95AF5" w:rsidRPr="005269AB" w:rsidRDefault="00D95AF5" w:rsidP="008B63A3">
            <w:pPr>
              <w:pStyle w:val="TableBodyText"/>
              <w:rPr>
                <w:sz w:val="18"/>
                <w:szCs w:val="18"/>
              </w:rPr>
            </w:pPr>
            <w:r w:rsidRPr="005269AB">
              <w:rPr>
                <w:sz w:val="18"/>
                <w:szCs w:val="18"/>
              </w:rPr>
              <w:t>3.8</w:t>
            </w:r>
          </w:p>
        </w:tc>
        <w:tc>
          <w:tcPr>
            <w:tcW w:w="495" w:type="pct"/>
            <w:vAlign w:val="bottom"/>
          </w:tcPr>
          <w:p w:rsidR="00D95AF5" w:rsidRPr="005269AB" w:rsidRDefault="00D95AF5" w:rsidP="008B63A3">
            <w:pPr>
              <w:pStyle w:val="TableBodyText"/>
              <w:rPr>
                <w:sz w:val="18"/>
                <w:szCs w:val="18"/>
              </w:rPr>
            </w:pPr>
            <w:r w:rsidRPr="005269AB">
              <w:rPr>
                <w:sz w:val="18"/>
                <w:szCs w:val="18"/>
              </w:rPr>
              <w:t>0.7</w:t>
            </w:r>
          </w:p>
        </w:tc>
        <w:tc>
          <w:tcPr>
            <w:tcW w:w="495" w:type="pct"/>
            <w:shd w:val="clear" w:color="auto" w:fill="auto"/>
            <w:vAlign w:val="bottom"/>
          </w:tcPr>
          <w:p w:rsidR="00D95AF5" w:rsidRPr="005269AB" w:rsidRDefault="00D95AF5" w:rsidP="008B63A3">
            <w:pPr>
              <w:pStyle w:val="TableBodyText"/>
              <w:rPr>
                <w:sz w:val="18"/>
                <w:szCs w:val="18"/>
              </w:rPr>
            </w:pPr>
            <w:r w:rsidRPr="005269AB">
              <w:rPr>
                <w:sz w:val="18"/>
                <w:szCs w:val="18"/>
              </w:rPr>
              <w:t>1.9</w:t>
            </w:r>
          </w:p>
        </w:tc>
        <w:tc>
          <w:tcPr>
            <w:tcW w:w="495" w:type="pct"/>
            <w:shd w:val="clear" w:color="auto" w:fill="auto"/>
            <w:vAlign w:val="bottom"/>
          </w:tcPr>
          <w:p w:rsidR="00D95AF5" w:rsidRPr="005269AB" w:rsidRDefault="00D95AF5" w:rsidP="008B63A3">
            <w:pPr>
              <w:pStyle w:val="TableBodyText"/>
              <w:rPr>
                <w:sz w:val="18"/>
                <w:szCs w:val="18"/>
              </w:rPr>
            </w:pPr>
            <w:r w:rsidRPr="005269AB">
              <w:rPr>
                <w:sz w:val="18"/>
                <w:szCs w:val="18"/>
              </w:rPr>
              <w:t>1.9</w:t>
            </w:r>
          </w:p>
        </w:tc>
        <w:tc>
          <w:tcPr>
            <w:tcW w:w="488" w:type="pct"/>
            <w:shd w:val="clear" w:color="auto" w:fill="auto"/>
            <w:vAlign w:val="bottom"/>
          </w:tcPr>
          <w:p w:rsidR="00D95AF5" w:rsidRPr="005269AB" w:rsidRDefault="00D95AF5" w:rsidP="008B63A3">
            <w:pPr>
              <w:pStyle w:val="TableBodyText"/>
              <w:rPr>
                <w:sz w:val="18"/>
                <w:szCs w:val="18"/>
              </w:rPr>
            </w:pPr>
            <w:r w:rsidRPr="005269AB">
              <w:rPr>
                <w:sz w:val="18"/>
                <w:szCs w:val="18"/>
              </w:rPr>
              <w:t>2.5</w:t>
            </w:r>
          </w:p>
        </w:tc>
      </w:tr>
      <w:tr w:rsidR="00D95AF5" w:rsidTr="008B63A3">
        <w:trPr>
          <w:trHeight w:val="227"/>
        </w:trPr>
        <w:tc>
          <w:tcPr>
            <w:tcW w:w="1946" w:type="pct"/>
            <w:vAlign w:val="bottom"/>
          </w:tcPr>
          <w:p w:rsidR="00D95AF5" w:rsidRPr="007758AB" w:rsidRDefault="00D95AF5" w:rsidP="008B63A3">
            <w:pPr>
              <w:pStyle w:val="TableBodyText"/>
              <w:jc w:val="left"/>
              <w:rPr>
                <w:sz w:val="18"/>
                <w:szCs w:val="18"/>
              </w:rPr>
            </w:pPr>
            <w:r>
              <w:rPr>
                <w:sz w:val="18"/>
                <w:szCs w:val="18"/>
              </w:rPr>
              <w:t>Other services</w:t>
            </w:r>
          </w:p>
        </w:tc>
        <w:tc>
          <w:tcPr>
            <w:tcW w:w="586" w:type="pct"/>
            <w:vAlign w:val="bottom"/>
          </w:tcPr>
          <w:p w:rsidR="00D95AF5" w:rsidRPr="005269AB" w:rsidRDefault="00D95AF5" w:rsidP="008B63A3">
            <w:pPr>
              <w:pStyle w:val="TableBodyText"/>
              <w:rPr>
                <w:sz w:val="18"/>
                <w:szCs w:val="18"/>
              </w:rPr>
            </w:pPr>
            <w:r w:rsidRPr="005269AB">
              <w:rPr>
                <w:sz w:val="18"/>
                <w:szCs w:val="18"/>
              </w:rPr>
              <w:t>1.2</w:t>
            </w:r>
          </w:p>
        </w:tc>
        <w:tc>
          <w:tcPr>
            <w:tcW w:w="495" w:type="pct"/>
            <w:vAlign w:val="bottom"/>
          </w:tcPr>
          <w:p w:rsidR="00D95AF5" w:rsidRPr="005269AB" w:rsidRDefault="00D95AF5" w:rsidP="008B63A3">
            <w:pPr>
              <w:pStyle w:val="TableBodyText"/>
              <w:rPr>
                <w:sz w:val="18"/>
                <w:szCs w:val="18"/>
              </w:rPr>
            </w:pPr>
            <w:r w:rsidRPr="005269AB">
              <w:rPr>
                <w:sz w:val="18"/>
                <w:szCs w:val="18"/>
              </w:rPr>
              <w:t>1.8</w:t>
            </w:r>
          </w:p>
        </w:tc>
        <w:tc>
          <w:tcPr>
            <w:tcW w:w="495" w:type="pct"/>
            <w:vAlign w:val="bottom"/>
          </w:tcPr>
          <w:p w:rsidR="00D95AF5" w:rsidRPr="005269AB" w:rsidRDefault="00D95AF5" w:rsidP="008B63A3">
            <w:pPr>
              <w:pStyle w:val="TableBodyText"/>
              <w:rPr>
                <w:sz w:val="18"/>
                <w:szCs w:val="18"/>
              </w:rPr>
            </w:pPr>
            <w:r w:rsidRPr="005269AB">
              <w:rPr>
                <w:sz w:val="18"/>
                <w:szCs w:val="18"/>
              </w:rPr>
              <w:t>1.5</w:t>
            </w:r>
          </w:p>
        </w:tc>
        <w:tc>
          <w:tcPr>
            <w:tcW w:w="495" w:type="pct"/>
            <w:shd w:val="clear" w:color="auto" w:fill="auto"/>
            <w:vAlign w:val="bottom"/>
          </w:tcPr>
          <w:p w:rsidR="00D95AF5" w:rsidRPr="005269AB" w:rsidRDefault="00D95AF5" w:rsidP="008B63A3">
            <w:pPr>
              <w:pStyle w:val="TableBodyText"/>
              <w:rPr>
                <w:sz w:val="18"/>
                <w:szCs w:val="18"/>
              </w:rPr>
            </w:pPr>
            <w:r w:rsidRPr="005269AB">
              <w:rPr>
                <w:sz w:val="18"/>
                <w:szCs w:val="18"/>
              </w:rPr>
              <w:t>1.1</w:t>
            </w:r>
          </w:p>
        </w:tc>
        <w:tc>
          <w:tcPr>
            <w:tcW w:w="495" w:type="pct"/>
            <w:shd w:val="clear" w:color="auto" w:fill="auto"/>
            <w:vAlign w:val="bottom"/>
          </w:tcPr>
          <w:p w:rsidR="00D95AF5" w:rsidRPr="005269AB" w:rsidRDefault="00D95AF5" w:rsidP="008B63A3">
            <w:pPr>
              <w:pStyle w:val="TableBodyText"/>
              <w:rPr>
                <w:sz w:val="18"/>
                <w:szCs w:val="18"/>
              </w:rPr>
            </w:pPr>
            <w:r w:rsidRPr="005269AB">
              <w:rPr>
                <w:sz w:val="18"/>
                <w:szCs w:val="18"/>
              </w:rPr>
              <w:t>1.1</w:t>
            </w:r>
          </w:p>
        </w:tc>
        <w:tc>
          <w:tcPr>
            <w:tcW w:w="488" w:type="pct"/>
            <w:shd w:val="clear" w:color="auto" w:fill="auto"/>
            <w:vAlign w:val="bottom"/>
          </w:tcPr>
          <w:p w:rsidR="00D95AF5" w:rsidRPr="005269AB" w:rsidRDefault="00D95AF5" w:rsidP="008B63A3">
            <w:pPr>
              <w:pStyle w:val="TableBodyText"/>
              <w:rPr>
                <w:sz w:val="18"/>
                <w:szCs w:val="18"/>
              </w:rPr>
            </w:pPr>
            <w:r w:rsidRPr="005269AB">
              <w:rPr>
                <w:sz w:val="18"/>
                <w:szCs w:val="18"/>
              </w:rPr>
              <w:t>1.3</w:t>
            </w:r>
          </w:p>
        </w:tc>
      </w:tr>
      <w:tr w:rsidR="00D95AF5" w:rsidTr="008B63A3">
        <w:trPr>
          <w:trHeight w:val="227"/>
        </w:trPr>
        <w:tc>
          <w:tcPr>
            <w:tcW w:w="1946" w:type="pct"/>
            <w:vAlign w:val="bottom"/>
          </w:tcPr>
          <w:p w:rsidR="00D95AF5" w:rsidRPr="007758AB" w:rsidRDefault="00D95AF5" w:rsidP="008B63A3">
            <w:pPr>
              <w:pStyle w:val="TableBodyText"/>
              <w:jc w:val="left"/>
              <w:rPr>
                <w:sz w:val="18"/>
                <w:szCs w:val="18"/>
              </w:rPr>
            </w:pPr>
            <w:r>
              <w:rPr>
                <w:sz w:val="18"/>
                <w:szCs w:val="18"/>
              </w:rPr>
              <w:t>Unallocated other</w:t>
            </w:r>
            <w:r w:rsidRPr="008E2C08">
              <w:rPr>
                <w:rStyle w:val="NoteLabel"/>
                <w:szCs w:val="18"/>
              </w:rPr>
              <w:t>a</w:t>
            </w:r>
          </w:p>
        </w:tc>
        <w:tc>
          <w:tcPr>
            <w:tcW w:w="586" w:type="pct"/>
            <w:vAlign w:val="bottom"/>
          </w:tcPr>
          <w:p w:rsidR="00D95AF5" w:rsidRPr="005269AB" w:rsidRDefault="00D95AF5" w:rsidP="008B63A3">
            <w:pPr>
              <w:pStyle w:val="TableBodyText"/>
              <w:rPr>
                <w:sz w:val="18"/>
                <w:szCs w:val="18"/>
              </w:rPr>
            </w:pPr>
            <w:r w:rsidRPr="005269AB">
              <w:rPr>
                <w:sz w:val="18"/>
                <w:szCs w:val="18"/>
              </w:rPr>
              <w:t>12.9</w:t>
            </w:r>
          </w:p>
        </w:tc>
        <w:tc>
          <w:tcPr>
            <w:tcW w:w="495" w:type="pct"/>
            <w:vAlign w:val="bottom"/>
          </w:tcPr>
          <w:p w:rsidR="00D95AF5" w:rsidRPr="005269AB" w:rsidRDefault="00D95AF5" w:rsidP="008B63A3">
            <w:pPr>
              <w:pStyle w:val="TableBodyText"/>
              <w:rPr>
                <w:sz w:val="18"/>
                <w:szCs w:val="18"/>
              </w:rPr>
            </w:pPr>
            <w:r w:rsidRPr="005269AB">
              <w:rPr>
                <w:sz w:val="18"/>
                <w:szCs w:val="18"/>
              </w:rPr>
              <w:t>22.2</w:t>
            </w:r>
          </w:p>
        </w:tc>
        <w:tc>
          <w:tcPr>
            <w:tcW w:w="495" w:type="pct"/>
            <w:vAlign w:val="bottom"/>
          </w:tcPr>
          <w:p w:rsidR="00D95AF5" w:rsidRPr="005269AB" w:rsidRDefault="00D95AF5" w:rsidP="008B63A3">
            <w:pPr>
              <w:pStyle w:val="TableBodyText"/>
              <w:rPr>
                <w:sz w:val="18"/>
                <w:szCs w:val="18"/>
              </w:rPr>
            </w:pPr>
            <w:r w:rsidRPr="005269AB">
              <w:rPr>
                <w:sz w:val="18"/>
                <w:szCs w:val="18"/>
              </w:rPr>
              <w:t>31.2</w:t>
            </w:r>
          </w:p>
        </w:tc>
        <w:tc>
          <w:tcPr>
            <w:tcW w:w="495" w:type="pct"/>
            <w:shd w:val="clear" w:color="auto" w:fill="auto"/>
            <w:vAlign w:val="bottom"/>
          </w:tcPr>
          <w:p w:rsidR="00D95AF5" w:rsidRPr="005269AB" w:rsidRDefault="00D95AF5" w:rsidP="008B63A3">
            <w:pPr>
              <w:pStyle w:val="TableBodyText"/>
              <w:rPr>
                <w:sz w:val="18"/>
                <w:szCs w:val="18"/>
              </w:rPr>
            </w:pPr>
            <w:r w:rsidRPr="005269AB">
              <w:rPr>
                <w:sz w:val="18"/>
                <w:szCs w:val="18"/>
              </w:rPr>
              <w:t>24.2</w:t>
            </w:r>
          </w:p>
        </w:tc>
        <w:tc>
          <w:tcPr>
            <w:tcW w:w="495" w:type="pct"/>
            <w:shd w:val="clear" w:color="auto" w:fill="auto"/>
            <w:vAlign w:val="bottom"/>
          </w:tcPr>
          <w:p w:rsidR="00D95AF5" w:rsidRPr="005269AB" w:rsidRDefault="00D95AF5" w:rsidP="008B63A3">
            <w:pPr>
              <w:pStyle w:val="TableBodyText"/>
              <w:rPr>
                <w:sz w:val="18"/>
                <w:szCs w:val="18"/>
              </w:rPr>
            </w:pPr>
            <w:r w:rsidRPr="005269AB">
              <w:rPr>
                <w:sz w:val="18"/>
                <w:szCs w:val="18"/>
              </w:rPr>
              <w:t>24.2</w:t>
            </w:r>
          </w:p>
        </w:tc>
        <w:tc>
          <w:tcPr>
            <w:tcW w:w="488" w:type="pct"/>
            <w:shd w:val="clear" w:color="auto" w:fill="auto"/>
            <w:vAlign w:val="bottom"/>
          </w:tcPr>
          <w:p w:rsidR="00D95AF5" w:rsidRPr="005269AB" w:rsidRDefault="00D95AF5" w:rsidP="008B63A3">
            <w:pPr>
              <w:pStyle w:val="TableBodyText"/>
              <w:rPr>
                <w:sz w:val="18"/>
                <w:szCs w:val="18"/>
              </w:rPr>
            </w:pPr>
            <w:r w:rsidRPr="005269AB">
              <w:rPr>
                <w:sz w:val="18"/>
                <w:szCs w:val="18"/>
              </w:rPr>
              <w:t>30.6</w:t>
            </w:r>
          </w:p>
        </w:tc>
      </w:tr>
      <w:tr w:rsidR="00D95AF5" w:rsidTr="008B63A3">
        <w:trPr>
          <w:trHeight w:val="227"/>
        </w:trPr>
        <w:tc>
          <w:tcPr>
            <w:tcW w:w="1946" w:type="pct"/>
            <w:tcBorders>
              <w:bottom w:val="single" w:sz="4" w:space="0" w:color="auto"/>
            </w:tcBorders>
            <w:vAlign w:val="bottom"/>
          </w:tcPr>
          <w:p w:rsidR="00D95AF5" w:rsidRPr="007758AB" w:rsidRDefault="00D95AF5" w:rsidP="008B63A3">
            <w:pPr>
              <w:pStyle w:val="TableBodyText"/>
              <w:jc w:val="left"/>
              <w:rPr>
                <w:b/>
                <w:bCs/>
                <w:sz w:val="18"/>
                <w:szCs w:val="18"/>
              </w:rPr>
            </w:pPr>
            <w:r w:rsidRPr="007758AB">
              <w:rPr>
                <w:b/>
                <w:bCs/>
                <w:sz w:val="18"/>
                <w:szCs w:val="18"/>
              </w:rPr>
              <w:t>Total</w:t>
            </w:r>
          </w:p>
        </w:tc>
        <w:tc>
          <w:tcPr>
            <w:tcW w:w="586" w:type="pct"/>
            <w:tcBorders>
              <w:bottom w:val="single" w:sz="4" w:space="0" w:color="auto"/>
            </w:tcBorders>
            <w:vAlign w:val="bottom"/>
          </w:tcPr>
          <w:p w:rsidR="00D95AF5" w:rsidRPr="00F05886" w:rsidRDefault="00D95AF5" w:rsidP="008B63A3">
            <w:pPr>
              <w:pStyle w:val="TableBodyText"/>
              <w:rPr>
                <w:b/>
                <w:sz w:val="18"/>
                <w:szCs w:val="18"/>
              </w:rPr>
            </w:pPr>
            <w:r w:rsidRPr="00F05886">
              <w:rPr>
                <w:b/>
                <w:sz w:val="18"/>
                <w:szCs w:val="18"/>
              </w:rPr>
              <w:t>55.0</w:t>
            </w:r>
          </w:p>
        </w:tc>
        <w:tc>
          <w:tcPr>
            <w:tcW w:w="495" w:type="pct"/>
            <w:tcBorders>
              <w:bottom w:val="single" w:sz="4" w:space="0" w:color="auto"/>
            </w:tcBorders>
            <w:vAlign w:val="bottom"/>
          </w:tcPr>
          <w:p w:rsidR="00D95AF5" w:rsidRPr="00F05886" w:rsidRDefault="00D95AF5" w:rsidP="008B63A3">
            <w:pPr>
              <w:pStyle w:val="TableBodyText"/>
              <w:rPr>
                <w:b/>
                <w:sz w:val="18"/>
                <w:szCs w:val="18"/>
              </w:rPr>
            </w:pPr>
            <w:r w:rsidRPr="00F05886">
              <w:rPr>
                <w:b/>
                <w:sz w:val="18"/>
                <w:szCs w:val="18"/>
              </w:rPr>
              <w:t>100.0</w:t>
            </w:r>
          </w:p>
        </w:tc>
        <w:tc>
          <w:tcPr>
            <w:tcW w:w="495" w:type="pct"/>
            <w:tcBorders>
              <w:bottom w:val="single" w:sz="4" w:space="0" w:color="auto"/>
            </w:tcBorders>
            <w:vAlign w:val="bottom"/>
          </w:tcPr>
          <w:p w:rsidR="00D95AF5" w:rsidRPr="00F05886" w:rsidRDefault="00D95AF5" w:rsidP="008B63A3">
            <w:pPr>
              <w:pStyle w:val="TableBodyText"/>
              <w:rPr>
                <w:b/>
                <w:sz w:val="18"/>
                <w:szCs w:val="18"/>
              </w:rPr>
            </w:pPr>
            <w:r w:rsidRPr="00F05886">
              <w:rPr>
                <w:b/>
                <w:sz w:val="18"/>
                <w:szCs w:val="18"/>
              </w:rPr>
              <w:t>135.0</w:t>
            </w:r>
          </w:p>
        </w:tc>
        <w:tc>
          <w:tcPr>
            <w:tcW w:w="495" w:type="pct"/>
            <w:tcBorders>
              <w:bottom w:val="single" w:sz="4" w:space="0" w:color="auto"/>
            </w:tcBorders>
            <w:shd w:val="clear" w:color="auto" w:fill="auto"/>
            <w:vAlign w:val="bottom"/>
          </w:tcPr>
          <w:p w:rsidR="00D95AF5" w:rsidRPr="00F05886" w:rsidRDefault="00D95AF5" w:rsidP="008B63A3">
            <w:pPr>
              <w:pStyle w:val="TableBodyText"/>
              <w:rPr>
                <w:b/>
                <w:sz w:val="18"/>
                <w:szCs w:val="18"/>
              </w:rPr>
            </w:pPr>
            <w:r w:rsidRPr="00F05886">
              <w:rPr>
                <w:b/>
                <w:sz w:val="18"/>
                <w:szCs w:val="18"/>
              </w:rPr>
              <w:t>95.0</w:t>
            </w:r>
          </w:p>
        </w:tc>
        <w:tc>
          <w:tcPr>
            <w:tcW w:w="495" w:type="pct"/>
            <w:tcBorders>
              <w:bottom w:val="single" w:sz="4" w:space="0" w:color="auto"/>
            </w:tcBorders>
            <w:shd w:val="clear" w:color="auto" w:fill="auto"/>
            <w:vAlign w:val="bottom"/>
          </w:tcPr>
          <w:p w:rsidR="00D95AF5" w:rsidRPr="00F05886" w:rsidRDefault="00D95AF5" w:rsidP="008B63A3">
            <w:pPr>
              <w:pStyle w:val="TableBodyText"/>
              <w:rPr>
                <w:b/>
                <w:sz w:val="18"/>
                <w:szCs w:val="18"/>
              </w:rPr>
            </w:pPr>
            <w:r w:rsidRPr="00F05886">
              <w:rPr>
                <w:b/>
                <w:sz w:val="18"/>
                <w:szCs w:val="18"/>
              </w:rPr>
              <w:t>95.0</w:t>
            </w:r>
          </w:p>
        </w:tc>
        <w:tc>
          <w:tcPr>
            <w:tcW w:w="488" w:type="pct"/>
            <w:tcBorders>
              <w:bottom w:val="single" w:sz="4" w:space="0" w:color="auto"/>
            </w:tcBorders>
            <w:shd w:val="clear" w:color="auto" w:fill="auto"/>
            <w:vAlign w:val="bottom"/>
          </w:tcPr>
          <w:p w:rsidR="00D95AF5" w:rsidRPr="00F05886" w:rsidRDefault="00D95AF5" w:rsidP="008B63A3">
            <w:pPr>
              <w:pStyle w:val="TableBodyText"/>
              <w:rPr>
                <w:b/>
                <w:sz w:val="18"/>
                <w:szCs w:val="18"/>
              </w:rPr>
            </w:pPr>
            <w:r w:rsidRPr="00F05886">
              <w:rPr>
                <w:b/>
                <w:sz w:val="18"/>
                <w:szCs w:val="18"/>
              </w:rPr>
              <w:t>120.0</w:t>
            </w:r>
          </w:p>
        </w:tc>
      </w:tr>
    </w:tbl>
    <w:p w:rsidR="00D95AF5" w:rsidRDefault="00D95AF5" w:rsidP="00D95AF5">
      <w:pPr>
        <w:pStyle w:val="Source"/>
        <w:spacing w:after="0"/>
        <w:rPr>
          <w:i/>
        </w:rPr>
      </w:pPr>
      <w:r w:rsidRPr="00A2379F">
        <w:noBreakHyphen/>
        <w:t xml:space="preserve"> </w:t>
      </w:r>
      <w:r>
        <w:t>Nil</w:t>
      </w:r>
      <w:r w:rsidRPr="00A2379F">
        <w:t>.</w:t>
      </w:r>
      <w:r>
        <w:t xml:space="preserve"> </w:t>
      </w:r>
      <w:r w:rsidRPr="008E77FE">
        <w:rPr>
          <w:rStyle w:val="NoteLabel"/>
        </w:rPr>
        <w:t>a</w:t>
      </w:r>
      <w:r>
        <w:t xml:space="preserve"> </w:t>
      </w:r>
      <w:r w:rsidRPr="00B81ACC">
        <w:t>Unallocated includes general programs where details of beneficiaries are unknown</w:t>
      </w:r>
      <w:r>
        <w:t>.</w:t>
      </w:r>
    </w:p>
    <w:p w:rsidR="00D95AF5" w:rsidRPr="008E77FE" w:rsidRDefault="00D95AF5" w:rsidP="00D95AF5">
      <w:pPr>
        <w:pStyle w:val="Source"/>
      </w:pPr>
      <w:r>
        <w:rPr>
          <w:i/>
        </w:rPr>
        <w:t>Sources</w:t>
      </w:r>
      <w:r>
        <w:t xml:space="preserve">: </w:t>
      </w:r>
      <w:r w:rsidRPr="00AF6D67">
        <w:t xml:space="preserve">Commission estimates based on </w:t>
      </w:r>
      <w:r>
        <w:t>Tax Expenditure Statement 2012, Australian Government 2013</w:t>
      </w:r>
      <w:r w:rsidRPr="00AF6D67">
        <w:t>, p</w:t>
      </w:r>
      <w:r w:rsidR="00221114">
        <w:t>.</w:t>
      </w:r>
      <w:r>
        <w:t> 13</w:t>
      </w:r>
      <w:r w:rsidRPr="00AF6D67">
        <w:t xml:space="preserve">2, item </w:t>
      </w:r>
      <w:r>
        <w:t>C17</w:t>
      </w:r>
      <w:r w:rsidRPr="00AF6D67">
        <w:t>; Industry classification derived from detailed ATO data by ANZSIC industry.</w:t>
      </w:r>
    </w:p>
    <w:p w:rsidR="00267A62" w:rsidRDefault="00FA09C3" w:rsidP="00267A62">
      <w:pPr>
        <w:pStyle w:val="Heading2"/>
      </w:pPr>
      <w:r>
        <w:t>A.</w:t>
      </w:r>
      <w:r>
        <w:rPr>
          <w:noProof/>
        </w:rPr>
        <w:t>25</w:t>
      </w:r>
      <w:r w:rsidR="00267A62">
        <w:tab/>
        <w:t>Ethanol production subsidy</w:t>
      </w:r>
    </w:p>
    <w:p w:rsidR="00267A62" w:rsidRDefault="00267A62" w:rsidP="00267A62">
      <w:pPr>
        <w:pStyle w:val="BodyText"/>
      </w:pPr>
      <w:r>
        <w:t xml:space="preserve">To encourage the use of ethanol in transport in Australia, since 2002 the Australian Government has provided a subsidy of 38.143 cents per litre to eligible ethanol producers. Such grants were initially to be available until 30 June 2011. However, in June 2011, the Australian Government extended the program to 2021 </w:t>
      </w:r>
      <w:r w:rsidRPr="000138D9">
        <w:t>(</w:t>
      </w:r>
      <w:r w:rsidRPr="002D4BCB">
        <w:t>DRET 2012</w:t>
      </w:r>
      <w:r w:rsidRPr="000138D9">
        <w:t>)</w:t>
      </w:r>
      <w:r>
        <w:t>. To claim the grant, ethanol must be produced entirely in Australia by the grant recipient from biomass feedstock and must be blended into or used as a transport fuel in Australia</w:t>
      </w:r>
      <w:r w:rsidR="00221114">
        <w:t xml:space="preserve">, and the </w:t>
      </w:r>
      <w:r>
        <w:t xml:space="preserve">producer must enter into a contract with the Australian Government </w:t>
      </w:r>
      <w:r w:rsidRPr="000138D9">
        <w:t>(</w:t>
      </w:r>
      <w:r w:rsidRPr="002D4BCB">
        <w:t>PC 2011</w:t>
      </w:r>
      <w:r w:rsidRPr="000138D9">
        <w:t>)</w:t>
      </w:r>
      <w:r>
        <w:t>.</w:t>
      </w:r>
    </w:p>
    <w:p w:rsidR="00267A62" w:rsidRDefault="00267A62" w:rsidP="00267A62">
      <w:pPr>
        <w:pStyle w:val="BodyText"/>
      </w:pPr>
      <w:r>
        <w:t xml:space="preserve">The subsidy selectively assists ethanol production activities in the broader </w:t>
      </w:r>
      <w:r w:rsidRPr="003F61A3">
        <w:rPr>
          <w:i/>
        </w:rPr>
        <w:t>Petroleum</w:t>
      </w:r>
      <w:r>
        <w:rPr>
          <w:i/>
        </w:rPr>
        <w:t>,</w:t>
      </w:r>
      <w:r w:rsidRPr="003F61A3">
        <w:rPr>
          <w:i/>
        </w:rPr>
        <w:t xml:space="preserve"> coal</w:t>
      </w:r>
      <w:r>
        <w:rPr>
          <w:i/>
        </w:rPr>
        <w:t>, chemical and rubber</w:t>
      </w:r>
      <w:r w:rsidRPr="003F61A3">
        <w:rPr>
          <w:i/>
        </w:rPr>
        <w:t xml:space="preserve"> products</w:t>
      </w:r>
      <w:r>
        <w:t xml:space="preserve"> industry grouping (table A.25).</w:t>
      </w:r>
    </w:p>
    <w:p w:rsidR="00267A62" w:rsidRDefault="00267A62" w:rsidP="00267A62">
      <w:pPr>
        <w:pStyle w:val="TableTitle"/>
      </w:pPr>
      <w:r>
        <w:rPr>
          <w:b w:val="0"/>
        </w:rPr>
        <w:lastRenderedPageBreak/>
        <w:t xml:space="preserve">Table </w:t>
      </w:r>
      <w:r w:rsidR="00FA09C3">
        <w:rPr>
          <w:b w:val="0"/>
        </w:rPr>
        <w:t>A.</w:t>
      </w:r>
      <w:r w:rsidR="00FA09C3">
        <w:rPr>
          <w:b w:val="0"/>
          <w:noProof/>
        </w:rPr>
        <w:t>25</w:t>
      </w:r>
      <w:r>
        <w:tab/>
        <w:t>Allocation of Ethanol production subsidy</w:t>
      </w:r>
      <w:r w:rsidR="001A5D30" w:rsidRPr="001A5D30">
        <w:t xml:space="preserve"> to industry</w:t>
      </w:r>
      <w:r>
        <w:t>, 2006</w:t>
      </w:r>
      <w:r>
        <w:noBreakHyphen/>
        <w:t>07 to 2011</w:t>
      </w:r>
      <w:r>
        <w:noBreakHyphen/>
        <w:t>12</w:t>
      </w:r>
    </w:p>
    <w:p w:rsidR="00267A62" w:rsidRDefault="00267A62" w:rsidP="00267A62">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267A62" w:rsidRPr="00AF699A" w:rsidTr="008B63A3">
        <w:tc>
          <w:tcPr>
            <w:tcW w:w="1960" w:type="pct"/>
            <w:tcBorders>
              <w:top w:val="single" w:sz="6" w:space="0" w:color="auto"/>
              <w:bottom w:val="single" w:sz="6" w:space="0" w:color="auto"/>
            </w:tcBorders>
          </w:tcPr>
          <w:p w:rsidR="00267A62" w:rsidRPr="00AF699A" w:rsidRDefault="00267A62" w:rsidP="008B63A3">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267A62" w:rsidRPr="00AF699A" w:rsidRDefault="00267A62" w:rsidP="008B63A3">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267A62" w:rsidRPr="00AF699A" w:rsidRDefault="00267A62" w:rsidP="008B63A3">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267A62" w:rsidRPr="00AF699A" w:rsidRDefault="00267A62" w:rsidP="008B63A3">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267A62" w:rsidRPr="00AF699A" w:rsidRDefault="00267A62" w:rsidP="008B63A3">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267A62" w:rsidRPr="00AF699A" w:rsidRDefault="00267A62" w:rsidP="008B63A3">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267A62" w:rsidRPr="00AF699A" w:rsidRDefault="00267A62" w:rsidP="008B63A3">
            <w:pPr>
              <w:pStyle w:val="TableColumnHeading"/>
              <w:ind w:right="28"/>
              <w:rPr>
                <w:rFonts w:cs="Arial"/>
                <w:sz w:val="18"/>
                <w:szCs w:val="18"/>
              </w:rPr>
            </w:pPr>
            <w:r w:rsidRPr="00AF699A">
              <w:rPr>
                <w:rFonts w:cs="Arial"/>
                <w:sz w:val="18"/>
                <w:szCs w:val="18"/>
              </w:rPr>
              <w:t>2011-12</w:t>
            </w:r>
          </w:p>
        </w:tc>
      </w:tr>
      <w:tr w:rsidR="00267A62" w:rsidRPr="006C5A80" w:rsidTr="008B63A3">
        <w:tc>
          <w:tcPr>
            <w:tcW w:w="1960" w:type="pct"/>
            <w:tcBorders>
              <w:bottom w:val="single" w:sz="4" w:space="0" w:color="auto"/>
            </w:tcBorders>
            <w:vAlign w:val="bottom"/>
          </w:tcPr>
          <w:p w:rsidR="00267A62" w:rsidRPr="00C944BA" w:rsidRDefault="00267A62" w:rsidP="008B63A3">
            <w:pPr>
              <w:pStyle w:val="TableBodyText"/>
              <w:jc w:val="left"/>
            </w:pPr>
            <w:r>
              <w:t>Petroleum, coal, chemical and rubber products</w:t>
            </w:r>
          </w:p>
        </w:tc>
        <w:tc>
          <w:tcPr>
            <w:tcW w:w="507" w:type="pct"/>
            <w:tcBorders>
              <w:bottom w:val="single" w:sz="4" w:space="0" w:color="auto"/>
            </w:tcBorders>
            <w:vAlign w:val="bottom"/>
          </w:tcPr>
          <w:p w:rsidR="00267A62" w:rsidRPr="00827DC9" w:rsidRDefault="00267A62" w:rsidP="008B63A3">
            <w:pPr>
              <w:pStyle w:val="TableBodyText"/>
            </w:pPr>
            <w:r w:rsidRPr="00827DC9">
              <w:t>31.9</w:t>
            </w:r>
          </w:p>
        </w:tc>
        <w:tc>
          <w:tcPr>
            <w:tcW w:w="507" w:type="pct"/>
            <w:tcBorders>
              <w:bottom w:val="single" w:sz="4" w:space="0" w:color="auto"/>
            </w:tcBorders>
            <w:vAlign w:val="bottom"/>
          </w:tcPr>
          <w:p w:rsidR="00267A62" w:rsidRPr="00827DC9" w:rsidRDefault="00267A62" w:rsidP="008B63A3">
            <w:pPr>
              <w:pStyle w:val="TableBodyText"/>
            </w:pPr>
            <w:r w:rsidRPr="00827DC9">
              <w:t>56.7</w:t>
            </w:r>
          </w:p>
        </w:tc>
        <w:tc>
          <w:tcPr>
            <w:tcW w:w="507" w:type="pct"/>
            <w:tcBorders>
              <w:bottom w:val="single" w:sz="4" w:space="0" w:color="auto"/>
            </w:tcBorders>
            <w:vAlign w:val="bottom"/>
          </w:tcPr>
          <w:p w:rsidR="00267A62" w:rsidRPr="00827DC9" w:rsidRDefault="00267A62" w:rsidP="008B63A3">
            <w:pPr>
              <w:pStyle w:val="TableBodyText"/>
            </w:pPr>
            <w:r w:rsidRPr="00827DC9">
              <w:t>79.8</w:t>
            </w:r>
          </w:p>
        </w:tc>
        <w:tc>
          <w:tcPr>
            <w:tcW w:w="507" w:type="pct"/>
            <w:tcBorders>
              <w:bottom w:val="single" w:sz="4" w:space="0" w:color="auto"/>
            </w:tcBorders>
            <w:vAlign w:val="bottom"/>
          </w:tcPr>
          <w:p w:rsidR="00267A62" w:rsidRPr="00827DC9" w:rsidRDefault="00267A62" w:rsidP="008B63A3">
            <w:pPr>
              <w:pStyle w:val="TableBodyText"/>
            </w:pPr>
            <w:r w:rsidRPr="00827DC9">
              <w:t>102.7</w:t>
            </w:r>
          </w:p>
        </w:tc>
        <w:tc>
          <w:tcPr>
            <w:tcW w:w="507" w:type="pct"/>
            <w:tcBorders>
              <w:bottom w:val="single" w:sz="4" w:space="0" w:color="auto"/>
            </w:tcBorders>
            <w:shd w:val="clear" w:color="auto" w:fill="auto"/>
            <w:vAlign w:val="bottom"/>
          </w:tcPr>
          <w:p w:rsidR="00267A62" w:rsidRPr="00827DC9" w:rsidRDefault="00267A62" w:rsidP="008B63A3">
            <w:pPr>
              <w:pStyle w:val="TableBodyText"/>
            </w:pPr>
            <w:r w:rsidRPr="00827DC9">
              <w:t>124.7</w:t>
            </w:r>
          </w:p>
        </w:tc>
        <w:tc>
          <w:tcPr>
            <w:tcW w:w="505" w:type="pct"/>
            <w:tcBorders>
              <w:bottom w:val="single" w:sz="4" w:space="0" w:color="auto"/>
            </w:tcBorders>
            <w:shd w:val="clear" w:color="auto" w:fill="auto"/>
            <w:vAlign w:val="bottom"/>
          </w:tcPr>
          <w:p w:rsidR="00267A62" w:rsidRPr="00827DC9" w:rsidRDefault="00267A62" w:rsidP="008B63A3">
            <w:pPr>
              <w:pStyle w:val="TableBodyText"/>
            </w:pPr>
            <w:r w:rsidRPr="00827DC9">
              <w:t>115.3</w:t>
            </w:r>
          </w:p>
        </w:tc>
      </w:tr>
    </w:tbl>
    <w:p w:rsidR="00267A62" w:rsidRPr="008E77FE" w:rsidRDefault="00267A62" w:rsidP="00267A62">
      <w:pPr>
        <w:pStyle w:val="Source"/>
      </w:pPr>
      <w:r>
        <w:rPr>
          <w:i/>
        </w:rPr>
        <w:t>Source</w:t>
      </w:r>
      <w:r>
        <w:t>: Commission estimates based on DRET Annual Report 2011</w:t>
      </w:r>
      <w:r>
        <w:noBreakHyphen/>
        <w:t>12 (and earlier years).</w:t>
      </w:r>
    </w:p>
    <w:p w:rsidR="00DB57A9" w:rsidRDefault="00FA09C3" w:rsidP="00DB57A9">
      <w:pPr>
        <w:pStyle w:val="Heading2"/>
      </w:pPr>
      <w:r>
        <w:t>A.</w:t>
      </w:r>
      <w:r>
        <w:rPr>
          <w:noProof/>
        </w:rPr>
        <w:t>26</w:t>
      </w:r>
      <w:r w:rsidR="00DB57A9">
        <w:tab/>
        <w:t>Austrade</w:t>
      </w:r>
    </w:p>
    <w:p w:rsidR="00DB57A9" w:rsidRDefault="00DB57A9" w:rsidP="00DB57A9">
      <w:pPr>
        <w:pStyle w:val="BodyText"/>
      </w:pPr>
      <w:r>
        <w:t>Austrade is the Australian Government’s primary export facilitation agency. Austrade’s annual budget appropriation primarily supports the operation of its international trade commission network. Austrade provides a range of export market intelligence and promotional services to potential and existing exporters, both to individual companies as well as more general export assistance such as information, exporter education, trade displays and sponsorship of the Australian Export Awards.</w:t>
      </w:r>
    </w:p>
    <w:p w:rsidR="00DB57A9" w:rsidRDefault="00DB57A9" w:rsidP="00DB57A9">
      <w:pPr>
        <w:pStyle w:val="BodyText"/>
      </w:pPr>
      <w:r>
        <w:t>Prior to 2008</w:t>
      </w:r>
      <w:r>
        <w:noBreakHyphen/>
        <w:t xml:space="preserve">09, the Commission had recorded all of the government appropriation funding against the </w:t>
      </w:r>
      <w:r w:rsidRPr="003879E8">
        <w:rPr>
          <w:i/>
        </w:rPr>
        <w:t>Unallocated other</w:t>
      </w:r>
      <w:r>
        <w:t xml:space="preserve"> category. For 2008</w:t>
      </w:r>
      <w:r>
        <w:noBreakHyphen/>
        <w:t>09, Austrade provided information about the proportion of its total appropriation pertaining to ‘industry assistance’ (as distinct from corporate overhead, consular and public diplomatic responsibilities and general policy work). This 2008</w:t>
      </w:r>
      <w:r>
        <w:noBreakHyphen/>
        <w:t>09 proportion has been applied to earlier years.</w:t>
      </w:r>
    </w:p>
    <w:p w:rsidR="00DB57A9" w:rsidRDefault="00DB57A9" w:rsidP="00DB57A9">
      <w:pPr>
        <w:pStyle w:val="BodyText"/>
      </w:pPr>
      <w:r>
        <w:t>Also for 2008</w:t>
      </w:r>
      <w:r>
        <w:noBreakHyphen/>
        <w:t>09, the Commission obtained information on the breakdown of Austrade expenditure by activity in an attempt to concord it with the ANZSIC industry groupings. Austrade, however, indicated that the industry allocations may vary significantly year by year and that it would not be appropriate to apply the 2008</w:t>
      </w:r>
      <w:r>
        <w:noBreakHyphen/>
        <w:t xml:space="preserve">09 pattern to other years. Accordingly, the proportion of Austrade appropriation funding considered to provide industry assistance remains allocated to the </w:t>
      </w:r>
      <w:r w:rsidRPr="003879E8">
        <w:rPr>
          <w:i/>
        </w:rPr>
        <w:t>Unallocated other</w:t>
      </w:r>
      <w:r>
        <w:t xml:space="preserve"> industry grouping in the Commission’s ANZSIC-based classification (table A.26).</w:t>
      </w:r>
    </w:p>
    <w:p w:rsidR="00DB57A9" w:rsidRDefault="00DB57A9" w:rsidP="00DB57A9">
      <w:pPr>
        <w:pStyle w:val="TableTitle"/>
      </w:pPr>
      <w:r>
        <w:rPr>
          <w:b w:val="0"/>
        </w:rPr>
        <w:t xml:space="preserve">Table </w:t>
      </w:r>
      <w:r w:rsidR="00FA09C3">
        <w:rPr>
          <w:b w:val="0"/>
        </w:rPr>
        <w:t>A.</w:t>
      </w:r>
      <w:r w:rsidR="00FA09C3">
        <w:rPr>
          <w:b w:val="0"/>
          <w:noProof/>
        </w:rPr>
        <w:t>26</w:t>
      </w:r>
      <w:r>
        <w:tab/>
        <w:t>Allocation of Austrade appropriation funding</w:t>
      </w:r>
      <w:r w:rsidR="001A5D30" w:rsidRPr="001A5D30">
        <w:t xml:space="preserve"> to industry</w:t>
      </w:r>
      <w:r>
        <w:t>, 2006</w:t>
      </w:r>
      <w:r>
        <w:noBreakHyphen/>
        <w:t>07 to 2011</w:t>
      </w:r>
      <w:r>
        <w:noBreakHyphen/>
        <w:t>12</w:t>
      </w:r>
    </w:p>
    <w:p w:rsidR="00DB57A9" w:rsidRDefault="00DB57A9" w:rsidP="00DB57A9">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DB57A9" w:rsidRPr="00AF699A" w:rsidTr="008B63A3">
        <w:tc>
          <w:tcPr>
            <w:tcW w:w="1960" w:type="pct"/>
            <w:tcBorders>
              <w:top w:val="single" w:sz="6" w:space="0" w:color="auto"/>
              <w:bottom w:val="single" w:sz="6" w:space="0" w:color="auto"/>
            </w:tcBorders>
          </w:tcPr>
          <w:p w:rsidR="00DB57A9" w:rsidRPr="00AF699A" w:rsidRDefault="00DB57A9" w:rsidP="008B63A3">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DB57A9" w:rsidRPr="00AF699A" w:rsidRDefault="00DB57A9" w:rsidP="008B63A3">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DB57A9" w:rsidRPr="00AF699A" w:rsidRDefault="00DB57A9" w:rsidP="008B63A3">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DB57A9" w:rsidRPr="00AF699A" w:rsidRDefault="00DB57A9" w:rsidP="008B63A3">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DB57A9" w:rsidRPr="00AF699A" w:rsidRDefault="00DB57A9" w:rsidP="008B63A3">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DB57A9" w:rsidRPr="00AF699A" w:rsidRDefault="00DB57A9" w:rsidP="008B63A3">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DB57A9" w:rsidRPr="00AF699A" w:rsidRDefault="00DB57A9" w:rsidP="008B63A3">
            <w:pPr>
              <w:pStyle w:val="TableColumnHeading"/>
              <w:ind w:right="28"/>
              <w:rPr>
                <w:rFonts w:cs="Arial"/>
                <w:sz w:val="18"/>
                <w:szCs w:val="18"/>
              </w:rPr>
            </w:pPr>
            <w:r w:rsidRPr="00AF699A">
              <w:rPr>
                <w:rFonts w:cs="Arial"/>
                <w:sz w:val="18"/>
                <w:szCs w:val="18"/>
              </w:rPr>
              <w:t>2011-12</w:t>
            </w:r>
          </w:p>
        </w:tc>
      </w:tr>
      <w:tr w:rsidR="00DB57A9" w:rsidRPr="006C5A80" w:rsidTr="008B63A3">
        <w:tc>
          <w:tcPr>
            <w:tcW w:w="1960" w:type="pct"/>
            <w:tcBorders>
              <w:bottom w:val="single" w:sz="4" w:space="0" w:color="auto"/>
            </w:tcBorders>
            <w:vAlign w:val="bottom"/>
          </w:tcPr>
          <w:p w:rsidR="00DB57A9" w:rsidRPr="00C944BA" w:rsidRDefault="00DB57A9" w:rsidP="008B63A3">
            <w:pPr>
              <w:pStyle w:val="TableBodyText"/>
              <w:jc w:val="left"/>
            </w:pPr>
            <w:r>
              <w:t>Unallocated other</w:t>
            </w:r>
            <w:r w:rsidRPr="00C00D98">
              <w:rPr>
                <w:rStyle w:val="NoteLabel"/>
                <w:szCs w:val="18"/>
              </w:rPr>
              <w:t>a</w:t>
            </w:r>
          </w:p>
        </w:tc>
        <w:tc>
          <w:tcPr>
            <w:tcW w:w="507" w:type="pct"/>
            <w:tcBorders>
              <w:bottom w:val="single" w:sz="4" w:space="0" w:color="auto"/>
            </w:tcBorders>
            <w:vAlign w:val="bottom"/>
          </w:tcPr>
          <w:p w:rsidR="00DB57A9" w:rsidRDefault="00DB57A9" w:rsidP="008B63A3">
            <w:pPr>
              <w:pStyle w:val="TableBodyText"/>
            </w:pPr>
            <w:r>
              <w:t>99.0</w:t>
            </w:r>
          </w:p>
        </w:tc>
        <w:tc>
          <w:tcPr>
            <w:tcW w:w="507" w:type="pct"/>
            <w:tcBorders>
              <w:bottom w:val="single" w:sz="4" w:space="0" w:color="auto"/>
            </w:tcBorders>
            <w:vAlign w:val="bottom"/>
          </w:tcPr>
          <w:p w:rsidR="00DB57A9" w:rsidRDefault="00DB57A9" w:rsidP="008B63A3">
            <w:pPr>
              <w:pStyle w:val="TableBodyText"/>
            </w:pPr>
            <w:r>
              <w:t>98.0</w:t>
            </w:r>
          </w:p>
        </w:tc>
        <w:tc>
          <w:tcPr>
            <w:tcW w:w="507" w:type="pct"/>
            <w:tcBorders>
              <w:bottom w:val="single" w:sz="4" w:space="0" w:color="auto"/>
            </w:tcBorders>
            <w:vAlign w:val="bottom"/>
          </w:tcPr>
          <w:p w:rsidR="00DB57A9" w:rsidRDefault="00DB57A9" w:rsidP="008B63A3">
            <w:pPr>
              <w:pStyle w:val="TableBodyText"/>
            </w:pPr>
            <w:r>
              <w:t>109.2</w:t>
            </w:r>
          </w:p>
        </w:tc>
        <w:tc>
          <w:tcPr>
            <w:tcW w:w="507" w:type="pct"/>
            <w:tcBorders>
              <w:bottom w:val="single" w:sz="4" w:space="0" w:color="auto"/>
            </w:tcBorders>
            <w:vAlign w:val="bottom"/>
          </w:tcPr>
          <w:p w:rsidR="00DB57A9" w:rsidRDefault="00DB57A9" w:rsidP="008B63A3">
            <w:pPr>
              <w:pStyle w:val="TableBodyText"/>
            </w:pPr>
            <w:r>
              <w:t>111.4</w:t>
            </w:r>
          </w:p>
        </w:tc>
        <w:tc>
          <w:tcPr>
            <w:tcW w:w="507" w:type="pct"/>
            <w:tcBorders>
              <w:bottom w:val="single" w:sz="4" w:space="0" w:color="auto"/>
            </w:tcBorders>
            <w:shd w:val="clear" w:color="auto" w:fill="auto"/>
            <w:vAlign w:val="bottom"/>
          </w:tcPr>
          <w:p w:rsidR="00DB57A9" w:rsidRDefault="00DB57A9" w:rsidP="008B63A3">
            <w:pPr>
              <w:pStyle w:val="TableBodyText"/>
            </w:pPr>
            <w:r>
              <w:t>118.8</w:t>
            </w:r>
          </w:p>
        </w:tc>
        <w:tc>
          <w:tcPr>
            <w:tcW w:w="505" w:type="pct"/>
            <w:tcBorders>
              <w:bottom w:val="single" w:sz="4" w:space="0" w:color="auto"/>
            </w:tcBorders>
            <w:shd w:val="clear" w:color="auto" w:fill="auto"/>
            <w:vAlign w:val="bottom"/>
          </w:tcPr>
          <w:p w:rsidR="00DB57A9" w:rsidRDefault="00DB57A9" w:rsidP="008B63A3">
            <w:pPr>
              <w:pStyle w:val="TableBodyText"/>
            </w:pPr>
            <w:r>
              <w:t>100.3</w:t>
            </w:r>
          </w:p>
        </w:tc>
      </w:tr>
    </w:tbl>
    <w:p w:rsidR="00DB57A9" w:rsidRDefault="00DB57A9" w:rsidP="00DB57A9">
      <w:pPr>
        <w:pStyle w:val="Note"/>
      </w:pPr>
      <w:r w:rsidRPr="008E77FE">
        <w:rPr>
          <w:rStyle w:val="NoteLabel"/>
        </w:rPr>
        <w:t>a</w:t>
      </w:r>
      <w:r>
        <w:t xml:space="preserve"> Unallocated includes programs where details of beneficiaries are unknown.</w:t>
      </w:r>
    </w:p>
    <w:p w:rsidR="00DB57A9" w:rsidRPr="008E77FE" w:rsidRDefault="00DB57A9" w:rsidP="00DB57A9">
      <w:pPr>
        <w:pStyle w:val="Source"/>
      </w:pPr>
      <w:r>
        <w:rPr>
          <w:i/>
        </w:rPr>
        <w:t>Source</w:t>
      </w:r>
      <w:r>
        <w:t>: Commission estimates based on Austrade Annual Report 2011</w:t>
      </w:r>
      <w:r>
        <w:noBreakHyphen/>
        <w:t>12 (and earlier years).</w:t>
      </w:r>
    </w:p>
    <w:p w:rsidR="00783971" w:rsidRDefault="00FA09C3" w:rsidP="00783971">
      <w:pPr>
        <w:pStyle w:val="Heading2"/>
      </w:pPr>
      <w:r>
        <w:lastRenderedPageBreak/>
        <w:t>A.</w:t>
      </w:r>
      <w:r>
        <w:rPr>
          <w:noProof/>
        </w:rPr>
        <w:t>27</w:t>
      </w:r>
      <w:r w:rsidR="00783971">
        <w:tab/>
        <w:t>Tasmanian Freight Equalisation Scheme</w:t>
      </w:r>
    </w:p>
    <w:p w:rsidR="00783971" w:rsidRDefault="00783971" w:rsidP="00783971">
      <w:pPr>
        <w:pStyle w:val="BodyText"/>
      </w:pPr>
      <w:r>
        <w:t xml:space="preserve">The Tasmanian Freight Equalisation Scheme (TFES) aims to alleviate the comparative interstate sea freight cost disadvantage incurred in transporting goods to the mainland for use or sale, and/or to Tasmania as an input to production </w:t>
      </w:r>
      <w:r w:rsidRPr="000138D9">
        <w:t>(</w:t>
      </w:r>
      <w:r w:rsidRPr="002D4BCB">
        <w:t>DIT 2012</w:t>
      </w:r>
      <w:r w:rsidRPr="000138D9">
        <w:t>)</w:t>
      </w:r>
      <w:r>
        <w:t>.</w:t>
      </w:r>
      <w:r>
        <w:rPr>
          <w:rStyle w:val="FootnoteReference"/>
        </w:rPr>
        <w:footnoteReference w:id="3"/>
      </w:r>
      <w:r>
        <w:t xml:space="preserve"> The scheme applies to non-bulk goods produced in Tasmania for use on the mainland and raw material and equipment inputs (of mainland origin) into Tasmania’s industries. The scheme selectively benefits firms located in Tasmania.</w:t>
      </w:r>
    </w:p>
    <w:p w:rsidR="00783971" w:rsidRDefault="00783971" w:rsidP="00783971">
      <w:pPr>
        <w:pStyle w:val="BodyText"/>
      </w:pPr>
      <w:r>
        <w:t>Tasmanian Assistance Services (TAS) — part of Centrelink — delivers the scheme on behalf of the Department of Infrastructure and Transport. Until 2009</w:t>
      </w:r>
      <w:r>
        <w:noBreakHyphen/>
        <w:t>10, TAS provided the Commission with an industry allocation of TFES payments. However, for 2010</w:t>
      </w:r>
      <w:r>
        <w:noBreakHyphen/>
        <w:t>11 and 2011</w:t>
      </w:r>
      <w:r>
        <w:noBreakHyphen/>
        <w:t>12, this information was not obtained. The 2009</w:t>
      </w:r>
      <w:r>
        <w:noBreakHyphen/>
        <w:t>10 industry allocation data has therefore been used to allocate total program funding for 2010</w:t>
      </w:r>
      <w:r>
        <w:noBreakHyphen/>
        <w:t>11 and 2011</w:t>
      </w:r>
      <w:r>
        <w:noBreakHyphen/>
        <w:t>12 by ANZSIC industry grouping.</w:t>
      </w:r>
    </w:p>
    <w:p w:rsidR="00783971" w:rsidRDefault="00783971" w:rsidP="00783971">
      <w:pPr>
        <w:pStyle w:val="BodyText"/>
      </w:pPr>
      <w:r>
        <w:t xml:space="preserve">Whilst the TAS database is able to identify outbound manufactured goods, it does not distinguish inbound raw materials by industry grouping. The result is that outbound goods are identified and inbound goods have been allocated to the </w:t>
      </w:r>
      <w:r>
        <w:rPr>
          <w:i/>
        </w:rPr>
        <w:t>U</w:t>
      </w:r>
      <w:r w:rsidRPr="009A646C">
        <w:rPr>
          <w:i/>
        </w:rPr>
        <w:t>nallocated manufacturing</w:t>
      </w:r>
      <w:r>
        <w:t xml:space="preserve"> industry grouping in the Commission’s ANZSIC-based classification (table A.27).</w:t>
      </w:r>
    </w:p>
    <w:p w:rsidR="00783971" w:rsidRDefault="00783971" w:rsidP="00783971">
      <w:pPr>
        <w:pStyle w:val="TableTitle"/>
      </w:pPr>
      <w:r>
        <w:rPr>
          <w:b w:val="0"/>
        </w:rPr>
        <w:lastRenderedPageBreak/>
        <w:t xml:space="preserve">Table </w:t>
      </w:r>
      <w:r w:rsidR="00FA09C3">
        <w:rPr>
          <w:b w:val="0"/>
        </w:rPr>
        <w:t>A.</w:t>
      </w:r>
      <w:r w:rsidR="00FA09C3">
        <w:rPr>
          <w:b w:val="0"/>
          <w:noProof/>
        </w:rPr>
        <w:t>27</w:t>
      </w:r>
      <w:r>
        <w:tab/>
        <w:t xml:space="preserve">Allocation of Tasmanian Freight Equalisation Scheme </w:t>
      </w:r>
      <w:r w:rsidR="001A5D30" w:rsidRPr="001A5D30">
        <w:t>to industry</w:t>
      </w:r>
      <w:r>
        <w:t>, 2006</w:t>
      </w:r>
      <w:r>
        <w:noBreakHyphen/>
        <w:t>07 to 2011</w:t>
      </w:r>
      <w:r>
        <w:noBreakHyphen/>
        <w:t>12</w:t>
      </w:r>
    </w:p>
    <w:p w:rsidR="00783971" w:rsidRDefault="00783971" w:rsidP="00783971">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783971" w:rsidRPr="00AF699A" w:rsidTr="008B63A3">
        <w:tc>
          <w:tcPr>
            <w:tcW w:w="1960" w:type="pct"/>
            <w:tcBorders>
              <w:top w:val="single" w:sz="6" w:space="0" w:color="auto"/>
              <w:bottom w:val="single" w:sz="6" w:space="0" w:color="auto"/>
            </w:tcBorders>
          </w:tcPr>
          <w:p w:rsidR="00783971" w:rsidRPr="00AF699A" w:rsidRDefault="00783971" w:rsidP="008B63A3">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783971" w:rsidRPr="00AF699A" w:rsidRDefault="00783971" w:rsidP="008B63A3">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783971" w:rsidRPr="00AF699A" w:rsidRDefault="00783971" w:rsidP="008B63A3">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783971" w:rsidRPr="00AF699A" w:rsidRDefault="00783971" w:rsidP="008B63A3">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783971" w:rsidRPr="00AF699A" w:rsidRDefault="00783971" w:rsidP="008B63A3">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783971" w:rsidRPr="00AF699A" w:rsidRDefault="00783971" w:rsidP="008B63A3">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783971" w:rsidRPr="00AF699A" w:rsidRDefault="00783971" w:rsidP="008B63A3">
            <w:pPr>
              <w:pStyle w:val="TableColumnHeading"/>
              <w:ind w:right="28"/>
              <w:rPr>
                <w:rFonts w:cs="Arial"/>
                <w:sz w:val="18"/>
                <w:szCs w:val="18"/>
              </w:rPr>
            </w:pPr>
            <w:r w:rsidRPr="00AF699A">
              <w:rPr>
                <w:rFonts w:cs="Arial"/>
                <w:sz w:val="18"/>
                <w:szCs w:val="18"/>
              </w:rPr>
              <w:t>2011-12</w:t>
            </w:r>
          </w:p>
        </w:tc>
      </w:tr>
      <w:tr w:rsidR="00783971" w:rsidRPr="006C5A80" w:rsidTr="008B63A3">
        <w:tc>
          <w:tcPr>
            <w:tcW w:w="1960" w:type="pct"/>
            <w:vAlign w:val="bottom"/>
          </w:tcPr>
          <w:p w:rsidR="00783971" w:rsidRPr="00951E34" w:rsidRDefault="00783971" w:rsidP="008B63A3">
            <w:pPr>
              <w:pStyle w:val="TableBodyText"/>
              <w:jc w:val="left"/>
              <w:rPr>
                <w:b/>
                <w:sz w:val="18"/>
                <w:szCs w:val="18"/>
              </w:rPr>
            </w:pPr>
            <w:r w:rsidRPr="00951E34">
              <w:rPr>
                <w:b/>
                <w:sz w:val="18"/>
                <w:szCs w:val="18"/>
              </w:rPr>
              <w:t>Primary production</w:t>
            </w:r>
          </w:p>
        </w:tc>
        <w:tc>
          <w:tcPr>
            <w:tcW w:w="507" w:type="pct"/>
            <w:vAlign w:val="bottom"/>
          </w:tcPr>
          <w:p w:rsidR="00783971" w:rsidRPr="00951E34" w:rsidRDefault="00783971" w:rsidP="008B63A3">
            <w:pPr>
              <w:pStyle w:val="TableBodyText"/>
              <w:rPr>
                <w:b/>
                <w:sz w:val="18"/>
                <w:szCs w:val="18"/>
              </w:rPr>
            </w:pPr>
            <w:r w:rsidRPr="00951E34">
              <w:rPr>
                <w:b/>
                <w:sz w:val="18"/>
                <w:szCs w:val="18"/>
              </w:rPr>
              <w:t>9.3</w:t>
            </w:r>
          </w:p>
        </w:tc>
        <w:tc>
          <w:tcPr>
            <w:tcW w:w="507" w:type="pct"/>
            <w:vAlign w:val="bottom"/>
          </w:tcPr>
          <w:p w:rsidR="00783971" w:rsidRPr="00951E34" w:rsidRDefault="00783971" w:rsidP="008B63A3">
            <w:pPr>
              <w:pStyle w:val="TableBodyText"/>
              <w:rPr>
                <w:b/>
                <w:sz w:val="18"/>
                <w:szCs w:val="18"/>
              </w:rPr>
            </w:pPr>
            <w:r w:rsidRPr="00951E34">
              <w:rPr>
                <w:b/>
                <w:sz w:val="18"/>
                <w:szCs w:val="18"/>
              </w:rPr>
              <w:t>11.6</w:t>
            </w:r>
          </w:p>
        </w:tc>
        <w:tc>
          <w:tcPr>
            <w:tcW w:w="507" w:type="pct"/>
            <w:vAlign w:val="bottom"/>
          </w:tcPr>
          <w:p w:rsidR="00783971" w:rsidRPr="00951E34" w:rsidRDefault="00783971" w:rsidP="008B63A3">
            <w:pPr>
              <w:pStyle w:val="TableBodyText"/>
              <w:rPr>
                <w:b/>
                <w:sz w:val="18"/>
                <w:szCs w:val="18"/>
              </w:rPr>
            </w:pPr>
            <w:r w:rsidRPr="00951E34">
              <w:rPr>
                <w:b/>
                <w:sz w:val="18"/>
                <w:szCs w:val="18"/>
              </w:rPr>
              <w:t>13.6</w:t>
            </w:r>
          </w:p>
        </w:tc>
        <w:tc>
          <w:tcPr>
            <w:tcW w:w="507" w:type="pct"/>
            <w:vAlign w:val="bottom"/>
          </w:tcPr>
          <w:p w:rsidR="00783971" w:rsidRPr="00951E34" w:rsidRDefault="00783971" w:rsidP="008B63A3">
            <w:pPr>
              <w:pStyle w:val="TableBodyText"/>
              <w:rPr>
                <w:b/>
                <w:sz w:val="18"/>
                <w:szCs w:val="18"/>
              </w:rPr>
            </w:pPr>
            <w:r w:rsidRPr="00951E34">
              <w:rPr>
                <w:b/>
                <w:sz w:val="18"/>
                <w:szCs w:val="18"/>
              </w:rPr>
              <w:t>22.3</w:t>
            </w:r>
          </w:p>
        </w:tc>
        <w:tc>
          <w:tcPr>
            <w:tcW w:w="507" w:type="pct"/>
            <w:shd w:val="clear" w:color="auto" w:fill="auto"/>
            <w:vAlign w:val="bottom"/>
          </w:tcPr>
          <w:p w:rsidR="00783971" w:rsidRPr="00951E34" w:rsidRDefault="00783971" w:rsidP="008B63A3">
            <w:pPr>
              <w:pStyle w:val="TableBodyText"/>
              <w:rPr>
                <w:b/>
                <w:sz w:val="18"/>
                <w:szCs w:val="18"/>
              </w:rPr>
            </w:pPr>
            <w:r w:rsidRPr="00951E34">
              <w:rPr>
                <w:b/>
                <w:sz w:val="18"/>
                <w:szCs w:val="18"/>
              </w:rPr>
              <w:t>22.3</w:t>
            </w:r>
          </w:p>
        </w:tc>
        <w:tc>
          <w:tcPr>
            <w:tcW w:w="505" w:type="pct"/>
            <w:shd w:val="clear" w:color="auto" w:fill="auto"/>
            <w:vAlign w:val="bottom"/>
          </w:tcPr>
          <w:p w:rsidR="00783971" w:rsidRPr="00951E34" w:rsidRDefault="00783971" w:rsidP="008B63A3">
            <w:pPr>
              <w:pStyle w:val="TableBodyText"/>
              <w:rPr>
                <w:b/>
                <w:sz w:val="18"/>
                <w:szCs w:val="18"/>
              </w:rPr>
            </w:pPr>
            <w:r w:rsidRPr="00951E34">
              <w:rPr>
                <w:b/>
                <w:sz w:val="18"/>
                <w:szCs w:val="18"/>
              </w:rPr>
              <w:t>21.1</w:t>
            </w:r>
          </w:p>
        </w:tc>
      </w:tr>
      <w:tr w:rsidR="00783971" w:rsidRPr="006C5A80" w:rsidTr="008B63A3">
        <w:tc>
          <w:tcPr>
            <w:tcW w:w="1960" w:type="pct"/>
            <w:vAlign w:val="bottom"/>
          </w:tcPr>
          <w:p w:rsidR="00783971" w:rsidRPr="00951E34" w:rsidRDefault="00783971" w:rsidP="008B63A3">
            <w:pPr>
              <w:pStyle w:val="TableBodyText"/>
              <w:jc w:val="left"/>
              <w:rPr>
                <w:sz w:val="18"/>
                <w:szCs w:val="18"/>
              </w:rPr>
            </w:pPr>
            <w:r w:rsidRPr="00951E34">
              <w:rPr>
                <w:sz w:val="18"/>
                <w:szCs w:val="18"/>
              </w:rPr>
              <w:t>Sheep, beef cattle and grain farming</w:t>
            </w:r>
          </w:p>
        </w:tc>
        <w:tc>
          <w:tcPr>
            <w:tcW w:w="507" w:type="pct"/>
            <w:vAlign w:val="bottom"/>
          </w:tcPr>
          <w:p w:rsidR="00783971" w:rsidRPr="00951E34" w:rsidRDefault="00783971" w:rsidP="008B63A3">
            <w:pPr>
              <w:pStyle w:val="TableBodyText"/>
              <w:rPr>
                <w:sz w:val="18"/>
                <w:szCs w:val="18"/>
              </w:rPr>
            </w:pPr>
            <w:r w:rsidRPr="00951E34">
              <w:rPr>
                <w:sz w:val="18"/>
                <w:szCs w:val="18"/>
              </w:rPr>
              <w:noBreakHyphen/>
            </w:r>
          </w:p>
        </w:tc>
        <w:tc>
          <w:tcPr>
            <w:tcW w:w="507" w:type="pct"/>
            <w:vAlign w:val="bottom"/>
          </w:tcPr>
          <w:p w:rsidR="00783971" w:rsidRPr="00951E34" w:rsidRDefault="00783971" w:rsidP="008B63A3">
            <w:pPr>
              <w:pStyle w:val="TableBodyText"/>
              <w:rPr>
                <w:sz w:val="18"/>
                <w:szCs w:val="18"/>
              </w:rPr>
            </w:pPr>
            <w:r w:rsidRPr="00951E34">
              <w:rPr>
                <w:sz w:val="18"/>
                <w:szCs w:val="18"/>
              </w:rPr>
              <w:noBreakHyphen/>
            </w:r>
          </w:p>
        </w:tc>
        <w:tc>
          <w:tcPr>
            <w:tcW w:w="507" w:type="pct"/>
            <w:vAlign w:val="bottom"/>
          </w:tcPr>
          <w:p w:rsidR="00783971" w:rsidRPr="00951E34" w:rsidRDefault="00783971" w:rsidP="008B63A3">
            <w:pPr>
              <w:pStyle w:val="TableBodyText"/>
              <w:rPr>
                <w:sz w:val="18"/>
                <w:szCs w:val="18"/>
              </w:rPr>
            </w:pPr>
            <w:r w:rsidRPr="00951E34">
              <w:rPr>
                <w:sz w:val="18"/>
                <w:szCs w:val="18"/>
              </w:rPr>
              <w:noBreakHyphen/>
            </w:r>
          </w:p>
        </w:tc>
        <w:tc>
          <w:tcPr>
            <w:tcW w:w="507" w:type="pct"/>
            <w:vAlign w:val="bottom"/>
          </w:tcPr>
          <w:p w:rsidR="00783971" w:rsidRPr="00951E34" w:rsidRDefault="00783971" w:rsidP="008B63A3">
            <w:pPr>
              <w:pStyle w:val="TableBodyText"/>
              <w:rPr>
                <w:sz w:val="18"/>
                <w:szCs w:val="18"/>
              </w:rPr>
            </w:pPr>
            <w:r w:rsidRPr="00951E34">
              <w:rPr>
                <w:sz w:val="18"/>
                <w:szCs w:val="18"/>
              </w:rPr>
              <w:t>0.8</w:t>
            </w:r>
          </w:p>
        </w:tc>
        <w:tc>
          <w:tcPr>
            <w:tcW w:w="507" w:type="pct"/>
            <w:shd w:val="clear" w:color="auto" w:fill="auto"/>
            <w:vAlign w:val="bottom"/>
          </w:tcPr>
          <w:p w:rsidR="00783971" w:rsidRPr="00951E34" w:rsidRDefault="00783971" w:rsidP="008B63A3">
            <w:pPr>
              <w:pStyle w:val="TableBodyText"/>
              <w:rPr>
                <w:sz w:val="18"/>
                <w:szCs w:val="18"/>
              </w:rPr>
            </w:pPr>
            <w:r w:rsidRPr="00951E34">
              <w:rPr>
                <w:sz w:val="18"/>
                <w:szCs w:val="18"/>
              </w:rPr>
              <w:t>0.8</w:t>
            </w:r>
          </w:p>
        </w:tc>
        <w:tc>
          <w:tcPr>
            <w:tcW w:w="505" w:type="pct"/>
            <w:shd w:val="clear" w:color="auto" w:fill="auto"/>
            <w:vAlign w:val="bottom"/>
          </w:tcPr>
          <w:p w:rsidR="00783971" w:rsidRPr="00951E34" w:rsidRDefault="00783971" w:rsidP="008B63A3">
            <w:pPr>
              <w:pStyle w:val="TableBodyText"/>
              <w:rPr>
                <w:sz w:val="18"/>
                <w:szCs w:val="18"/>
              </w:rPr>
            </w:pPr>
            <w:r w:rsidRPr="00951E34">
              <w:rPr>
                <w:sz w:val="18"/>
                <w:szCs w:val="18"/>
              </w:rPr>
              <w:t>0.8</w:t>
            </w:r>
          </w:p>
        </w:tc>
      </w:tr>
      <w:tr w:rsidR="00783971" w:rsidRPr="006C5A80" w:rsidTr="008B63A3">
        <w:tc>
          <w:tcPr>
            <w:tcW w:w="1960" w:type="pct"/>
            <w:vAlign w:val="bottom"/>
          </w:tcPr>
          <w:p w:rsidR="00783971" w:rsidRPr="00951E34" w:rsidRDefault="00783971" w:rsidP="008B63A3">
            <w:pPr>
              <w:pStyle w:val="TableBodyText"/>
              <w:jc w:val="left"/>
              <w:rPr>
                <w:sz w:val="18"/>
                <w:szCs w:val="18"/>
              </w:rPr>
            </w:pPr>
            <w:r w:rsidRPr="00951E34">
              <w:rPr>
                <w:sz w:val="18"/>
                <w:szCs w:val="18"/>
              </w:rPr>
              <w:t>Aquaculture and fishing</w:t>
            </w:r>
          </w:p>
        </w:tc>
        <w:tc>
          <w:tcPr>
            <w:tcW w:w="507" w:type="pct"/>
            <w:vAlign w:val="bottom"/>
          </w:tcPr>
          <w:p w:rsidR="00783971" w:rsidRPr="00951E34" w:rsidRDefault="00783971" w:rsidP="008B63A3">
            <w:pPr>
              <w:pStyle w:val="TableBodyText"/>
              <w:rPr>
                <w:sz w:val="18"/>
                <w:szCs w:val="18"/>
              </w:rPr>
            </w:pPr>
            <w:r w:rsidRPr="00951E34">
              <w:rPr>
                <w:sz w:val="18"/>
                <w:szCs w:val="18"/>
              </w:rPr>
              <w:noBreakHyphen/>
            </w:r>
          </w:p>
        </w:tc>
        <w:tc>
          <w:tcPr>
            <w:tcW w:w="507" w:type="pct"/>
            <w:vAlign w:val="bottom"/>
          </w:tcPr>
          <w:p w:rsidR="00783971" w:rsidRPr="00951E34" w:rsidRDefault="00783971" w:rsidP="008B63A3">
            <w:pPr>
              <w:pStyle w:val="TableBodyText"/>
              <w:rPr>
                <w:sz w:val="18"/>
                <w:szCs w:val="18"/>
              </w:rPr>
            </w:pPr>
            <w:r w:rsidRPr="00951E34">
              <w:rPr>
                <w:sz w:val="18"/>
                <w:szCs w:val="18"/>
              </w:rPr>
              <w:noBreakHyphen/>
            </w:r>
          </w:p>
        </w:tc>
        <w:tc>
          <w:tcPr>
            <w:tcW w:w="507" w:type="pct"/>
            <w:vAlign w:val="bottom"/>
          </w:tcPr>
          <w:p w:rsidR="00783971" w:rsidRPr="00951E34" w:rsidRDefault="00783971" w:rsidP="008B63A3">
            <w:pPr>
              <w:pStyle w:val="TableBodyText"/>
              <w:rPr>
                <w:sz w:val="18"/>
                <w:szCs w:val="18"/>
              </w:rPr>
            </w:pPr>
            <w:r w:rsidRPr="00951E34">
              <w:rPr>
                <w:sz w:val="18"/>
                <w:szCs w:val="18"/>
              </w:rPr>
              <w:t>0.7</w:t>
            </w:r>
          </w:p>
        </w:tc>
        <w:tc>
          <w:tcPr>
            <w:tcW w:w="507" w:type="pct"/>
            <w:vAlign w:val="bottom"/>
          </w:tcPr>
          <w:p w:rsidR="00783971" w:rsidRPr="00951E34" w:rsidRDefault="00783971" w:rsidP="008B63A3">
            <w:pPr>
              <w:pStyle w:val="TableBodyText"/>
              <w:rPr>
                <w:sz w:val="18"/>
                <w:szCs w:val="18"/>
              </w:rPr>
            </w:pPr>
            <w:r w:rsidRPr="00951E34">
              <w:rPr>
                <w:sz w:val="18"/>
                <w:szCs w:val="18"/>
              </w:rPr>
              <w:t>3.6</w:t>
            </w:r>
          </w:p>
        </w:tc>
        <w:tc>
          <w:tcPr>
            <w:tcW w:w="507" w:type="pct"/>
            <w:shd w:val="clear" w:color="auto" w:fill="auto"/>
            <w:vAlign w:val="bottom"/>
          </w:tcPr>
          <w:p w:rsidR="00783971" w:rsidRPr="00951E34" w:rsidRDefault="00783971" w:rsidP="008B63A3">
            <w:pPr>
              <w:pStyle w:val="TableBodyText"/>
              <w:rPr>
                <w:sz w:val="18"/>
                <w:szCs w:val="18"/>
              </w:rPr>
            </w:pPr>
            <w:r w:rsidRPr="00951E34">
              <w:rPr>
                <w:sz w:val="18"/>
                <w:szCs w:val="18"/>
              </w:rPr>
              <w:t>3.7</w:t>
            </w:r>
          </w:p>
        </w:tc>
        <w:tc>
          <w:tcPr>
            <w:tcW w:w="505" w:type="pct"/>
            <w:shd w:val="clear" w:color="auto" w:fill="auto"/>
            <w:vAlign w:val="bottom"/>
          </w:tcPr>
          <w:p w:rsidR="00783971" w:rsidRPr="00951E34" w:rsidRDefault="00783971" w:rsidP="008B63A3">
            <w:pPr>
              <w:pStyle w:val="TableBodyText"/>
              <w:rPr>
                <w:sz w:val="18"/>
                <w:szCs w:val="18"/>
              </w:rPr>
            </w:pPr>
            <w:r w:rsidRPr="00951E34">
              <w:rPr>
                <w:sz w:val="18"/>
                <w:szCs w:val="18"/>
              </w:rPr>
              <w:t>3.5</w:t>
            </w:r>
          </w:p>
        </w:tc>
      </w:tr>
      <w:tr w:rsidR="00783971" w:rsidRPr="006C5A80" w:rsidTr="008B63A3">
        <w:tc>
          <w:tcPr>
            <w:tcW w:w="1960" w:type="pct"/>
            <w:vAlign w:val="bottom"/>
          </w:tcPr>
          <w:p w:rsidR="00783971" w:rsidRPr="00951E34" w:rsidRDefault="00783971" w:rsidP="008B63A3">
            <w:pPr>
              <w:pStyle w:val="TableBodyText"/>
              <w:jc w:val="left"/>
              <w:rPr>
                <w:sz w:val="18"/>
                <w:szCs w:val="18"/>
              </w:rPr>
            </w:pPr>
            <w:r w:rsidRPr="00951E34">
              <w:rPr>
                <w:sz w:val="18"/>
                <w:szCs w:val="18"/>
              </w:rPr>
              <w:t>Forestry and logging</w:t>
            </w:r>
          </w:p>
        </w:tc>
        <w:tc>
          <w:tcPr>
            <w:tcW w:w="507" w:type="pct"/>
            <w:vAlign w:val="bottom"/>
          </w:tcPr>
          <w:p w:rsidR="00783971" w:rsidRPr="00951E34" w:rsidRDefault="00783971" w:rsidP="008B63A3">
            <w:pPr>
              <w:pStyle w:val="TableBodyText"/>
              <w:rPr>
                <w:sz w:val="18"/>
                <w:szCs w:val="18"/>
              </w:rPr>
            </w:pPr>
            <w:r w:rsidRPr="00951E34">
              <w:rPr>
                <w:sz w:val="18"/>
                <w:szCs w:val="18"/>
              </w:rPr>
              <w:noBreakHyphen/>
            </w:r>
          </w:p>
        </w:tc>
        <w:tc>
          <w:tcPr>
            <w:tcW w:w="507" w:type="pct"/>
            <w:vAlign w:val="bottom"/>
          </w:tcPr>
          <w:p w:rsidR="00783971" w:rsidRPr="00951E34" w:rsidRDefault="00783971" w:rsidP="008B63A3">
            <w:pPr>
              <w:pStyle w:val="TableBodyText"/>
              <w:rPr>
                <w:sz w:val="18"/>
                <w:szCs w:val="18"/>
              </w:rPr>
            </w:pPr>
            <w:r w:rsidRPr="00951E34">
              <w:rPr>
                <w:sz w:val="18"/>
                <w:szCs w:val="18"/>
              </w:rPr>
              <w:noBreakHyphen/>
            </w:r>
          </w:p>
        </w:tc>
        <w:tc>
          <w:tcPr>
            <w:tcW w:w="507" w:type="pct"/>
            <w:vAlign w:val="bottom"/>
          </w:tcPr>
          <w:p w:rsidR="00783971" w:rsidRPr="00951E34" w:rsidRDefault="00783971" w:rsidP="008B63A3">
            <w:pPr>
              <w:pStyle w:val="TableBodyText"/>
              <w:rPr>
                <w:sz w:val="18"/>
                <w:szCs w:val="18"/>
              </w:rPr>
            </w:pPr>
            <w:r w:rsidRPr="00951E34">
              <w:rPr>
                <w:sz w:val="18"/>
                <w:szCs w:val="18"/>
              </w:rPr>
              <w:t>0.3</w:t>
            </w:r>
          </w:p>
        </w:tc>
        <w:tc>
          <w:tcPr>
            <w:tcW w:w="507" w:type="pct"/>
            <w:vAlign w:val="bottom"/>
          </w:tcPr>
          <w:p w:rsidR="00783971" w:rsidRPr="00951E34" w:rsidRDefault="00783971" w:rsidP="008B63A3">
            <w:pPr>
              <w:pStyle w:val="TableBodyText"/>
              <w:rPr>
                <w:sz w:val="18"/>
                <w:szCs w:val="18"/>
              </w:rPr>
            </w:pPr>
            <w:r w:rsidRPr="00951E34">
              <w:rPr>
                <w:sz w:val="18"/>
                <w:szCs w:val="18"/>
              </w:rPr>
              <w:t>3.7</w:t>
            </w:r>
          </w:p>
        </w:tc>
        <w:tc>
          <w:tcPr>
            <w:tcW w:w="507" w:type="pct"/>
            <w:shd w:val="clear" w:color="auto" w:fill="auto"/>
            <w:vAlign w:val="bottom"/>
          </w:tcPr>
          <w:p w:rsidR="00783971" w:rsidRPr="00951E34" w:rsidRDefault="00783971" w:rsidP="008B63A3">
            <w:pPr>
              <w:pStyle w:val="TableBodyText"/>
              <w:rPr>
                <w:sz w:val="18"/>
                <w:szCs w:val="18"/>
              </w:rPr>
            </w:pPr>
            <w:r w:rsidRPr="00951E34">
              <w:rPr>
                <w:sz w:val="18"/>
                <w:szCs w:val="18"/>
              </w:rPr>
              <w:t>3.7</w:t>
            </w:r>
          </w:p>
        </w:tc>
        <w:tc>
          <w:tcPr>
            <w:tcW w:w="505" w:type="pct"/>
            <w:shd w:val="clear" w:color="auto" w:fill="auto"/>
            <w:vAlign w:val="bottom"/>
          </w:tcPr>
          <w:p w:rsidR="00783971" w:rsidRPr="00951E34" w:rsidRDefault="00783971" w:rsidP="008B63A3">
            <w:pPr>
              <w:pStyle w:val="TableBodyText"/>
              <w:rPr>
                <w:sz w:val="18"/>
                <w:szCs w:val="18"/>
              </w:rPr>
            </w:pPr>
            <w:r w:rsidRPr="00951E34">
              <w:rPr>
                <w:sz w:val="18"/>
                <w:szCs w:val="18"/>
              </w:rPr>
              <w:t>3.5</w:t>
            </w:r>
          </w:p>
        </w:tc>
      </w:tr>
      <w:tr w:rsidR="00783971" w:rsidRPr="006C5A80" w:rsidTr="008B63A3">
        <w:tc>
          <w:tcPr>
            <w:tcW w:w="1960" w:type="pct"/>
            <w:vAlign w:val="bottom"/>
          </w:tcPr>
          <w:p w:rsidR="00783971" w:rsidRPr="00951E34" w:rsidRDefault="00783971" w:rsidP="008B63A3">
            <w:pPr>
              <w:pStyle w:val="TableBodyText"/>
              <w:jc w:val="left"/>
              <w:rPr>
                <w:sz w:val="18"/>
                <w:szCs w:val="18"/>
              </w:rPr>
            </w:pPr>
            <w:r w:rsidRPr="00951E34">
              <w:rPr>
                <w:sz w:val="18"/>
                <w:szCs w:val="18"/>
              </w:rPr>
              <w:t>Unallocated primary production</w:t>
            </w:r>
          </w:p>
        </w:tc>
        <w:tc>
          <w:tcPr>
            <w:tcW w:w="507" w:type="pct"/>
            <w:vAlign w:val="bottom"/>
          </w:tcPr>
          <w:p w:rsidR="00783971" w:rsidRPr="00951E34" w:rsidRDefault="00783971" w:rsidP="008B63A3">
            <w:pPr>
              <w:pStyle w:val="TableBodyText"/>
              <w:rPr>
                <w:sz w:val="18"/>
                <w:szCs w:val="18"/>
              </w:rPr>
            </w:pPr>
            <w:r w:rsidRPr="00951E34">
              <w:rPr>
                <w:sz w:val="18"/>
                <w:szCs w:val="18"/>
              </w:rPr>
              <w:t>9.3</w:t>
            </w:r>
          </w:p>
        </w:tc>
        <w:tc>
          <w:tcPr>
            <w:tcW w:w="507" w:type="pct"/>
            <w:vAlign w:val="bottom"/>
          </w:tcPr>
          <w:p w:rsidR="00783971" w:rsidRPr="00951E34" w:rsidRDefault="00783971" w:rsidP="008B63A3">
            <w:pPr>
              <w:pStyle w:val="TableBodyText"/>
              <w:rPr>
                <w:sz w:val="18"/>
                <w:szCs w:val="18"/>
              </w:rPr>
            </w:pPr>
            <w:r w:rsidRPr="00951E34">
              <w:rPr>
                <w:sz w:val="18"/>
                <w:szCs w:val="18"/>
              </w:rPr>
              <w:t>11.6</w:t>
            </w:r>
          </w:p>
        </w:tc>
        <w:tc>
          <w:tcPr>
            <w:tcW w:w="507" w:type="pct"/>
            <w:vAlign w:val="bottom"/>
          </w:tcPr>
          <w:p w:rsidR="00783971" w:rsidRPr="00951E34" w:rsidRDefault="00783971" w:rsidP="008B63A3">
            <w:pPr>
              <w:pStyle w:val="TableBodyText"/>
              <w:rPr>
                <w:sz w:val="18"/>
                <w:szCs w:val="18"/>
              </w:rPr>
            </w:pPr>
            <w:r w:rsidRPr="00951E34">
              <w:rPr>
                <w:sz w:val="18"/>
                <w:szCs w:val="18"/>
              </w:rPr>
              <w:t>12.6</w:t>
            </w:r>
          </w:p>
        </w:tc>
        <w:tc>
          <w:tcPr>
            <w:tcW w:w="507" w:type="pct"/>
            <w:vAlign w:val="bottom"/>
          </w:tcPr>
          <w:p w:rsidR="00783971" w:rsidRPr="00951E34" w:rsidRDefault="00783971" w:rsidP="008B63A3">
            <w:pPr>
              <w:pStyle w:val="TableBodyText"/>
              <w:rPr>
                <w:sz w:val="18"/>
                <w:szCs w:val="18"/>
              </w:rPr>
            </w:pPr>
            <w:r w:rsidRPr="00951E34">
              <w:rPr>
                <w:sz w:val="18"/>
                <w:szCs w:val="18"/>
              </w:rPr>
              <w:t>14.1</w:t>
            </w:r>
          </w:p>
        </w:tc>
        <w:tc>
          <w:tcPr>
            <w:tcW w:w="507" w:type="pct"/>
            <w:shd w:val="clear" w:color="auto" w:fill="auto"/>
            <w:vAlign w:val="bottom"/>
          </w:tcPr>
          <w:p w:rsidR="00783971" w:rsidRPr="00951E34" w:rsidRDefault="00783971" w:rsidP="008B63A3">
            <w:pPr>
              <w:pStyle w:val="TableBodyText"/>
              <w:rPr>
                <w:sz w:val="18"/>
                <w:szCs w:val="18"/>
              </w:rPr>
            </w:pPr>
            <w:r w:rsidRPr="00951E34">
              <w:rPr>
                <w:sz w:val="18"/>
                <w:szCs w:val="18"/>
              </w:rPr>
              <w:t>14.1</w:t>
            </w:r>
          </w:p>
        </w:tc>
        <w:tc>
          <w:tcPr>
            <w:tcW w:w="505" w:type="pct"/>
            <w:shd w:val="clear" w:color="auto" w:fill="auto"/>
            <w:vAlign w:val="bottom"/>
          </w:tcPr>
          <w:p w:rsidR="00783971" w:rsidRPr="00951E34" w:rsidRDefault="00783971" w:rsidP="008B63A3">
            <w:pPr>
              <w:pStyle w:val="TableBodyText"/>
              <w:rPr>
                <w:sz w:val="18"/>
                <w:szCs w:val="18"/>
              </w:rPr>
            </w:pPr>
            <w:r w:rsidRPr="00951E34">
              <w:rPr>
                <w:sz w:val="18"/>
                <w:szCs w:val="18"/>
              </w:rPr>
              <w:t>13.3</w:t>
            </w:r>
          </w:p>
        </w:tc>
      </w:tr>
      <w:tr w:rsidR="00783971" w:rsidRPr="006C5A80" w:rsidTr="008B63A3">
        <w:tc>
          <w:tcPr>
            <w:tcW w:w="1960" w:type="pct"/>
            <w:vAlign w:val="bottom"/>
          </w:tcPr>
          <w:p w:rsidR="00783971" w:rsidRPr="00951E34" w:rsidRDefault="00783971" w:rsidP="008B63A3">
            <w:pPr>
              <w:pStyle w:val="TableBodyText"/>
              <w:jc w:val="left"/>
              <w:rPr>
                <w:b/>
                <w:sz w:val="18"/>
                <w:szCs w:val="18"/>
              </w:rPr>
            </w:pPr>
            <w:r w:rsidRPr="00951E34">
              <w:rPr>
                <w:b/>
                <w:sz w:val="18"/>
                <w:szCs w:val="18"/>
              </w:rPr>
              <w:t>Mining</w:t>
            </w:r>
          </w:p>
        </w:tc>
        <w:tc>
          <w:tcPr>
            <w:tcW w:w="507" w:type="pct"/>
            <w:vAlign w:val="bottom"/>
          </w:tcPr>
          <w:p w:rsidR="00783971" w:rsidRPr="00951E34" w:rsidRDefault="00783971" w:rsidP="008B63A3">
            <w:pPr>
              <w:pStyle w:val="TableBodyText"/>
              <w:rPr>
                <w:b/>
                <w:sz w:val="18"/>
                <w:szCs w:val="18"/>
              </w:rPr>
            </w:pPr>
            <w:r w:rsidRPr="00951E34">
              <w:rPr>
                <w:b/>
                <w:sz w:val="18"/>
                <w:szCs w:val="18"/>
              </w:rPr>
              <w:noBreakHyphen/>
            </w:r>
          </w:p>
        </w:tc>
        <w:tc>
          <w:tcPr>
            <w:tcW w:w="507" w:type="pct"/>
            <w:vAlign w:val="bottom"/>
          </w:tcPr>
          <w:p w:rsidR="00783971" w:rsidRPr="00951E34" w:rsidRDefault="00783971" w:rsidP="008B63A3">
            <w:pPr>
              <w:pStyle w:val="TableBodyText"/>
              <w:rPr>
                <w:b/>
                <w:sz w:val="18"/>
                <w:szCs w:val="18"/>
              </w:rPr>
            </w:pPr>
            <w:r w:rsidRPr="00951E34">
              <w:rPr>
                <w:b/>
                <w:sz w:val="18"/>
                <w:szCs w:val="18"/>
              </w:rPr>
              <w:noBreakHyphen/>
            </w:r>
          </w:p>
        </w:tc>
        <w:tc>
          <w:tcPr>
            <w:tcW w:w="507" w:type="pct"/>
            <w:vAlign w:val="bottom"/>
          </w:tcPr>
          <w:p w:rsidR="00783971" w:rsidRPr="00951E34" w:rsidRDefault="00783971" w:rsidP="008B63A3">
            <w:pPr>
              <w:pStyle w:val="TableBodyText"/>
              <w:rPr>
                <w:b/>
                <w:sz w:val="18"/>
                <w:szCs w:val="18"/>
              </w:rPr>
            </w:pPr>
            <w:r>
              <w:rPr>
                <w:b/>
                <w:sz w:val="18"/>
                <w:szCs w:val="18"/>
              </w:rPr>
              <w:t>&lt;</w:t>
            </w:r>
            <w:r w:rsidRPr="00951E34">
              <w:rPr>
                <w:b/>
                <w:sz w:val="18"/>
                <w:szCs w:val="18"/>
              </w:rPr>
              <w:t>0.1</w:t>
            </w:r>
          </w:p>
        </w:tc>
        <w:tc>
          <w:tcPr>
            <w:tcW w:w="507" w:type="pct"/>
            <w:vAlign w:val="bottom"/>
          </w:tcPr>
          <w:p w:rsidR="00783971" w:rsidRPr="00951E34" w:rsidRDefault="00783971" w:rsidP="008B63A3">
            <w:pPr>
              <w:pStyle w:val="TableBodyText"/>
              <w:rPr>
                <w:b/>
                <w:sz w:val="18"/>
                <w:szCs w:val="18"/>
              </w:rPr>
            </w:pPr>
            <w:r w:rsidRPr="00951E34">
              <w:rPr>
                <w:b/>
                <w:sz w:val="18"/>
                <w:szCs w:val="18"/>
              </w:rPr>
              <w:t>0.2</w:t>
            </w:r>
          </w:p>
        </w:tc>
        <w:tc>
          <w:tcPr>
            <w:tcW w:w="507" w:type="pct"/>
            <w:shd w:val="clear" w:color="auto" w:fill="auto"/>
            <w:vAlign w:val="bottom"/>
          </w:tcPr>
          <w:p w:rsidR="00783971" w:rsidRPr="00951E34" w:rsidRDefault="00783971" w:rsidP="008B63A3">
            <w:pPr>
              <w:pStyle w:val="TableBodyText"/>
              <w:rPr>
                <w:b/>
                <w:sz w:val="18"/>
                <w:szCs w:val="18"/>
              </w:rPr>
            </w:pPr>
            <w:r w:rsidRPr="00951E34">
              <w:rPr>
                <w:b/>
                <w:sz w:val="18"/>
                <w:szCs w:val="18"/>
              </w:rPr>
              <w:t>0.2</w:t>
            </w:r>
          </w:p>
        </w:tc>
        <w:tc>
          <w:tcPr>
            <w:tcW w:w="505" w:type="pct"/>
            <w:shd w:val="clear" w:color="auto" w:fill="auto"/>
            <w:vAlign w:val="bottom"/>
          </w:tcPr>
          <w:p w:rsidR="00783971" w:rsidRPr="00951E34" w:rsidRDefault="00783971" w:rsidP="008B63A3">
            <w:pPr>
              <w:pStyle w:val="TableBodyText"/>
              <w:rPr>
                <w:b/>
                <w:sz w:val="18"/>
                <w:szCs w:val="18"/>
              </w:rPr>
            </w:pPr>
            <w:r w:rsidRPr="00951E34">
              <w:rPr>
                <w:b/>
                <w:sz w:val="18"/>
                <w:szCs w:val="18"/>
              </w:rPr>
              <w:t>0.2</w:t>
            </w:r>
          </w:p>
        </w:tc>
      </w:tr>
      <w:tr w:rsidR="00783971" w:rsidRPr="006C5A80" w:rsidTr="008B63A3">
        <w:tc>
          <w:tcPr>
            <w:tcW w:w="1960" w:type="pct"/>
            <w:vAlign w:val="bottom"/>
          </w:tcPr>
          <w:p w:rsidR="00783971" w:rsidRPr="00951E34" w:rsidRDefault="00783971" w:rsidP="008B63A3">
            <w:pPr>
              <w:pStyle w:val="TableBodyText"/>
              <w:jc w:val="left"/>
              <w:rPr>
                <w:b/>
                <w:sz w:val="18"/>
                <w:szCs w:val="18"/>
              </w:rPr>
            </w:pPr>
            <w:r w:rsidRPr="00951E34">
              <w:rPr>
                <w:b/>
                <w:sz w:val="18"/>
                <w:szCs w:val="18"/>
              </w:rPr>
              <w:t>Manufacturing</w:t>
            </w:r>
          </w:p>
        </w:tc>
        <w:tc>
          <w:tcPr>
            <w:tcW w:w="507" w:type="pct"/>
            <w:vAlign w:val="bottom"/>
          </w:tcPr>
          <w:p w:rsidR="00783971" w:rsidRPr="00951E34" w:rsidRDefault="00783971" w:rsidP="008B63A3">
            <w:pPr>
              <w:pStyle w:val="TableBodyText"/>
              <w:rPr>
                <w:b/>
                <w:sz w:val="18"/>
                <w:szCs w:val="18"/>
              </w:rPr>
            </w:pPr>
            <w:r w:rsidRPr="00951E34">
              <w:rPr>
                <w:b/>
                <w:sz w:val="18"/>
                <w:szCs w:val="18"/>
              </w:rPr>
              <w:t>79.3</w:t>
            </w:r>
          </w:p>
        </w:tc>
        <w:tc>
          <w:tcPr>
            <w:tcW w:w="507" w:type="pct"/>
            <w:vAlign w:val="bottom"/>
          </w:tcPr>
          <w:p w:rsidR="00783971" w:rsidRPr="00951E34" w:rsidRDefault="00783971" w:rsidP="008B63A3">
            <w:pPr>
              <w:pStyle w:val="TableBodyText"/>
              <w:rPr>
                <w:b/>
                <w:sz w:val="18"/>
                <w:szCs w:val="18"/>
              </w:rPr>
            </w:pPr>
            <w:r w:rsidRPr="00951E34">
              <w:rPr>
                <w:b/>
                <w:sz w:val="18"/>
                <w:szCs w:val="18"/>
              </w:rPr>
              <w:t>88.5</w:t>
            </w:r>
          </w:p>
        </w:tc>
        <w:tc>
          <w:tcPr>
            <w:tcW w:w="507" w:type="pct"/>
            <w:vAlign w:val="bottom"/>
          </w:tcPr>
          <w:p w:rsidR="00783971" w:rsidRPr="00951E34" w:rsidRDefault="00783971" w:rsidP="008B63A3">
            <w:pPr>
              <w:pStyle w:val="TableBodyText"/>
              <w:rPr>
                <w:b/>
                <w:sz w:val="18"/>
                <w:szCs w:val="18"/>
              </w:rPr>
            </w:pPr>
            <w:r w:rsidRPr="00951E34">
              <w:rPr>
                <w:b/>
                <w:sz w:val="18"/>
                <w:szCs w:val="18"/>
              </w:rPr>
              <w:t>93.2</w:t>
            </w:r>
          </w:p>
        </w:tc>
        <w:tc>
          <w:tcPr>
            <w:tcW w:w="507" w:type="pct"/>
            <w:vAlign w:val="bottom"/>
          </w:tcPr>
          <w:p w:rsidR="00783971" w:rsidRPr="00951E34" w:rsidRDefault="00783971" w:rsidP="008B63A3">
            <w:pPr>
              <w:pStyle w:val="TableBodyText"/>
              <w:rPr>
                <w:b/>
                <w:sz w:val="18"/>
                <w:szCs w:val="18"/>
              </w:rPr>
            </w:pPr>
            <w:r w:rsidRPr="00951E34">
              <w:rPr>
                <w:b/>
                <w:sz w:val="18"/>
                <w:szCs w:val="18"/>
              </w:rPr>
              <w:t>69.0</w:t>
            </w:r>
          </w:p>
        </w:tc>
        <w:tc>
          <w:tcPr>
            <w:tcW w:w="507" w:type="pct"/>
            <w:shd w:val="clear" w:color="auto" w:fill="auto"/>
            <w:vAlign w:val="bottom"/>
          </w:tcPr>
          <w:p w:rsidR="00783971" w:rsidRPr="00951E34" w:rsidRDefault="00783971" w:rsidP="008B63A3">
            <w:pPr>
              <w:pStyle w:val="TableBodyText"/>
              <w:rPr>
                <w:b/>
                <w:sz w:val="18"/>
                <w:szCs w:val="18"/>
              </w:rPr>
            </w:pPr>
            <w:r w:rsidRPr="00951E34">
              <w:rPr>
                <w:b/>
                <w:sz w:val="18"/>
                <w:szCs w:val="18"/>
              </w:rPr>
              <w:t>69.2</w:t>
            </w:r>
          </w:p>
        </w:tc>
        <w:tc>
          <w:tcPr>
            <w:tcW w:w="505" w:type="pct"/>
            <w:shd w:val="clear" w:color="auto" w:fill="auto"/>
            <w:vAlign w:val="bottom"/>
          </w:tcPr>
          <w:p w:rsidR="00783971" w:rsidRPr="00951E34" w:rsidRDefault="00783971" w:rsidP="008B63A3">
            <w:pPr>
              <w:pStyle w:val="TableBodyText"/>
              <w:rPr>
                <w:b/>
                <w:sz w:val="18"/>
                <w:szCs w:val="18"/>
              </w:rPr>
            </w:pPr>
            <w:r w:rsidRPr="00951E34">
              <w:rPr>
                <w:b/>
                <w:sz w:val="18"/>
                <w:szCs w:val="18"/>
              </w:rPr>
              <w:t>65.5</w:t>
            </w:r>
          </w:p>
        </w:tc>
      </w:tr>
      <w:tr w:rsidR="00783971" w:rsidRPr="006C5A80" w:rsidTr="008B63A3">
        <w:tc>
          <w:tcPr>
            <w:tcW w:w="1960" w:type="pct"/>
            <w:vAlign w:val="bottom"/>
          </w:tcPr>
          <w:p w:rsidR="00783971" w:rsidRPr="00951E34" w:rsidRDefault="00783971" w:rsidP="008B63A3">
            <w:pPr>
              <w:pStyle w:val="TableBodyText"/>
              <w:jc w:val="left"/>
              <w:rPr>
                <w:sz w:val="18"/>
                <w:szCs w:val="18"/>
              </w:rPr>
            </w:pPr>
            <w:r w:rsidRPr="00951E34">
              <w:rPr>
                <w:sz w:val="18"/>
                <w:szCs w:val="18"/>
              </w:rPr>
              <w:t>Food, beverages and tobacco</w:t>
            </w:r>
          </w:p>
        </w:tc>
        <w:tc>
          <w:tcPr>
            <w:tcW w:w="507" w:type="pct"/>
            <w:vAlign w:val="bottom"/>
          </w:tcPr>
          <w:p w:rsidR="00783971" w:rsidRPr="00951E34" w:rsidRDefault="00783971" w:rsidP="008B63A3">
            <w:pPr>
              <w:pStyle w:val="TableBodyText"/>
              <w:rPr>
                <w:sz w:val="18"/>
                <w:szCs w:val="18"/>
              </w:rPr>
            </w:pPr>
            <w:r w:rsidRPr="00951E34">
              <w:rPr>
                <w:sz w:val="18"/>
                <w:szCs w:val="18"/>
              </w:rPr>
              <w:t>16.3</w:t>
            </w:r>
          </w:p>
        </w:tc>
        <w:tc>
          <w:tcPr>
            <w:tcW w:w="507" w:type="pct"/>
            <w:vAlign w:val="bottom"/>
          </w:tcPr>
          <w:p w:rsidR="00783971" w:rsidRPr="00951E34" w:rsidRDefault="00783971" w:rsidP="008B63A3">
            <w:pPr>
              <w:pStyle w:val="TableBodyText"/>
              <w:rPr>
                <w:sz w:val="18"/>
                <w:szCs w:val="18"/>
              </w:rPr>
            </w:pPr>
            <w:r w:rsidRPr="00951E34">
              <w:rPr>
                <w:sz w:val="18"/>
                <w:szCs w:val="18"/>
              </w:rPr>
              <w:t>17.5</w:t>
            </w:r>
          </w:p>
        </w:tc>
        <w:tc>
          <w:tcPr>
            <w:tcW w:w="507" w:type="pct"/>
            <w:vAlign w:val="bottom"/>
          </w:tcPr>
          <w:p w:rsidR="00783971" w:rsidRPr="00951E34" w:rsidRDefault="00783971" w:rsidP="008B63A3">
            <w:pPr>
              <w:pStyle w:val="TableBodyText"/>
              <w:rPr>
                <w:sz w:val="18"/>
                <w:szCs w:val="18"/>
              </w:rPr>
            </w:pPr>
            <w:r w:rsidRPr="00951E34">
              <w:rPr>
                <w:sz w:val="18"/>
                <w:szCs w:val="18"/>
              </w:rPr>
              <w:t>14.8</w:t>
            </w:r>
          </w:p>
        </w:tc>
        <w:tc>
          <w:tcPr>
            <w:tcW w:w="507" w:type="pct"/>
            <w:vAlign w:val="bottom"/>
          </w:tcPr>
          <w:p w:rsidR="00783971" w:rsidRPr="00951E34" w:rsidRDefault="00783971" w:rsidP="008B63A3">
            <w:pPr>
              <w:pStyle w:val="TableBodyText"/>
              <w:rPr>
                <w:sz w:val="18"/>
                <w:szCs w:val="18"/>
              </w:rPr>
            </w:pPr>
            <w:r w:rsidRPr="00951E34">
              <w:rPr>
                <w:sz w:val="18"/>
                <w:szCs w:val="18"/>
              </w:rPr>
              <w:noBreakHyphen/>
            </w:r>
          </w:p>
        </w:tc>
        <w:tc>
          <w:tcPr>
            <w:tcW w:w="507" w:type="pct"/>
            <w:shd w:val="clear" w:color="auto" w:fill="auto"/>
            <w:vAlign w:val="bottom"/>
          </w:tcPr>
          <w:p w:rsidR="00783971" w:rsidRPr="00951E34" w:rsidRDefault="00783971" w:rsidP="008B63A3">
            <w:pPr>
              <w:pStyle w:val="TableBodyText"/>
              <w:rPr>
                <w:sz w:val="18"/>
                <w:szCs w:val="18"/>
              </w:rPr>
            </w:pPr>
            <w:r w:rsidRPr="00951E34">
              <w:rPr>
                <w:sz w:val="18"/>
                <w:szCs w:val="18"/>
              </w:rPr>
              <w:noBreakHyphen/>
            </w:r>
          </w:p>
        </w:tc>
        <w:tc>
          <w:tcPr>
            <w:tcW w:w="505" w:type="pct"/>
            <w:shd w:val="clear" w:color="auto" w:fill="auto"/>
            <w:vAlign w:val="bottom"/>
          </w:tcPr>
          <w:p w:rsidR="00783971" w:rsidRPr="00951E34" w:rsidRDefault="00783971" w:rsidP="008B63A3">
            <w:pPr>
              <w:pStyle w:val="TableBodyText"/>
              <w:rPr>
                <w:sz w:val="18"/>
                <w:szCs w:val="18"/>
              </w:rPr>
            </w:pPr>
            <w:r w:rsidRPr="00951E34">
              <w:rPr>
                <w:sz w:val="18"/>
                <w:szCs w:val="18"/>
              </w:rPr>
              <w:noBreakHyphen/>
            </w:r>
          </w:p>
        </w:tc>
      </w:tr>
      <w:tr w:rsidR="00783971" w:rsidRPr="006C5A80" w:rsidTr="008B63A3">
        <w:tc>
          <w:tcPr>
            <w:tcW w:w="1960" w:type="pct"/>
            <w:vAlign w:val="bottom"/>
          </w:tcPr>
          <w:p w:rsidR="00783971" w:rsidRPr="00951E34" w:rsidRDefault="00783971" w:rsidP="008B63A3">
            <w:pPr>
              <w:pStyle w:val="TableBodyText"/>
              <w:jc w:val="left"/>
              <w:rPr>
                <w:sz w:val="18"/>
                <w:szCs w:val="18"/>
              </w:rPr>
            </w:pPr>
            <w:r w:rsidRPr="00951E34">
              <w:rPr>
                <w:sz w:val="18"/>
                <w:szCs w:val="18"/>
              </w:rPr>
              <w:t>Textile, leather, clothing and footwear</w:t>
            </w:r>
          </w:p>
        </w:tc>
        <w:tc>
          <w:tcPr>
            <w:tcW w:w="507" w:type="pct"/>
            <w:vAlign w:val="bottom"/>
          </w:tcPr>
          <w:p w:rsidR="00783971" w:rsidRPr="00951E34" w:rsidRDefault="00783971" w:rsidP="008B63A3">
            <w:pPr>
              <w:pStyle w:val="TableBodyText"/>
              <w:rPr>
                <w:sz w:val="18"/>
                <w:szCs w:val="18"/>
              </w:rPr>
            </w:pPr>
            <w:r w:rsidRPr="00951E34">
              <w:rPr>
                <w:sz w:val="18"/>
                <w:szCs w:val="18"/>
              </w:rPr>
              <w:t>0.5</w:t>
            </w:r>
          </w:p>
        </w:tc>
        <w:tc>
          <w:tcPr>
            <w:tcW w:w="507" w:type="pct"/>
            <w:vAlign w:val="bottom"/>
          </w:tcPr>
          <w:p w:rsidR="00783971" w:rsidRPr="00951E34" w:rsidRDefault="00783971" w:rsidP="008B63A3">
            <w:pPr>
              <w:pStyle w:val="TableBodyText"/>
              <w:rPr>
                <w:sz w:val="18"/>
                <w:szCs w:val="18"/>
              </w:rPr>
            </w:pPr>
            <w:r w:rsidRPr="00951E34">
              <w:rPr>
                <w:sz w:val="18"/>
                <w:szCs w:val="18"/>
              </w:rPr>
              <w:t>0.4</w:t>
            </w:r>
          </w:p>
        </w:tc>
        <w:tc>
          <w:tcPr>
            <w:tcW w:w="507" w:type="pct"/>
            <w:vAlign w:val="bottom"/>
          </w:tcPr>
          <w:p w:rsidR="00783971" w:rsidRPr="00951E34" w:rsidRDefault="00783971" w:rsidP="008B63A3">
            <w:pPr>
              <w:pStyle w:val="TableBodyText"/>
              <w:rPr>
                <w:sz w:val="18"/>
                <w:szCs w:val="18"/>
              </w:rPr>
            </w:pPr>
            <w:r w:rsidRPr="00951E34">
              <w:rPr>
                <w:sz w:val="18"/>
                <w:szCs w:val="18"/>
              </w:rPr>
              <w:t>0.2</w:t>
            </w:r>
          </w:p>
        </w:tc>
        <w:tc>
          <w:tcPr>
            <w:tcW w:w="507" w:type="pct"/>
            <w:vAlign w:val="bottom"/>
          </w:tcPr>
          <w:p w:rsidR="00783971" w:rsidRPr="00951E34" w:rsidRDefault="00783971" w:rsidP="008B63A3">
            <w:pPr>
              <w:pStyle w:val="TableBodyText"/>
              <w:rPr>
                <w:sz w:val="18"/>
                <w:szCs w:val="18"/>
              </w:rPr>
            </w:pPr>
            <w:r w:rsidRPr="00951E34">
              <w:rPr>
                <w:sz w:val="18"/>
                <w:szCs w:val="18"/>
              </w:rPr>
              <w:noBreakHyphen/>
            </w:r>
          </w:p>
        </w:tc>
        <w:tc>
          <w:tcPr>
            <w:tcW w:w="507" w:type="pct"/>
            <w:shd w:val="clear" w:color="auto" w:fill="auto"/>
            <w:vAlign w:val="bottom"/>
          </w:tcPr>
          <w:p w:rsidR="00783971" w:rsidRPr="00951E34" w:rsidRDefault="00783971" w:rsidP="008B63A3">
            <w:pPr>
              <w:pStyle w:val="TableBodyText"/>
              <w:rPr>
                <w:sz w:val="18"/>
                <w:szCs w:val="18"/>
              </w:rPr>
            </w:pPr>
            <w:r w:rsidRPr="00951E34">
              <w:rPr>
                <w:sz w:val="18"/>
                <w:szCs w:val="18"/>
              </w:rPr>
              <w:noBreakHyphen/>
            </w:r>
          </w:p>
        </w:tc>
        <w:tc>
          <w:tcPr>
            <w:tcW w:w="505" w:type="pct"/>
            <w:shd w:val="clear" w:color="auto" w:fill="auto"/>
            <w:vAlign w:val="bottom"/>
          </w:tcPr>
          <w:p w:rsidR="00783971" w:rsidRPr="00951E34" w:rsidRDefault="00783971" w:rsidP="008B63A3">
            <w:pPr>
              <w:pStyle w:val="TableBodyText"/>
              <w:rPr>
                <w:sz w:val="18"/>
                <w:szCs w:val="18"/>
              </w:rPr>
            </w:pPr>
            <w:r w:rsidRPr="00951E34">
              <w:rPr>
                <w:sz w:val="18"/>
                <w:szCs w:val="18"/>
              </w:rPr>
              <w:noBreakHyphen/>
            </w:r>
          </w:p>
        </w:tc>
      </w:tr>
      <w:tr w:rsidR="00783971" w:rsidRPr="006C5A80" w:rsidTr="008B63A3">
        <w:tc>
          <w:tcPr>
            <w:tcW w:w="1960" w:type="pct"/>
            <w:vAlign w:val="bottom"/>
          </w:tcPr>
          <w:p w:rsidR="00783971" w:rsidRPr="00951E34" w:rsidRDefault="00783971" w:rsidP="008B63A3">
            <w:pPr>
              <w:pStyle w:val="TableBodyText"/>
              <w:jc w:val="left"/>
              <w:rPr>
                <w:sz w:val="18"/>
                <w:szCs w:val="18"/>
              </w:rPr>
            </w:pPr>
            <w:r w:rsidRPr="00951E34">
              <w:rPr>
                <w:sz w:val="18"/>
                <w:szCs w:val="18"/>
              </w:rPr>
              <w:t>Wood and paper products</w:t>
            </w:r>
          </w:p>
        </w:tc>
        <w:tc>
          <w:tcPr>
            <w:tcW w:w="507" w:type="pct"/>
            <w:vAlign w:val="bottom"/>
          </w:tcPr>
          <w:p w:rsidR="00783971" w:rsidRPr="00951E34" w:rsidRDefault="00783971" w:rsidP="008B63A3">
            <w:pPr>
              <w:pStyle w:val="TableBodyText"/>
              <w:rPr>
                <w:sz w:val="18"/>
                <w:szCs w:val="18"/>
              </w:rPr>
            </w:pPr>
            <w:r w:rsidRPr="00951E34">
              <w:rPr>
                <w:sz w:val="18"/>
                <w:szCs w:val="18"/>
              </w:rPr>
              <w:t>18.8</w:t>
            </w:r>
          </w:p>
        </w:tc>
        <w:tc>
          <w:tcPr>
            <w:tcW w:w="507" w:type="pct"/>
            <w:vAlign w:val="bottom"/>
          </w:tcPr>
          <w:p w:rsidR="00783971" w:rsidRPr="00951E34" w:rsidRDefault="00783971" w:rsidP="008B63A3">
            <w:pPr>
              <w:pStyle w:val="TableBodyText"/>
              <w:rPr>
                <w:sz w:val="18"/>
                <w:szCs w:val="18"/>
              </w:rPr>
            </w:pPr>
            <w:r w:rsidRPr="00951E34">
              <w:rPr>
                <w:sz w:val="18"/>
                <w:szCs w:val="18"/>
              </w:rPr>
              <w:t>19.3</w:t>
            </w:r>
          </w:p>
        </w:tc>
        <w:tc>
          <w:tcPr>
            <w:tcW w:w="507" w:type="pct"/>
            <w:vAlign w:val="bottom"/>
          </w:tcPr>
          <w:p w:rsidR="00783971" w:rsidRPr="00951E34" w:rsidRDefault="00783971" w:rsidP="008B63A3">
            <w:pPr>
              <w:pStyle w:val="TableBodyText"/>
              <w:rPr>
                <w:sz w:val="18"/>
                <w:szCs w:val="18"/>
              </w:rPr>
            </w:pPr>
            <w:r w:rsidRPr="00951E34">
              <w:rPr>
                <w:sz w:val="18"/>
                <w:szCs w:val="18"/>
              </w:rPr>
              <w:t>13.2</w:t>
            </w:r>
          </w:p>
        </w:tc>
        <w:tc>
          <w:tcPr>
            <w:tcW w:w="507" w:type="pct"/>
            <w:vAlign w:val="bottom"/>
          </w:tcPr>
          <w:p w:rsidR="00783971" w:rsidRPr="00951E34" w:rsidRDefault="00783971" w:rsidP="008B63A3">
            <w:pPr>
              <w:pStyle w:val="TableBodyText"/>
              <w:rPr>
                <w:sz w:val="18"/>
                <w:szCs w:val="18"/>
              </w:rPr>
            </w:pPr>
            <w:r w:rsidRPr="00951E34">
              <w:rPr>
                <w:sz w:val="18"/>
                <w:szCs w:val="18"/>
              </w:rPr>
              <w:noBreakHyphen/>
            </w:r>
          </w:p>
        </w:tc>
        <w:tc>
          <w:tcPr>
            <w:tcW w:w="507" w:type="pct"/>
            <w:shd w:val="clear" w:color="auto" w:fill="auto"/>
            <w:vAlign w:val="bottom"/>
          </w:tcPr>
          <w:p w:rsidR="00783971" w:rsidRPr="00951E34" w:rsidRDefault="00783971" w:rsidP="008B63A3">
            <w:pPr>
              <w:pStyle w:val="TableBodyText"/>
              <w:rPr>
                <w:sz w:val="18"/>
                <w:szCs w:val="18"/>
              </w:rPr>
            </w:pPr>
            <w:r w:rsidRPr="00951E34">
              <w:rPr>
                <w:sz w:val="18"/>
                <w:szCs w:val="18"/>
              </w:rPr>
              <w:noBreakHyphen/>
            </w:r>
          </w:p>
        </w:tc>
        <w:tc>
          <w:tcPr>
            <w:tcW w:w="505" w:type="pct"/>
            <w:shd w:val="clear" w:color="auto" w:fill="auto"/>
            <w:vAlign w:val="bottom"/>
          </w:tcPr>
          <w:p w:rsidR="00783971" w:rsidRPr="00951E34" w:rsidRDefault="00783971" w:rsidP="008B63A3">
            <w:pPr>
              <w:pStyle w:val="TableBodyText"/>
              <w:rPr>
                <w:sz w:val="18"/>
                <w:szCs w:val="18"/>
              </w:rPr>
            </w:pPr>
            <w:r w:rsidRPr="00951E34">
              <w:rPr>
                <w:sz w:val="18"/>
                <w:szCs w:val="18"/>
              </w:rPr>
              <w:noBreakHyphen/>
            </w:r>
          </w:p>
        </w:tc>
      </w:tr>
      <w:tr w:rsidR="00783971" w:rsidRPr="006C5A80" w:rsidTr="008B63A3">
        <w:tc>
          <w:tcPr>
            <w:tcW w:w="1960" w:type="pct"/>
            <w:vAlign w:val="bottom"/>
          </w:tcPr>
          <w:p w:rsidR="00783971" w:rsidRPr="00951E34" w:rsidRDefault="00783971" w:rsidP="008B63A3">
            <w:pPr>
              <w:pStyle w:val="TableBodyText"/>
              <w:jc w:val="left"/>
              <w:rPr>
                <w:sz w:val="18"/>
                <w:szCs w:val="18"/>
              </w:rPr>
            </w:pPr>
            <w:r w:rsidRPr="00951E34">
              <w:rPr>
                <w:sz w:val="18"/>
                <w:szCs w:val="18"/>
              </w:rPr>
              <w:t>Metal and fabricated metal products</w:t>
            </w:r>
          </w:p>
        </w:tc>
        <w:tc>
          <w:tcPr>
            <w:tcW w:w="507" w:type="pct"/>
            <w:vAlign w:val="bottom"/>
          </w:tcPr>
          <w:p w:rsidR="00783971" w:rsidRPr="00951E34" w:rsidRDefault="00783971" w:rsidP="008B63A3">
            <w:pPr>
              <w:pStyle w:val="TableBodyText"/>
              <w:rPr>
                <w:sz w:val="18"/>
                <w:szCs w:val="18"/>
              </w:rPr>
            </w:pPr>
            <w:r w:rsidRPr="00951E34">
              <w:rPr>
                <w:sz w:val="18"/>
                <w:szCs w:val="18"/>
              </w:rPr>
              <w:t>2.9</w:t>
            </w:r>
          </w:p>
        </w:tc>
        <w:tc>
          <w:tcPr>
            <w:tcW w:w="507" w:type="pct"/>
            <w:vAlign w:val="bottom"/>
          </w:tcPr>
          <w:p w:rsidR="00783971" w:rsidRPr="00951E34" w:rsidRDefault="00783971" w:rsidP="008B63A3">
            <w:pPr>
              <w:pStyle w:val="TableBodyText"/>
              <w:rPr>
                <w:sz w:val="18"/>
                <w:szCs w:val="18"/>
              </w:rPr>
            </w:pPr>
            <w:r w:rsidRPr="00951E34">
              <w:rPr>
                <w:sz w:val="18"/>
                <w:szCs w:val="18"/>
              </w:rPr>
              <w:t>3.4</w:t>
            </w:r>
          </w:p>
        </w:tc>
        <w:tc>
          <w:tcPr>
            <w:tcW w:w="507" w:type="pct"/>
            <w:vAlign w:val="bottom"/>
          </w:tcPr>
          <w:p w:rsidR="00783971" w:rsidRPr="00951E34" w:rsidRDefault="00783971" w:rsidP="008B63A3">
            <w:pPr>
              <w:pStyle w:val="TableBodyText"/>
              <w:rPr>
                <w:sz w:val="18"/>
                <w:szCs w:val="18"/>
              </w:rPr>
            </w:pPr>
            <w:r w:rsidRPr="00951E34">
              <w:rPr>
                <w:sz w:val="18"/>
                <w:szCs w:val="18"/>
              </w:rPr>
              <w:t>4.8</w:t>
            </w:r>
          </w:p>
        </w:tc>
        <w:tc>
          <w:tcPr>
            <w:tcW w:w="507" w:type="pct"/>
            <w:vAlign w:val="bottom"/>
          </w:tcPr>
          <w:p w:rsidR="00783971" w:rsidRPr="00951E34" w:rsidRDefault="00783971" w:rsidP="008B63A3">
            <w:pPr>
              <w:pStyle w:val="TableBodyText"/>
              <w:rPr>
                <w:sz w:val="18"/>
                <w:szCs w:val="18"/>
              </w:rPr>
            </w:pPr>
            <w:r w:rsidRPr="00951E34">
              <w:rPr>
                <w:sz w:val="18"/>
                <w:szCs w:val="18"/>
              </w:rPr>
              <w:noBreakHyphen/>
            </w:r>
          </w:p>
        </w:tc>
        <w:tc>
          <w:tcPr>
            <w:tcW w:w="507" w:type="pct"/>
            <w:shd w:val="clear" w:color="auto" w:fill="auto"/>
            <w:vAlign w:val="bottom"/>
          </w:tcPr>
          <w:p w:rsidR="00783971" w:rsidRPr="00951E34" w:rsidRDefault="00783971" w:rsidP="008B63A3">
            <w:pPr>
              <w:pStyle w:val="TableBodyText"/>
              <w:rPr>
                <w:sz w:val="18"/>
                <w:szCs w:val="18"/>
              </w:rPr>
            </w:pPr>
            <w:r w:rsidRPr="00951E34">
              <w:rPr>
                <w:sz w:val="18"/>
                <w:szCs w:val="18"/>
              </w:rPr>
              <w:noBreakHyphen/>
            </w:r>
          </w:p>
        </w:tc>
        <w:tc>
          <w:tcPr>
            <w:tcW w:w="505" w:type="pct"/>
            <w:shd w:val="clear" w:color="auto" w:fill="auto"/>
            <w:vAlign w:val="bottom"/>
          </w:tcPr>
          <w:p w:rsidR="00783971" w:rsidRPr="00951E34" w:rsidRDefault="00783971" w:rsidP="008B63A3">
            <w:pPr>
              <w:pStyle w:val="TableBodyText"/>
              <w:rPr>
                <w:sz w:val="18"/>
                <w:szCs w:val="18"/>
              </w:rPr>
            </w:pPr>
            <w:r w:rsidRPr="00951E34">
              <w:rPr>
                <w:sz w:val="18"/>
                <w:szCs w:val="18"/>
              </w:rPr>
              <w:noBreakHyphen/>
            </w:r>
          </w:p>
        </w:tc>
      </w:tr>
      <w:tr w:rsidR="00783971" w:rsidRPr="006C5A80" w:rsidTr="008B63A3">
        <w:tc>
          <w:tcPr>
            <w:tcW w:w="1960" w:type="pct"/>
            <w:vAlign w:val="bottom"/>
          </w:tcPr>
          <w:p w:rsidR="00783971" w:rsidRPr="00951E34" w:rsidRDefault="00783971" w:rsidP="008B63A3">
            <w:pPr>
              <w:pStyle w:val="TableBodyText"/>
              <w:jc w:val="left"/>
              <w:rPr>
                <w:sz w:val="18"/>
                <w:szCs w:val="18"/>
              </w:rPr>
            </w:pPr>
            <w:r w:rsidRPr="00951E34">
              <w:rPr>
                <w:sz w:val="18"/>
                <w:szCs w:val="18"/>
              </w:rPr>
              <w:t>Furniture and other manufacturing</w:t>
            </w:r>
          </w:p>
        </w:tc>
        <w:tc>
          <w:tcPr>
            <w:tcW w:w="507" w:type="pct"/>
            <w:vAlign w:val="bottom"/>
          </w:tcPr>
          <w:p w:rsidR="00783971" w:rsidRPr="00951E34" w:rsidRDefault="00783971" w:rsidP="008B63A3">
            <w:pPr>
              <w:pStyle w:val="TableBodyText"/>
              <w:rPr>
                <w:sz w:val="18"/>
                <w:szCs w:val="18"/>
              </w:rPr>
            </w:pPr>
            <w:r w:rsidRPr="00951E34">
              <w:rPr>
                <w:sz w:val="18"/>
                <w:szCs w:val="18"/>
              </w:rPr>
              <w:t>1.4</w:t>
            </w:r>
          </w:p>
        </w:tc>
        <w:tc>
          <w:tcPr>
            <w:tcW w:w="507" w:type="pct"/>
            <w:vAlign w:val="bottom"/>
          </w:tcPr>
          <w:p w:rsidR="00783971" w:rsidRPr="00951E34" w:rsidRDefault="00783971" w:rsidP="008B63A3">
            <w:pPr>
              <w:pStyle w:val="TableBodyText"/>
              <w:rPr>
                <w:sz w:val="18"/>
                <w:szCs w:val="18"/>
              </w:rPr>
            </w:pPr>
            <w:r w:rsidRPr="00951E34">
              <w:rPr>
                <w:sz w:val="18"/>
                <w:szCs w:val="18"/>
              </w:rPr>
              <w:t>1.4</w:t>
            </w:r>
          </w:p>
        </w:tc>
        <w:tc>
          <w:tcPr>
            <w:tcW w:w="507" w:type="pct"/>
            <w:vAlign w:val="bottom"/>
          </w:tcPr>
          <w:p w:rsidR="00783971" w:rsidRPr="00951E34" w:rsidRDefault="00783971" w:rsidP="008B63A3">
            <w:pPr>
              <w:pStyle w:val="TableBodyText"/>
              <w:rPr>
                <w:sz w:val="18"/>
                <w:szCs w:val="18"/>
              </w:rPr>
            </w:pPr>
            <w:r w:rsidRPr="00951E34">
              <w:rPr>
                <w:sz w:val="18"/>
                <w:szCs w:val="18"/>
              </w:rPr>
              <w:t>1.1</w:t>
            </w:r>
          </w:p>
        </w:tc>
        <w:tc>
          <w:tcPr>
            <w:tcW w:w="507" w:type="pct"/>
            <w:vAlign w:val="bottom"/>
          </w:tcPr>
          <w:p w:rsidR="00783971" w:rsidRPr="00951E34" w:rsidRDefault="00783971" w:rsidP="008B63A3">
            <w:pPr>
              <w:pStyle w:val="TableBodyText"/>
              <w:rPr>
                <w:sz w:val="18"/>
                <w:szCs w:val="18"/>
              </w:rPr>
            </w:pPr>
            <w:r w:rsidRPr="00951E34">
              <w:rPr>
                <w:sz w:val="18"/>
                <w:szCs w:val="18"/>
              </w:rPr>
              <w:noBreakHyphen/>
            </w:r>
          </w:p>
        </w:tc>
        <w:tc>
          <w:tcPr>
            <w:tcW w:w="507" w:type="pct"/>
            <w:shd w:val="clear" w:color="auto" w:fill="auto"/>
            <w:vAlign w:val="bottom"/>
          </w:tcPr>
          <w:p w:rsidR="00783971" w:rsidRPr="00951E34" w:rsidRDefault="00783971" w:rsidP="008B63A3">
            <w:pPr>
              <w:pStyle w:val="TableBodyText"/>
              <w:rPr>
                <w:sz w:val="18"/>
                <w:szCs w:val="18"/>
              </w:rPr>
            </w:pPr>
            <w:r w:rsidRPr="00951E34">
              <w:rPr>
                <w:sz w:val="18"/>
                <w:szCs w:val="18"/>
              </w:rPr>
              <w:noBreakHyphen/>
            </w:r>
          </w:p>
        </w:tc>
        <w:tc>
          <w:tcPr>
            <w:tcW w:w="505" w:type="pct"/>
            <w:shd w:val="clear" w:color="auto" w:fill="auto"/>
            <w:vAlign w:val="bottom"/>
          </w:tcPr>
          <w:p w:rsidR="00783971" w:rsidRPr="00951E34" w:rsidRDefault="00783971" w:rsidP="008B63A3">
            <w:pPr>
              <w:pStyle w:val="TableBodyText"/>
              <w:rPr>
                <w:sz w:val="18"/>
                <w:szCs w:val="18"/>
              </w:rPr>
            </w:pPr>
            <w:r w:rsidRPr="00951E34">
              <w:rPr>
                <w:sz w:val="18"/>
                <w:szCs w:val="18"/>
              </w:rPr>
              <w:noBreakHyphen/>
            </w:r>
          </w:p>
        </w:tc>
      </w:tr>
      <w:tr w:rsidR="00783971" w:rsidRPr="006C5A80" w:rsidTr="008B63A3">
        <w:tc>
          <w:tcPr>
            <w:tcW w:w="1960" w:type="pct"/>
            <w:vAlign w:val="bottom"/>
          </w:tcPr>
          <w:p w:rsidR="00783971" w:rsidRPr="00951E34" w:rsidRDefault="00783971" w:rsidP="008B63A3">
            <w:pPr>
              <w:pStyle w:val="TableBodyText"/>
              <w:jc w:val="left"/>
              <w:rPr>
                <w:sz w:val="18"/>
                <w:szCs w:val="18"/>
              </w:rPr>
            </w:pPr>
            <w:r w:rsidRPr="00951E34">
              <w:rPr>
                <w:sz w:val="18"/>
                <w:szCs w:val="18"/>
              </w:rPr>
              <w:t>Unallocated manufacturing</w:t>
            </w:r>
          </w:p>
        </w:tc>
        <w:tc>
          <w:tcPr>
            <w:tcW w:w="507" w:type="pct"/>
            <w:vAlign w:val="bottom"/>
          </w:tcPr>
          <w:p w:rsidR="00783971" w:rsidRPr="00951E34" w:rsidRDefault="00783971" w:rsidP="008B63A3">
            <w:pPr>
              <w:pStyle w:val="TableBodyText"/>
              <w:rPr>
                <w:sz w:val="18"/>
                <w:szCs w:val="18"/>
              </w:rPr>
            </w:pPr>
            <w:r w:rsidRPr="00951E34">
              <w:rPr>
                <w:sz w:val="18"/>
                <w:szCs w:val="18"/>
              </w:rPr>
              <w:t>39.4</w:t>
            </w:r>
          </w:p>
        </w:tc>
        <w:tc>
          <w:tcPr>
            <w:tcW w:w="507" w:type="pct"/>
            <w:vAlign w:val="bottom"/>
          </w:tcPr>
          <w:p w:rsidR="00783971" w:rsidRPr="00951E34" w:rsidRDefault="00783971" w:rsidP="008B63A3">
            <w:pPr>
              <w:pStyle w:val="TableBodyText"/>
              <w:rPr>
                <w:sz w:val="18"/>
                <w:szCs w:val="18"/>
              </w:rPr>
            </w:pPr>
            <w:r w:rsidRPr="00951E34">
              <w:rPr>
                <w:sz w:val="18"/>
                <w:szCs w:val="18"/>
              </w:rPr>
              <w:t>46.4</w:t>
            </w:r>
          </w:p>
        </w:tc>
        <w:tc>
          <w:tcPr>
            <w:tcW w:w="507" w:type="pct"/>
            <w:vAlign w:val="bottom"/>
          </w:tcPr>
          <w:p w:rsidR="00783971" w:rsidRPr="00951E34" w:rsidRDefault="00783971" w:rsidP="008B63A3">
            <w:pPr>
              <w:pStyle w:val="TableBodyText"/>
              <w:rPr>
                <w:sz w:val="18"/>
                <w:szCs w:val="18"/>
              </w:rPr>
            </w:pPr>
            <w:r w:rsidRPr="00951E34">
              <w:rPr>
                <w:sz w:val="18"/>
                <w:szCs w:val="18"/>
              </w:rPr>
              <w:t>59.1</w:t>
            </w:r>
          </w:p>
        </w:tc>
        <w:tc>
          <w:tcPr>
            <w:tcW w:w="507" w:type="pct"/>
            <w:vAlign w:val="bottom"/>
          </w:tcPr>
          <w:p w:rsidR="00783971" w:rsidRPr="00951E34" w:rsidRDefault="00783971" w:rsidP="008B63A3">
            <w:pPr>
              <w:pStyle w:val="TableBodyText"/>
              <w:rPr>
                <w:sz w:val="18"/>
                <w:szCs w:val="18"/>
              </w:rPr>
            </w:pPr>
            <w:r w:rsidRPr="00951E34">
              <w:rPr>
                <w:sz w:val="18"/>
                <w:szCs w:val="18"/>
              </w:rPr>
              <w:t>69.0</w:t>
            </w:r>
          </w:p>
        </w:tc>
        <w:tc>
          <w:tcPr>
            <w:tcW w:w="507" w:type="pct"/>
            <w:shd w:val="clear" w:color="auto" w:fill="auto"/>
            <w:vAlign w:val="bottom"/>
          </w:tcPr>
          <w:p w:rsidR="00783971" w:rsidRPr="00951E34" w:rsidRDefault="00783971" w:rsidP="008B63A3">
            <w:pPr>
              <w:pStyle w:val="TableBodyText"/>
              <w:rPr>
                <w:sz w:val="18"/>
                <w:szCs w:val="18"/>
              </w:rPr>
            </w:pPr>
            <w:r w:rsidRPr="00951E34">
              <w:rPr>
                <w:sz w:val="18"/>
                <w:szCs w:val="18"/>
              </w:rPr>
              <w:t>69.2</w:t>
            </w:r>
          </w:p>
        </w:tc>
        <w:tc>
          <w:tcPr>
            <w:tcW w:w="505" w:type="pct"/>
            <w:shd w:val="clear" w:color="auto" w:fill="auto"/>
            <w:vAlign w:val="bottom"/>
          </w:tcPr>
          <w:p w:rsidR="00783971" w:rsidRPr="00951E34" w:rsidRDefault="00783971" w:rsidP="008B63A3">
            <w:pPr>
              <w:pStyle w:val="TableBodyText"/>
              <w:rPr>
                <w:sz w:val="18"/>
                <w:szCs w:val="18"/>
              </w:rPr>
            </w:pPr>
            <w:r w:rsidRPr="00951E34">
              <w:rPr>
                <w:sz w:val="18"/>
                <w:szCs w:val="18"/>
              </w:rPr>
              <w:t>65.5</w:t>
            </w:r>
          </w:p>
        </w:tc>
      </w:tr>
      <w:tr w:rsidR="00783971" w:rsidRPr="006C5A80" w:rsidTr="008B63A3">
        <w:tc>
          <w:tcPr>
            <w:tcW w:w="1960" w:type="pct"/>
            <w:vAlign w:val="bottom"/>
          </w:tcPr>
          <w:p w:rsidR="00783971" w:rsidRPr="00951E34" w:rsidRDefault="00783971" w:rsidP="008B63A3">
            <w:pPr>
              <w:pStyle w:val="TableBodyText"/>
              <w:jc w:val="left"/>
              <w:rPr>
                <w:b/>
                <w:sz w:val="18"/>
                <w:szCs w:val="18"/>
              </w:rPr>
            </w:pPr>
            <w:r w:rsidRPr="00951E34">
              <w:rPr>
                <w:b/>
                <w:sz w:val="18"/>
                <w:szCs w:val="18"/>
              </w:rPr>
              <w:t>Services</w:t>
            </w:r>
          </w:p>
        </w:tc>
        <w:tc>
          <w:tcPr>
            <w:tcW w:w="507" w:type="pct"/>
            <w:vAlign w:val="bottom"/>
          </w:tcPr>
          <w:p w:rsidR="00783971" w:rsidRPr="00951E34" w:rsidRDefault="00783971" w:rsidP="008B63A3">
            <w:pPr>
              <w:pStyle w:val="TableBodyText"/>
              <w:rPr>
                <w:b/>
                <w:sz w:val="18"/>
                <w:szCs w:val="18"/>
              </w:rPr>
            </w:pPr>
            <w:r>
              <w:rPr>
                <w:b/>
                <w:sz w:val="18"/>
                <w:szCs w:val="18"/>
              </w:rPr>
              <w:noBreakHyphen/>
            </w:r>
          </w:p>
        </w:tc>
        <w:tc>
          <w:tcPr>
            <w:tcW w:w="507" w:type="pct"/>
            <w:vAlign w:val="bottom"/>
          </w:tcPr>
          <w:p w:rsidR="00783971" w:rsidRPr="00951E34" w:rsidRDefault="00783971" w:rsidP="008B63A3">
            <w:pPr>
              <w:pStyle w:val="TableBodyText"/>
              <w:rPr>
                <w:b/>
                <w:sz w:val="18"/>
                <w:szCs w:val="18"/>
              </w:rPr>
            </w:pPr>
            <w:r>
              <w:rPr>
                <w:b/>
                <w:sz w:val="18"/>
                <w:szCs w:val="18"/>
              </w:rPr>
              <w:noBreakHyphen/>
            </w:r>
          </w:p>
        </w:tc>
        <w:tc>
          <w:tcPr>
            <w:tcW w:w="507" w:type="pct"/>
            <w:vAlign w:val="bottom"/>
          </w:tcPr>
          <w:p w:rsidR="00783971" w:rsidRPr="00951E34" w:rsidRDefault="00783971" w:rsidP="008B63A3">
            <w:pPr>
              <w:pStyle w:val="TableBodyText"/>
              <w:rPr>
                <w:b/>
                <w:sz w:val="18"/>
                <w:szCs w:val="18"/>
              </w:rPr>
            </w:pPr>
            <w:r w:rsidRPr="0037490F">
              <w:rPr>
                <w:b/>
                <w:sz w:val="18"/>
                <w:szCs w:val="18"/>
              </w:rPr>
              <w:t>&lt;0.1</w:t>
            </w:r>
          </w:p>
        </w:tc>
        <w:tc>
          <w:tcPr>
            <w:tcW w:w="507" w:type="pct"/>
            <w:vAlign w:val="bottom"/>
          </w:tcPr>
          <w:p w:rsidR="00783971" w:rsidRPr="00951E34" w:rsidRDefault="00783971" w:rsidP="008B63A3">
            <w:pPr>
              <w:pStyle w:val="TableBodyText"/>
              <w:rPr>
                <w:b/>
                <w:sz w:val="18"/>
                <w:szCs w:val="18"/>
              </w:rPr>
            </w:pPr>
            <w:r w:rsidRPr="00951E34">
              <w:rPr>
                <w:b/>
                <w:sz w:val="18"/>
                <w:szCs w:val="18"/>
              </w:rPr>
              <w:t>0.2</w:t>
            </w:r>
          </w:p>
        </w:tc>
        <w:tc>
          <w:tcPr>
            <w:tcW w:w="507" w:type="pct"/>
            <w:shd w:val="clear" w:color="auto" w:fill="auto"/>
            <w:vAlign w:val="bottom"/>
          </w:tcPr>
          <w:p w:rsidR="00783971" w:rsidRPr="00951E34" w:rsidRDefault="00783971" w:rsidP="008B63A3">
            <w:pPr>
              <w:pStyle w:val="TableBodyText"/>
              <w:rPr>
                <w:b/>
                <w:sz w:val="18"/>
                <w:szCs w:val="18"/>
              </w:rPr>
            </w:pPr>
            <w:r w:rsidRPr="00951E34">
              <w:rPr>
                <w:b/>
                <w:sz w:val="18"/>
                <w:szCs w:val="18"/>
              </w:rPr>
              <w:t>0.2</w:t>
            </w:r>
          </w:p>
        </w:tc>
        <w:tc>
          <w:tcPr>
            <w:tcW w:w="505" w:type="pct"/>
            <w:shd w:val="clear" w:color="auto" w:fill="auto"/>
            <w:vAlign w:val="bottom"/>
          </w:tcPr>
          <w:p w:rsidR="00783971" w:rsidRPr="00951E34" w:rsidRDefault="00783971" w:rsidP="008B63A3">
            <w:pPr>
              <w:pStyle w:val="TableBodyText"/>
              <w:rPr>
                <w:b/>
                <w:sz w:val="18"/>
                <w:szCs w:val="18"/>
              </w:rPr>
            </w:pPr>
            <w:r w:rsidRPr="00951E34">
              <w:rPr>
                <w:b/>
                <w:sz w:val="18"/>
                <w:szCs w:val="18"/>
              </w:rPr>
              <w:t>0.2</w:t>
            </w:r>
          </w:p>
        </w:tc>
      </w:tr>
      <w:tr w:rsidR="00783971" w:rsidRPr="006C5A80" w:rsidTr="008B63A3">
        <w:tc>
          <w:tcPr>
            <w:tcW w:w="1960" w:type="pct"/>
            <w:vAlign w:val="bottom"/>
          </w:tcPr>
          <w:p w:rsidR="00783971" w:rsidRPr="00951E34" w:rsidRDefault="00783971" w:rsidP="008B63A3">
            <w:pPr>
              <w:pStyle w:val="TableBodyText"/>
              <w:jc w:val="left"/>
              <w:rPr>
                <w:sz w:val="18"/>
                <w:szCs w:val="18"/>
              </w:rPr>
            </w:pPr>
            <w:r w:rsidRPr="00951E34">
              <w:rPr>
                <w:sz w:val="18"/>
                <w:szCs w:val="18"/>
              </w:rPr>
              <w:t>Education and training</w:t>
            </w:r>
          </w:p>
        </w:tc>
        <w:tc>
          <w:tcPr>
            <w:tcW w:w="507" w:type="pct"/>
            <w:vAlign w:val="bottom"/>
          </w:tcPr>
          <w:p w:rsidR="00783971" w:rsidRPr="00951E34" w:rsidRDefault="00783971" w:rsidP="008B63A3">
            <w:pPr>
              <w:pStyle w:val="TableBodyText"/>
              <w:rPr>
                <w:sz w:val="18"/>
                <w:szCs w:val="18"/>
              </w:rPr>
            </w:pPr>
            <w:r w:rsidRPr="00951E34">
              <w:rPr>
                <w:sz w:val="18"/>
                <w:szCs w:val="18"/>
              </w:rPr>
              <w:noBreakHyphen/>
            </w:r>
          </w:p>
        </w:tc>
        <w:tc>
          <w:tcPr>
            <w:tcW w:w="507" w:type="pct"/>
            <w:vAlign w:val="bottom"/>
          </w:tcPr>
          <w:p w:rsidR="00783971" w:rsidRPr="00951E34" w:rsidRDefault="00783971" w:rsidP="008B63A3">
            <w:pPr>
              <w:pStyle w:val="TableBodyText"/>
              <w:rPr>
                <w:sz w:val="18"/>
                <w:szCs w:val="18"/>
              </w:rPr>
            </w:pPr>
            <w:r w:rsidRPr="00951E34">
              <w:rPr>
                <w:sz w:val="18"/>
                <w:szCs w:val="18"/>
              </w:rPr>
              <w:noBreakHyphen/>
            </w:r>
          </w:p>
        </w:tc>
        <w:tc>
          <w:tcPr>
            <w:tcW w:w="507" w:type="pct"/>
            <w:vAlign w:val="bottom"/>
          </w:tcPr>
          <w:p w:rsidR="00783971" w:rsidRPr="00951E34" w:rsidRDefault="00783971" w:rsidP="008B63A3">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783971" w:rsidRPr="00951E34" w:rsidRDefault="00783971" w:rsidP="008B63A3">
            <w:pPr>
              <w:pStyle w:val="TableBodyText"/>
              <w:rPr>
                <w:sz w:val="18"/>
                <w:szCs w:val="18"/>
              </w:rPr>
            </w:pPr>
            <w:r>
              <w:rPr>
                <w:sz w:val="18"/>
                <w:szCs w:val="18"/>
              </w:rPr>
              <w:t>&lt;</w:t>
            </w:r>
            <w:r w:rsidRPr="00951E34">
              <w:rPr>
                <w:sz w:val="18"/>
                <w:szCs w:val="18"/>
              </w:rPr>
              <w:t>0.1</w:t>
            </w:r>
          </w:p>
        </w:tc>
        <w:tc>
          <w:tcPr>
            <w:tcW w:w="507" w:type="pct"/>
            <w:shd w:val="clear" w:color="auto" w:fill="auto"/>
            <w:vAlign w:val="bottom"/>
          </w:tcPr>
          <w:p w:rsidR="00783971" w:rsidRPr="00951E34" w:rsidRDefault="00783971" w:rsidP="008B63A3">
            <w:pPr>
              <w:pStyle w:val="TableBodyText"/>
              <w:rPr>
                <w:sz w:val="18"/>
                <w:szCs w:val="18"/>
              </w:rPr>
            </w:pPr>
            <w:r>
              <w:rPr>
                <w:sz w:val="18"/>
                <w:szCs w:val="18"/>
              </w:rPr>
              <w:t>&lt;</w:t>
            </w:r>
            <w:r w:rsidRPr="00951E34">
              <w:rPr>
                <w:sz w:val="18"/>
                <w:szCs w:val="18"/>
              </w:rPr>
              <w:t>0.1</w:t>
            </w:r>
          </w:p>
        </w:tc>
        <w:tc>
          <w:tcPr>
            <w:tcW w:w="505" w:type="pct"/>
            <w:shd w:val="clear" w:color="auto" w:fill="auto"/>
            <w:vAlign w:val="bottom"/>
          </w:tcPr>
          <w:p w:rsidR="00783971" w:rsidRPr="00951E34" w:rsidRDefault="00783971" w:rsidP="008B63A3">
            <w:pPr>
              <w:pStyle w:val="TableBodyText"/>
              <w:rPr>
                <w:sz w:val="18"/>
                <w:szCs w:val="18"/>
              </w:rPr>
            </w:pPr>
            <w:r>
              <w:rPr>
                <w:sz w:val="18"/>
                <w:szCs w:val="18"/>
              </w:rPr>
              <w:t>&lt;</w:t>
            </w:r>
            <w:r w:rsidRPr="00951E34">
              <w:rPr>
                <w:sz w:val="18"/>
                <w:szCs w:val="18"/>
              </w:rPr>
              <w:t>0.1</w:t>
            </w:r>
          </w:p>
        </w:tc>
      </w:tr>
      <w:tr w:rsidR="00783971" w:rsidRPr="006C5A80" w:rsidTr="008B63A3">
        <w:tc>
          <w:tcPr>
            <w:tcW w:w="1960" w:type="pct"/>
            <w:vAlign w:val="bottom"/>
          </w:tcPr>
          <w:p w:rsidR="00783971" w:rsidRPr="00951E34" w:rsidRDefault="00783971" w:rsidP="008B63A3">
            <w:pPr>
              <w:pStyle w:val="TableBodyText"/>
              <w:jc w:val="left"/>
              <w:rPr>
                <w:sz w:val="18"/>
                <w:szCs w:val="18"/>
              </w:rPr>
            </w:pPr>
            <w:r w:rsidRPr="00951E34">
              <w:rPr>
                <w:sz w:val="18"/>
                <w:szCs w:val="18"/>
              </w:rPr>
              <w:t>Arts and recreation services</w:t>
            </w:r>
          </w:p>
        </w:tc>
        <w:tc>
          <w:tcPr>
            <w:tcW w:w="507" w:type="pct"/>
            <w:vAlign w:val="bottom"/>
          </w:tcPr>
          <w:p w:rsidR="00783971" w:rsidRPr="00951E34" w:rsidRDefault="00783971" w:rsidP="008B63A3">
            <w:pPr>
              <w:pStyle w:val="TableBodyText"/>
              <w:rPr>
                <w:sz w:val="18"/>
                <w:szCs w:val="18"/>
              </w:rPr>
            </w:pPr>
            <w:r w:rsidRPr="00951E34">
              <w:rPr>
                <w:sz w:val="18"/>
                <w:szCs w:val="18"/>
              </w:rPr>
              <w:noBreakHyphen/>
            </w:r>
          </w:p>
        </w:tc>
        <w:tc>
          <w:tcPr>
            <w:tcW w:w="507" w:type="pct"/>
            <w:vAlign w:val="bottom"/>
          </w:tcPr>
          <w:p w:rsidR="00783971" w:rsidRPr="00951E34" w:rsidRDefault="00783971" w:rsidP="008B63A3">
            <w:pPr>
              <w:pStyle w:val="TableBodyText"/>
              <w:rPr>
                <w:sz w:val="18"/>
                <w:szCs w:val="18"/>
              </w:rPr>
            </w:pPr>
            <w:r w:rsidRPr="00951E34">
              <w:rPr>
                <w:sz w:val="18"/>
                <w:szCs w:val="18"/>
              </w:rPr>
              <w:noBreakHyphen/>
            </w:r>
          </w:p>
        </w:tc>
        <w:tc>
          <w:tcPr>
            <w:tcW w:w="507" w:type="pct"/>
            <w:vAlign w:val="bottom"/>
          </w:tcPr>
          <w:p w:rsidR="00783971" w:rsidRPr="00951E34" w:rsidRDefault="00783971" w:rsidP="008B63A3">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783971" w:rsidRPr="00951E34" w:rsidRDefault="00783971" w:rsidP="008B63A3">
            <w:pPr>
              <w:pStyle w:val="TableBodyText"/>
              <w:rPr>
                <w:sz w:val="18"/>
                <w:szCs w:val="18"/>
              </w:rPr>
            </w:pPr>
            <w:r w:rsidRPr="00951E34">
              <w:rPr>
                <w:sz w:val="18"/>
                <w:szCs w:val="18"/>
              </w:rPr>
              <w:t>0.2</w:t>
            </w:r>
          </w:p>
        </w:tc>
        <w:tc>
          <w:tcPr>
            <w:tcW w:w="507" w:type="pct"/>
            <w:shd w:val="clear" w:color="auto" w:fill="auto"/>
            <w:vAlign w:val="bottom"/>
          </w:tcPr>
          <w:p w:rsidR="00783971" w:rsidRPr="00951E34" w:rsidRDefault="00783971" w:rsidP="008B63A3">
            <w:pPr>
              <w:pStyle w:val="TableBodyText"/>
              <w:rPr>
                <w:sz w:val="18"/>
                <w:szCs w:val="18"/>
              </w:rPr>
            </w:pPr>
            <w:r w:rsidRPr="00951E34">
              <w:rPr>
                <w:sz w:val="18"/>
                <w:szCs w:val="18"/>
              </w:rPr>
              <w:t>0.2</w:t>
            </w:r>
          </w:p>
        </w:tc>
        <w:tc>
          <w:tcPr>
            <w:tcW w:w="505" w:type="pct"/>
            <w:shd w:val="clear" w:color="auto" w:fill="auto"/>
            <w:vAlign w:val="bottom"/>
          </w:tcPr>
          <w:p w:rsidR="00783971" w:rsidRPr="00951E34" w:rsidRDefault="00783971" w:rsidP="008B63A3">
            <w:pPr>
              <w:pStyle w:val="TableBodyText"/>
              <w:rPr>
                <w:sz w:val="18"/>
                <w:szCs w:val="18"/>
              </w:rPr>
            </w:pPr>
            <w:r w:rsidRPr="00951E34">
              <w:rPr>
                <w:sz w:val="18"/>
                <w:szCs w:val="18"/>
              </w:rPr>
              <w:t>0.1</w:t>
            </w:r>
          </w:p>
        </w:tc>
      </w:tr>
      <w:tr w:rsidR="00783971" w:rsidRPr="006C5A80" w:rsidTr="008B63A3">
        <w:tc>
          <w:tcPr>
            <w:tcW w:w="1960" w:type="pct"/>
            <w:vAlign w:val="bottom"/>
          </w:tcPr>
          <w:p w:rsidR="00783971" w:rsidRPr="00951E34" w:rsidRDefault="00783971" w:rsidP="008B63A3">
            <w:pPr>
              <w:pStyle w:val="TableBodyText"/>
              <w:jc w:val="left"/>
              <w:rPr>
                <w:sz w:val="18"/>
                <w:szCs w:val="18"/>
              </w:rPr>
            </w:pPr>
            <w:r w:rsidRPr="00951E34">
              <w:rPr>
                <w:sz w:val="18"/>
                <w:szCs w:val="18"/>
              </w:rPr>
              <w:t>Unallocated other</w:t>
            </w:r>
            <w:r w:rsidRPr="00951E34">
              <w:rPr>
                <w:rStyle w:val="NoteLabel"/>
                <w:szCs w:val="18"/>
              </w:rPr>
              <w:t>a</w:t>
            </w:r>
          </w:p>
        </w:tc>
        <w:tc>
          <w:tcPr>
            <w:tcW w:w="507" w:type="pct"/>
            <w:vAlign w:val="bottom"/>
          </w:tcPr>
          <w:p w:rsidR="00783971" w:rsidRPr="00951E34" w:rsidRDefault="00783971" w:rsidP="008B63A3">
            <w:pPr>
              <w:pStyle w:val="TableBodyText"/>
              <w:rPr>
                <w:sz w:val="18"/>
                <w:szCs w:val="18"/>
              </w:rPr>
            </w:pPr>
            <w:r w:rsidRPr="00951E34">
              <w:rPr>
                <w:sz w:val="18"/>
                <w:szCs w:val="18"/>
              </w:rPr>
              <w:t>1.0</w:t>
            </w:r>
          </w:p>
        </w:tc>
        <w:tc>
          <w:tcPr>
            <w:tcW w:w="507" w:type="pct"/>
            <w:vAlign w:val="bottom"/>
          </w:tcPr>
          <w:p w:rsidR="00783971" w:rsidRPr="00951E34" w:rsidRDefault="00783971" w:rsidP="008B63A3">
            <w:pPr>
              <w:pStyle w:val="TableBodyText"/>
              <w:rPr>
                <w:sz w:val="18"/>
                <w:szCs w:val="18"/>
              </w:rPr>
            </w:pPr>
            <w:r w:rsidRPr="00951E34">
              <w:rPr>
                <w:sz w:val="18"/>
                <w:szCs w:val="18"/>
              </w:rPr>
              <w:t>1.2</w:t>
            </w:r>
          </w:p>
        </w:tc>
        <w:tc>
          <w:tcPr>
            <w:tcW w:w="507" w:type="pct"/>
            <w:vAlign w:val="bottom"/>
          </w:tcPr>
          <w:p w:rsidR="00783971" w:rsidRPr="00951E34" w:rsidRDefault="00783971" w:rsidP="008B63A3">
            <w:pPr>
              <w:pStyle w:val="TableBodyText"/>
              <w:rPr>
                <w:sz w:val="18"/>
                <w:szCs w:val="18"/>
              </w:rPr>
            </w:pPr>
            <w:r w:rsidRPr="00951E34">
              <w:rPr>
                <w:sz w:val="18"/>
                <w:szCs w:val="18"/>
              </w:rPr>
              <w:t>2.5</w:t>
            </w:r>
          </w:p>
        </w:tc>
        <w:tc>
          <w:tcPr>
            <w:tcW w:w="507" w:type="pct"/>
            <w:vAlign w:val="bottom"/>
          </w:tcPr>
          <w:p w:rsidR="00783971" w:rsidRPr="00951E34" w:rsidRDefault="00783971" w:rsidP="008B63A3">
            <w:pPr>
              <w:pStyle w:val="TableBodyText"/>
              <w:rPr>
                <w:sz w:val="18"/>
                <w:szCs w:val="18"/>
              </w:rPr>
            </w:pPr>
            <w:r w:rsidRPr="00951E34">
              <w:rPr>
                <w:sz w:val="18"/>
                <w:szCs w:val="18"/>
              </w:rPr>
              <w:t>6.6</w:t>
            </w:r>
          </w:p>
        </w:tc>
        <w:tc>
          <w:tcPr>
            <w:tcW w:w="507" w:type="pct"/>
            <w:shd w:val="clear" w:color="auto" w:fill="auto"/>
            <w:vAlign w:val="bottom"/>
          </w:tcPr>
          <w:p w:rsidR="00783971" w:rsidRPr="00951E34" w:rsidRDefault="00783971" w:rsidP="008B63A3">
            <w:pPr>
              <w:pStyle w:val="TableBodyText"/>
              <w:rPr>
                <w:sz w:val="18"/>
                <w:szCs w:val="18"/>
              </w:rPr>
            </w:pPr>
            <w:r w:rsidRPr="00951E34">
              <w:rPr>
                <w:sz w:val="18"/>
                <w:szCs w:val="18"/>
              </w:rPr>
              <w:t>6.6</w:t>
            </w:r>
          </w:p>
        </w:tc>
        <w:tc>
          <w:tcPr>
            <w:tcW w:w="505" w:type="pct"/>
            <w:shd w:val="clear" w:color="auto" w:fill="auto"/>
            <w:vAlign w:val="bottom"/>
          </w:tcPr>
          <w:p w:rsidR="00783971" w:rsidRPr="00951E34" w:rsidRDefault="00783971" w:rsidP="008B63A3">
            <w:pPr>
              <w:pStyle w:val="TableBodyText"/>
              <w:rPr>
                <w:sz w:val="18"/>
                <w:szCs w:val="18"/>
              </w:rPr>
            </w:pPr>
            <w:r w:rsidRPr="00951E34">
              <w:rPr>
                <w:sz w:val="18"/>
                <w:szCs w:val="18"/>
              </w:rPr>
              <w:t>6.3</w:t>
            </w:r>
          </w:p>
        </w:tc>
      </w:tr>
      <w:tr w:rsidR="00783971" w:rsidRPr="006C5A80" w:rsidTr="008B63A3">
        <w:tc>
          <w:tcPr>
            <w:tcW w:w="1960" w:type="pct"/>
            <w:tcBorders>
              <w:bottom w:val="single" w:sz="4" w:space="0" w:color="auto"/>
            </w:tcBorders>
            <w:vAlign w:val="bottom"/>
          </w:tcPr>
          <w:p w:rsidR="00783971" w:rsidRPr="00951E34" w:rsidRDefault="00783971" w:rsidP="008B63A3">
            <w:pPr>
              <w:pStyle w:val="TableBodyText"/>
              <w:jc w:val="left"/>
              <w:rPr>
                <w:b/>
                <w:bCs/>
                <w:sz w:val="18"/>
                <w:szCs w:val="18"/>
              </w:rPr>
            </w:pPr>
            <w:r w:rsidRPr="00951E34">
              <w:rPr>
                <w:b/>
                <w:bCs/>
                <w:sz w:val="18"/>
                <w:szCs w:val="18"/>
              </w:rPr>
              <w:t>Total</w:t>
            </w:r>
          </w:p>
        </w:tc>
        <w:tc>
          <w:tcPr>
            <w:tcW w:w="507" w:type="pct"/>
            <w:tcBorders>
              <w:bottom w:val="single" w:sz="4" w:space="0" w:color="auto"/>
            </w:tcBorders>
            <w:vAlign w:val="bottom"/>
          </w:tcPr>
          <w:p w:rsidR="00783971" w:rsidRPr="00F05886" w:rsidRDefault="00783971" w:rsidP="008B63A3">
            <w:pPr>
              <w:pStyle w:val="TableBodyText"/>
              <w:rPr>
                <w:b/>
                <w:sz w:val="18"/>
                <w:szCs w:val="18"/>
              </w:rPr>
            </w:pPr>
            <w:r w:rsidRPr="00F05886">
              <w:rPr>
                <w:b/>
                <w:sz w:val="18"/>
                <w:szCs w:val="18"/>
              </w:rPr>
              <w:t>89.6</w:t>
            </w:r>
          </w:p>
        </w:tc>
        <w:tc>
          <w:tcPr>
            <w:tcW w:w="507" w:type="pct"/>
            <w:tcBorders>
              <w:bottom w:val="single" w:sz="4" w:space="0" w:color="auto"/>
            </w:tcBorders>
            <w:vAlign w:val="bottom"/>
          </w:tcPr>
          <w:p w:rsidR="00783971" w:rsidRPr="00F05886" w:rsidRDefault="00783971" w:rsidP="008B63A3">
            <w:pPr>
              <w:pStyle w:val="TableBodyText"/>
              <w:rPr>
                <w:b/>
                <w:sz w:val="18"/>
                <w:szCs w:val="18"/>
              </w:rPr>
            </w:pPr>
            <w:r w:rsidRPr="00F05886">
              <w:rPr>
                <w:b/>
                <w:sz w:val="18"/>
                <w:szCs w:val="18"/>
              </w:rPr>
              <w:t>101.3</w:t>
            </w:r>
          </w:p>
        </w:tc>
        <w:tc>
          <w:tcPr>
            <w:tcW w:w="507" w:type="pct"/>
            <w:tcBorders>
              <w:bottom w:val="single" w:sz="4" w:space="0" w:color="auto"/>
            </w:tcBorders>
            <w:vAlign w:val="bottom"/>
          </w:tcPr>
          <w:p w:rsidR="00783971" w:rsidRPr="00F05886" w:rsidRDefault="00783971" w:rsidP="008B63A3">
            <w:pPr>
              <w:pStyle w:val="TableBodyText"/>
              <w:rPr>
                <w:b/>
                <w:sz w:val="18"/>
                <w:szCs w:val="18"/>
              </w:rPr>
            </w:pPr>
            <w:r w:rsidRPr="00F05886">
              <w:rPr>
                <w:b/>
                <w:sz w:val="18"/>
                <w:szCs w:val="18"/>
              </w:rPr>
              <w:t>109.4</w:t>
            </w:r>
          </w:p>
        </w:tc>
        <w:tc>
          <w:tcPr>
            <w:tcW w:w="507" w:type="pct"/>
            <w:tcBorders>
              <w:bottom w:val="single" w:sz="4" w:space="0" w:color="auto"/>
            </w:tcBorders>
            <w:vAlign w:val="bottom"/>
          </w:tcPr>
          <w:p w:rsidR="00783971" w:rsidRPr="00F05886" w:rsidRDefault="00783971" w:rsidP="008B63A3">
            <w:pPr>
              <w:pStyle w:val="TableBodyText"/>
              <w:rPr>
                <w:b/>
                <w:sz w:val="18"/>
                <w:szCs w:val="18"/>
              </w:rPr>
            </w:pPr>
            <w:r w:rsidRPr="00F05886">
              <w:rPr>
                <w:b/>
                <w:sz w:val="18"/>
                <w:szCs w:val="18"/>
              </w:rPr>
              <w:t>98.3</w:t>
            </w:r>
          </w:p>
        </w:tc>
        <w:tc>
          <w:tcPr>
            <w:tcW w:w="507" w:type="pct"/>
            <w:tcBorders>
              <w:bottom w:val="single" w:sz="4" w:space="0" w:color="auto"/>
            </w:tcBorders>
            <w:shd w:val="clear" w:color="auto" w:fill="auto"/>
            <w:vAlign w:val="bottom"/>
          </w:tcPr>
          <w:p w:rsidR="00783971" w:rsidRPr="00F05886" w:rsidRDefault="00783971" w:rsidP="008B63A3">
            <w:pPr>
              <w:pStyle w:val="TableBodyText"/>
              <w:rPr>
                <w:b/>
                <w:sz w:val="18"/>
                <w:szCs w:val="18"/>
              </w:rPr>
            </w:pPr>
            <w:r w:rsidRPr="00F05886">
              <w:rPr>
                <w:b/>
                <w:sz w:val="18"/>
                <w:szCs w:val="18"/>
              </w:rPr>
              <w:t>98.5</w:t>
            </w:r>
          </w:p>
        </w:tc>
        <w:tc>
          <w:tcPr>
            <w:tcW w:w="505" w:type="pct"/>
            <w:tcBorders>
              <w:bottom w:val="single" w:sz="4" w:space="0" w:color="auto"/>
            </w:tcBorders>
            <w:shd w:val="clear" w:color="auto" w:fill="auto"/>
            <w:vAlign w:val="bottom"/>
          </w:tcPr>
          <w:p w:rsidR="00783971" w:rsidRPr="00F05886" w:rsidRDefault="00783971" w:rsidP="008B63A3">
            <w:pPr>
              <w:pStyle w:val="TableBodyText"/>
              <w:rPr>
                <w:b/>
                <w:sz w:val="18"/>
                <w:szCs w:val="18"/>
              </w:rPr>
            </w:pPr>
            <w:r w:rsidRPr="00F05886">
              <w:rPr>
                <w:b/>
                <w:sz w:val="18"/>
                <w:szCs w:val="18"/>
              </w:rPr>
              <w:t>93.2</w:t>
            </w:r>
          </w:p>
        </w:tc>
      </w:tr>
    </w:tbl>
    <w:p w:rsidR="00783971" w:rsidRDefault="00783971" w:rsidP="00783971">
      <w:pPr>
        <w:pStyle w:val="Note"/>
      </w:pPr>
      <w:r w:rsidRPr="00A2379F">
        <w:noBreakHyphen/>
        <w:t xml:space="preserve"> </w:t>
      </w:r>
      <w:r>
        <w:t>Nil</w:t>
      </w:r>
      <w:r w:rsidRPr="00A2379F">
        <w:t>.</w:t>
      </w:r>
      <w:r>
        <w:t xml:space="preserve"> </w:t>
      </w:r>
      <w:r w:rsidRPr="008E77FE">
        <w:rPr>
          <w:rStyle w:val="NoteLabel"/>
        </w:rPr>
        <w:t>a</w:t>
      </w:r>
      <w:r>
        <w:t xml:space="preserve"> Unallocated includes programs where details of beneficiaries are unknown.</w:t>
      </w:r>
    </w:p>
    <w:p w:rsidR="00783971" w:rsidRPr="008E77FE" w:rsidRDefault="00783971" w:rsidP="00783971">
      <w:pPr>
        <w:pStyle w:val="Source"/>
      </w:pPr>
      <w:r>
        <w:rPr>
          <w:i/>
        </w:rPr>
        <w:t>Source</w:t>
      </w:r>
      <w:r w:rsidR="00977DC8">
        <w:rPr>
          <w:i/>
        </w:rPr>
        <w:t>s</w:t>
      </w:r>
      <w:r>
        <w:t>: Commission estimates based on Department of Infrastructure, Transport, Regional Development and Local Government Annual Report 2011</w:t>
      </w:r>
      <w:r w:rsidR="00977DC8">
        <w:noBreakHyphen/>
      </w:r>
      <w:r>
        <w:t>12 (and earlier years); and detailed Centrelink data by ANZSIC industry.</w:t>
      </w:r>
    </w:p>
    <w:p w:rsidR="00CA2FD9" w:rsidRDefault="00FA09C3" w:rsidP="00CA2FD9">
      <w:pPr>
        <w:pStyle w:val="Heading2"/>
      </w:pPr>
      <w:r>
        <w:t>A.</w:t>
      </w:r>
      <w:r>
        <w:rPr>
          <w:noProof/>
        </w:rPr>
        <w:t>28</w:t>
      </w:r>
      <w:r w:rsidR="00CA2FD9">
        <w:tab/>
        <w:t>Screen Australia</w:t>
      </w:r>
    </w:p>
    <w:p w:rsidR="00CA2FD9" w:rsidRDefault="00CA2FD9" w:rsidP="00CA2FD9">
      <w:pPr>
        <w:pStyle w:val="BodyText"/>
      </w:pPr>
      <w:r>
        <w:t>Screen Australia was established on 1 July 2008, replacing the Australian Film Commission, Film Finance Corporation Australia and Film Australia Limited. The main functions of Screen Australia are to support the development, production, promotion and distribution of Australian screen content by:</w:t>
      </w:r>
    </w:p>
    <w:p w:rsidR="00CA2FD9" w:rsidRDefault="00CA2FD9" w:rsidP="00CA2FD9">
      <w:pPr>
        <w:pStyle w:val="ListBullet"/>
      </w:pPr>
      <w:r>
        <w:t>supporting the production of feature films, documentaries, television drama and children’s programs;</w:t>
      </w:r>
    </w:p>
    <w:p w:rsidR="00CA2FD9" w:rsidRDefault="00CA2FD9" w:rsidP="00CA2FD9">
      <w:pPr>
        <w:pStyle w:val="ListBullet"/>
      </w:pPr>
      <w:r>
        <w:t>supporting the growth of screen businesses;</w:t>
      </w:r>
    </w:p>
    <w:p w:rsidR="00CA2FD9" w:rsidRDefault="00CA2FD9" w:rsidP="00CA2FD9">
      <w:pPr>
        <w:pStyle w:val="ListBullet"/>
      </w:pPr>
      <w:r>
        <w:t>supporting marketing and screen culture initiatives which focus on engaging audiences with Australian content;</w:t>
      </w:r>
    </w:p>
    <w:p w:rsidR="00CA2FD9" w:rsidRDefault="00CA2FD9" w:rsidP="00CA2FD9">
      <w:pPr>
        <w:pStyle w:val="ListBullet"/>
      </w:pPr>
      <w:r>
        <w:t>developing high-quality scripts and proposals;</w:t>
      </w:r>
    </w:p>
    <w:p w:rsidR="00CA2FD9" w:rsidRDefault="00CA2FD9" w:rsidP="00CA2FD9">
      <w:pPr>
        <w:pStyle w:val="ListBullet"/>
      </w:pPr>
      <w:r>
        <w:t>facilitating innovation and audience-engaging online content;</w:t>
      </w:r>
    </w:p>
    <w:p w:rsidR="00CA2FD9" w:rsidRDefault="00CA2FD9" w:rsidP="00CA2FD9">
      <w:pPr>
        <w:pStyle w:val="ListBullet"/>
      </w:pPr>
      <w:r>
        <w:t>supporting Indigenous talent and distinctive stories;</w:t>
      </w:r>
    </w:p>
    <w:p w:rsidR="00CA2FD9" w:rsidRDefault="00CA2FD9" w:rsidP="00CA2FD9">
      <w:pPr>
        <w:pStyle w:val="ListBullet"/>
      </w:pPr>
      <w:r>
        <w:lastRenderedPageBreak/>
        <w:t>administering the Government’s producer offset and international co-production program to increase the commercial sustainability of production in Australia;</w:t>
      </w:r>
    </w:p>
    <w:p w:rsidR="00CA2FD9" w:rsidRDefault="00CA2FD9" w:rsidP="00CA2FD9">
      <w:pPr>
        <w:pStyle w:val="ListBullet"/>
      </w:pPr>
      <w:r>
        <w:t xml:space="preserve">providing data and research to the industry and government; and </w:t>
      </w:r>
    </w:p>
    <w:p w:rsidR="00CA2FD9" w:rsidRDefault="00CA2FD9" w:rsidP="00CA2FD9">
      <w:pPr>
        <w:pStyle w:val="ListBullet"/>
      </w:pPr>
      <w:r>
        <w:t xml:space="preserve">promoting access to the archives of Australian documentary screen content </w:t>
      </w:r>
      <w:r w:rsidRPr="002D4BCB">
        <w:rPr>
          <w:rStyle w:val="BodyTextChar"/>
        </w:rPr>
        <w:t>(Screen Australia 2012)</w:t>
      </w:r>
      <w:r w:rsidR="002F2E6A">
        <w:rPr>
          <w:rStyle w:val="BodyTextChar"/>
        </w:rPr>
        <w:t>.</w:t>
      </w:r>
    </w:p>
    <w:p w:rsidR="00CA2FD9" w:rsidRDefault="00CA2FD9" w:rsidP="00CA2FD9">
      <w:pPr>
        <w:pStyle w:val="BodyText"/>
      </w:pPr>
      <w:r>
        <w:t xml:space="preserve">Screen Australia selectively benefits film and screen based service activities and has been allocated to the </w:t>
      </w:r>
      <w:r>
        <w:rPr>
          <w:i/>
        </w:rPr>
        <w:t>Arts</w:t>
      </w:r>
      <w:r w:rsidRPr="00BB76A9">
        <w:rPr>
          <w:i/>
        </w:rPr>
        <w:t xml:space="preserve"> </w:t>
      </w:r>
      <w:r>
        <w:rPr>
          <w:i/>
        </w:rPr>
        <w:t>and</w:t>
      </w:r>
      <w:r w:rsidRPr="00BB76A9">
        <w:rPr>
          <w:i/>
        </w:rPr>
        <w:t xml:space="preserve"> recreation services</w:t>
      </w:r>
      <w:r>
        <w:t xml:space="preserve"> industry grouping in the Commission’s ANZSIC-based classification (table A.28).</w:t>
      </w:r>
    </w:p>
    <w:p w:rsidR="00CA2FD9" w:rsidRDefault="00CA2FD9" w:rsidP="00CA2FD9">
      <w:pPr>
        <w:pStyle w:val="TableTitle"/>
      </w:pPr>
      <w:r>
        <w:rPr>
          <w:b w:val="0"/>
        </w:rPr>
        <w:t xml:space="preserve">Table </w:t>
      </w:r>
      <w:r w:rsidR="00FA09C3">
        <w:rPr>
          <w:b w:val="0"/>
        </w:rPr>
        <w:t>A.</w:t>
      </w:r>
      <w:r w:rsidR="00FA09C3">
        <w:rPr>
          <w:b w:val="0"/>
          <w:noProof/>
        </w:rPr>
        <w:t>28</w:t>
      </w:r>
      <w:r>
        <w:tab/>
        <w:t>Allocation of Screen</w:t>
      </w:r>
      <w:r w:rsidR="00FA7E06">
        <w:t xml:space="preserve"> Australia appropriation funding</w:t>
      </w:r>
      <w:r w:rsidR="00FA7E06">
        <w:br/>
      </w:r>
      <w:r w:rsidR="00510A57" w:rsidRPr="00510A57">
        <w:t>to industry</w:t>
      </w:r>
      <w:r w:rsidR="00FA7E06">
        <w:t>,</w:t>
      </w:r>
      <w:r>
        <w:t xml:space="preserve"> 2006</w:t>
      </w:r>
      <w:r>
        <w:noBreakHyphen/>
        <w:t>07 to 2011</w:t>
      </w:r>
      <w:r>
        <w:noBreakHyphen/>
        <w:t>12</w:t>
      </w:r>
    </w:p>
    <w:p w:rsidR="00CA2FD9" w:rsidRDefault="00CA2FD9" w:rsidP="00CA2FD9">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CA2FD9" w:rsidRPr="00AF699A" w:rsidTr="008B63A3">
        <w:tc>
          <w:tcPr>
            <w:tcW w:w="1960" w:type="pct"/>
            <w:tcBorders>
              <w:top w:val="single" w:sz="6" w:space="0" w:color="auto"/>
              <w:bottom w:val="single" w:sz="6" w:space="0" w:color="auto"/>
            </w:tcBorders>
          </w:tcPr>
          <w:p w:rsidR="00CA2FD9" w:rsidRPr="00AF699A" w:rsidRDefault="00CA2FD9" w:rsidP="008B63A3">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CA2FD9" w:rsidRPr="00AF699A" w:rsidRDefault="00CA2FD9" w:rsidP="008B63A3">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CA2FD9" w:rsidRPr="00AF699A" w:rsidRDefault="00CA2FD9" w:rsidP="008B63A3">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CA2FD9" w:rsidRPr="00AF699A" w:rsidRDefault="00CA2FD9" w:rsidP="008B63A3">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CA2FD9" w:rsidRPr="00AF699A" w:rsidRDefault="00CA2FD9" w:rsidP="008B63A3">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CA2FD9" w:rsidRPr="00AF699A" w:rsidRDefault="00CA2FD9" w:rsidP="008B63A3">
            <w:pPr>
              <w:pStyle w:val="TableColumnHeading"/>
              <w:ind w:right="28"/>
              <w:rPr>
                <w:rFonts w:cs="Arial"/>
                <w:sz w:val="18"/>
                <w:szCs w:val="18"/>
              </w:rPr>
            </w:pPr>
            <w:r w:rsidRPr="00AF699A">
              <w:rPr>
                <w:rFonts w:cs="Arial"/>
                <w:sz w:val="18"/>
                <w:szCs w:val="18"/>
              </w:rPr>
              <w:t>2010-11</w:t>
            </w:r>
          </w:p>
        </w:tc>
        <w:tc>
          <w:tcPr>
            <w:tcW w:w="506" w:type="pct"/>
            <w:tcBorders>
              <w:top w:val="single" w:sz="6" w:space="0" w:color="auto"/>
              <w:bottom w:val="single" w:sz="6" w:space="0" w:color="auto"/>
            </w:tcBorders>
            <w:shd w:val="clear" w:color="auto" w:fill="auto"/>
          </w:tcPr>
          <w:p w:rsidR="00CA2FD9" w:rsidRPr="00AF699A" w:rsidRDefault="00CA2FD9" w:rsidP="008B63A3">
            <w:pPr>
              <w:pStyle w:val="TableColumnHeading"/>
              <w:ind w:right="28"/>
              <w:rPr>
                <w:rFonts w:cs="Arial"/>
                <w:sz w:val="18"/>
                <w:szCs w:val="18"/>
              </w:rPr>
            </w:pPr>
            <w:r w:rsidRPr="00AF699A">
              <w:rPr>
                <w:rFonts w:cs="Arial"/>
                <w:sz w:val="18"/>
                <w:szCs w:val="18"/>
              </w:rPr>
              <w:t>2011-12</w:t>
            </w:r>
          </w:p>
        </w:tc>
      </w:tr>
      <w:tr w:rsidR="00CA2FD9" w:rsidRPr="006C5A80" w:rsidTr="008B63A3">
        <w:tc>
          <w:tcPr>
            <w:tcW w:w="1960" w:type="pct"/>
            <w:tcBorders>
              <w:bottom w:val="single" w:sz="4" w:space="0" w:color="auto"/>
            </w:tcBorders>
            <w:vAlign w:val="bottom"/>
          </w:tcPr>
          <w:p w:rsidR="00CA2FD9" w:rsidRPr="00C944BA" w:rsidRDefault="00CA2FD9" w:rsidP="008B63A3">
            <w:pPr>
              <w:pStyle w:val="TableBodyText"/>
              <w:jc w:val="left"/>
            </w:pPr>
            <w:r>
              <w:t>Arts and recreation services</w:t>
            </w:r>
          </w:p>
        </w:tc>
        <w:tc>
          <w:tcPr>
            <w:tcW w:w="507" w:type="pct"/>
            <w:tcBorders>
              <w:bottom w:val="single" w:sz="4" w:space="0" w:color="auto"/>
            </w:tcBorders>
            <w:vAlign w:val="bottom"/>
          </w:tcPr>
          <w:p w:rsidR="00CA2FD9" w:rsidRDefault="00CA2FD9" w:rsidP="008B63A3">
            <w:pPr>
              <w:pStyle w:val="TableBodyText"/>
            </w:pPr>
            <w:r>
              <w:noBreakHyphen/>
            </w:r>
          </w:p>
        </w:tc>
        <w:tc>
          <w:tcPr>
            <w:tcW w:w="507" w:type="pct"/>
            <w:tcBorders>
              <w:bottom w:val="single" w:sz="4" w:space="0" w:color="auto"/>
            </w:tcBorders>
            <w:vAlign w:val="bottom"/>
          </w:tcPr>
          <w:p w:rsidR="00CA2FD9" w:rsidRDefault="00CA2FD9" w:rsidP="008B63A3">
            <w:pPr>
              <w:pStyle w:val="TableBodyText"/>
            </w:pPr>
            <w:r>
              <w:noBreakHyphen/>
            </w:r>
          </w:p>
        </w:tc>
        <w:tc>
          <w:tcPr>
            <w:tcW w:w="507" w:type="pct"/>
            <w:tcBorders>
              <w:bottom w:val="single" w:sz="4" w:space="0" w:color="auto"/>
            </w:tcBorders>
            <w:vAlign w:val="bottom"/>
          </w:tcPr>
          <w:p w:rsidR="00CA2FD9" w:rsidRDefault="00CA2FD9" w:rsidP="008B63A3">
            <w:pPr>
              <w:pStyle w:val="TableBodyText"/>
            </w:pPr>
            <w:r>
              <w:t>102.9</w:t>
            </w:r>
          </w:p>
        </w:tc>
        <w:tc>
          <w:tcPr>
            <w:tcW w:w="507" w:type="pct"/>
            <w:tcBorders>
              <w:bottom w:val="single" w:sz="4" w:space="0" w:color="auto"/>
            </w:tcBorders>
            <w:vAlign w:val="bottom"/>
          </w:tcPr>
          <w:p w:rsidR="00CA2FD9" w:rsidRDefault="00CA2FD9" w:rsidP="008B63A3">
            <w:pPr>
              <w:pStyle w:val="TableBodyText"/>
            </w:pPr>
            <w:r>
              <w:t>93.6</w:t>
            </w:r>
          </w:p>
        </w:tc>
        <w:tc>
          <w:tcPr>
            <w:tcW w:w="507" w:type="pct"/>
            <w:tcBorders>
              <w:bottom w:val="single" w:sz="4" w:space="0" w:color="auto"/>
            </w:tcBorders>
            <w:shd w:val="clear" w:color="auto" w:fill="auto"/>
            <w:vAlign w:val="bottom"/>
          </w:tcPr>
          <w:p w:rsidR="00CA2FD9" w:rsidRDefault="00CA2FD9" w:rsidP="008B63A3">
            <w:pPr>
              <w:pStyle w:val="TableBodyText"/>
            </w:pPr>
            <w:r>
              <w:t>89.4</w:t>
            </w:r>
          </w:p>
        </w:tc>
        <w:tc>
          <w:tcPr>
            <w:tcW w:w="506" w:type="pct"/>
            <w:tcBorders>
              <w:bottom w:val="single" w:sz="4" w:space="0" w:color="auto"/>
            </w:tcBorders>
            <w:shd w:val="clear" w:color="auto" w:fill="auto"/>
            <w:vAlign w:val="bottom"/>
          </w:tcPr>
          <w:p w:rsidR="00CA2FD9" w:rsidRDefault="00CA2FD9" w:rsidP="008B63A3">
            <w:pPr>
              <w:pStyle w:val="TableBodyText"/>
            </w:pPr>
            <w:r>
              <w:t>91.8</w:t>
            </w:r>
          </w:p>
        </w:tc>
      </w:tr>
    </w:tbl>
    <w:p w:rsidR="00CA2FD9" w:rsidRDefault="00CA2FD9" w:rsidP="00CA2FD9">
      <w:pPr>
        <w:pStyle w:val="Note"/>
      </w:pPr>
      <w:r w:rsidRPr="00A2379F">
        <w:noBreakHyphen/>
        <w:t xml:space="preserve"> </w:t>
      </w:r>
      <w:r>
        <w:t>Nil</w:t>
      </w:r>
      <w:r w:rsidRPr="00A2379F">
        <w:t>.</w:t>
      </w:r>
    </w:p>
    <w:p w:rsidR="00CA2FD9" w:rsidRPr="008E77FE" w:rsidRDefault="00CA2FD9" w:rsidP="00CA2FD9">
      <w:pPr>
        <w:pStyle w:val="Source"/>
      </w:pPr>
      <w:r>
        <w:rPr>
          <w:i/>
        </w:rPr>
        <w:t>Source</w:t>
      </w:r>
      <w:r>
        <w:t>: Commission estimates based on Screen Australia Annual Report 2011</w:t>
      </w:r>
      <w:r>
        <w:noBreakHyphen/>
        <w:t>12 (and earlier years).</w:t>
      </w:r>
    </w:p>
    <w:p w:rsidR="008B63A3" w:rsidRDefault="00FA09C3" w:rsidP="008B63A3">
      <w:pPr>
        <w:pStyle w:val="Heading2"/>
      </w:pPr>
      <w:r>
        <w:t>A.</w:t>
      </w:r>
      <w:r>
        <w:rPr>
          <w:noProof/>
        </w:rPr>
        <w:t>29</w:t>
      </w:r>
      <w:r w:rsidR="008B63A3">
        <w:tab/>
        <w:t>National Urban Water and Desalination Plan</w:t>
      </w:r>
    </w:p>
    <w:p w:rsidR="008B63A3" w:rsidRDefault="008B63A3" w:rsidP="008B63A3">
      <w:pPr>
        <w:pStyle w:val="BodyText"/>
      </w:pPr>
      <w:r>
        <w:t xml:space="preserve">The National Urban Water and Desalination Plan (NUWDP) was introduced in May 2008 and </w:t>
      </w:r>
      <w:r w:rsidR="00977DC8">
        <w:t xml:space="preserve">forms </w:t>
      </w:r>
      <w:r>
        <w:t>part of the Australian Government’s $12.9 billion Water for the Future initiative. Around $1 billion has been committed to the plan which is used to fund projects that use desalination, recycling and stormwater harvesting to improve water supply security in towns and cities of 50 000 people or more (</w:t>
      </w:r>
      <w:r w:rsidRPr="002D4BCB">
        <w:t>Department of the Environment 2013d</w:t>
      </w:r>
      <w:r>
        <w:t>).</w:t>
      </w:r>
    </w:p>
    <w:p w:rsidR="008B63A3" w:rsidRDefault="008B63A3" w:rsidP="008B63A3">
      <w:pPr>
        <w:pStyle w:val="BodyText"/>
      </w:pPr>
      <w:r>
        <w:t xml:space="preserve">Information on the industry incidence of the program has not been readily available. Accordingly, the budgetary outlay has been classified to the </w:t>
      </w:r>
      <w:r w:rsidRPr="004E53DD">
        <w:rPr>
          <w:i/>
        </w:rPr>
        <w:t>Unallocated other</w:t>
      </w:r>
      <w:r>
        <w:t xml:space="preserve"> industry grouping in the Commission</w:t>
      </w:r>
      <w:r w:rsidR="00977DC8">
        <w:t>’s</w:t>
      </w:r>
      <w:r>
        <w:t xml:space="preserve"> ANZSIC-based classification (table A.</w:t>
      </w:r>
      <w:r w:rsidR="00C534A3">
        <w:t>29</w:t>
      </w:r>
      <w:r>
        <w:t>).</w:t>
      </w:r>
    </w:p>
    <w:p w:rsidR="008B63A3" w:rsidRDefault="008B63A3" w:rsidP="008B63A3">
      <w:pPr>
        <w:pStyle w:val="TableTitle"/>
      </w:pPr>
      <w:r>
        <w:rPr>
          <w:b w:val="0"/>
        </w:rPr>
        <w:t xml:space="preserve">Table </w:t>
      </w:r>
      <w:r w:rsidR="00FA09C3">
        <w:rPr>
          <w:b w:val="0"/>
        </w:rPr>
        <w:t>A.</w:t>
      </w:r>
      <w:r w:rsidR="00FA09C3">
        <w:rPr>
          <w:b w:val="0"/>
          <w:noProof/>
        </w:rPr>
        <w:t>29</w:t>
      </w:r>
      <w:r>
        <w:tab/>
        <w:t>Allocation of National Urban Water and Desalination Plan</w:t>
      </w:r>
      <w:r w:rsidR="00510A57" w:rsidRPr="00510A57">
        <w:t xml:space="preserve"> to industry</w:t>
      </w:r>
      <w:r>
        <w:t>, 2006</w:t>
      </w:r>
      <w:r>
        <w:noBreakHyphen/>
        <w:t>07 to 2011</w:t>
      </w:r>
      <w:r>
        <w:noBreakHyphen/>
        <w:t>12</w:t>
      </w:r>
    </w:p>
    <w:p w:rsidR="008B63A3" w:rsidRDefault="008B63A3" w:rsidP="008B63A3">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8B63A3" w:rsidRPr="00AF699A" w:rsidTr="008B63A3">
        <w:tc>
          <w:tcPr>
            <w:tcW w:w="1960" w:type="pct"/>
            <w:tcBorders>
              <w:top w:val="single" w:sz="6" w:space="0" w:color="auto"/>
              <w:bottom w:val="single" w:sz="6" w:space="0" w:color="auto"/>
            </w:tcBorders>
          </w:tcPr>
          <w:p w:rsidR="008B63A3" w:rsidRPr="00AF699A" w:rsidRDefault="008B63A3" w:rsidP="008B63A3">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8B63A3" w:rsidRPr="00AF699A" w:rsidRDefault="008B63A3" w:rsidP="008B63A3">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8B63A3" w:rsidRPr="00AF699A" w:rsidRDefault="008B63A3" w:rsidP="008B63A3">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8B63A3" w:rsidRPr="00AF699A" w:rsidRDefault="008B63A3" w:rsidP="008B63A3">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8B63A3" w:rsidRPr="00AF699A" w:rsidRDefault="008B63A3" w:rsidP="008B63A3">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8B63A3" w:rsidRPr="00AF699A" w:rsidRDefault="008B63A3" w:rsidP="008B63A3">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8B63A3" w:rsidRPr="00AF699A" w:rsidRDefault="008B63A3" w:rsidP="008B63A3">
            <w:pPr>
              <w:pStyle w:val="TableColumnHeading"/>
              <w:ind w:right="28"/>
              <w:rPr>
                <w:rFonts w:cs="Arial"/>
                <w:sz w:val="18"/>
                <w:szCs w:val="18"/>
              </w:rPr>
            </w:pPr>
            <w:r w:rsidRPr="00AF699A">
              <w:rPr>
                <w:rFonts w:cs="Arial"/>
                <w:sz w:val="18"/>
                <w:szCs w:val="18"/>
              </w:rPr>
              <w:t>2011-12</w:t>
            </w:r>
          </w:p>
        </w:tc>
      </w:tr>
      <w:tr w:rsidR="008B63A3" w:rsidRPr="006C5A80" w:rsidTr="008B63A3">
        <w:tc>
          <w:tcPr>
            <w:tcW w:w="1960" w:type="pct"/>
            <w:tcBorders>
              <w:bottom w:val="single" w:sz="4" w:space="0" w:color="auto"/>
            </w:tcBorders>
            <w:vAlign w:val="bottom"/>
          </w:tcPr>
          <w:p w:rsidR="008B63A3" w:rsidRPr="00C944BA" w:rsidRDefault="008B63A3" w:rsidP="008B63A3">
            <w:pPr>
              <w:pStyle w:val="TableBodyText"/>
              <w:jc w:val="left"/>
            </w:pPr>
            <w:r>
              <w:t>Unallocated other</w:t>
            </w:r>
            <w:r w:rsidRPr="00C00D98">
              <w:rPr>
                <w:rStyle w:val="NoteLabel"/>
                <w:szCs w:val="18"/>
              </w:rPr>
              <w:t>a</w:t>
            </w:r>
          </w:p>
        </w:tc>
        <w:tc>
          <w:tcPr>
            <w:tcW w:w="507" w:type="pct"/>
            <w:tcBorders>
              <w:bottom w:val="single" w:sz="4" w:space="0" w:color="auto"/>
            </w:tcBorders>
            <w:vAlign w:val="bottom"/>
          </w:tcPr>
          <w:p w:rsidR="008B63A3" w:rsidRDefault="008B63A3" w:rsidP="008B63A3">
            <w:pPr>
              <w:pStyle w:val="TableBodyText"/>
            </w:pPr>
            <w:r>
              <w:noBreakHyphen/>
            </w:r>
          </w:p>
        </w:tc>
        <w:tc>
          <w:tcPr>
            <w:tcW w:w="507" w:type="pct"/>
            <w:tcBorders>
              <w:bottom w:val="single" w:sz="4" w:space="0" w:color="auto"/>
            </w:tcBorders>
            <w:vAlign w:val="bottom"/>
          </w:tcPr>
          <w:p w:rsidR="008B63A3" w:rsidRDefault="008B63A3" w:rsidP="008B63A3">
            <w:pPr>
              <w:pStyle w:val="TableBodyText"/>
            </w:pPr>
            <w:r>
              <w:noBreakHyphen/>
            </w:r>
          </w:p>
        </w:tc>
        <w:tc>
          <w:tcPr>
            <w:tcW w:w="507" w:type="pct"/>
            <w:tcBorders>
              <w:bottom w:val="single" w:sz="4" w:space="0" w:color="auto"/>
            </w:tcBorders>
            <w:vAlign w:val="bottom"/>
          </w:tcPr>
          <w:p w:rsidR="008B63A3" w:rsidRDefault="008B63A3" w:rsidP="008B63A3">
            <w:pPr>
              <w:pStyle w:val="TableBodyText"/>
            </w:pPr>
            <w:r>
              <w:t>10.0</w:t>
            </w:r>
          </w:p>
        </w:tc>
        <w:tc>
          <w:tcPr>
            <w:tcW w:w="507" w:type="pct"/>
            <w:tcBorders>
              <w:bottom w:val="single" w:sz="4" w:space="0" w:color="auto"/>
            </w:tcBorders>
            <w:vAlign w:val="bottom"/>
          </w:tcPr>
          <w:p w:rsidR="008B63A3" w:rsidRDefault="008B63A3" w:rsidP="008B63A3">
            <w:pPr>
              <w:pStyle w:val="TableBodyText"/>
            </w:pPr>
            <w:r>
              <w:t>16.2</w:t>
            </w:r>
          </w:p>
        </w:tc>
        <w:tc>
          <w:tcPr>
            <w:tcW w:w="507" w:type="pct"/>
            <w:tcBorders>
              <w:bottom w:val="single" w:sz="4" w:space="0" w:color="auto"/>
            </w:tcBorders>
            <w:shd w:val="clear" w:color="auto" w:fill="auto"/>
            <w:vAlign w:val="bottom"/>
          </w:tcPr>
          <w:p w:rsidR="008B63A3" w:rsidRDefault="008B63A3" w:rsidP="008B63A3">
            <w:pPr>
              <w:pStyle w:val="TableBodyText"/>
            </w:pPr>
            <w:r>
              <w:t>46.0</w:t>
            </w:r>
          </w:p>
        </w:tc>
        <w:tc>
          <w:tcPr>
            <w:tcW w:w="505" w:type="pct"/>
            <w:tcBorders>
              <w:bottom w:val="single" w:sz="4" w:space="0" w:color="auto"/>
            </w:tcBorders>
            <w:shd w:val="clear" w:color="auto" w:fill="auto"/>
            <w:vAlign w:val="bottom"/>
          </w:tcPr>
          <w:p w:rsidR="008B63A3" w:rsidRDefault="008B63A3" w:rsidP="008B63A3">
            <w:pPr>
              <w:pStyle w:val="TableBodyText"/>
            </w:pPr>
            <w:r>
              <w:t>88.9</w:t>
            </w:r>
          </w:p>
        </w:tc>
      </w:tr>
    </w:tbl>
    <w:p w:rsidR="008B63A3" w:rsidRPr="00F60026" w:rsidRDefault="008B63A3" w:rsidP="008B63A3">
      <w:pPr>
        <w:pStyle w:val="Source"/>
        <w:spacing w:after="0"/>
        <w:rPr>
          <w:i/>
        </w:rPr>
      </w:pPr>
      <w:r w:rsidRPr="00A2379F">
        <w:noBreakHyphen/>
        <w:t xml:space="preserve"> </w:t>
      </w:r>
      <w:r>
        <w:t>Nil</w:t>
      </w:r>
      <w:r w:rsidRPr="00A2379F">
        <w:t>.</w:t>
      </w:r>
      <w:r w:rsidRPr="00B1392F">
        <w:t xml:space="preserve"> </w:t>
      </w:r>
      <w:r w:rsidRPr="009B56F1">
        <w:rPr>
          <w:rStyle w:val="NoteLabel"/>
        </w:rPr>
        <w:t>a</w:t>
      </w:r>
      <w:r w:rsidRPr="009B56F1">
        <w:t xml:space="preserve"> Unallocated includes general programs where detai</w:t>
      </w:r>
      <w:r>
        <w:t>ls of beneficiaries are unknown.</w:t>
      </w:r>
    </w:p>
    <w:p w:rsidR="008B63A3" w:rsidRPr="008E77FE" w:rsidRDefault="008B63A3" w:rsidP="008B63A3">
      <w:pPr>
        <w:pStyle w:val="Source"/>
      </w:pPr>
      <w:r>
        <w:rPr>
          <w:i/>
        </w:rPr>
        <w:t>Source</w:t>
      </w:r>
      <w:r>
        <w:t>: Commission estimates based on Department of Sustainability, Environment, Water, Population and Communities Annual Report 2011</w:t>
      </w:r>
      <w:r>
        <w:noBreakHyphen/>
        <w:t>12 (and earlier years).</w:t>
      </w:r>
    </w:p>
    <w:p w:rsidR="00794A12" w:rsidRDefault="00FA09C3" w:rsidP="00794A12">
      <w:pPr>
        <w:pStyle w:val="Heading2"/>
      </w:pPr>
      <w:r>
        <w:lastRenderedPageBreak/>
        <w:t>A.</w:t>
      </w:r>
      <w:r>
        <w:rPr>
          <w:noProof/>
        </w:rPr>
        <w:t>30</w:t>
      </w:r>
      <w:r w:rsidR="00794A12">
        <w:tab/>
        <w:t>T</w:t>
      </w:r>
      <w:r w:rsidR="00C705B7">
        <w:t xml:space="preserve">extile, </w:t>
      </w:r>
      <w:r w:rsidR="00794A12">
        <w:t>C</w:t>
      </w:r>
      <w:r w:rsidR="00C705B7">
        <w:t xml:space="preserve">lothing and </w:t>
      </w:r>
      <w:r w:rsidR="00794A12">
        <w:t>F</w:t>
      </w:r>
      <w:r w:rsidR="00C705B7">
        <w:t>ootwear</w:t>
      </w:r>
      <w:r w:rsidR="00794A12">
        <w:t xml:space="preserve"> corporate wear program</w:t>
      </w:r>
    </w:p>
    <w:p w:rsidR="00794A12" w:rsidRDefault="00794A12" w:rsidP="00794A12">
      <w:pPr>
        <w:pStyle w:val="BodyText"/>
      </w:pPr>
      <w:r>
        <w:t xml:space="preserve">The </w:t>
      </w:r>
      <w:r w:rsidR="00C705B7">
        <w:t>Textile, Clothing and Footwear (</w:t>
      </w:r>
      <w:r>
        <w:t>TCF</w:t>
      </w:r>
      <w:r w:rsidR="00C705B7">
        <w:t>)</w:t>
      </w:r>
      <w:r>
        <w:t xml:space="preserve"> </w:t>
      </w:r>
      <w:r w:rsidR="004B4C82">
        <w:t>c</w:t>
      </w:r>
      <w:r>
        <w:t xml:space="preserve">orporate </w:t>
      </w:r>
      <w:r w:rsidR="004B4C82">
        <w:t>w</w:t>
      </w:r>
      <w:r>
        <w:t xml:space="preserve">ear </w:t>
      </w:r>
      <w:r w:rsidR="004B4C82">
        <w:t>program</w:t>
      </w:r>
      <w:r>
        <w:t xml:space="preserve"> allows individuals and firms to claim tax deductions for certain uniforms or corporate clothing (with company labelling attached to them). Firms that provide such clothing to employees (free of charge or at a reduced rate) are not liable to pay fringe benefits tax, while individuals who purchase the clothing themselves can claim a tax deduction for the value of the clothing </w:t>
      </w:r>
      <w:r w:rsidRPr="000138D9">
        <w:t>(</w:t>
      </w:r>
      <w:r w:rsidRPr="002D4BCB">
        <w:t>AusIndustry 2011</w:t>
      </w:r>
      <w:r w:rsidRPr="000138D9">
        <w:t>)</w:t>
      </w:r>
      <w:r>
        <w:t>.</w:t>
      </w:r>
    </w:p>
    <w:p w:rsidR="00794A12" w:rsidRDefault="00794A12" w:rsidP="00794A12">
      <w:pPr>
        <w:pStyle w:val="BodyText"/>
      </w:pPr>
      <w:r>
        <w:t xml:space="preserve">Information on the industry incidence of the program </w:t>
      </w:r>
      <w:r w:rsidR="00977DC8">
        <w:t>is not</w:t>
      </w:r>
      <w:r>
        <w:t xml:space="preserve"> readily available. Accordingly, the taxation concession has been classified to the </w:t>
      </w:r>
      <w:r w:rsidRPr="004E1A43">
        <w:rPr>
          <w:i/>
        </w:rPr>
        <w:t>Unallocated other</w:t>
      </w:r>
      <w:r>
        <w:t xml:space="preserve"> industry grouping in the Commission’s ANZSIC-based classification (table A.30).</w:t>
      </w:r>
      <w:r>
        <w:rPr>
          <w:rStyle w:val="FootnoteReference"/>
        </w:rPr>
        <w:footnoteReference w:id="4"/>
      </w:r>
    </w:p>
    <w:p w:rsidR="00794A12" w:rsidRDefault="00794A12" w:rsidP="00794A12">
      <w:pPr>
        <w:pStyle w:val="TableTitle"/>
      </w:pPr>
      <w:r>
        <w:rPr>
          <w:b w:val="0"/>
        </w:rPr>
        <w:t xml:space="preserve">Table </w:t>
      </w:r>
      <w:r w:rsidR="00FA09C3">
        <w:rPr>
          <w:b w:val="0"/>
        </w:rPr>
        <w:t>A.</w:t>
      </w:r>
      <w:r w:rsidR="00FA09C3">
        <w:rPr>
          <w:b w:val="0"/>
          <w:noProof/>
        </w:rPr>
        <w:t>30</w:t>
      </w:r>
      <w:r>
        <w:tab/>
        <w:t xml:space="preserve">Allocation of </w:t>
      </w:r>
      <w:r w:rsidR="00C705B7">
        <w:t xml:space="preserve">Textile, Clothing and Footwear </w:t>
      </w:r>
      <w:r>
        <w:t>corporate wear program</w:t>
      </w:r>
      <w:r w:rsidR="00510A57" w:rsidRPr="00510A57">
        <w:t xml:space="preserve"> to industry</w:t>
      </w:r>
      <w:r>
        <w:t>, 2006</w:t>
      </w:r>
      <w:r>
        <w:noBreakHyphen/>
        <w:t>07 to 2011</w:t>
      </w:r>
      <w:r>
        <w:noBreakHyphen/>
        <w:t>12</w:t>
      </w:r>
    </w:p>
    <w:p w:rsidR="00794A12" w:rsidRDefault="00794A12" w:rsidP="00794A12">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794A12" w:rsidRPr="00AF699A" w:rsidTr="008B5474">
        <w:tc>
          <w:tcPr>
            <w:tcW w:w="1960" w:type="pct"/>
            <w:tcBorders>
              <w:top w:val="single" w:sz="6" w:space="0" w:color="auto"/>
              <w:bottom w:val="single" w:sz="6" w:space="0" w:color="auto"/>
            </w:tcBorders>
          </w:tcPr>
          <w:p w:rsidR="00794A12" w:rsidRPr="00AF699A" w:rsidRDefault="00794A12" w:rsidP="008B547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794A12" w:rsidRPr="00AF699A" w:rsidRDefault="00794A12" w:rsidP="008B547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794A12" w:rsidRPr="00AF699A" w:rsidRDefault="00794A12" w:rsidP="008B547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794A12" w:rsidRPr="00AF699A" w:rsidRDefault="00794A12" w:rsidP="008B547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794A12" w:rsidRPr="00AF699A" w:rsidRDefault="00794A12" w:rsidP="008B547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794A12" w:rsidRPr="00AF699A" w:rsidRDefault="00794A12" w:rsidP="008B5474">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794A12" w:rsidRPr="00AF699A" w:rsidRDefault="00794A12" w:rsidP="008B5474">
            <w:pPr>
              <w:pStyle w:val="TableColumnHeading"/>
              <w:ind w:right="28"/>
              <w:rPr>
                <w:rFonts w:cs="Arial"/>
                <w:sz w:val="18"/>
                <w:szCs w:val="18"/>
              </w:rPr>
            </w:pPr>
            <w:r w:rsidRPr="00AF699A">
              <w:rPr>
                <w:rFonts w:cs="Arial"/>
                <w:sz w:val="18"/>
                <w:szCs w:val="18"/>
              </w:rPr>
              <w:t>2011-12</w:t>
            </w:r>
          </w:p>
        </w:tc>
      </w:tr>
      <w:tr w:rsidR="00794A12" w:rsidRPr="006C5A80" w:rsidTr="008B5474">
        <w:tc>
          <w:tcPr>
            <w:tcW w:w="1960" w:type="pct"/>
            <w:tcBorders>
              <w:bottom w:val="single" w:sz="4" w:space="0" w:color="auto"/>
            </w:tcBorders>
            <w:vAlign w:val="bottom"/>
          </w:tcPr>
          <w:p w:rsidR="00794A12" w:rsidRPr="00C944BA" w:rsidRDefault="00794A12" w:rsidP="008B5474">
            <w:pPr>
              <w:pStyle w:val="TableBodyText"/>
              <w:jc w:val="left"/>
            </w:pPr>
            <w:r>
              <w:t>Unallocated other</w:t>
            </w:r>
            <w:r w:rsidRPr="00C00D98">
              <w:rPr>
                <w:rStyle w:val="NoteLabel"/>
                <w:szCs w:val="18"/>
              </w:rPr>
              <w:t>a</w:t>
            </w:r>
          </w:p>
        </w:tc>
        <w:tc>
          <w:tcPr>
            <w:tcW w:w="507" w:type="pct"/>
            <w:tcBorders>
              <w:bottom w:val="single" w:sz="4" w:space="0" w:color="auto"/>
            </w:tcBorders>
            <w:vAlign w:val="bottom"/>
          </w:tcPr>
          <w:p w:rsidR="00794A12" w:rsidRPr="00CA1542" w:rsidRDefault="00794A12" w:rsidP="008B5474">
            <w:pPr>
              <w:pStyle w:val="TableBodyText"/>
            </w:pPr>
            <w:r w:rsidRPr="00CA1542">
              <w:t>56.4</w:t>
            </w:r>
          </w:p>
        </w:tc>
        <w:tc>
          <w:tcPr>
            <w:tcW w:w="507" w:type="pct"/>
            <w:tcBorders>
              <w:bottom w:val="single" w:sz="4" w:space="0" w:color="auto"/>
            </w:tcBorders>
            <w:vAlign w:val="bottom"/>
          </w:tcPr>
          <w:p w:rsidR="00794A12" w:rsidRPr="00CA1542" w:rsidRDefault="00794A12" w:rsidP="008B5474">
            <w:pPr>
              <w:pStyle w:val="TableBodyText"/>
            </w:pPr>
            <w:r w:rsidRPr="00CA1542">
              <w:t>66.6</w:t>
            </w:r>
          </w:p>
        </w:tc>
        <w:tc>
          <w:tcPr>
            <w:tcW w:w="507" w:type="pct"/>
            <w:tcBorders>
              <w:bottom w:val="single" w:sz="4" w:space="0" w:color="auto"/>
            </w:tcBorders>
            <w:vAlign w:val="bottom"/>
          </w:tcPr>
          <w:p w:rsidR="00794A12" w:rsidRPr="00CA1542" w:rsidRDefault="00794A12" w:rsidP="008B5474">
            <w:pPr>
              <w:pStyle w:val="TableBodyText"/>
            </w:pPr>
            <w:r w:rsidRPr="00CA1542">
              <w:t>74.1</w:t>
            </w:r>
          </w:p>
        </w:tc>
        <w:tc>
          <w:tcPr>
            <w:tcW w:w="507" w:type="pct"/>
            <w:tcBorders>
              <w:bottom w:val="single" w:sz="4" w:space="0" w:color="auto"/>
            </w:tcBorders>
            <w:vAlign w:val="bottom"/>
          </w:tcPr>
          <w:p w:rsidR="00794A12" w:rsidRPr="00CA1542" w:rsidRDefault="00794A12" w:rsidP="008B5474">
            <w:pPr>
              <w:pStyle w:val="TableBodyText"/>
            </w:pPr>
            <w:r w:rsidRPr="00CA1542">
              <w:t>93.1</w:t>
            </w:r>
          </w:p>
        </w:tc>
        <w:tc>
          <w:tcPr>
            <w:tcW w:w="507" w:type="pct"/>
            <w:tcBorders>
              <w:bottom w:val="single" w:sz="4" w:space="0" w:color="auto"/>
            </w:tcBorders>
            <w:shd w:val="clear" w:color="auto" w:fill="auto"/>
            <w:vAlign w:val="bottom"/>
          </w:tcPr>
          <w:p w:rsidR="00794A12" w:rsidRPr="00CA1542" w:rsidRDefault="00794A12" w:rsidP="008B5474">
            <w:pPr>
              <w:pStyle w:val="TableBodyText"/>
            </w:pPr>
            <w:r w:rsidRPr="00CA1542">
              <w:t>85.4</w:t>
            </w:r>
          </w:p>
        </w:tc>
        <w:tc>
          <w:tcPr>
            <w:tcW w:w="505" w:type="pct"/>
            <w:tcBorders>
              <w:bottom w:val="single" w:sz="4" w:space="0" w:color="auto"/>
            </w:tcBorders>
            <w:shd w:val="clear" w:color="auto" w:fill="auto"/>
            <w:vAlign w:val="bottom"/>
          </w:tcPr>
          <w:p w:rsidR="00794A12" w:rsidRPr="00CA1542" w:rsidRDefault="00794A12" w:rsidP="008B5474">
            <w:pPr>
              <w:pStyle w:val="TableBodyText"/>
            </w:pPr>
            <w:r w:rsidRPr="00CA1542">
              <w:t>85.4</w:t>
            </w:r>
          </w:p>
        </w:tc>
      </w:tr>
    </w:tbl>
    <w:p w:rsidR="00794A12" w:rsidRPr="00F60026" w:rsidRDefault="00794A12" w:rsidP="00794A12">
      <w:pPr>
        <w:pStyle w:val="Source"/>
        <w:spacing w:after="0"/>
        <w:rPr>
          <w:i/>
        </w:rPr>
      </w:pPr>
      <w:r w:rsidRPr="008E77FE">
        <w:rPr>
          <w:rStyle w:val="NoteLabel"/>
        </w:rPr>
        <w:t>a</w:t>
      </w:r>
      <w:r>
        <w:t xml:space="preserve"> </w:t>
      </w:r>
      <w:r w:rsidRPr="002476ED">
        <w:t>Unallocated includes general programs where details of beneficiaries are unknown</w:t>
      </w:r>
      <w:r>
        <w:t>.</w:t>
      </w:r>
    </w:p>
    <w:p w:rsidR="00794A12" w:rsidRPr="008E77FE" w:rsidRDefault="00794A12" w:rsidP="00794A12">
      <w:pPr>
        <w:pStyle w:val="Source"/>
      </w:pPr>
      <w:r>
        <w:rPr>
          <w:i/>
        </w:rPr>
        <w:t>Source</w:t>
      </w:r>
      <w:r w:rsidR="008E5CA6">
        <w:rPr>
          <w:i/>
        </w:rPr>
        <w:t>s</w:t>
      </w:r>
      <w:r>
        <w:t>: Commission estimates based on DIISR Annual Report 2010</w:t>
      </w:r>
      <w:r>
        <w:noBreakHyphen/>
        <w:t>11 (and earlier years); and DIISR data by contact.</w:t>
      </w:r>
    </w:p>
    <w:p w:rsidR="00F64618" w:rsidRDefault="00FA09C3" w:rsidP="00F64618">
      <w:pPr>
        <w:pStyle w:val="Heading2"/>
      </w:pPr>
      <w:r>
        <w:t>A.</w:t>
      </w:r>
      <w:r>
        <w:rPr>
          <w:noProof/>
        </w:rPr>
        <w:t>31</w:t>
      </w:r>
      <w:r w:rsidR="00F64618">
        <w:tab/>
        <w:t>Duty Drawback</w:t>
      </w:r>
    </w:p>
    <w:p w:rsidR="00F64618" w:rsidRPr="00605FAE" w:rsidRDefault="00F64618" w:rsidP="00F64618">
      <w:pPr>
        <w:pStyle w:val="BodyText"/>
      </w:pPr>
      <w:r>
        <w:t xml:space="preserve">The Duty Drawback scheme provides refunds of tariff duties paid on imported materials that are subsequently re-exported or used in production of other goods which are exported. Duty drawback is not payable on capital equipment, fuel, or chemicals, which are used in the process of producing goods for export. As such, agricultural and mining activities have limited opportunities to use the drawback provisions </w:t>
      </w:r>
      <w:r w:rsidRPr="008F027A">
        <w:t>(</w:t>
      </w:r>
      <w:r w:rsidRPr="00411B63">
        <w:t>ACS 2010</w:t>
      </w:r>
      <w:r w:rsidRPr="008F027A">
        <w:t>).</w:t>
      </w:r>
    </w:p>
    <w:p w:rsidR="00F64618" w:rsidRDefault="00F64618" w:rsidP="00F64618">
      <w:pPr>
        <w:pStyle w:val="BodyText"/>
      </w:pPr>
      <w:r>
        <w:t>The scheme predomina</w:t>
      </w:r>
      <w:r w:rsidR="00912A79">
        <w:t>n</w:t>
      </w:r>
      <w:r>
        <w:t xml:space="preserve">tly benefits firms in the manufacturing sector. However, information on the specific industry incidence of the program has not been readily available. Accordingly, the budget outlay has been classified to the </w:t>
      </w:r>
      <w:r w:rsidRPr="00507FD6">
        <w:rPr>
          <w:i/>
        </w:rPr>
        <w:t xml:space="preserve">Unallocated </w:t>
      </w:r>
      <w:r w:rsidRPr="00507FD6">
        <w:rPr>
          <w:i/>
        </w:rPr>
        <w:lastRenderedPageBreak/>
        <w:t>manufacturing</w:t>
      </w:r>
      <w:r>
        <w:t xml:space="preserve"> industry grouping in the Commission’s ANZSIC-based classification (table A.31).</w:t>
      </w:r>
    </w:p>
    <w:p w:rsidR="00F64618" w:rsidRDefault="00F64618" w:rsidP="00F64618">
      <w:pPr>
        <w:pStyle w:val="TableTitle"/>
      </w:pPr>
      <w:r>
        <w:rPr>
          <w:b w:val="0"/>
        </w:rPr>
        <w:t xml:space="preserve">Table </w:t>
      </w:r>
      <w:r w:rsidR="00FA09C3">
        <w:rPr>
          <w:b w:val="0"/>
        </w:rPr>
        <w:t>A.</w:t>
      </w:r>
      <w:r w:rsidR="00FA09C3">
        <w:rPr>
          <w:b w:val="0"/>
          <w:noProof/>
        </w:rPr>
        <w:t>31</w:t>
      </w:r>
      <w:r>
        <w:tab/>
        <w:t>Allocation of Duty Drawback</w:t>
      </w:r>
      <w:r w:rsidR="00510A57" w:rsidRPr="00510A57">
        <w:t xml:space="preserve"> to industry</w:t>
      </w:r>
      <w:r>
        <w:t>, 2006</w:t>
      </w:r>
      <w:r>
        <w:noBreakHyphen/>
        <w:t>07 to 2011</w:t>
      </w:r>
      <w:r>
        <w:noBreakHyphen/>
        <w:t>12</w:t>
      </w:r>
    </w:p>
    <w:p w:rsidR="00F64618" w:rsidRDefault="00F64618" w:rsidP="00F64618">
      <w:pPr>
        <w:pStyle w:val="Subtitle"/>
      </w:pPr>
      <w:r>
        <w:t>$ million (nominal)</w:t>
      </w:r>
    </w:p>
    <w:tbl>
      <w:tblPr>
        <w:tblW w:w="5000" w:type="pct"/>
        <w:tblCellMar>
          <w:left w:w="0" w:type="dxa"/>
          <w:right w:w="0" w:type="dxa"/>
        </w:tblCellMar>
        <w:tblLook w:val="0000" w:firstRow="0" w:lastRow="0" w:firstColumn="0" w:lastColumn="0" w:noHBand="0" w:noVBand="0"/>
      </w:tblPr>
      <w:tblGrid>
        <w:gridCol w:w="3445"/>
        <w:gridCol w:w="891"/>
        <w:gridCol w:w="891"/>
        <w:gridCol w:w="891"/>
        <w:gridCol w:w="891"/>
        <w:gridCol w:w="891"/>
        <w:gridCol w:w="889"/>
      </w:tblGrid>
      <w:tr w:rsidR="00F64618" w:rsidRPr="00AF699A" w:rsidTr="008B5474">
        <w:tc>
          <w:tcPr>
            <w:tcW w:w="1959" w:type="pct"/>
            <w:tcBorders>
              <w:top w:val="single" w:sz="6" w:space="0" w:color="auto"/>
              <w:bottom w:val="single" w:sz="6" w:space="0" w:color="auto"/>
            </w:tcBorders>
          </w:tcPr>
          <w:p w:rsidR="00F64618" w:rsidRPr="00AF699A" w:rsidRDefault="00F64618" w:rsidP="008B547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F64618" w:rsidRPr="00AF699A" w:rsidRDefault="00F64618" w:rsidP="008B547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F64618" w:rsidRPr="00AF699A" w:rsidRDefault="00F64618" w:rsidP="008B547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F64618" w:rsidRPr="00AF699A" w:rsidRDefault="00F64618" w:rsidP="008B547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F64618" w:rsidRPr="00AF699A" w:rsidRDefault="00F64618" w:rsidP="008B547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F64618" w:rsidRPr="00AF699A" w:rsidRDefault="00F64618" w:rsidP="008B5474">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F64618" w:rsidRPr="00AF699A" w:rsidRDefault="00F64618" w:rsidP="008B5474">
            <w:pPr>
              <w:pStyle w:val="TableColumnHeading"/>
              <w:ind w:right="28"/>
              <w:rPr>
                <w:rFonts w:cs="Arial"/>
                <w:sz w:val="18"/>
                <w:szCs w:val="18"/>
              </w:rPr>
            </w:pPr>
            <w:r w:rsidRPr="00AF699A">
              <w:rPr>
                <w:rFonts w:cs="Arial"/>
                <w:sz w:val="18"/>
                <w:szCs w:val="18"/>
              </w:rPr>
              <w:t>2011-12</w:t>
            </w:r>
          </w:p>
        </w:tc>
      </w:tr>
      <w:tr w:rsidR="00F64618" w:rsidRPr="006C5A80" w:rsidTr="008B5474">
        <w:tc>
          <w:tcPr>
            <w:tcW w:w="1959" w:type="pct"/>
            <w:tcBorders>
              <w:bottom w:val="single" w:sz="4" w:space="0" w:color="auto"/>
            </w:tcBorders>
            <w:vAlign w:val="bottom"/>
          </w:tcPr>
          <w:p w:rsidR="00F64618" w:rsidRPr="00C944BA" w:rsidRDefault="00F64618" w:rsidP="008B5474">
            <w:pPr>
              <w:pStyle w:val="TableBodyText"/>
              <w:jc w:val="left"/>
            </w:pPr>
            <w:r w:rsidRPr="00C944BA">
              <w:t>Unallocated manufacturing</w:t>
            </w:r>
            <w:r w:rsidRPr="00C00D98">
              <w:rPr>
                <w:rStyle w:val="NoteLabel"/>
                <w:szCs w:val="18"/>
              </w:rPr>
              <w:t>a</w:t>
            </w:r>
          </w:p>
        </w:tc>
        <w:tc>
          <w:tcPr>
            <w:tcW w:w="507" w:type="pct"/>
            <w:tcBorders>
              <w:bottom w:val="single" w:sz="4" w:space="0" w:color="auto"/>
            </w:tcBorders>
            <w:vAlign w:val="bottom"/>
          </w:tcPr>
          <w:p w:rsidR="00F64618" w:rsidRPr="00C944BA" w:rsidRDefault="00F64618" w:rsidP="008B5474">
            <w:pPr>
              <w:pStyle w:val="TableBodyText"/>
            </w:pPr>
            <w:r w:rsidRPr="00C944BA">
              <w:t>103.9</w:t>
            </w:r>
          </w:p>
        </w:tc>
        <w:tc>
          <w:tcPr>
            <w:tcW w:w="507" w:type="pct"/>
            <w:tcBorders>
              <w:bottom w:val="single" w:sz="4" w:space="0" w:color="auto"/>
            </w:tcBorders>
            <w:vAlign w:val="bottom"/>
          </w:tcPr>
          <w:p w:rsidR="00F64618" w:rsidRPr="00C944BA" w:rsidRDefault="00F64618" w:rsidP="008B5474">
            <w:pPr>
              <w:pStyle w:val="TableBodyText"/>
            </w:pPr>
            <w:r w:rsidRPr="00C944BA">
              <w:t>107.2</w:t>
            </w:r>
          </w:p>
        </w:tc>
        <w:tc>
          <w:tcPr>
            <w:tcW w:w="507" w:type="pct"/>
            <w:tcBorders>
              <w:bottom w:val="single" w:sz="4" w:space="0" w:color="auto"/>
            </w:tcBorders>
            <w:vAlign w:val="bottom"/>
          </w:tcPr>
          <w:p w:rsidR="00F64618" w:rsidRPr="00C944BA" w:rsidRDefault="00F64618" w:rsidP="008B5474">
            <w:pPr>
              <w:pStyle w:val="TableBodyText"/>
            </w:pPr>
            <w:r w:rsidRPr="00C944BA">
              <w:t>118.4</w:t>
            </w:r>
          </w:p>
        </w:tc>
        <w:tc>
          <w:tcPr>
            <w:tcW w:w="507" w:type="pct"/>
            <w:tcBorders>
              <w:bottom w:val="single" w:sz="4" w:space="0" w:color="auto"/>
            </w:tcBorders>
            <w:vAlign w:val="bottom"/>
          </w:tcPr>
          <w:p w:rsidR="00F64618" w:rsidRPr="00C944BA" w:rsidRDefault="00F64618" w:rsidP="008B5474">
            <w:pPr>
              <w:pStyle w:val="TableBodyText"/>
            </w:pPr>
            <w:r w:rsidRPr="00C944BA">
              <w:t>94.6</w:t>
            </w:r>
          </w:p>
        </w:tc>
        <w:tc>
          <w:tcPr>
            <w:tcW w:w="507" w:type="pct"/>
            <w:tcBorders>
              <w:bottom w:val="single" w:sz="4" w:space="0" w:color="auto"/>
            </w:tcBorders>
            <w:shd w:val="clear" w:color="auto" w:fill="auto"/>
            <w:vAlign w:val="bottom"/>
          </w:tcPr>
          <w:p w:rsidR="00F64618" w:rsidRPr="00C944BA" w:rsidRDefault="00F64618" w:rsidP="008B5474">
            <w:pPr>
              <w:pStyle w:val="TableBodyText"/>
            </w:pPr>
            <w:r w:rsidRPr="00C944BA">
              <w:t>74.5</w:t>
            </w:r>
          </w:p>
        </w:tc>
        <w:tc>
          <w:tcPr>
            <w:tcW w:w="507" w:type="pct"/>
            <w:tcBorders>
              <w:bottom w:val="single" w:sz="4" w:space="0" w:color="auto"/>
            </w:tcBorders>
            <w:shd w:val="clear" w:color="auto" w:fill="auto"/>
            <w:vAlign w:val="bottom"/>
          </w:tcPr>
          <w:p w:rsidR="00F64618" w:rsidRPr="00C944BA" w:rsidRDefault="00F64618" w:rsidP="008B5474">
            <w:pPr>
              <w:pStyle w:val="TableBodyText"/>
            </w:pPr>
            <w:r w:rsidRPr="00C944BA">
              <w:t>62.5</w:t>
            </w:r>
          </w:p>
        </w:tc>
      </w:tr>
    </w:tbl>
    <w:p w:rsidR="00F64618" w:rsidRDefault="00F64618" w:rsidP="00F64618">
      <w:pPr>
        <w:pStyle w:val="Note"/>
      </w:pPr>
      <w:r w:rsidRPr="008E77FE">
        <w:rPr>
          <w:rStyle w:val="NoteLabel"/>
        </w:rPr>
        <w:t>a</w:t>
      </w:r>
      <w:r w:rsidRPr="00875879">
        <w:t xml:space="preserve"> Unallocated includes general programs where details of beneficiaries are unknown.</w:t>
      </w:r>
    </w:p>
    <w:p w:rsidR="00F64618" w:rsidRPr="008E77FE" w:rsidRDefault="00F64618" w:rsidP="00F64618">
      <w:pPr>
        <w:pStyle w:val="Source"/>
      </w:pPr>
      <w:r>
        <w:rPr>
          <w:i/>
        </w:rPr>
        <w:t>Source</w:t>
      </w:r>
      <w:r>
        <w:t>: Commission estimates based on data obtained from the Australian Customs and Border Protection Service.</w:t>
      </w:r>
    </w:p>
    <w:p w:rsidR="00E4529B" w:rsidRDefault="00FA09C3" w:rsidP="00E4529B">
      <w:pPr>
        <w:pStyle w:val="Heading2"/>
      </w:pPr>
      <w:r>
        <w:t>A.</w:t>
      </w:r>
      <w:r>
        <w:rPr>
          <w:noProof/>
        </w:rPr>
        <w:t>32</w:t>
      </w:r>
      <w:r w:rsidR="00E4529B">
        <w:tab/>
        <w:t>Grains Research and Development Corporation</w:t>
      </w:r>
    </w:p>
    <w:p w:rsidR="00E4529B" w:rsidRDefault="00E4529B" w:rsidP="00E4529B">
      <w:pPr>
        <w:pStyle w:val="BodyText"/>
      </w:pPr>
      <w:r>
        <w:t xml:space="preserve">The Grains Research and Development Corporation (GRDC) is a Commonwealth statutory authority. The GRDC’s objective is to combine the funding resources of individual grain producers in order to encourage investment in grain industry research. A levy is applied to most grains (around 1 per cent of farm gate value), and the Australian Government matches the research funds raised </w:t>
      </w:r>
      <w:r w:rsidRPr="000138D9">
        <w:t>(</w:t>
      </w:r>
      <w:r w:rsidRPr="002D4BCB">
        <w:t>GRDC 2012</w:t>
      </w:r>
      <w:r w:rsidRPr="000138D9">
        <w:t>)</w:t>
      </w:r>
      <w:r>
        <w:t>.</w:t>
      </w:r>
    </w:p>
    <w:p w:rsidR="00E4529B" w:rsidRDefault="00E4529B" w:rsidP="00E4529B">
      <w:pPr>
        <w:pStyle w:val="BodyText"/>
      </w:pPr>
      <w:r>
        <w:t xml:space="preserve">The Australian Government contribution is targeted assistance for the grains industry, and thus is allocated to the </w:t>
      </w:r>
      <w:r w:rsidRPr="00211753">
        <w:rPr>
          <w:i/>
        </w:rPr>
        <w:t>Sheep, beef cattle and grain farming</w:t>
      </w:r>
      <w:r>
        <w:t xml:space="preserve"> industry grouping in the Commission’s ANZSIC-based classification (table A.32).</w:t>
      </w:r>
    </w:p>
    <w:p w:rsidR="00E4529B" w:rsidRDefault="00E4529B" w:rsidP="00E4529B">
      <w:pPr>
        <w:pStyle w:val="TableTitle"/>
      </w:pPr>
      <w:r>
        <w:rPr>
          <w:b w:val="0"/>
        </w:rPr>
        <w:t xml:space="preserve">Table </w:t>
      </w:r>
      <w:r w:rsidR="00FA09C3">
        <w:rPr>
          <w:b w:val="0"/>
        </w:rPr>
        <w:t>A.</w:t>
      </w:r>
      <w:r w:rsidR="00FA09C3">
        <w:rPr>
          <w:b w:val="0"/>
          <w:noProof/>
        </w:rPr>
        <w:t>32</w:t>
      </w:r>
      <w:r>
        <w:tab/>
        <w:t xml:space="preserve">Allocation of Grains Research and Development Corporation </w:t>
      </w:r>
      <w:r w:rsidR="00510A57" w:rsidRPr="00510A57">
        <w:t>to industry</w:t>
      </w:r>
      <w:r>
        <w:t>, 2006</w:t>
      </w:r>
      <w:r>
        <w:noBreakHyphen/>
        <w:t>07 to 2011</w:t>
      </w:r>
      <w:r>
        <w:noBreakHyphen/>
        <w:t>12</w:t>
      </w:r>
    </w:p>
    <w:p w:rsidR="00E4529B" w:rsidRDefault="00E4529B" w:rsidP="00E4529B">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E4529B" w:rsidRPr="00AF699A" w:rsidTr="008B5474">
        <w:tc>
          <w:tcPr>
            <w:tcW w:w="1960" w:type="pct"/>
            <w:tcBorders>
              <w:top w:val="single" w:sz="6" w:space="0" w:color="auto"/>
              <w:bottom w:val="single" w:sz="6" w:space="0" w:color="auto"/>
            </w:tcBorders>
          </w:tcPr>
          <w:p w:rsidR="00E4529B" w:rsidRPr="00AF699A" w:rsidRDefault="00E4529B" w:rsidP="008B547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E4529B" w:rsidRPr="00AF699A" w:rsidRDefault="00E4529B" w:rsidP="008B547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E4529B" w:rsidRPr="00AF699A" w:rsidRDefault="00E4529B" w:rsidP="008B547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E4529B" w:rsidRPr="00AF699A" w:rsidRDefault="00E4529B" w:rsidP="008B547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E4529B" w:rsidRPr="00AF699A" w:rsidRDefault="00E4529B" w:rsidP="008B547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E4529B" w:rsidRPr="00AF699A" w:rsidRDefault="00E4529B" w:rsidP="008B5474">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E4529B" w:rsidRPr="00AF699A" w:rsidRDefault="00E4529B" w:rsidP="008B5474">
            <w:pPr>
              <w:pStyle w:val="TableColumnHeading"/>
              <w:ind w:right="28"/>
              <w:rPr>
                <w:rFonts w:cs="Arial"/>
                <w:sz w:val="18"/>
                <w:szCs w:val="18"/>
              </w:rPr>
            </w:pPr>
            <w:r w:rsidRPr="00AF699A">
              <w:rPr>
                <w:rFonts w:cs="Arial"/>
                <w:sz w:val="18"/>
                <w:szCs w:val="18"/>
              </w:rPr>
              <w:t>2011-12</w:t>
            </w:r>
          </w:p>
        </w:tc>
      </w:tr>
      <w:tr w:rsidR="00E4529B" w:rsidRPr="006C5A80" w:rsidTr="008B5474">
        <w:tc>
          <w:tcPr>
            <w:tcW w:w="1960" w:type="pct"/>
            <w:tcBorders>
              <w:bottom w:val="single" w:sz="4" w:space="0" w:color="auto"/>
            </w:tcBorders>
            <w:vAlign w:val="bottom"/>
          </w:tcPr>
          <w:p w:rsidR="00E4529B" w:rsidRPr="00C944BA" w:rsidRDefault="00E4529B" w:rsidP="008B5474">
            <w:pPr>
              <w:pStyle w:val="TableBodyText"/>
              <w:jc w:val="left"/>
            </w:pPr>
            <w:r>
              <w:t>Sheep, beef cattle and grain farming</w:t>
            </w:r>
          </w:p>
        </w:tc>
        <w:tc>
          <w:tcPr>
            <w:tcW w:w="507" w:type="pct"/>
            <w:tcBorders>
              <w:bottom w:val="single" w:sz="4" w:space="0" w:color="auto"/>
            </w:tcBorders>
            <w:vAlign w:val="bottom"/>
          </w:tcPr>
          <w:p w:rsidR="00E4529B" w:rsidRDefault="00E4529B" w:rsidP="008B5474">
            <w:pPr>
              <w:pStyle w:val="TableBodyText"/>
            </w:pPr>
            <w:r>
              <w:t>35.8</w:t>
            </w:r>
          </w:p>
        </w:tc>
        <w:tc>
          <w:tcPr>
            <w:tcW w:w="507" w:type="pct"/>
            <w:tcBorders>
              <w:bottom w:val="single" w:sz="4" w:space="0" w:color="auto"/>
            </w:tcBorders>
            <w:vAlign w:val="bottom"/>
          </w:tcPr>
          <w:p w:rsidR="00E4529B" w:rsidRDefault="00E4529B" w:rsidP="008B5474">
            <w:pPr>
              <w:pStyle w:val="TableBodyText"/>
            </w:pPr>
            <w:r>
              <w:t>28.9</w:t>
            </w:r>
          </w:p>
        </w:tc>
        <w:tc>
          <w:tcPr>
            <w:tcW w:w="507" w:type="pct"/>
            <w:tcBorders>
              <w:bottom w:val="single" w:sz="4" w:space="0" w:color="auto"/>
            </w:tcBorders>
            <w:vAlign w:val="bottom"/>
          </w:tcPr>
          <w:p w:rsidR="00E4529B" w:rsidRDefault="00E4529B" w:rsidP="008B5474">
            <w:pPr>
              <w:pStyle w:val="TableBodyText"/>
            </w:pPr>
            <w:r>
              <w:t>36.9</w:t>
            </w:r>
          </w:p>
        </w:tc>
        <w:tc>
          <w:tcPr>
            <w:tcW w:w="507" w:type="pct"/>
            <w:tcBorders>
              <w:bottom w:val="single" w:sz="4" w:space="0" w:color="auto"/>
            </w:tcBorders>
            <w:vAlign w:val="bottom"/>
          </w:tcPr>
          <w:p w:rsidR="00E4529B" w:rsidRDefault="00E4529B" w:rsidP="008B5474">
            <w:pPr>
              <w:pStyle w:val="TableBodyText"/>
            </w:pPr>
            <w:r>
              <w:t>50.1</w:t>
            </w:r>
          </w:p>
        </w:tc>
        <w:tc>
          <w:tcPr>
            <w:tcW w:w="507" w:type="pct"/>
            <w:tcBorders>
              <w:bottom w:val="single" w:sz="4" w:space="0" w:color="auto"/>
            </w:tcBorders>
            <w:shd w:val="clear" w:color="auto" w:fill="auto"/>
            <w:vAlign w:val="bottom"/>
          </w:tcPr>
          <w:p w:rsidR="00E4529B" w:rsidRDefault="00E4529B" w:rsidP="008B5474">
            <w:pPr>
              <w:pStyle w:val="TableBodyText"/>
            </w:pPr>
            <w:r>
              <w:t>53.4</w:t>
            </w:r>
          </w:p>
        </w:tc>
        <w:tc>
          <w:tcPr>
            <w:tcW w:w="505" w:type="pct"/>
            <w:tcBorders>
              <w:bottom w:val="single" w:sz="4" w:space="0" w:color="auto"/>
            </w:tcBorders>
            <w:shd w:val="clear" w:color="auto" w:fill="auto"/>
            <w:vAlign w:val="bottom"/>
          </w:tcPr>
          <w:p w:rsidR="00E4529B" w:rsidRDefault="00E4529B" w:rsidP="008B5474">
            <w:pPr>
              <w:pStyle w:val="TableBodyText"/>
            </w:pPr>
            <w:r>
              <w:t>55.9</w:t>
            </w:r>
          </w:p>
        </w:tc>
      </w:tr>
    </w:tbl>
    <w:p w:rsidR="00E4529B" w:rsidRPr="008E77FE" w:rsidRDefault="00E4529B" w:rsidP="00E4529B">
      <w:pPr>
        <w:pStyle w:val="Source"/>
      </w:pPr>
      <w:r>
        <w:rPr>
          <w:i/>
        </w:rPr>
        <w:t>Source</w:t>
      </w:r>
      <w:r>
        <w:t>: Commission estimates based on Grains Research and Development Corporation Annual Report 2011</w:t>
      </w:r>
      <w:r>
        <w:noBreakHyphen/>
        <w:t>12 (and earlier years).</w:t>
      </w:r>
    </w:p>
    <w:p w:rsidR="00E4529B" w:rsidRDefault="00FA09C3" w:rsidP="00E4529B">
      <w:pPr>
        <w:pStyle w:val="Heading2"/>
      </w:pPr>
      <w:r>
        <w:t>A.</w:t>
      </w:r>
      <w:r>
        <w:rPr>
          <w:noProof/>
        </w:rPr>
        <w:t>33</w:t>
      </w:r>
      <w:r w:rsidR="00E4529B">
        <w:tab/>
        <w:t>National Energy Efficiency Initiative – Smart Grid, Smart City</w:t>
      </w:r>
    </w:p>
    <w:p w:rsidR="00E4529B" w:rsidRPr="00307112" w:rsidRDefault="00E4529B" w:rsidP="00E4529B">
      <w:pPr>
        <w:pStyle w:val="BodyText"/>
      </w:pPr>
      <w:r>
        <w:t xml:space="preserve">On 7 June 2010, the Australian Government announced that a consortium led by Ausgrid (formerly EnergyAustralia’s distribution business) would deliver the Smart Grid, Smart City demonstration </w:t>
      </w:r>
      <w:r w:rsidRPr="00076ABE">
        <w:t>project</w:t>
      </w:r>
      <w:r w:rsidRPr="00E21BA5">
        <w:t xml:space="preserve"> (</w:t>
      </w:r>
      <w:r w:rsidRPr="002D4BCB">
        <w:t>DRET 2011</w:t>
      </w:r>
      <w:r w:rsidRPr="00076ABE">
        <w:t>)</w:t>
      </w:r>
      <w:r w:rsidRPr="00E21BA5">
        <w:t>. In</w:t>
      </w:r>
      <w:r>
        <w:t xml:space="preserve"> the 2009</w:t>
      </w:r>
      <w:r>
        <w:noBreakHyphen/>
        <w:t xml:space="preserve">10 Budget, the Government committed up to $100 million to deploy Australia’s first fully integrated, commercial-scale smart grid in partnership with the energy sector. The project aims to demonstrate how smart grid technologies and applications can </w:t>
      </w:r>
      <w:r>
        <w:lastRenderedPageBreak/>
        <w:t xml:space="preserve">improve network reliability, deliver economic efficiencies, and drive consumer behaviour. In doing so, it aims to allow Australia to showcase world’s best practice by integrating grid technologies with active customer involvement and test whether smart grids can improve the efficiency of the electricity sector. </w:t>
      </w:r>
      <w:r w:rsidRPr="002B41D3">
        <w:t xml:space="preserve">The </w:t>
      </w:r>
      <w:r>
        <w:t>project</w:t>
      </w:r>
      <w:r w:rsidRPr="002B41D3">
        <w:t xml:space="preserve"> investigat</w:t>
      </w:r>
      <w:r>
        <w:t>es</w:t>
      </w:r>
      <w:r w:rsidRPr="002B41D3">
        <w:t xml:space="preserve"> how electricity from renewable and distributed generation and energy storage sources, such as wind and solar energy generation and battery storage devices, can be integrated more effectively into the existing electricity network</w:t>
      </w:r>
    </w:p>
    <w:p w:rsidR="00E4529B" w:rsidRDefault="00E4529B" w:rsidP="00E4529B">
      <w:pPr>
        <w:pStyle w:val="BodyText"/>
      </w:pPr>
      <w:r>
        <w:t>Information on the industry incidence of</w:t>
      </w:r>
      <w:r w:rsidRPr="00860866">
        <w:t xml:space="preserve"> </w:t>
      </w:r>
      <w:r w:rsidR="000A3642">
        <w:t xml:space="preserve">the </w:t>
      </w:r>
      <w:r>
        <w:t>program has not been readily available. Accordingly, the budget outlay has been classified</w:t>
      </w:r>
      <w:r w:rsidRPr="00860866">
        <w:t xml:space="preserve"> to the </w:t>
      </w:r>
      <w:r w:rsidRPr="00860866">
        <w:rPr>
          <w:i/>
        </w:rPr>
        <w:t>Unallocated other</w:t>
      </w:r>
      <w:r w:rsidRPr="00860866">
        <w:t xml:space="preserve"> </w:t>
      </w:r>
      <w:r>
        <w:t xml:space="preserve">industry </w:t>
      </w:r>
      <w:r w:rsidRPr="00860866">
        <w:t>grouping in the Commission’s ANZSIC-based classification (table</w:t>
      </w:r>
      <w:r>
        <w:t> </w:t>
      </w:r>
      <w:r w:rsidRPr="00860866">
        <w:t>A.</w:t>
      </w:r>
      <w:r>
        <w:t>33</w:t>
      </w:r>
      <w:r w:rsidRPr="00860866">
        <w:t>).</w:t>
      </w:r>
    </w:p>
    <w:p w:rsidR="00E4529B" w:rsidRDefault="00E4529B" w:rsidP="00E4529B">
      <w:pPr>
        <w:pStyle w:val="TableTitle"/>
      </w:pPr>
      <w:r>
        <w:rPr>
          <w:b w:val="0"/>
        </w:rPr>
        <w:t xml:space="preserve">Table </w:t>
      </w:r>
      <w:r w:rsidR="00FA09C3">
        <w:rPr>
          <w:b w:val="0"/>
        </w:rPr>
        <w:t>A.</w:t>
      </w:r>
      <w:r w:rsidR="00FA09C3">
        <w:rPr>
          <w:b w:val="0"/>
          <w:noProof/>
        </w:rPr>
        <w:t>33</w:t>
      </w:r>
      <w:r>
        <w:tab/>
        <w:t xml:space="preserve">Allocation of National </w:t>
      </w:r>
      <w:r w:rsidR="006B2ED0">
        <w:t>E</w:t>
      </w:r>
      <w:r>
        <w:t>nergy Efficiency Initiative – Smart Grid, Smart City</w:t>
      </w:r>
      <w:r w:rsidR="00510A57" w:rsidRPr="00510A57">
        <w:t xml:space="preserve"> to industry</w:t>
      </w:r>
      <w:r>
        <w:t>, 2006</w:t>
      </w:r>
      <w:r>
        <w:noBreakHyphen/>
        <w:t>07 to 2011</w:t>
      </w:r>
      <w:r>
        <w:noBreakHyphen/>
        <w:t>12</w:t>
      </w:r>
    </w:p>
    <w:p w:rsidR="00E4529B" w:rsidRDefault="000E1A26" w:rsidP="00E4529B">
      <w:pPr>
        <w:pStyle w:val="Subtitle"/>
      </w:pPr>
      <w:r>
        <w:t>$ m</w:t>
      </w:r>
      <w:r w:rsidR="00E4529B">
        <w:t>illion (nominal)</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E4529B" w:rsidRPr="00AF699A" w:rsidTr="008B5474">
        <w:tc>
          <w:tcPr>
            <w:tcW w:w="1958" w:type="pct"/>
            <w:tcBorders>
              <w:top w:val="single" w:sz="6" w:space="0" w:color="auto"/>
              <w:bottom w:val="single" w:sz="6" w:space="0" w:color="auto"/>
            </w:tcBorders>
          </w:tcPr>
          <w:p w:rsidR="00E4529B" w:rsidRPr="00AF699A" w:rsidRDefault="00E4529B" w:rsidP="008B547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E4529B" w:rsidRPr="00AF699A" w:rsidRDefault="00E4529B" w:rsidP="008B547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E4529B" w:rsidRPr="00AF699A" w:rsidRDefault="00E4529B" w:rsidP="008B547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E4529B" w:rsidRPr="00AF699A" w:rsidRDefault="00E4529B" w:rsidP="008B547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E4529B" w:rsidRPr="00AF699A" w:rsidRDefault="00E4529B" w:rsidP="008B547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E4529B" w:rsidRPr="00AF699A" w:rsidRDefault="00E4529B" w:rsidP="008B5474">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E4529B" w:rsidRPr="00AF699A" w:rsidRDefault="00E4529B" w:rsidP="008B5474">
            <w:pPr>
              <w:pStyle w:val="TableColumnHeading"/>
              <w:ind w:right="28"/>
              <w:rPr>
                <w:rFonts w:cs="Arial"/>
                <w:sz w:val="18"/>
                <w:szCs w:val="18"/>
              </w:rPr>
            </w:pPr>
            <w:r w:rsidRPr="00AF699A">
              <w:rPr>
                <w:rFonts w:cs="Arial"/>
                <w:sz w:val="18"/>
                <w:szCs w:val="18"/>
              </w:rPr>
              <w:t>2011-12</w:t>
            </w:r>
          </w:p>
        </w:tc>
      </w:tr>
      <w:tr w:rsidR="00E4529B" w:rsidRPr="00EB51A6" w:rsidTr="008B5474">
        <w:tc>
          <w:tcPr>
            <w:tcW w:w="1958" w:type="pct"/>
            <w:tcBorders>
              <w:bottom w:val="single" w:sz="4" w:space="0" w:color="auto"/>
            </w:tcBorders>
            <w:vAlign w:val="bottom"/>
          </w:tcPr>
          <w:p w:rsidR="00E4529B" w:rsidRDefault="00E4529B" w:rsidP="008B5474">
            <w:pPr>
              <w:pStyle w:val="TableBodyText"/>
              <w:jc w:val="left"/>
            </w:pPr>
            <w:r>
              <w:t>Unallocated other</w:t>
            </w:r>
            <w:r w:rsidRPr="00C00D98">
              <w:rPr>
                <w:rStyle w:val="NoteLabel"/>
                <w:szCs w:val="18"/>
              </w:rPr>
              <w:t>a</w:t>
            </w:r>
          </w:p>
        </w:tc>
        <w:tc>
          <w:tcPr>
            <w:tcW w:w="507" w:type="pct"/>
            <w:tcBorders>
              <w:bottom w:val="single" w:sz="4" w:space="0" w:color="auto"/>
            </w:tcBorders>
            <w:vAlign w:val="bottom"/>
          </w:tcPr>
          <w:p w:rsidR="00E4529B" w:rsidRDefault="00E4529B" w:rsidP="008B5474">
            <w:pPr>
              <w:pStyle w:val="TableBodyText"/>
            </w:pPr>
            <w:r>
              <w:noBreakHyphen/>
            </w:r>
          </w:p>
        </w:tc>
        <w:tc>
          <w:tcPr>
            <w:tcW w:w="507" w:type="pct"/>
            <w:tcBorders>
              <w:bottom w:val="single" w:sz="4" w:space="0" w:color="auto"/>
            </w:tcBorders>
            <w:vAlign w:val="bottom"/>
          </w:tcPr>
          <w:p w:rsidR="00E4529B" w:rsidRDefault="00E4529B" w:rsidP="008B5474">
            <w:pPr>
              <w:pStyle w:val="TableBodyText"/>
            </w:pPr>
            <w:r>
              <w:noBreakHyphen/>
            </w:r>
          </w:p>
        </w:tc>
        <w:tc>
          <w:tcPr>
            <w:tcW w:w="507" w:type="pct"/>
            <w:tcBorders>
              <w:bottom w:val="single" w:sz="4" w:space="0" w:color="auto"/>
            </w:tcBorders>
            <w:vAlign w:val="bottom"/>
          </w:tcPr>
          <w:p w:rsidR="00E4529B" w:rsidRDefault="00E4529B" w:rsidP="008B5474">
            <w:pPr>
              <w:pStyle w:val="TableBodyText"/>
            </w:pPr>
            <w:r>
              <w:noBreakHyphen/>
            </w:r>
          </w:p>
        </w:tc>
        <w:tc>
          <w:tcPr>
            <w:tcW w:w="507" w:type="pct"/>
            <w:tcBorders>
              <w:bottom w:val="single" w:sz="4" w:space="0" w:color="auto"/>
            </w:tcBorders>
            <w:vAlign w:val="bottom"/>
          </w:tcPr>
          <w:p w:rsidR="00E4529B" w:rsidRDefault="00E4529B" w:rsidP="008B5474">
            <w:pPr>
              <w:pStyle w:val="TableBodyText"/>
            </w:pPr>
            <w:r>
              <w:noBreakHyphen/>
            </w:r>
          </w:p>
        </w:tc>
        <w:tc>
          <w:tcPr>
            <w:tcW w:w="507" w:type="pct"/>
            <w:tcBorders>
              <w:bottom w:val="single" w:sz="4" w:space="0" w:color="auto"/>
            </w:tcBorders>
            <w:shd w:val="clear" w:color="auto" w:fill="auto"/>
            <w:vAlign w:val="bottom"/>
          </w:tcPr>
          <w:p w:rsidR="00E4529B" w:rsidRDefault="00E4529B" w:rsidP="008B5474">
            <w:pPr>
              <w:pStyle w:val="TableBodyText"/>
            </w:pPr>
            <w:r>
              <w:t>33.7</w:t>
            </w:r>
          </w:p>
        </w:tc>
        <w:tc>
          <w:tcPr>
            <w:tcW w:w="507" w:type="pct"/>
            <w:tcBorders>
              <w:bottom w:val="single" w:sz="4" w:space="0" w:color="auto"/>
            </w:tcBorders>
            <w:shd w:val="clear" w:color="auto" w:fill="auto"/>
            <w:vAlign w:val="bottom"/>
          </w:tcPr>
          <w:p w:rsidR="00E4529B" w:rsidRDefault="00E4529B" w:rsidP="008B5474">
            <w:pPr>
              <w:pStyle w:val="TableBodyText"/>
            </w:pPr>
            <w:r>
              <w:t>51.0</w:t>
            </w:r>
          </w:p>
        </w:tc>
      </w:tr>
    </w:tbl>
    <w:p w:rsidR="00E4529B" w:rsidRDefault="00E4529B" w:rsidP="00E4529B">
      <w:pPr>
        <w:pStyle w:val="Note"/>
      </w:pPr>
      <w:r w:rsidRPr="00A2379F">
        <w:noBreakHyphen/>
        <w:t xml:space="preserve"> Nil</w:t>
      </w:r>
      <w:r>
        <w:t>.</w:t>
      </w:r>
      <w:r w:rsidRPr="008E77FE">
        <w:rPr>
          <w:rStyle w:val="NoteLabel"/>
        </w:rPr>
        <w:t xml:space="preserve"> a</w:t>
      </w:r>
      <w:r>
        <w:t xml:space="preserve"> </w:t>
      </w:r>
      <w:r w:rsidRPr="009B56F1">
        <w:t>Unallocated includes general programs where detai</w:t>
      </w:r>
      <w:r>
        <w:t>ls of beneficiaries are unknown.</w:t>
      </w:r>
    </w:p>
    <w:p w:rsidR="00E4529B" w:rsidRPr="008E77FE" w:rsidRDefault="00E4529B" w:rsidP="00E4529B">
      <w:pPr>
        <w:pStyle w:val="Source"/>
      </w:pPr>
      <w:r>
        <w:rPr>
          <w:i/>
        </w:rPr>
        <w:t>Source</w:t>
      </w:r>
      <w:r>
        <w:t>: Commission estimates based on Department of Resources, Energy and Tourism Annual Report 2011</w:t>
      </w:r>
      <w:r>
        <w:noBreakHyphen/>
        <w:t>12 (and earlier years).</w:t>
      </w:r>
    </w:p>
    <w:p w:rsidR="00304D50" w:rsidRDefault="00FA09C3" w:rsidP="00304D50">
      <w:pPr>
        <w:pStyle w:val="Heading2"/>
      </w:pPr>
      <w:r>
        <w:t>A.</w:t>
      </w:r>
      <w:r>
        <w:rPr>
          <w:noProof/>
        </w:rPr>
        <w:t>34</w:t>
      </w:r>
      <w:r w:rsidR="00304D50">
        <w:tab/>
        <w:t>Commercialisation Australia</w:t>
      </w:r>
    </w:p>
    <w:p w:rsidR="00304D50" w:rsidRPr="00DE3CA8" w:rsidRDefault="00304D50" w:rsidP="00304D50">
      <w:pPr>
        <w:pStyle w:val="BodyText"/>
      </w:pPr>
      <w:r>
        <w:t>In May 2009, the Australian Government announced that it would replace the COMET program (see item A.</w:t>
      </w:r>
      <w:r w:rsidR="00481DE5">
        <w:t>121</w:t>
      </w:r>
      <w:r>
        <w:t xml:space="preserve">) (and other programs) with the establishment of Commercialisation Australia (CA) (Carr 2009a). CA is a competitive merit-based program that aims to increase business innovation and help early-stage entrepreneurs convert innovative intellectual property into successful commercial outcomes to </w:t>
      </w:r>
      <w:r w:rsidRPr="00DE3CA8">
        <w:t>build sustainable businesses</w:t>
      </w:r>
      <w:r>
        <w:t xml:space="preserve"> </w:t>
      </w:r>
      <w:r w:rsidRPr="0071168B">
        <w:t>(</w:t>
      </w:r>
      <w:r w:rsidRPr="002D4BCB">
        <w:t>DIISR 2012</w:t>
      </w:r>
      <w:r w:rsidRPr="0071168B">
        <w:t>)</w:t>
      </w:r>
      <w:r>
        <w:t xml:space="preserve">. The program is based on three key </w:t>
      </w:r>
      <w:r w:rsidRPr="00DE3CA8">
        <w:t>elements:</w:t>
      </w:r>
    </w:p>
    <w:p w:rsidR="00304D50" w:rsidRPr="00DE3CA8" w:rsidRDefault="00304D50" w:rsidP="00304D50">
      <w:pPr>
        <w:pStyle w:val="ListBullet"/>
      </w:pPr>
      <w:r>
        <w:t>g</w:t>
      </w:r>
      <w:r w:rsidRPr="00DE3CA8">
        <w:t>rants of up to $2</w:t>
      </w:r>
      <w:r>
        <w:t xml:space="preserve"> million, </w:t>
      </w:r>
      <w:r w:rsidRPr="00DE3CA8">
        <w:t xml:space="preserve">tailored to meet the </w:t>
      </w:r>
      <w:r>
        <w:t>needs of early stage businesses;</w:t>
      </w:r>
    </w:p>
    <w:p w:rsidR="00304D50" w:rsidRPr="00DE3CA8" w:rsidRDefault="00304D50" w:rsidP="00304D50">
      <w:pPr>
        <w:pStyle w:val="ListBullet"/>
      </w:pPr>
      <w:r>
        <w:t>a</w:t>
      </w:r>
      <w:r w:rsidRPr="00DE3CA8">
        <w:t xml:space="preserve"> national network of 26 case managers who wor</w:t>
      </w:r>
      <w:r>
        <w:t>k closely with each participant; and</w:t>
      </w:r>
    </w:p>
    <w:p w:rsidR="00304D50" w:rsidRPr="00DE3CA8" w:rsidRDefault="00304D50" w:rsidP="00304D50">
      <w:pPr>
        <w:pStyle w:val="ListBullet"/>
      </w:pPr>
      <w:r>
        <w:t>t</w:t>
      </w:r>
      <w:r w:rsidRPr="00DE3CA8">
        <w:t>he volunteer business mentor network</w:t>
      </w:r>
      <w:r>
        <w:t>, to offer</w:t>
      </w:r>
      <w:r w:rsidRPr="00DE3CA8">
        <w:t xml:space="preserve"> participa</w:t>
      </w:r>
      <w:r>
        <w:t>nts a wide</w:t>
      </w:r>
      <w:r w:rsidRPr="00DE3CA8">
        <w:t xml:space="preserve"> source of expertise and opportunities to mak</w:t>
      </w:r>
      <w:r>
        <w:t>e important connections.</w:t>
      </w:r>
    </w:p>
    <w:p w:rsidR="00304D50" w:rsidRPr="008442FF" w:rsidRDefault="00304D50" w:rsidP="00304D50">
      <w:pPr>
        <w:pStyle w:val="BodyText"/>
      </w:pPr>
      <w:r>
        <w:t>The Commission has obtained information from the Department of Innovation, Industry, Science and Research (DIISR) detailing expenditure data for CA by ANZSIC industry. These industry shares have been used to allocate total CA funding to the Commission’s ANZSIC-based industry groupings (table A.34).</w:t>
      </w:r>
    </w:p>
    <w:p w:rsidR="00304D50" w:rsidRDefault="00304D50" w:rsidP="00304D50">
      <w:pPr>
        <w:pStyle w:val="TableTitle"/>
      </w:pPr>
      <w:r>
        <w:rPr>
          <w:b w:val="0"/>
        </w:rPr>
        <w:lastRenderedPageBreak/>
        <w:t xml:space="preserve">Table </w:t>
      </w:r>
      <w:r w:rsidR="00FA09C3">
        <w:rPr>
          <w:b w:val="0"/>
        </w:rPr>
        <w:t>A.</w:t>
      </w:r>
      <w:r w:rsidR="00FA09C3">
        <w:rPr>
          <w:b w:val="0"/>
          <w:noProof/>
        </w:rPr>
        <w:t>34</w:t>
      </w:r>
      <w:r>
        <w:tab/>
        <w:t xml:space="preserve">Allocation of Commercialisation Australia </w:t>
      </w:r>
      <w:r w:rsidR="00510A57" w:rsidRPr="00510A57">
        <w:t>to industry</w:t>
      </w:r>
      <w:r>
        <w:t>, 2006</w:t>
      </w:r>
      <w:r>
        <w:noBreakHyphen/>
        <w:t>07 to 2011</w:t>
      </w:r>
      <w:r>
        <w:noBreakHyphen/>
        <w:t>12</w:t>
      </w:r>
    </w:p>
    <w:p w:rsidR="00304D50" w:rsidRDefault="000E1A26" w:rsidP="00304D50">
      <w:pPr>
        <w:pStyle w:val="Subtitle"/>
      </w:pPr>
      <w:r>
        <w:t>$ m</w:t>
      </w:r>
      <w:r w:rsidR="00304D50">
        <w:t>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304D50" w:rsidRPr="00AF699A" w:rsidTr="008B5474">
        <w:tc>
          <w:tcPr>
            <w:tcW w:w="1960" w:type="pct"/>
            <w:tcBorders>
              <w:top w:val="single" w:sz="6" w:space="0" w:color="auto"/>
              <w:bottom w:val="single" w:sz="6" w:space="0" w:color="auto"/>
            </w:tcBorders>
          </w:tcPr>
          <w:p w:rsidR="00304D50" w:rsidRPr="00AF699A" w:rsidRDefault="00304D50" w:rsidP="008B547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304D50" w:rsidRPr="00AF699A" w:rsidRDefault="00304D50" w:rsidP="008B547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304D50" w:rsidRPr="00AF699A" w:rsidRDefault="00304D50" w:rsidP="008B547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304D50" w:rsidRPr="00AF699A" w:rsidRDefault="00304D50" w:rsidP="008B547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304D50" w:rsidRPr="00AF699A" w:rsidRDefault="00304D50" w:rsidP="008B547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304D50" w:rsidRPr="00AF699A" w:rsidRDefault="00304D50" w:rsidP="008B5474">
            <w:pPr>
              <w:pStyle w:val="TableColumnHeading"/>
              <w:ind w:right="28"/>
              <w:rPr>
                <w:rFonts w:cs="Arial"/>
                <w:sz w:val="18"/>
                <w:szCs w:val="18"/>
              </w:rPr>
            </w:pPr>
            <w:r w:rsidRPr="00AF699A">
              <w:rPr>
                <w:rFonts w:cs="Arial"/>
                <w:sz w:val="18"/>
                <w:szCs w:val="18"/>
              </w:rPr>
              <w:t>2010-11</w:t>
            </w:r>
          </w:p>
        </w:tc>
        <w:tc>
          <w:tcPr>
            <w:tcW w:w="506" w:type="pct"/>
            <w:tcBorders>
              <w:top w:val="single" w:sz="6" w:space="0" w:color="auto"/>
              <w:bottom w:val="single" w:sz="6" w:space="0" w:color="auto"/>
            </w:tcBorders>
            <w:shd w:val="clear" w:color="auto" w:fill="auto"/>
          </w:tcPr>
          <w:p w:rsidR="00304D50" w:rsidRPr="00AF699A" w:rsidRDefault="00304D50" w:rsidP="008B5474">
            <w:pPr>
              <w:pStyle w:val="TableColumnHeading"/>
              <w:ind w:right="28"/>
              <w:rPr>
                <w:rFonts w:cs="Arial"/>
                <w:sz w:val="18"/>
                <w:szCs w:val="18"/>
              </w:rPr>
            </w:pPr>
            <w:r w:rsidRPr="00AF699A">
              <w:rPr>
                <w:rFonts w:cs="Arial"/>
                <w:sz w:val="18"/>
                <w:szCs w:val="18"/>
              </w:rPr>
              <w:t>2011-12</w:t>
            </w:r>
          </w:p>
        </w:tc>
      </w:tr>
      <w:tr w:rsidR="00304D50" w:rsidRPr="00EB51A6" w:rsidTr="008B5474">
        <w:tc>
          <w:tcPr>
            <w:tcW w:w="1960" w:type="pct"/>
            <w:vAlign w:val="bottom"/>
          </w:tcPr>
          <w:p w:rsidR="00304D50" w:rsidRPr="008770BD" w:rsidRDefault="00304D50" w:rsidP="008B5474">
            <w:pPr>
              <w:pStyle w:val="TableBodyText"/>
              <w:jc w:val="left"/>
              <w:rPr>
                <w:b/>
                <w:sz w:val="18"/>
                <w:szCs w:val="18"/>
              </w:rPr>
            </w:pPr>
            <w:r w:rsidRPr="008770BD">
              <w:rPr>
                <w:b/>
                <w:sz w:val="18"/>
                <w:szCs w:val="18"/>
              </w:rPr>
              <w:t>Primary production</w:t>
            </w:r>
          </w:p>
        </w:tc>
        <w:tc>
          <w:tcPr>
            <w:tcW w:w="507" w:type="pct"/>
            <w:vAlign w:val="bottom"/>
          </w:tcPr>
          <w:p w:rsidR="00304D50" w:rsidRPr="005C018B" w:rsidRDefault="00304D50" w:rsidP="008B5474">
            <w:pPr>
              <w:pStyle w:val="TableBodyText"/>
              <w:rPr>
                <w:b/>
                <w:sz w:val="18"/>
                <w:szCs w:val="18"/>
              </w:rPr>
            </w:pPr>
            <w:r w:rsidRPr="005C018B">
              <w:rPr>
                <w:b/>
                <w:sz w:val="18"/>
                <w:szCs w:val="18"/>
              </w:rPr>
              <w:noBreakHyphen/>
            </w:r>
          </w:p>
        </w:tc>
        <w:tc>
          <w:tcPr>
            <w:tcW w:w="507" w:type="pct"/>
            <w:vAlign w:val="bottom"/>
          </w:tcPr>
          <w:p w:rsidR="00304D50" w:rsidRPr="005C018B" w:rsidRDefault="00304D50" w:rsidP="008B5474">
            <w:pPr>
              <w:pStyle w:val="TableBodyText"/>
              <w:rPr>
                <w:b/>
                <w:sz w:val="18"/>
                <w:szCs w:val="18"/>
              </w:rPr>
            </w:pPr>
            <w:r w:rsidRPr="005C018B">
              <w:rPr>
                <w:b/>
                <w:sz w:val="18"/>
                <w:szCs w:val="18"/>
              </w:rPr>
              <w:noBreakHyphen/>
            </w:r>
          </w:p>
        </w:tc>
        <w:tc>
          <w:tcPr>
            <w:tcW w:w="507" w:type="pct"/>
            <w:vAlign w:val="bottom"/>
          </w:tcPr>
          <w:p w:rsidR="00304D50" w:rsidRPr="005C018B" w:rsidRDefault="00304D50" w:rsidP="008B5474">
            <w:pPr>
              <w:pStyle w:val="TableBodyText"/>
              <w:rPr>
                <w:b/>
                <w:sz w:val="18"/>
                <w:szCs w:val="18"/>
              </w:rPr>
            </w:pPr>
            <w:r w:rsidRPr="005C018B">
              <w:rPr>
                <w:b/>
                <w:sz w:val="18"/>
                <w:szCs w:val="18"/>
              </w:rPr>
              <w:noBreakHyphen/>
            </w:r>
          </w:p>
        </w:tc>
        <w:tc>
          <w:tcPr>
            <w:tcW w:w="507" w:type="pct"/>
            <w:vAlign w:val="bottom"/>
          </w:tcPr>
          <w:p w:rsidR="00304D50" w:rsidRPr="005C018B" w:rsidRDefault="00304D50" w:rsidP="008B5474">
            <w:pPr>
              <w:pStyle w:val="TableBodyText"/>
              <w:rPr>
                <w:b/>
                <w:sz w:val="18"/>
                <w:szCs w:val="18"/>
              </w:rPr>
            </w:pPr>
            <w:r w:rsidRPr="005C018B">
              <w:rPr>
                <w:b/>
                <w:sz w:val="18"/>
                <w:szCs w:val="18"/>
              </w:rPr>
              <w:t>&lt;0.1</w:t>
            </w:r>
          </w:p>
        </w:tc>
        <w:tc>
          <w:tcPr>
            <w:tcW w:w="507" w:type="pct"/>
            <w:shd w:val="clear" w:color="auto" w:fill="auto"/>
            <w:vAlign w:val="bottom"/>
          </w:tcPr>
          <w:p w:rsidR="00304D50" w:rsidRPr="005C018B" w:rsidRDefault="00304D50" w:rsidP="008B5474">
            <w:pPr>
              <w:pStyle w:val="TableBodyText"/>
              <w:rPr>
                <w:b/>
                <w:sz w:val="18"/>
                <w:szCs w:val="18"/>
              </w:rPr>
            </w:pPr>
            <w:r w:rsidRPr="005C018B">
              <w:rPr>
                <w:b/>
                <w:sz w:val="18"/>
                <w:szCs w:val="18"/>
              </w:rPr>
              <w:t>0.3</w:t>
            </w:r>
          </w:p>
        </w:tc>
        <w:tc>
          <w:tcPr>
            <w:tcW w:w="506" w:type="pct"/>
            <w:shd w:val="clear" w:color="auto" w:fill="auto"/>
            <w:vAlign w:val="bottom"/>
          </w:tcPr>
          <w:p w:rsidR="00304D50" w:rsidRPr="005C018B" w:rsidRDefault="00304D50" w:rsidP="008B5474">
            <w:pPr>
              <w:pStyle w:val="TableBodyText"/>
              <w:rPr>
                <w:b/>
                <w:sz w:val="18"/>
                <w:szCs w:val="18"/>
              </w:rPr>
            </w:pPr>
            <w:r w:rsidRPr="005C018B">
              <w:rPr>
                <w:b/>
                <w:sz w:val="18"/>
                <w:szCs w:val="18"/>
              </w:rPr>
              <w:t>1.4</w:t>
            </w:r>
          </w:p>
        </w:tc>
      </w:tr>
      <w:tr w:rsidR="00304D50" w:rsidRPr="00EB51A6" w:rsidTr="008B5474">
        <w:tc>
          <w:tcPr>
            <w:tcW w:w="1960" w:type="pct"/>
            <w:vAlign w:val="bottom"/>
          </w:tcPr>
          <w:p w:rsidR="00304D50" w:rsidRPr="008770BD" w:rsidRDefault="00304D50" w:rsidP="008B5474">
            <w:pPr>
              <w:pStyle w:val="TableBodyText"/>
              <w:jc w:val="left"/>
              <w:rPr>
                <w:sz w:val="18"/>
                <w:szCs w:val="18"/>
              </w:rPr>
            </w:pPr>
            <w:r w:rsidRPr="008770BD">
              <w:rPr>
                <w:sz w:val="18"/>
                <w:szCs w:val="18"/>
              </w:rPr>
              <w:t>Horticulture and fruit growing</w:t>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shd w:val="clear" w:color="auto" w:fill="auto"/>
            <w:vAlign w:val="bottom"/>
          </w:tcPr>
          <w:p w:rsidR="00304D50" w:rsidRPr="005C018B" w:rsidRDefault="00304D50" w:rsidP="008B5474">
            <w:pPr>
              <w:pStyle w:val="TableBodyText"/>
              <w:rPr>
                <w:sz w:val="18"/>
                <w:szCs w:val="18"/>
              </w:rPr>
            </w:pPr>
            <w:r w:rsidRPr="005C018B">
              <w:rPr>
                <w:sz w:val="18"/>
                <w:szCs w:val="18"/>
              </w:rPr>
              <w:t>0.2</w:t>
            </w:r>
          </w:p>
        </w:tc>
        <w:tc>
          <w:tcPr>
            <w:tcW w:w="506" w:type="pct"/>
            <w:shd w:val="clear" w:color="auto" w:fill="auto"/>
            <w:vAlign w:val="bottom"/>
          </w:tcPr>
          <w:p w:rsidR="00304D50" w:rsidRPr="005C018B" w:rsidRDefault="00304D50" w:rsidP="008B5474">
            <w:pPr>
              <w:pStyle w:val="TableBodyText"/>
              <w:rPr>
                <w:sz w:val="18"/>
                <w:szCs w:val="18"/>
              </w:rPr>
            </w:pPr>
            <w:r w:rsidRPr="005C018B">
              <w:rPr>
                <w:sz w:val="18"/>
                <w:szCs w:val="18"/>
              </w:rPr>
              <w:t>0.3</w:t>
            </w:r>
          </w:p>
        </w:tc>
      </w:tr>
      <w:tr w:rsidR="00304D50" w:rsidRPr="00EB51A6" w:rsidTr="008B5474">
        <w:tc>
          <w:tcPr>
            <w:tcW w:w="1960" w:type="pct"/>
            <w:vAlign w:val="bottom"/>
          </w:tcPr>
          <w:p w:rsidR="00304D50" w:rsidRPr="008770BD" w:rsidRDefault="00304D50" w:rsidP="008B5474">
            <w:pPr>
              <w:pStyle w:val="TableBodyText"/>
              <w:jc w:val="left"/>
              <w:rPr>
                <w:sz w:val="18"/>
                <w:szCs w:val="18"/>
              </w:rPr>
            </w:pPr>
            <w:r w:rsidRPr="008770BD">
              <w:rPr>
                <w:sz w:val="18"/>
                <w:szCs w:val="18"/>
              </w:rPr>
              <w:t>Aquaculture and fishing</w:t>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shd w:val="clear" w:color="auto" w:fill="auto"/>
            <w:vAlign w:val="bottom"/>
          </w:tcPr>
          <w:p w:rsidR="00304D50" w:rsidRPr="005C018B" w:rsidRDefault="00304D50" w:rsidP="008B5474">
            <w:pPr>
              <w:pStyle w:val="TableBodyText"/>
              <w:rPr>
                <w:sz w:val="18"/>
                <w:szCs w:val="18"/>
              </w:rPr>
            </w:pPr>
            <w:r w:rsidRPr="005C018B">
              <w:rPr>
                <w:sz w:val="18"/>
                <w:szCs w:val="18"/>
              </w:rPr>
              <w:t>&lt;0.1</w:t>
            </w:r>
          </w:p>
        </w:tc>
        <w:tc>
          <w:tcPr>
            <w:tcW w:w="506" w:type="pct"/>
            <w:shd w:val="clear" w:color="auto" w:fill="auto"/>
            <w:vAlign w:val="bottom"/>
          </w:tcPr>
          <w:p w:rsidR="00304D50" w:rsidRPr="005C018B" w:rsidRDefault="00304D50" w:rsidP="008B5474">
            <w:pPr>
              <w:pStyle w:val="TableBodyText"/>
              <w:rPr>
                <w:sz w:val="18"/>
                <w:szCs w:val="18"/>
              </w:rPr>
            </w:pPr>
            <w:r w:rsidRPr="005C018B">
              <w:rPr>
                <w:sz w:val="18"/>
                <w:szCs w:val="18"/>
              </w:rPr>
              <w:t>1.1</w:t>
            </w:r>
          </w:p>
        </w:tc>
      </w:tr>
      <w:tr w:rsidR="00304D50" w:rsidRPr="00EB51A6" w:rsidTr="008B5474">
        <w:tc>
          <w:tcPr>
            <w:tcW w:w="1960" w:type="pct"/>
            <w:vAlign w:val="bottom"/>
          </w:tcPr>
          <w:p w:rsidR="00304D50" w:rsidRPr="008770BD" w:rsidRDefault="00304D50" w:rsidP="008B5474">
            <w:pPr>
              <w:pStyle w:val="TableBodyText"/>
              <w:jc w:val="left"/>
              <w:rPr>
                <w:sz w:val="18"/>
                <w:szCs w:val="18"/>
              </w:rPr>
            </w:pPr>
            <w:r w:rsidRPr="008770BD">
              <w:rPr>
                <w:sz w:val="18"/>
                <w:szCs w:val="18"/>
              </w:rPr>
              <w:t>Primary production support services</w:t>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shd w:val="clear" w:color="auto" w:fill="auto"/>
            <w:vAlign w:val="bottom"/>
          </w:tcPr>
          <w:p w:rsidR="00304D50" w:rsidRPr="005C018B" w:rsidRDefault="00304D50" w:rsidP="008B5474">
            <w:pPr>
              <w:pStyle w:val="TableBodyText"/>
              <w:rPr>
                <w:sz w:val="18"/>
                <w:szCs w:val="18"/>
              </w:rPr>
            </w:pPr>
            <w:r w:rsidRPr="005C018B">
              <w:rPr>
                <w:sz w:val="18"/>
                <w:szCs w:val="18"/>
              </w:rPr>
              <w:t>&lt;0.1</w:t>
            </w:r>
          </w:p>
        </w:tc>
        <w:tc>
          <w:tcPr>
            <w:tcW w:w="506" w:type="pct"/>
            <w:shd w:val="clear" w:color="auto" w:fill="auto"/>
            <w:vAlign w:val="bottom"/>
          </w:tcPr>
          <w:p w:rsidR="00304D50" w:rsidRPr="005C018B" w:rsidRDefault="00304D50" w:rsidP="008B5474">
            <w:pPr>
              <w:pStyle w:val="TableBodyText"/>
              <w:rPr>
                <w:sz w:val="18"/>
                <w:szCs w:val="18"/>
              </w:rPr>
            </w:pPr>
            <w:r w:rsidRPr="005C018B">
              <w:rPr>
                <w:sz w:val="18"/>
                <w:szCs w:val="18"/>
              </w:rPr>
              <w:t>&lt;0.1</w:t>
            </w:r>
          </w:p>
        </w:tc>
      </w:tr>
      <w:tr w:rsidR="00304D50" w:rsidRPr="00EB51A6" w:rsidTr="008B5474">
        <w:tc>
          <w:tcPr>
            <w:tcW w:w="1960" w:type="pct"/>
            <w:vAlign w:val="bottom"/>
          </w:tcPr>
          <w:p w:rsidR="00304D50" w:rsidRPr="008770BD" w:rsidRDefault="00304D50" w:rsidP="008B5474">
            <w:pPr>
              <w:pStyle w:val="TableBodyText"/>
              <w:jc w:val="left"/>
              <w:rPr>
                <w:b/>
                <w:sz w:val="18"/>
                <w:szCs w:val="18"/>
              </w:rPr>
            </w:pPr>
            <w:r w:rsidRPr="008770BD">
              <w:rPr>
                <w:b/>
                <w:sz w:val="18"/>
                <w:szCs w:val="18"/>
              </w:rPr>
              <w:t>Mining</w:t>
            </w:r>
          </w:p>
        </w:tc>
        <w:tc>
          <w:tcPr>
            <w:tcW w:w="507" w:type="pct"/>
            <w:vAlign w:val="bottom"/>
          </w:tcPr>
          <w:p w:rsidR="00304D50" w:rsidRPr="005C018B" w:rsidRDefault="00304D50" w:rsidP="008B5474">
            <w:pPr>
              <w:pStyle w:val="TableBodyText"/>
              <w:rPr>
                <w:b/>
                <w:sz w:val="18"/>
                <w:szCs w:val="18"/>
              </w:rPr>
            </w:pPr>
            <w:r w:rsidRPr="005C018B">
              <w:rPr>
                <w:b/>
                <w:sz w:val="18"/>
                <w:szCs w:val="18"/>
              </w:rPr>
              <w:noBreakHyphen/>
            </w:r>
          </w:p>
        </w:tc>
        <w:tc>
          <w:tcPr>
            <w:tcW w:w="507" w:type="pct"/>
            <w:vAlign w:val="bottom"/>
          </w:tcPr>
          <w:p w:rsidR="00304D50" w:rsidRPr="005C018B" w:rsidRDefault="00304D50" w:rsidP="008B5474">
            <w:pPr>
              <w:pStyle w:val="TableBodyText"/>
              <w:rPr>
                <w:b/>
                <w:sz w:val="18"/>
                <w:szCs w:val="18"/>
              </w:rPr>
            </w:pPr>
            <w:r w:rsidRPr="005C018B">
              <w:rPr>
                <w:b/>
                <w:sz w:val="18"/>
                <w:szCs w:val="18"/>
              </w:rPr>
              <w:noBreakHyphen/>
            </w:r>
          </w:p>
        </w:tc>
        <w:tc>
          <w:tcPr>
            <w:tcW w:w="507" w:type="pct"/>
            <w:vAlign w:val="bottom"/>
          </w:tcPr>
          <w:p w:rsidR="00304D50" w:rsidRPr="005C018B" w:rsidRDefault="00304D50" w:rsidP="008B5474">
            <w:pPr>
              <w:pStyle w:val="TableBodyText"/>
              <w:rPr>
                <w:b/>
                <w:sz w:val="18"/>
                <w:szCs w:val="18"/>
              </w:rPr>
            </w:pPr>
            <w:r w:rsidRPr="005C018B">
              <w:rPr>
                <w:b/>
                <w:sz w:val="18"/>
                <w:szCs w:val="18"/>
              </w:rPr>
              <w:noBreakHyphen/>
            </w:r>
          </w:p>
        </w:tc>
        <w:tc>
          <w:tcPr>
            <w:tcW w:w="507" w:type="pct"/>
            <w:vAlign w:val="bottom"/>
          </w:tcPr>
          <w:p w:rsidR="00304D50" w:rsidRPr="005C018B" w:rsidRDefault="00304D50" w:rsidP="008B5474">
            <w:pPr>
              <w:pStyle w:val="TableBodyText"/>
              <w:rPr>
                <w:b/>
                <w:sz w:val="18"/>
                <w:szCs w:val="18"/>
              </w:rPr>
            </w:pPr>
            <w:r w:rsidRPr="005C018B">
              <w:rPr>
                <w:b/>
                <w:sz w:val="18"/>
                <w:szCs w:val="18"/>
              </w:rPr>
              <w:noBreakHyphen/>
            </w:r>
          </w:p>
        </w:tc>
        <w:tc>
          <w:tcPr>
            <w:tcW w:w="507" w:type="pct"/>
            <w:shd w:val="clear" w:color="auto" w:fill="auto"/>
            <w:vAlign w:val="bottom"/>
          </w:tcPr>
          <w:p w:rsidR="00304D50" w:rsidRPr="005C018B" w:rsidRDefault="00304D50" w:rsidP="008B5474">
            <w:pPr>
              <w:pStyle w:val="TableBodyText"/>
              <w:rPr>
                <w:b/>
                <w:sz w:val="18"/>
                <w:szCs w:val="18"/>
              </w:rPr>
            </w:pPr>
            <w:r w:rsidRPr="005C018B">
              <w:rPr>
                <w:b/>
                <w:sz w:val="18"/>
                <w:szCs w:val="18"/>
              </w:rPr>
              <w:t>&lt;0.1</w:t>
            </w:r>
          </w:p>
        </w:tc>
        <w:tc>
          <w:tcPr>
            <w:tcW w:w="506" w:type="pct"/>
            <w:shd w:val="clear" w:color="auto" w:fill="auto"/>
            <w:vAlign w:val="bottom"/>
          </w:tcPr>
          <w:p w:rsidR="00304D50" w:rsidRPr="005C018B" w:rsidRDefault="00304D50" w:rsidP="008B5474">
            <w:pPr>
              <w:pStyle w:val="TableBodyText"/>
              <w:rPr>
                <w:b/>
                <w:sz w:val="18"/>
                <w:szCs w:val="18"/>
              </w:rPr>
            </w:pPr>
            <w:r w:rsidRPr="005C018B">
              <w:rPr>
                <w:b/>
                <w:sz w:val="18"/>
                <w:szCs w:val="18"/>
              </w:rPr>
              <w:t>0.9</w:t>
            </w:r>
          </w:p>
        </w:tc>
      </w:tr>
      <w:tr w:rsidR="00304D50" w:rsidRPr="00EB51A6" w:rsidTr="008B5474">
        <w:tc>
          <w:tcPr>
            <w:tcW w:w="1960" w:type="pct"/>
            <w:vAlign w:val="bottom"/>
          </w:tcPr>
          <w:p w:rsidR="00304D50" w:rsidRPr="008770BD" w:rsidRDefault="00304D50" w:rsidP="008B5474">
            <w:pPr>
              <w:pStyle w:val="TableBodyText"/>
              <w:jc w:val="left"/>
              <w:rPr>
                <w:b/>
                <w:sz w:val="18"/>
                <w:szCs w:val="18"/>
              </w:rPr>
            </w:pPr>
            <w:r w:rsidRPr="008770BD">
              <w:rPr>
                <w:b/>
                <w:sz w:val="18"/>
                <w:szCs w:val="18"/>
              </w:rPr>
              <w:t>Manufacturing</w:t>
            </w:r>
          </w:p>
        </w:tc>
        <w:tc>
          <w:tcPr>
            <w:tcW w:w="507" w:type="pct"/>
            <w:vAlign w:val="bottom"/>
          </w:tcPr>
          <w:p w:rsidR="00304D50" w:rsidRPr="005C018B" w:rsidRDefault="00304D50" w:rsidP="008B5474">
            <w:pPr>
              <w:pStyle w:val="TableBodyText"/>
              <w:rPr>
                <w:b/>
                <w:sz w:val="18"/>
                <w:szCs w:val="18"/>
              </w:rPr>
            </w:pPr>
            <w:r w:rsidRPr="005C018B">
              <w:rPr>
                <w:b/>
                <w:sz w:val="18"/>
                <w:szCs w:val="18"/>
              </w:rPr>
              <w:noBreakHyphen/>
            </w:r>
          </w:p>
        </w:tc>
        <w:tc>
          <w:tcPr>
            <w:tcW w:w="507" w:type="pct"/>
            <w:vAlign w:val="bottom"/>
          </w:tcPr>
          <w:p w:rsidR="00304D50" w:rsidRPr="005C018B" w:rsidRDefault="00304D50" w:rsidP="008B5474">
            <w:pPr>
              <w:pStyle w:val="TableBodyText"/>
              <w:rPr>
                <w:b/>
                <w:sz w:val="18"/>
                <w:szCs w:val="18"/>
              </w:rPr>
            </w:pPr>
            <w:r w:rsidRPr="005C018B">
              <w:rPr>
                <w:b/>
                <w:sz w:val="18"/>
                <w:szCs w:val="18"/>
              </w:rPr>
              <w:noBreakHyphen/>
            </w:r>
          </w:p>
        </w:tc>
        <w:tc>
          <w:tcPr>
            <w:tcW w:w="507" w:type="pct"/>
            <w:vAlign w:val="bottom"/>
          </w:tcPr>
          <w:p w:rsidR="00304D50" w:rsidRPr="005C018B" w:rsidRDefault="00304D50" w:rsidP="008B5474">
            <w:pPr>
              <w:pStyle w:val="TableBodyText"/>
              <w:rPr>
                <w:b/>
                <w:sz w:val="18"/>
                <w:szCs w:val="18"/>
              </w:rPr>
            </w:pPr>
            <w:r w:rsidRPr="005C018B">
              <w:rPr>
                <w:b/>
                <w:sz w:val="18"/>
                <w:szCs w:val="18"/>
              </w:rPr>
              <w:noBreakHyphen/>
            </w:r>
          </w:p>
        </w:tc>
        <w:tc>
          <w:tcPr>
            <w:tcW w:w="507" w:type="pct"/>
            <w:vAlign w:val="bottom"/>
          </w:tcPr>
          <w:p w:rsidR="00304D50" w:rsidRPr="005C018B" w:rsidRDefault="00304D50" w:rsidP="008B5474">
            <w:pPr>
              <w:pStyle w:val="TableBodyText"/>
              <w:rPr>
                <w:b/>
                <w:sz w:val="18"/>
                <w:szCs w:val="18"/>
              </w:rPr>
            </w:pPr>
            <w:r w:rsidRPr="005C018B">
              <w:rPr>
                <w:b/>
                <w:sz w:val="18"/>
                <w:szCs w:val="18"/>
              </w:rPr>
              <w:t>0.8</w:t>
            </w:r>
          </w:p>
        </w:tc>
        <w:tc>
          <w:tcPr>
            <w:tcW w:w="507" w:type="pct"/>
            <w:shd w:val="clear" w:color="auto" w:fill="auto"/>
            <w:vAlign w:val="bottom"/>
          </w:tcPr>
          <w:p w:rsidR="00304D50" w:rsidRPr="005C018B" w:rsidRDefault="00304D50" w:rsidP="008B5474">
            <w:pPr>
              <w:pStyle w:val="TableBodyText"/>
              <w:rPr>
                <w:b/>
                <w:sz w:val="18"/>
                <w:szCs w:val="18"/>
              </w:rPr>
            </w:pPr>
            <w:r w:rsidRPr="005C018B">
              <w:rPr>
                <w:b/>
                <w:sz w:val="18"/>
                <w:szCs w:val="18"/>
              </w:rPr>
              <w:t>8.3</w:t>
            </w:r>
          </w:p>
        </w:tc>
        <w:tc>
          <w:tcPr>
            <w:tcW w:w="506" w:type="pct"/>
            <w:shd w:val="clear" w:color="auto" w:fill="auto"/>
            <w:vAlign w:val="bottom"/>
          </w:tcPr>
          <w:p w:rsidR="00304D50" w:rsidRPr="005C018B" w:rsidRDefault="00304D50" w:rsidP="008B5474">
            <w:pPr>
              <w:pStyle w:val="TableBodyText"/>
              <w:rPr>
                <w:b/>
                <w:sz w:val="18"/>
                <w:szCs w:val="18"/>
              </w:rPr>
            </w:pPr>
            <w:r w:rsidRPr="005C018B">
              <w:rPr>
                <w:b/>
                <w:sz w:val="18"/>
                <w:szCs w:val="18"/>
              </w:rPr>
              <w:t>19.7</w:t>
            </w:r>
          </w:p>
        </w:tc>
      </w:tr>
      <w:tr w:rsidR="00304D50" w:rsidRPr="00EB51A6" w:rsidTr="008B5474">
        <w:tc>
          <w:tcPr>
            <w:tcW w:w="1960" w:type="pct"/>
            <w:vAlign w:val="bottom"/>
          </w:tcPr>
          <w:p w:rsidR="00304D50" w:rsidRPr="008770BD" w:rsidRDefault="00304D50" w:rsidP="008B5474">
            <w:pPr>
              <w:pStyle w:val="TableBodyText"/>
              <w:jc w:val="left"/>
              <w:rPr>
                <w:sz w:val="18"/>
                <w:szCs w:val="18"/>
              </w:rPr>
            </w:pPr>
            <w:r w:rsidRPr="008770BD">
              <w:rPr>
                <w:sz w:val="18"/>
                <w:szCs w:val="18"/>
              </w:rPr>
              <w:t>Food, beverages and tobacco</w:t>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t>&lt;0.1</w:t>
            </w:r>
          </w:p>
        </w:tc>
        <w:tc>
          <w:tcPr>
            <w:tcW w:w="507" w:type="pct"/>
            <w:shd w:val="clear" w:color="auto" w:fill="auto"/>
            <w:vAlign w:val="bottom"/>
          </w:tcPr>
          <w:p w:rsidR="00304D50" w:rsidRPr="005C018B" w:rsidRDefault="00304D50" w:rsidP="008B5474">
            <w:pPr>
              <w:pStyle w:val="TableBodyText"/>
              <w:rPr>
                <w:sz w:val="18"/>
                <w:szCs w:val="18"/>
              </w:rPr>
            </w:pPr>
            <w:r w:rsidRPr="005C018B">
              <w:rPr>
                <w:sz w:val="18"/>
                <w:szCs w:val="18"/>
              </w:rPr>
              <w:t>0.8</w:t>
            </w:r>
          </w:p>
        </w:tc>
        <w:tc>
          <w:tcPr>
            <w:tcW w:w="506" w:type="pct"/>
            <w:shd w:val="clear" w:color="auto" w:fill="auto"/>
            <w:vAlign w:val="bottom"/>
          </w:tcPr>
          <w:p w:rsidR="00304D50" w:rsidRPr="005C018B" w:rsidRDefault="00304D50" w:rsidP="008B5474">
            <w:pPr>
              <w:pStyle w:val="TableBodyText"/>
              <w:rPr>
                <w:sz w:val="18"/>
                <w:szCs w:val="18"/>
              </w:rPr>
            </w:pPr>
            <w:r w:rsidRPr="005C018B">
              <w:rPr>
                <w:sz w:val="18"/>
                <w:szCs w:val="18"/>
              </w:rPr>
              <w:t>0.4</w:t>
            </w:r>
          </w:p>
        </w:tc>
      </w:tr>
      <w:tr w:rsidR="00304D50" w:rsidRPr="00EB51A6" w:rsidTr="008B5474">
        <w:tc>
          <w:tcPr>
            <w:tcW w:w="1960" w:type="pct"/>
            <w:vAlign w:val="bottom"/>
          </w:tcPr>
          <w:p w:rsidR="00304D50" w:rsidRPr="008770BD" w:rsidRDefault="00304D50" w:rsidP="008B5474">
            <w:pPr>
              <w:pStyle w:val="TableBodyText"/>
              <w:jc w:val="left"/>
              <w:rPr>
                <w:sz w:val="18"/>
                <w:szCs w:val="18"/>
              </w:rPr>
            </w:pPr>
            <w:r w:rsidRPr="008770BD">
              <w:rPr>
                <w:sz w:val="18"/>
                <w:szCs w:val="18"/>
              </w:rPr>
              <w:t>Textile, leather, clothing and footwear</w:t>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shd w:val="clear" w:color="auto" w:fill="auto"/>
            <w:vAlign w:val="bottom"/>
          </w:tcPr>
          <w:p w:rsidR="00304D50" w:rsidRPr="005C018B" w:rsidRDefault="00304D50" w:rsidP="008B5474">
            <w:pPr>
              <w:pStyle w:val="TableBodyText"/>
              <w:rPr>
                <w:sz w:val="18"/>
                <w:szCs w:val="18"/>
              </w:rPr>
            </w:pPr>
            <w:r w:rsidRPr="005C018B">
              <w:rPr>
                <w:sz w:val="18"/>
                <w:szCs w:val="18"/>
              </w:rPr>
              <w:noBreakHyphen/>
            </w:r>
          </w:p>
        </w:tc>
        <w:tc>
          <w:tcPr>
            <w:tcW w:w="506" w:type="pct"/>
            <w:shd w:val="clear" w:color="auto" w:fill="auto"/>
            <w:vAlign w:val="bottom"/>
          </w:tcPr>
          <w:p w:rsidR="00304D50" w:rsidRPr="005C018B" w:rsidRDefault="00304D50" w:rsidP="008B5474">
            <w:pPr>
              <w:pStyle w:val="TableBodyText"/>
              <w:rPr>
                <w:sz w:val="18"/>
                <w:szCs w:val="18"/>
              </w:rPr>
            </w:pPr>
            <w:r w:rsidRPr="005C018B">
              <w:rPr>
                <w:sz w:val="18"/>
                <w:szCs w:val="18"/>
              </w:rPr>
              <w:t>0.1</w:t>
            </w:r>
          </w:p>
        </w:tc>
      </w:tr>
      <w:tr w:rsidR="00304D50" w:rsidRPr="00EB51A6" w:rsidTr="008B5474">
        <w:tc>
          <w:tcPr>
            <w:tcW w:w="1960" w:type="pct"/>
            <w:vAlign w:val="bottom"/>
          </w:tcPr>
          <w:p w:rsidR="00304D50" w:rsidRPr="008770BD" w:rsidRDefault="00304D50" w:rsidP="008B5474">
            <w:pPr>
              <w:pStyle w:val="TableBodyText"/>
              <w:jc w:val="left"/>
              <w:rPr>
                <w:sz w:val="18"/>
                <w:szCs w:val="18"/>
              </w:rPr>
            </w:pPr>
            <w:r w:rsidRPr="008770BD">
              <w:rPr>
                <w:sz w:val="18"/>
                <w:szCs w:val="18"/>
              </w:rPr>
              <w:t>Petroleum, coal, chemical and rubber products</w:t>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t>0.5</w:t>
            </w:r>
          </w:p>
        </w:tc>
        <w:tc>
          <w:tcPr>
            <w:tcW w:w="507" w:type="pct"/>
            <w:shd w:val="clear" w:color="auto" w:fill="auto"/>
            <w:vAlign w:val="bottom"/>
          </w:tcPr>
          <w:p w:rsidR="00304D50" w:rsidRPr="005C018B" w:rsidRDefault="00304D50" w:rsidP="008B5474">
            <w:pPr>
              <w:pStyle w:val="TableBodyText"/>
              <w:rPr>
                <w:sz w:val="18"/>
                <w:szCs w:val="18"/>
              </w:rPr>
            </w:pPr>
            <w:r w:rsidRPr="005C018B">
              <w:rPr>
                <w:sz w:val="18"/>
                <w:szCs w:val="18"/>
              </w:rPr>
              <w:t>2.5</w:t>
            </w:r>
          </w:p>
        </w:tc>
        <w:tc>
          <w:tcPr>
            <w:tcW w:w="506" w:type="pct"/>
            <w:shd w:val="clear" w:color="auto" w:fill="auto"/>
            <w:vAlign w:val="bottom"/>
          </w:tcPr>
          <w:p w:rsidR="00304D50" w:rsidRPr="005C018B" w:rsidRDefault="00304D50" w:rsidP="008B5474">
            <w:pPr>
              <w:pStyle w:val="TableBodyText"/>
              <w:rPr>
                <w:sz w:val="18"/>
                <w:szCs w:val="18"/>
              </w:rPr>
            </w:pPr>
            <w:r w:rsidRPr="005C018B">
              <w:rPr>
                <w:sz w:val="18"/>
                <w:szCs w:val="18"/>
              </w:rPr>
              <w:t>2.5</w:t>
            </w:r>
          </w:p>
        </w:tc>
      </w:tr>
      <w:tr w:rsidR="00304D50" w:rsidRPr="00EB51A6" w:rsidTr="008B5474">
        <w:tc>
          <w:tcPr>
            <w:tcW w:w="1960" w:type="pct"/>
            <w:vAlign w:val="bottom"/>
          </w:tcPr>
          <w:p w:rsidR="00304D50" w:rsidRPr="008770BD" w:rsidRDefault="00304D50" w:rsidP="000A3642">
            <w:pPr>
              <w:pStyle w:val="TableBodyText"/>
              <w:jc w:val="left"/>
              <w:rPr>
                <w:sz w:val="18"/>
                <w:szCs w:val="18"/>
              </w:rPr>
            </w:pPr>
            <w:r w:rsidRPr="008770BD">
              <w:rPr>
                <w:sz w:val="18"/>
                <w:szCs w:val="18"/>
              </w:rPr>
              <w:t>Non-</w:t>
            </w:r>
            <w:r w:rsidR="000A3642">
              <w:rPr>
                <w:sz w:val="18"/>
                <w:szCs w:val="18"/>
              </w:rPr>
              <w:t>m</w:t>
            </w:r>
            <w:r w:rsidR="000A3642" w:rsidRPr="008770BD">
              <w:rPr>
                <w:sz w:val="18"/>
                <w:szCs w:val="18"/>
              </w:rPr>
              <w:t xml:space="preserve">etallic </w:t>
            </w:r>
            <w:r w:rsidRPr="008770BD">
              <w:rPr>
                <w:sz w:val="18"/>
                <w:szCs w:val="18"/>
              </w:rPr>
              <w:t>mineral products</w:t>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shd w:val="clear" w:color="auto" w:fill="auto"/>
            <w:vAlign w:val="bottom"/>
          </w:tcPr>
          <w:p w:rsidR="00304D50" w:rsidRPr="005C018B" w:rsidRDefault="00304D50" w:rsidP="008B5474">
            <w:pPr>
              <w:pStyle w:val="TableBodyText"/>
              <w:rPr>
                <w:sz w:val="18"/>
                <w:szCs w:val="18"/>
              </w:rPr>
            </w:pPr>
            <w:r w:rsidRPr="005C018B">
              <w:rPr>
                <w:sz w:val="18"/>
                <w:szCs w:val="18"/>
              </w:rPr>
              <w:t>0.1</w:t>
            </w:r>
          </w:p>
        </w:tc>
        <w:tc>
          <w:tcPr>
            <w:tcW w:w="506" w:type="pct"/>
            <w:shd w:val="clear" w:color="auto" w:fill="auto"/>
            <w:vAlign w:val="bottom"/>
          </w:tcPr>
          <w:p w:rsidR="00304D50" w:rsidRPr="005C018B" w:rsidRDefault="00304D50" w:rsidP="008B5474">
            <w:pPr>
              <w:pStyle w:val="TableBodyText"/>
              <w:rPr>
                <w:sz w:val="18"/>
                <w:szCs w:val="18"/>
              </w:rPr>
            </w:pPr>
            <w:r w:rsidRPr="005C018B">
              <w:rPr>
                <w:sz w:val="18"/>
                <w:szCs w:val="18"/>
              </w:rPr>
              <w:t>0.3</w:t>
            </w:r>
          </w:p>
        </w:tc>
      </w:tr>
      <w:tr w:rsidR="00304D50" w:rsidRPr="00EB51A6" w:rsidTr="008B5474">
        <w:tc>
          <w:tcPr>
            <w:tcW w:w="1960" w:type="pct"/>
            <w:vAlign w:val="bottom"/>
          </w:tcPr>
          <w:p w:rsidR="00304D50" w:rsidRPr="008770BD" w:rsidRDefault="00304D50" w:rsidP="008B5474">
            <w:pPr>
              <w:pStyle w:val="TableBodyText"/>
              <w:jc w:val="left"/>
              <w:rPr>
                <w:sz w:val="18"/>
                <w:szCs w:val="18"/>
              </w:rPr>
            </w:pPr>
            <w:r w:rsidRPr="008770BD">
              <w:rPr>
                <w:sz w:val="18"/>
                <w:szCs w:val="18"/>
              </w:rPr>
              <w:t>Metal and fabricated metal products</w:t>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shd w:val="clear" w:color="auto" w:fill="auto"/>
            <w:vAlign w:val="bottom"/>
          </w:tcPr>
          <w:p w:rsidR="00304D50" w:rsidRPr="005C018B" w:rsidRDefault="00304D50" w:rsidP="008B5474">
            <w:pPr>
              <w:pStyle w:val="TableBodyText"/>
              <w:rPr>
                <w:sz w:val="18"/>
                <w:szCs w:val="18"/>
              </w:rPr>
            </w:pPr>
            <w:r w:rsidRPr="005C018B">
              <w:rPr>
                <w:sz w:val="18"/>
                <w:szCs w:val="18"/>
              </w:rPr>
              <w:t>&lt;0.1</w:t>
            </w:r>
          </w:p>
        </w:tc>
        <w:tc>
          <w:tcPr>
            <w:tcW w:w="506" w:type="pct"/>
            <w:shd w:val="clear" w:color="auto" w:fill="auto"/>
            <w:vAlign w:val="bottom"/>
          </w:tcPr>
          <w:p w:rsidR="00304D50" w:rsidRPr="005C018B" w:rsidRDefault="00304D50" w:rsidP="008B5474">
            <w:pPr>
              <w:pStyle w:val="TableBodyText"/>
              <w:rPr>
                <w:sz w:val="18"/>
                <w:szCs w:val="18"/>
              </w:rPr>
            </w:pPr>
            <w:r w:rsidRPr="005C018B">
              <w:rPr>
                <w:sz w:val="18"/>
                <w:szCs w:val="18"/>
              </w:rPr>
              <w:t>1.1</w:t>
            </w:r>
          </w:p>
        </w:tc>
      </w:tr>
      <w:tr w:rsidR="00304D50" w:rsidRPr="00EB51A6" w:rsidTr="008B5474">
        <w:tc>
          <w:tcPr>
            <w:tcW w:w="1960" w:type="pct"/>
            <w:vAlign w:val="bottom"/>
          </w:tcPr>
          <w:p w:rsidR="00304D50" w:rsidRPr="008770BD" w:rsidRDefault="00304D50" w:rsidP="008B5474">
            <w:pPr>
              <w:pStyle w:val="TableBodyText"/>
              <w:jc w:val="left"/>
              <w:rPr>
                <w:sz w:val="18"/>
                <w:szCs w:val="18"/>
              </w:rPr>
            </w:pPr>
            <w:r w:rsidRPr="008770BD">
              <w:rPr>
                <w:sz w:val="18"/>
                <w:szCs w:val="18"/>
              </w:rPr>
              <w:t>Motor vehicle and parts</w:t>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shd w:val="clear" w:color="auto" w:fill="auto"/>
            <w:vAlign w:val="bottom"/>
          </w:tcPr>
          <w:p w:rsidR="00304D50" w:rsidRPr="005C018B" w:rsidRDefault="00304D50" w:rsidP="008B5474">
            <w:pPr>
              <w:pStyle w:val="TableBodyText"/>
              <w:rPr>
                <w:sz w:val="18"/>
                <w:szCs w:val="18"/>
              </w:rPr>
            </w:pPr>
            <w:r w:rsidRPr="005C018B">
              <w:rPr>
                <w:sz w:val="18"/>
                <w:szCs w:val="18"/>
              </w:rPr>
              <w:t>0.5</w:t>
            </w:r>
          </w:p>
        </w:tc>
        <w:tc>
          <w:tcPr>
            <w:tcW w:w="506" w:type="pct"/>
            <w:shd w:val="clear" w:color="auto" w:fill="auto"/>
            <w:vAlign w:val="bottom"/>
          </w:tcPr>
          <w:p w:rsidR="00304D50" w:rsidRPr="005C018B" w:rsidRDefault="00304D50" w:rsidP="008B5474">
            <w:pPr>
              <w:pStyle w:val="TableBodyText"/>
              <w:rPr>
                <w:sz w:val="18"/>
                <w:szCs w:val="18"/>
              </w:rPr>
            </w:pPr>
            <w:r w:rsidRPr="005C018B">
              <w:rPr>
                <w:sz w:val="18"/>
                <w:szCs w:val="18"/>
              </w:rPr>
              <w:t>1.2</w:t>
            </w:r>
          </w:p>
        </w:tc>
      </w:tr>
      <w:tr w:rsidR="00304D50" w:rsidRPr="00EB51A6" w:rsidTr="008B5474">
        <w:tc>
          <w:tcPr>
            <w:tcW w:w="1960" w:type="pct"/>
            <w:vAlign w:val="bottom"/>
          </w:tcPr>
          <w:p w:rsidR="00304D50" w:rsidRPr="008770BD" w:rsidRDefault="00304D50" w:rsidP="008B5474">
            <w:pPr>
              <w:pStyle w:val="TableBodyText"/>
              <w:jc w:val="left"/>
              <w:rPr>
                <w:sz w:val="18"/>
                <w:szCs w:val="18"/>
              </w:rPr>
            </w:pPr>
            <w:r w:rsidRPr="008770BD">
              <w:rPr>
                <w:sz w:val="18"/>
                <w:szCs w:val="18"/>
              </w:rPr>
              <w:t>Other transport equipment</w:t>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shd w:val="clear" w:color="auto" w:fill="auto"/>
            <w:vAlign w:val="bottom"/>
          </w:tcPr>
          <w:p w:rsidR="00304D50" w:rsidRPr="005C018B" w:rsidRDefault="00304D50" w:rsidP="008B5474">
            <w:pPr>
              <w:pStyle w:val="TableBodyText"/>
              <w:rPr>
                <w:sz w:val="18"/>
                <w:szCs w:val="18"/>
              </w:rPr>
            </w:pPr>
            <w:r w:rsidRPr="005C018B">
              <w:rPr>
                <w:sz w:val="18"/>
                <w:szCs w:val="18"/>
              </w:rPr>
              <w:noBreakHyphen/>
            </w:r>
          </w:p>
        </w:tc>
        <w:tc>
          <w:tcPr>
            <w:tcW w:w="506" w:type="pct"/>
            <w:shd w:val="clear" w:color="auto" w:fill="auto"/>
            <w:vAlign w:val="bottom"/>
          </w:tcPr>
          <w:p w:rsidR="00304D50" w:rsidRPr="005C018B" w:rsidRDefault="00304D50" w:rsidP="008B5474">
            <w:pPr>
              <w:pStyle w:val="TableBodyText"/>
              <w:rPr>
                <w:sz w:val="18"/>
                <w:szCs w:val="18"/>
              </w:rPr>
            </w:pPr>
            <w:r w:rsidRPr="005C018B">
              <w:rPr>
                <w:sz w:val="18"/>
                <w:szCs w:val="18"/>
              </w:rPr>
              <w:t>0.6</w:t>
            </w:r>
          </w:p>
        </w:tc>
      </w:tr>
      <w:tr w:rsidR="00304D50" w:rsidRPr="00EB51A6" w:rsidTr="008B5474">
        <w:tc>
          <w:tcPr>
            <w:tcW w:w="1960" w:type="pct"/>
            <w:vAlign w:val="bottom"/>
          </w:tcPr>
          <w:p w:rsidR="00304D50" w:rsidRPr="008770BD" w:rsidRDefault="00304D50" w:rsidP="008B5474">
            <w:pPr>
              <w:pStyle w:val="TableBodyText"/>
              <w:jc w:val="left"/>
              <w:rPr>
                <w:sz w:val="18"/>
                <w:szCs w:val="18"/>
              </w:rPr>
            </w:pPr>
            <w:r w:rsidRPr="008770BD">
              <w:rPr>
                <w:sz w:val="18"/>
                <w:szCs w:val="18"/>
              </w:rPr>
              <w:t>Machinery and equipment manufacturing</w:t>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t>0.1</w:t>
            </w:r>
          </w:p>
        </w:tc>
        <w:tc>
          <w:tcPr>
            <w:tcW w:w="507" w:type="pct"/>
            <w:shd w:val="clear" w:color="auto" w:fill="auto"/>
            <w:vAlign w:val="bottom"/>
          </w:tcPr>
          <w:p w:rsidR="00304D50" w:rsidRPr="005C018B" w:rsidRDefault="00304D50" w:rsidP="008B5474">
            <w:pPr>
              <w:pStyle w:val="TableBodyText"/>
              <w:rPr>
                <w:sz w:val="18"/>
                <w:szCs w:val="18"/>
              </w:rPr>
            </w:pPr>
            <w:r w:rsidRPr="005C018B">
              <w:rPr>
                <w:sz w:val="18"/>
                <w:szCs w:val="18"/>
              </w:rPr>
              <w:t>4.1</w:t>
            </w:r>
          </w:p>
        </w:tc>
        <w:tc>
          <w:tcPr>
            <w:tcW w:w="506" w:type="pct"/>
            <w:shd w:val="clear" w:color="auto" w:fill="auto"/>
            <w:vAlign w:val="bottom"/>
          </w:tcPr>
          <w:p w:rsidR="00304D50" w:rsidRPr="005C018B" w:rsidRDefault="00304D50" w:rsidP="008B5474">
            <w:pPr>
              <w:pStyle w:val="TableBodyText"/>
              <w:rPr>
                <w:sz w:val="18"/>
                <w:szCs w:val="18"/>
              </w:rPr>
            </w:pPr>
            <w:r w:rsidRPr="005C018B">
              <w:rPr>
                <w:sz w:val="18"/>
                <w:szCs w:val="18"/>
              </w:rPr>
              <w:t>11.4</w:t>
            </w:r>
          </w:p>
        </w:tc>
      </w:tr>
      <w:tr w:rsidR="00304D50" w:rsidRPr="00EB51A6" w:rsidTr="008B5474">
        <w:tc>
          <w:tcPr>
            <w:tcW w:w="1960" w:type="pct"/>
            <w:vAlign w:val="bottom"/>
          </w:tcPr>
          <w:p w:rsidR="00304D50" w:rsidRPr="008770BD" w:rsidRDefault="00304D50" w:rsidP="008B5474">
            <w:pPr>
              <w:pStyle w:val="TableBodyText"/>
              <w:jc w:val="left"/>
              <w:rPr>
                <w:sz w:val="18"/>
                <w:szCs w:val="18"/>
              </w:rPr>
            </w:pPr>
            <w:r w:rsidRPr="008770BD">
              <w:rPr>
                <w:sz w:val="18"/>
                <w:szCs w:val="18"/>
              </w:rPr>
              <w:t>Furniture and other manufacturing</w:t>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t>&lt;0.1</w:t>
            </w:r>
          </w:p>
        </w:tc>
        <w:tc>
          <w:tcPr>
            <w:tcW w:w="507" w:type="pct"/>
            <w:shd w:val="clear" w:color="auto" w:fill="auto"/>
            <w:vAlign w:val="bottom"/>
          </w:tcPr>
          <w:p w:rsidR="00304D50" w:rsidRPr="005C018B" w:rsidRDefault="00304D50" w:rsidP="008B5474">
            <w:pPr>
              <w:pStyle w:val="TableBodyText"/>
              <w:rPr>
                <w:sz w:val="18"/>
                <w:szCs w:val="18"/>
              </w:rPr>
            </w:pPr>
            <w:r w:rsidRPr="005C018B">
              <w:rPr>
                <w:sz w:val="18"/>
                <w:szCs w:val="18"/>
              </w:rPr>
              <w:t>0.3</w:t>
            </w:r>
          </w:p>
        </w:tc>
        <w:tc>
          <w:tcPr>
            <w:tcW w:w="506" w:type="pct"/>
            <w:shd w:val="clear" w:color="auto" w:fill="auto"/>
            <w:vAlign w:val="bottom"/>
          </w:tcPr>
          <w:p w:rsidR="00304D50" w:rsidRPr="005C018B" w:rsidRDefault="00304D50" w:rsidP="008B5474">
            <w:pPr>
              <w:pStyle w:val="TableBodyText"/>
              <w:rPr>
                <w:sz w:val="18"/>
                <w:szCs w:val="18"/>
              </w:rPr>
            </w:pPr>
            <w:r w:rsidRPr="005C018B">
              <w:rPr>
                <w:sz w:val="18"/>
                <w:szCs w:val="18"/>
              </w:rPr>
              <w:t>2.1</w:t>
            </w:r>
          </w:p>
        </w:tc>
      </w:tr>
      <w:tr w:rsidR="00304D50" w:rsidRPr="00EB51A6" w:rsidTr="008B5474">
        <w:tc>
          <w:tcPr>
            <w:tcW w:w="1960" w:type="pct"/>
            <w:vAlign w:val="bottom"/>
          </w:tcPr>
          <w:p w:rsidR="00304D50" w:rsidRPr="008770BD" w:rsidRDefault="00304D50" w:rsidP="008B5474">
            <w:pPr>
              <w:pStyle w:val="TableBodyText"/>
              <w:jc w:val="left"/>
              <w:rPr>
                <w:b/>
                <w:sz w:val="18"/>
                <w:szCs w:val="18"/>
              </w:rPr>
            </w:pPr>
            <w:r w:rsidRPr="008770BD">
              <w:rPr>
                <w:b/>
                <w:sz w:val="18"/>
                <w:szCs w:val="18"/>
              </w:rPr>
              <w:t>Services</w:t>
            </w:r>
          </w:p>
        </w:tc>
        <w:tc>
          <w:tcPr>
            <w:tcW w:w="507" w:type="pct"/>
            <w:vAlign w:val="bottom"/>
          </w:tcPr>
          <w:p w:rsidR="00304D50" w:rsidRPr="005C018B" w:rsidRDefault="00304D50" w:rsidP="008B5474">
            <w:pPr>
              <w:pStyle w:val="TableBodyText"/>
              <w:rPr>
                <w:b/>
                <w:sz w:val="18"/>
                <w:szCs w:val="18"/>
              </w:rPr>
            </w:pPr>
            <w:r w:rsidRPr="005C018B">
              <w:rPr>
                <w:b/>
                <w:sz w:val="18"/>
                <w:szCs w:val="18"/>
              </w:rPr>
              <w:noBreakHyphen/>
            </w:r>
          </w:p>
        </w:tc>
        <w:tc>
          <w:tcPr>
            <w:tcW w:w="507" w:type="pct"/>
            <w:vAlign w:val="bottom"/>
          </w:tcPr>
          <w:p w:rsidR="00304D50" w:rsidRPr="005C018B" w:rsidRDefault="00304D50" w:rsidP="008B5474">
            <w:pPr>
              <w:pStyle w:val="TableBodyText"/>
              <w:rPr>
                <w:b/>
                <w:sz w:val="18"/>
                <w:szCs w:val="18"/>
              </w:rPr>
            </w:pPr>
            <w:r w:rsidRPr="005C018B">
              <w:rPr>
                <w:b/>
                <w:sz w:val="18"/>
                <w:szCs w:val="18"/>
              </w:rPr>
              <w:noBreakHyphen/>
            </w:r>
          </w:p>
        </w:tc>
        <w:tc>
          <w:tcPr>
            <w:tcW w:w="507" w:type="pct"/>
            <w:vAlign w:val="bottom"/>
          </w:tcPr>
          <w:p w:rsidR="00304D50" w:rsidRPr="005C018B" w:rsidRDefault="00304D50" w:rsidP="008B5474">
            <w:pPr>
              <w:pStyle w:val="TableBodyText"/>
              <w:rPr>
                <w:b/>
                <w:sz w:val="18"/>
                <w:szCs w:val="18"/>
              </w:rPr>
            </w:pPr>
            <w:r w:rsidRPr="005C018B">
              <w:rPr>
                <w:b/>
                <w:sz w:val="18"/>
                <w:szCs w:val="18"/>
              </w:rPr>
              <w:noBreakHyphen/>
            </w:r>
          </w:p>
        </w:tc>
        <w:tc>
          <w:tcPr>
            <w:tcW w:w="507" w:type="pct"/>
            <w:vAlign w:val="bottom"/>
          </w:tcPr>
          <w:p w:rsidR="00304D50" w:rsidRPr="005C018B" w:rsidRDefault="00304D50" w:rsidP="008B5474">
            <w:pPr>
              <w:pStyle w:val="TableBodyText"/>
              <w:rPr>
                <w:b/>
                <w:sz w:val="18"/>
                <w:szCs w:val="18"/>
              </w:rPr>
            </w:pPr>
            <w:r w:rsidRPr="005C018B">
              <w:rPr>
                <w:b/>
                <w:sz w:val="18"/>
                <w:szCs w:val="18"/>
              </w:rPr>
              <w:t>1.5</w:t>
            </w:r>
          </w:p>
        </w:tc>
        <w:tc>
          <w:tcPr>
            <w:tcW w:w="507" w:type="pct"/>
            <w:shd w:val="clear" w:color="auto" w:fill="auto"/>
            <w:vAlign w:val="bottom"/>
          </w:tcPr>
          <w:p w:rsidR="00304D50" w:rsidRPr="005C018B" w:rsidRDefault="00304D50" w:rsidP="008B5474">
            <w:pPr>
              <w:pStyle w:val="TableBodyText"/>
              <w:rPr>
                <w:b/>
                <w:sz w:val="18"/>
                <w:szCs w:val="18"/>
              </w:rPr>
            </w:pPr>
            <w:r w:rsidRPr="005C018B">
              <w:rPr>
                <w:b/>
                <w:sz w:val="18"/>
                <w:szCs w:val="18"/>
              </w:rPr>
              <w:t>14.3</w:t>
            </w:r>
          </w:p>
        </w:tc>
        <w:tc>
          <w:tcPr>
            <w:tcW w:w="506" w:type="pct"/>
            <w:shd w:val="clear" w:color="auto" w:fill="auto"/>
            <w:vAlign w:val="bottom"/>
          </w:tcPr>
          <w:p w:rsidR="00304D50" w:rsidRPr="005C018B" w:rsidRDefault="00304D50" w:rsidP="008B5474">
            <w:pPr>
              <w:pStyle w:val="TableBodyText"/>
              <w:rPr>
                <w:b/>
                <w:sz w:val="18"/>
                <w:szCs w:val="18"/>
              </w:rPr>
            </w:pPr>
            <w:r w:rsidRPr="005C018B">
              <w:rPr>
                <w:b/>
                <w:sz w:val="18"/>
                <w:szCs w:val="18"/>
              </w:rPr>
              <w:t>28.5</w:t>
            </w:r>
          </w:p>
        </w:tc>
      </w:tr>
      <w:tr w:rsidR="00304D50" w:rsidRPr="00EB51A6" w:rsidTr="008B5474">
        <w:tc>
          <w:tcPr>
            <w:tcW w:w="1960" w:type="pct"/>
            <w:vAlign w:val="bottom"/>
          </w:tcPr>
          <w:p w:rsidR="00304D50" w:rsidRPr="008770BD" w:rsidRDefault="00304D50" w:rsidP="008B5474">
            <w:pPr>
              <w:pStyle w:val="TableBodyText"/>
              <w:jc w:val="left"/>
              <w:rPr>
                <w:sz w:val="18"/>
                <w:szCs w:val="18"/>
              </w:rPr>
            </w:pPr>
            <w:r w:rsidRPr="008770BD">
              <w:rPr>
                <w:sz w:val="18"/>
                <w:szCs w:val="18"/>
              </w:rPr>
              <w:t>Electricity, gas, water and waste services</w:t>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shd w:val="clear" w:color="auto" w:fill="auto"/>
            <w:vAlign w:val="bottom"/>
          </w:tcPr>
          <w:p w:rsidR="00304D50" w:rsidRPr="005C018B" w:rsidRDefault="00304D50" w:rsidP="008B5474">
            <w:pPr>
              <w:pStyle w:val="TableBodyText"/>
              <w:rPr>
                <w:sz w:val="18"/>
                <w:szCs w:val="18"/>
              </w:rPr>
            </w:pPr>
            <w:r w:rsidRPr="005C018B">
              <w:rPr>
                <w:sz w:val="18"/>
                <w:szCs w:val="18"/>
              </w:rPr>
              <w:t>0.3</w:t>
            </w:r>
          </w:p>
        </w:tc>
        <w:tc>
          <w:tcPr>
            <w:tcW w:w="506" w:type="pct"/>
            <w:shd w:val="clear" w:color="auto" w:fill="auto"/>
            <w:vAlign w:val="bottom"/>
          </w:tcPr>
          <w:p w:rsidR="00304D50" w:rsidRPr="005C018B" w:rsidRDefault="00304D50" w:rsidP="008B5474">
            <w:pPr>
              <w:pStyle w:val="TableBodyText"/>
              <w:rPr>
                <w:sz w:val="18"/>
                <w:szCs w:val="18"/>
              </w:rPr>
            </w:pPr>
            <w:r w:rsidRPr="005C018B">
              <w:rPr>
                <w:sz w:val="18"/>
                <w:szCs w:val="18"/>
              </w:rPr>
              <w:t>0.9</w:t>
            </w:r>
          </w:p>
        </w:tc>
      </w:tr>
      <w:tr w:rsidR="00304D50" w:rsidRPr="00EB51A6" w:rsidTr="008B5474">
        <w:tc>
          <w:tcPr>
            <w:tcW w:w="1960" w:type="pct"/>
            <w:vAlign w:val="bottom"/>
          </w:tcPr>
          <w:p w:rsidR="00304D50" w:rsidRPr="008770BD" w:rsidRDefault="00304D50" w:rsidP="008B5474">
            <w:pPr>
              <w:pStyle w:val="TableBodyText"/>
              <w:jc w:val="left"/>
              <w:rPr>
                <w:sz w:val="18"/>
                <w:szCs w:val="18"/>
              </w:rPr>
            </w:pPr>
            <w:r w:rsidRPr="008770BD">
              <w:rPr>
                <w:sz w:val="18"/>
                <w:szCs w:val="18"/>
              </w:rPr>
              <w:t>Wholesale trade</w:t>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shd w:val="clear" w:color="auto" w:fill="auto"/>
            <w:vAlign w:val="bottom"/>
          </w:tcPr>
          <w:p w:rsidR="00304D50" w:rsidRPr="005C018B" w:rsidRDefault="00304D50" w:rsidP="008B5474">
            <w:pPr>
              <w:pStyle w:val="TableBodyText"/>
              <w:rPr>
                <w:sz w:val="18"/>
                <w:szCs w:val="18"/>
              </w:rPr>
            </w:pPr>
            <w:r w:rsidRPr="005C018B">
              <w:rPr>
                <w:sz w:val="18"/>
                <w:szCs w:val="18"/>
              </w:rPr>
              <w:t>0.2</w:t>
            </w:r>
          </w:p>
        </w:tc>
        <w:tc>
          <w:tcPr>
            <w:tcW w:w="506" w:type="pct"/>
            <w:shd w:val="clear" w:color="auto" w:fill="auto"/>
            <w:vAlign w:val="bottom"/>
          </w:tcPr>
          <w:p w:rsidR="00304D50" w:rsidRPr="005C018B" w:rsidRDefault="00304D50" w:rsidP="008B5474">
            <w:pPr>
              <w:pStyle w:val="TableBodyText"/>
              <w:rPr>
                <w:sz w:val="18"/>
                <w:szCs w:val="18"/>
              </w:rPr>
            </w:pPr>
            <w:r w:rsidRPr="005C018B">
              <w:rPr>
                <w:sz w:val="18"/>
                <w:szCs w:val="18"/>
              </w:rPr>
              <w:t>1.8</w:t>
            </w:r>
          </w:p>
        </w:tc>
      </w:tr>
      <w:tr w:rsidR="00304D50" w:rsidRPr="00EB51A6" w:rsidTr="008B5474">
        <w:tc>
          <w:tcPr>
            <w:tcW w:w="1960" w:type="pct"/>
            <w:vAlign w:val="bottom"/>
          </w:tcPr>
          <w:p w:rsidR="00304D50" w:rsidRPr="008770BD" w:rsidRDefault="00304D50" w:rsidP="008B5474">
            <w:pPr>
              <w:pStyle w:val="TableBodyText"/>
              <w:jc w:val="left"/>
              <w:rPr>
                <w:sz w:val="18"/>
                <w:szCs w:val="18"/>
              </w:rPr>
            </w:pPr>
            <w:r w:rsidRPr="008770BD">
              <w:rPr>
                <w:sz w:val="18"/>
                <w:szCs w:val="18"/>
              </w:rPr>
              <w:t>Retail trade</w:t>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shd w:val="clear" w:color="auto" w:fill="auto"/>
            <w:vAlign w:val="bottom"/>
          </w:tcPr>
          <w:p w:rsidR="00304D50" w:rsidRPr="005C018B" w:rsidRDefault="00304D50" w:rsidP="008B5474">
            <w:pPr>
              <w:pStyle w:val="TableBodyText"/>
              <w:rPr>
                <w:sz w:val="18"/>
                <w:szCs w:val="18"/>
              </w:rPr>
            </w:pPr>
            <w:r w:rsidRPr="005C018B">
              <w:rPr>
                <w:sz w:val="18"/>
                <w:szCs w:val="18"/>
              </w:rPr>
              <w:t>&lt;0.1</w:t>
            </w:r>
          </w:p>
        </w:tc>
        <w:tc>
          <w:tcPr>
            <w:tcW w:w="506" w:type="pct"/>
            <w:shd w:val="clear" w:color="auto" w:fill="auto"/>
            <w:vAlign w:val="bottom"/>
          </w:tcPr>
          <w:p w:rsidR="00304D50" w:rsidRPr="005C018B" w:rsidRDefault="00304D50" w:rsidP="008B5474">
            <w:pPr>
              <w:pStyle w:val="TableBodyText"/>
              <w:rPr>
                <w:sz w:val="18"/>
                <w:szCs w:val="18"/>
              </w:rPr>
            </w:pPr>
            <w:r w:rsidRPr="005C018B">
              <w:rPr>
                <w:sz w:val="18"/>
                <w:szCs w:val="18"/>
              </w:rPr>
              <w:t>&lt;0.1</w:t>
            </w:r>
          </w:p>
        </w:tc>
      </w:tr>
      <w:tr w:rsidR="00304D50" w:rsidRPr="00EB51A6" w:rsidTr="008B5474">
        <w:tc>
          <w:tcPr>
            <w:tcW w:w="1960" w:type="pct"/>
            <w:vAlign w:val="bottom"/>
          </w:tcPr>
          <w:p w:rsidR="00304D50" w:rsidRPr="008770BD" w:rsidRDefault="00304D50" w:rsidP="008B5474">
            <w:pPr>
              <w:pStyle w:val="TableBodyText"/>
              <w:jc w:val="left"/>
              <w:rPr>
                <w:sz w:val="18"/>
                <w:szCs w:val="18"/>
              </w:rPr>
            </w:pPr>
            <w:r w:rsidRPr="008770BD">
              <w:rPr>
                <w:sz w:val="18"/>
                <w:szCs w:val="18"/>
              </w:rPr>
              <w:t>Accommodation and food services</w:t>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shd w:val="clear" w:color="auto" w:fill="auto"/>
            <w:vAlign w:val="bottom"/>
          </w:tcPr>
          <w:p w:rsidR="00304D50" w:rsidRPr="005C018B" w:rsidRDefault="00304D50" w:rsidP="008B5474">
            <w:pPr>
              <w:pStyle w:val="TableBodyText"/>
              <w:rPr>
                <w:sz w:val="18"/>
                <w:szCs w:val="18"/>
              </w:rPr>
            </w:pPr>
            <w:r w:rsidRPr="005C018B">
              <w:rPr>
                <w:sz w:val="18"/>
                <w:szCs w:val="18"/>
              </w:rPr>
              <w:noBreakHyphen/>
            </w:r>
          </w:p>
        </w:tc>
        <w:tc>
          <w:tcPr>
            <w:tcW w:w="506" w:type="pct"/>
            <w:shd w:val="clear" w:color="auto" w:fill="auto"/>
            <w:vAlign w:val="bottom"/>
          </w:tcPr>
          <w:p w:rsidR="00304D50" w:rsidRPr="005C018B" w:rsidRDefault="00304D50" w:rsidP="008B5474">
            <w:pPr>
              <w:pStyle w:val="TableBodyText"/>
              <w:rPr>
                <w:sz w:val="18"/>
                <w:szCs w:val="18"/>
              </w:rPr>
            </w:pPr>
            <w:r w:rsidRPr="005C018B">
              <w:rPr>
                <w:sz w:val="18"/>
                <w:szCs w:val="18"/>
              </w:rPr>
              <w:t>&lt;0.1</w:t>
            </w:r>
          </w:p>
        </w:tc>
      </w:tr>
      <w:tr w:rsidR="00304D50" w:rsidRPr="00EB51A6" w:rsidTr="008B5474">
        <w:tc>
          <w:tcPr>
            <w:tcW w:w="1960" w:type="pct"/>
            <w:vAlign w:val="bottom"/>
          </w:tcPr>
          <w:p w:rsidR="00304D50" w:rsidRPr="008770BD" w:rsidRDefault="00304D50" w:rsidP="008B5474">
            <w:pPr>
              <w:pStyle w:val="TableBodyText"/>
              <w:jc w:val="left"/>
              <w:rPr>
                <w:sz w:val="18"/>
                <w:szCs w:val="18"/>
              </w:rPr>
            </w:pPr>
            <w:r w:rsidRPr="008770BD">
              <w:rPr>
                <w:sz w:val="18"/>
                <w:szCs w:val="18"/>
              </w:rPr>
              <w:t>Transport, postal and warehousing</w:t>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t>&lt;0.1</w:t>
            </w:r>
          </w:p>
        </w:tc>
        <w:tc>
          <w:tcPr>
            <w:tcW w:w="507" w:type="pct"/>
            <w:shd w:val="clear" w:color="auto" w:fill="auto"/>
            <w:vAlign w:val="bottom"/>
          </w:tcPr>
          <w:p w:rsidR="00304D50" w:rsidRPr="005C018B" w:rsidRDefault="00304D50" w:rsidP="008B5474">
            <w:pPr>
              <w:pStyle w:val="TableBodyText"/>
              <w:rPr>
                <w:sz w:val="18"/>
                <w:szCs w:val="18"/>
              </w:rPr>
            </w:pPr>
            <w:r w:rsidRPr="005C018B">
              <w:rPr>
                <w:sz w:val="18"/>
                <w:szCs w:val="18"/>
              </w:rPr>
              <w:t>&lt;0.1</w:t>
            </w:r>
          </w:p>
        </w:tc>
        <w:tc>
          <w:tcPr>
            <w:tcW w:w="506" w:type="pct"/>
            <w:shd w:val="clear" w:color="auto" w:fill="auto"/>
            <w:vAlign w:val="bottom"/>
          </w:tcPr>
          <w:p w:rsidR="00304D50" w:rsidRPr="005C018B" w:rsidRDefault="00304D50" w:rsidP="008B5474">
            <w:pPr>
              <w:pStyle w:val="TableBodyText"/>
              <w:rPr>
                <w:sz w:val="18"/>
                <w:szCs w:val="18"/>
              </w:rPr>
            </w:pPr>
            <w:r w:rsidRPr="005C018B">
              <w:rPr>
                <w:sz w:val="18"/>
                <w:szCs w:val="18"/>
              </w:rPr>
              <w:t>0.7</w:t>
            </w:r>
          </w:p>
        </w:tc>
      </w:tr>
      <w:tr w:rsidR="00304D50" w:rsidRPr="00EB51A6" w:rsidTr="008B5474">
        <w:tc>
          <w:tcPr>
            <w:tcW w:w="1960" w:type="pct"/>
            <w:vAlign w:val="bottom"/>
          </w:tcPr>
          <w:p w:rsidR="00304D50" w:rsidRPr="008770BD" w:rsidRDefault="00304D50" w:rsidP="008B5474">
            <w:pPr>
              <w:pStyle w:val="TableBodyText"/>
              <w:jc w:val="left"/>
              <w:rPr>
                <w:sz w:val="18"/>
                <w:szCs w:val="18"/>
              </w:rPr>
            </w:pPr>
            <w:r w:rsidRPr="008770BD">
              <w:rPr>
                <w:sz w:val="18"/>
                <w:szCs w:val="18"/>
              </w:rPr>
              <w:t>Information, media and telecommunications</w:t>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t>0.4</w:t>
            </w:r>
          </w:p>
        </w:tc>
        <w:tc>
          <w:tcPr>
            <w:tcW w:w="507" w:type="pct"/>
            <w:shd w:val="clear" w:color="auto" w:fill="auto"/>
            <w:vAlign w:val="bottom"/>
          </w:tcPr>
          <w:p w:rsidR="00304D50" w:rsidRPr="005C018B" w:rsidRDefault="00304D50" w:rsidP="008B5474">
            <w:pPr>
              <w:pStyle w:val="TableBodyText"/>
              <w:rPr>
                <w:sz w:val="18"/>
                <w:szCs w:val="18"/>
              </w:rPr>
            </w:pPr>
            <w:r w:rsidRPr="005C018B">
              <w:rPr>
                <w:sz w:val="18"/>
                <w:szCs w:val="18"/>
              </w:rPr>
              <w:t>2.6</w:t>
            </w:r>
          </w:p>
        </w:tc>
        <w:tc>
          <w:tcPr>
            <w:tcW w:w="506" w:type="pct"/>
            <w:shd w:val="clear" w:color="auto" w:fill="auto"/>
            <w:vAlign w:val="bottom"/>
          </w:tcPr>
          <w:p w:rsidR="00304D50" w:rsidRPr="005C018B" w:rsidRDefault="00304D50" w:rsidP="008B5474">
            <w:pPr>
              <w:pStyle w:val="TableBodyText"/>
              <w:rPr>
                <w:sz w:val="18"/>
                <w:szCs w:val="18"/>
              </w:rPr>
            </w:pPr>
            <w:r w:rsidRPr="005C018B">
              <w:rPr>
                <w:sz w:val="18"/>
                <w:szCs w:val="18"/>
              </w:rPr>
              <w:t>8.1</w:t>
            </w:r>
          </w:p>
        </w:tc>
      </w:tr>
      <w:tr w:rsidR="00304D50" w:rsidRPr="00EB51A6" w:rsidTr="008B5474">
        <w:tc>
          <w:tcPr>
            <w:tcW w:w="1960" w:type="pct"/>
            <w:vAlign w:val="bottom"/>
          </w:tcPr>
          <w:p w:rsidR="00304D50" w:rsidRPr="008770BD" w:rsidRDefault="00304D50" w:rsidP="008B5474">
            <w:pPr>
              <w:pStyle w:val="TableBodyText"/>
              <w:jc w:val="left"/>
              <w:rPr>
                <w:sz w:val="18"/>
                <w:szCs w:val="18"/>
              </w:rPr>
            </w:pPr>
            <w:r w:rsidRPr="008770BD">
              <w:rPr>
                <w:sz w:val="18"/>
                <w:szCs w:val="18"/>
              </w:rPr>
              <w:t>Financial and insurance services</w:t>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shd w:val="clear" w:color="auto" w:fill="auto"/>
            <w:vAlign w:val="bottom"/>
          </w:tcPr>
          <w:p w:rsidR="00304D50" w:rsidRPr="005C018B" w:rsidRDefault="00304D50" w:rsidP="008B5474">
            <w:pPr>
              <w:pStyle w:val="TableBodyText"/>
              <w:rPr>
                <w:sz w:val="18"/>
                <w:szCs w:val="18"/>
              </w:rPr>
            </w:pPr>
            <w:r w:rsidRPr="005C018B">
              <w:rPr>
                <w:sz w:val="18"/>
                <w:szCs w:val="18"/>
              </w:rPr>
              <w:noBreakHyphen/>
            </w:r>
          </w:p>
        </w:tc>
        <w:tc>
          <w:tcPr>
            <w:tcW w:w="506" w:type="pct"/>
            <w:shd w:val="clear" w:color="auto" w:fill="auto"/>
            <w:vAlign w:val="bottom"/>
          </w:tcPr>
          <w:p w:rsidR="00304D50" w:rsidRPr="005C018B" w:rsidRDefault="00304D50" w:rsidP="008B5474">
            <w:pPr>
              <w:pStyle w:val="TableBodyText"/>
              <w:rPr>
                <w:sz w:val="18"/>
                <w:szCs w:val="18"/>
              </w:rPr>
            </w:pPr>
            <w:r w:rsidRPr="005C018B">
              <w:rPr>
                <w:sz w:val="18"/>
                <w:szCs w:val="18"/>
              </w:rPr>
              <w:t>0.9</w:t>
            </w:r>
          </w:p>
        </w:tc>
      </w:tr>
      <w:tr w:rsidR="00304D50" w:rsidRPr="00EB51A6" w:rsidTr="008B5474">
        <w:tc>
          <w:tcPr>
            <w:tcW w:w="1960" w:type="pct"/>
            <w:vAlign w:val="bottom"/>
          </w:tcPr>
          <w:p w:rsidR="00304D50" w:rsidRPr="008770BD" w:rsidRDefault="00304D50" w:rsidP="008B5474">
            <w:pPr>
              <w:pStyle w:val="TableBodyText"/>
              <w:jc w:val="left"/>
              <w:rPr>
                <w:sz w:val="18"/>
                <w:szCs w:val="18"/>
              </w:rPr>
            </w:pPr>
            <w:r w:rsidRPr="008770BD">
              <w:rPr>
                <w:sz w:val="18"/>
                <w:szCs w:val="18"/>
              </w:rPr>
              <w:t>Property, professional and administrative services</w:t>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t>1.0</w:t>
            </w:r>
          </w:p>
        </w:tc>
        <w:tc>
          <w:tcPr>
            <w:tcW w:w="507" w:type="pct"/>
            <w:shd w:val="clear" w:color="auto" w:fill="auto"/>
            <w:vAlign w:val="bottom"/>
          </w:tcPr>
          <w:p w:rsidR="00304D50" w:rsidRPr="005C018B" w:rsidRDefault="00304D50" w:rsidP="008B5474">
            <w:pPr>
              <w:pStyle w:val="TableBodyText"/>
              <w:rPr>
                <w:sz w:val="18"/>
                <w:szCs w:val="18"/>
              </w:rPr>
            </w:pPr>
            <w:r w:rsidRPr="005C018B">
              <w:rPr>
                <w:sz w:val="18"/>
                <w:szCs w:val="18"/>
              </w:rPr>
              <w:t>10.0</w:t>
            </w:r>
          </w:p>
        </w:tc>
        <w:tc>
          <w:tcPr>
            <w:tcW w:w="506" w:type="pct"/>
            <w:shd w:val="clear" w:color="auto" w:fill="auto"/>
            <w:vAlign w:val="bottom"/>
          </w:tcPr>
          <w:p w:rsidR="00304D50" w:rsidRPr="005C018B" w:rsidRDefault="00304D50" w:rsidP="008B5474">
            <w:pPr>
              <w:pStyle w:val="TableBodyText"/>
              <w:rPr>
                <w:sz w:val="18"/>
                <w:szCs w:val="18"/>
              </w:rPr>
            </w:pPr>
            <w:r w:rsidRPr="005C018B">
              <w:rPr>
                <w:sz w:val="18"/>
                <w:szCs w:val="18"/>
              </w:rPr>
              <w:t>13.6</w:t>
            </w:r>
          </w:p>
        </w:tc>
      </w:tr>
      <w:tr w:rsidR="00304D50" w:rsidRPr="00EB51A6" w:rsidTr="008B5474">
        <w:tc>
          <w:tcPr>
            <w:tcW w:w="1960" w:type="pct"/>
            <w:vAlign w:val="bottom"/>
          </w:tcPr>
          <w:p w:rsidR="00304D50" w:rsidRPr="008770BD" w:rsidRDefault="00304D50" w:rsidP="008B5474">
            <w:pPr>
              <w:pStyle w:val="TableBodyText"/>
              <w:jc w:val="left"/>
              <w:rPr>
                <w:sz w:val="18"/>
                <w:szCs w:val="18"/>
              </w:rPr>
            </w:pPr>
            <w:r w:rsidRPr="008770BD">
              <w:rPr>
                <w:sz w:val="18"/>
                <w:szCs w:val="18"/>
              </w:rPr>
              <w:t>Public administration and safety</w:t>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shd w:val="clear" w:color="auto" w:fill="auto"/>
            <w:vAlign w:val="bottom"/>
          </w:tcPr>
          <w:p w:rsidR="00304D50" w:rsidRPr="005C018B" w:rsidRDefault="00304D50" w:rsidP="008B5474">
            <w:pPr>
              <w:pStyle w:val="TableBodyText"/>
              <w:rPr>
                <w:sz w:val="18"/>
                <w:szCs w:val="18"/>
              </w:rPr>
            </w:pPr>
            <w:r w:rsidRPr="005C018B">
              <w:rPr>
                <w:sz w:val="18"/>
                <w:szCs w:val="18"/>
              </w:rPr>
              <w:t>0.2</w:t>
            </w:r>
          </w:p>
        </w:tc>
        <w:tc>
          <w:tcPr>
            <w:tcW w:w="506" w:type="pct"/>
            <w:shd w:val="clear" w:color="auto" w:fill="auto"/>
            <w:vAlign w:val="bottom"/>
          </w:tcPr>
          <w:p w:rsidR="00304D50" w:rsidRPr="005C018B" w:rsidRDefault="00304D50" w:rsidP="008B5474">
            <w:pPr>
              <w:pStyle w:val="TableBodyText"/>
              <w:rPr>
                <w:sz w:val="18"/>
                <w:szCs w:val="18"/>
              </w:rPr>
            </w:pPr>
            <w:r w:rsidRPr="005C018B">
              <w:rPr>
                <w:sz w:val="18"/>
                <w:szCs w:val="18"/>
              </w:rPr>
              <w:t>0.1</w:t>
            </w:r>
          </w:p>
        </w:tc>
      </w:tr>
      <w:tr w:rsidR="00304D50" w:rsidRPr="00EB51A6" w:rsidTr="008B5474">
        <w:tc>
          <w:tcPr>
            <w:tcW w:w="1960" w:type="pct"/>
            <w:vAlign w:val="bottom"/>
          </w:tcPr>
          <w:p w:rsidR="00304D50" w:rsidRPr="008770BD" w:rsidRDefault="00304D50" w:rsidP="008B5474">
            <w:pPr>
              <w:pStyle w:val="TableBodyText"/>
              <w:jc w:val="left"/>
              <w:rPr>
                <w:sz w:val="18"/>
                <w:szCs w:val="18"/>
              </w:rPr>
            </w:pPr>
            <w:r w:rsidRPr="008770BD">
              <w:rPr>
                <w:sz w:val="18"/>
                <w:szCs w:val="18"/>
              </w:rPr>
              <w:t>Education and training</w:t>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shd w:val="clear" w:color="auto" w:fill="auto"/>
            <w:vAlign w:val="bottom"/>
          </w:tcPr>
          <w:p w:rsidR="00304D50" w:rsidRPr="005C018B" w:rsidRDefault="00304D50" w:rsidP="008B5474">
            <w:pPr>
              <w:pStyle w:val="TableBodyText"/>
              <w:rPr>
                <w:sz w:val="18"/>
                <w:szCs w:val="18"/>
              </w:rPr>
            </w:pPr>
            <w:r w:rsidRPr="005C018B">
              <w:rPr>
                <w:sz w:val="18"/>
                <w:szCs w:val="18"/>
              </w:rPr>
              <w:t>0.5</w:t>
            </w:r>
          </w:p>
        </w:tc>
        <w:tc>
          <w:tcPr>
            <w:tcW w:w="506" w:type="pct"/>
            <w:shd w:val="clear" w:color="auto" w:fill="auto"/>
            <w:vAlign w:val="bottom"/>
          </w:tcPr>
          <w:p w:rsidR="00304D50" w:rsidRPr="005C018B" w:rsidRDefault="00304D50" w:rsidP="008B5474">
            <w:pPr>
              <w:pStyle w:val="TableBodyText"/>
              <w:rPr>
                <w:sz w:val="18"/>
                <w:szCs w:val="18"/>
              </w:rPr>
            </w:pPr>
            <w:r w:rsidRPr="005C018B">
              <w:rPr>
                <w:sz w:val="18"/>
                <w:szCs w:val="18"/>
              </w:rPr>
              <w:t>0.8</w:t>
            </w:r>
          </w:p>
        </w:tc>
      </w:tr>
      <w:tr w:rsidR="00304D50" w:rsidRPr="00EB51A6" w:rsidTr="008B5474">
        <w:tc>
          <w:tcPr>
            <w:tcW w:w="1960" w:type="pct"/>
            <w:vAlign w:val="bottom"/>
          </w:tcPr>
          <w:p w:rsidR="00304D50" w:rsidRPr="008770BD" w:rsidRDefault="00304D50" w:rsidP="008B5474">
            <w:pPr>
              <w:pStyle w:val="TableBodyText"/>
              <w:jc w:val="left"/>
              <w:rPr>
                <w:sz w:val="18"/>
                <w:szCs w:val="18"/>
              </w:rPr>
            </w:pPr>
            <w:r w:rsidRPr="008770BD">
              <w:rPr>
                <w:sz w:val="18"/>
                <w:szCs w:val="18"/>
              </w:rPr>
              <w:t>Health care and social assistance</w:t>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noBreakHyphen/>
            </w:r>
          </w:p>
        </w:tc>
        <w:tc>
          <w:tcPr>
            <w:tcW w:w="507" w:type="pct"/>
            <w:vAlign w:val="bottom"/>
          </w:tcPr>
          <w:p w:rsidR="00304D50" w:rsidRPr="005C018B" w:rsidRDefault="00304D50" w:rsidP="008B5474">
            <w:pPr>
              <w:pStyle w:val="TableBodyText"/>
              <w:rPr>
                <w:sz w:val="18"/>
                <w:szCs w:val="18"/>
              </w:rPr>
            </w:pPr>
            <w:r w:rsidRPr="005C018B">
              <w:rPr>
                <w:sz w:val="18"/>
                <w:szCs w:val="18"/>
              </w:rPr>
              <w:t>&lt;0.1</w:t>
            </w:r>
          </w:p>
        </w:tc>
        <w:tc>
          <w:tcPr>
            <w:tcW w:w="507" w:type="pct"/>
            <w:shd w:val="clear" w:color="auto" w:fill="auto"/>
            <w:vAlign w:val="bottom"/>
          </w:tcPr>
          <w:p w:rsidR="00304D50" w:rsidRPr="005C018B" w:rsidRDefault="00304D50" w:rsidP="008B5474">
            <w:pPr>
              <w:pStyle w:val="TableBodyText"/>
              <w:rPr>
                <w:sz w:val="18"/>
                <w:szCs w:val="18"/>
              </w:rPr>
            </w:pPr>
            <w:r w:rsidRPr="005C018B">
              <w:rPr>
                <w:sz w:val="18"/>
                <w:szCs w:val="18"/>
              </w:rPr>
              <w:t>0.6</w:t>
            </w:r>
          </w:p>
        </w:tc>
        <w:tc>
          <w:tcPr>
            <w:tcW w:w="506" w:type="pct"/>
            <w:shd w:val="clear" w:color="auto" w:fill="auto"/>
            <w:vAlign w:val="bottom"/>
          </w:tcPr>
          <w:p w:rsidR="00304D50" w:rsidRPr="005C018B" w:rsidRDefault="00304D50" w:rsidP="008B5474">
            <w:pPr>
              <w:pStyle w:val="TableBodyText"/>
              <w:rPr>
                <w:sz w:val="18"/>
                <w:szCs w:val="18"/>
              </w:rPr>
            </w:pPr>
            <w:r w:rsidRPr="005C018B">
              <w:rPr>
                <w:sz w:val="18"/>
                <w:szCs w:val="18"/>
              </w:rPr>
              <w:t>1.4</w:t>
            </w:r>
          </w:p>
        </w:tc>
      </w:tr>
      <w:tr w:rsidR="00304D50" w:rsidRPr="00EB51A6" w:rsidTr="008B5474">
        <w:tc>
          <w:tcPr>
            <w:tcW w:w="1960" w:type="pct"/>
            <w:tcBorders>
              <w:bottom w:val="single" w:sz="4" w:space="0" w:color="auto"/>
            </w:tcBorders>
            <w:vAlign w:val="bottom"/>
          </w:tcPr>
          <w:p w:rsidR="00304D50" w:rsidRPr="008770BD" w:rsidRDefault="00304D50" w:rsidP="008B5474">
            <w:pPr>
              <w:pStyle w:val="TableBodyText"/>
              <w:jc w:val="left"/>
              <w:rPr>
                <w:b/>
                <w:bCs/>
                <w:sz w:val="18"/>
                <w:szCs w:val="18"/>
              </w:rPr>
            </w:pPr>
            <w:r w:rsidRPr="008770BD">
              <w:rPr>
                <w:b/>
                <w:bCs/>
                <w:sz w:val="18"/>
                <w:szCs w:val="18"/>
              </w:rPr>
              <w:t>Total</w:t>
            </w:r>
          </w:p>
        </w:tc>
        <w:tc>
          <w:tcPr>
            <w:tcW w:w="507" w:type="pct"/>
            <w:tcBorders>
              <w:bottom w:val="single" w:sz="4" w:space="0" w:color="auto"/>
            </w:tcBorders>
            <w:vAlign w:val="bottom"/>
          </w:tcPr>
          <w:p w:rsidR="00304D50" w:rsidRPr="005C018B" w:rsidRDefault="00304D50" w:rsidP="008B5474">
            <w:pPr>
              <w:pStyle w:val="TableBodyText"/>
              <w:rPr>
                <w:b/>
                <w:bCs/>
                <w:sz w:val="18"/>
                <w:szCs w:val="18"/>
              </w:rPr>
            </w:pPr>
            <w:r w:rsidRPr="005C018B">
              <w:rPr>
                <w:b/>
                <w:sz w:val="18"/>
                <w:szCs w:val="18"/>
              </w:rPr>
              <w:noBreakHyphen/>
            </w:r>
          </w:p>
        </w:tc>
        <w:tc>
          <w:tcPr>
            <w:tcW w:w="507" w:type="pct"/>
            <w:tcBorders>
              <w:bottom w:val="single" w:sz="4" w:space="0" w:color="auto"/>
            </w:tcBorders>
            <w:vAlign w:val="bottom"/>
          </w:tcPr>
          <w:p w:rsidR="00304D50" w:rsidRPr="005C018B" w:rsidRDefault="00304D50" w:rsidP="008B5474">
            <w:pPr>
              <w:pStyle w:val="TableBodyText"/>
              <w:rPr>
                <w:b/>
                <w:bCs/>
                <w:sz w:val="18"/>
                <w:szCs w:val="18"/>
              </w:rPr>
            </w:pPr>
            <w:r w:rsidRPr="005C018B">
              <w:rPr>
                <w:b/>
                <w:sz w:val="18"/>
                <w:szCs w:val="18"/>
              </w:rPr>
              <w:noBreakHyphen/>
            </w:r>
          </w:p>
        </w:tc>
        <w:tc>
          <w:tcPr>
            <w:tcW w:w="507" w:type="pct"/>
            <w:tcBorders>
              <w:bottom w:val="single" w:sz="4" w:space="0" w:color="auto"/>
            </w:tcBorders>
            <w:vAlign w:val="bottom"/>
          </w:tcPr>
          <w:p w:rsidR="00304D50" w:rsidRPr="005C018B" w:rsidRDefault="00304D50" w:rsidP="008B5474">
            <w:pPr>
              <w:pStyle w:val="TableBodyText"/>
              <w:rPr>
                <w:b/>
                <w:bCs/>
                <w:sz w:val="18"/>
                <w:szCs w:val="18"/>
              </w:rPr>
            </w:pPr>
            <w:r w:rsidRPr="005C018B">
              <w:rPr>
                <w:b/>
                <w:sz w:val="18"/>
                <w:szCs w:val="18"/>
              </w:rPr>
              <w:noBreakHyphen/>
            </w:r>
          </w:p>
        </w:tc>
        <w:tc>
          <w:tcPr>
            <w:tcW w:w="507" w:type="pct"/>
            <w:tcBorders>
              <w:bottom w:val="single" w:sz="4" w:space="0" w:color="auto"/>
            </w:tcBorders>
            <w:vAlign w:val="bottom"/>
          </w:tcPr>
          <w:p w:rsidR="00304D50" w:rsidRPr="005C018B" w:rsidRDefault="00304D50" w:rsidP="008B5474">
            <w:pPr>
              <w:pStyle w:val="TableBodyText"/>
              <w:rPr>
                <w:b/>
                <w:bCs/>
                <w:sz w:val="18"/>
                <w:szCs w:val="18"/>
              </w:rPr>
            </w:pPr>
            <w:r w:rsidRPr="005C018B">
              <w:rPr>
                <w:b/>
                <w:bCs/>
                <w:sz w:val="18"/>
                <w:szCs w:val="18"/>
              </w:rPr>
              <w:t>2.3</w:t>
            </w:r>
          </w:p>
        </w:tc>
        <w:tc>
          <w:tcPr>
            <w:tcW w:w="507" w:type="pct"/>
            <w:tcBorders>
              <w:bottom w:val="single" w:sz="4" w:space="0" w:color="auto"/>
            </w:tcBorders>
            <w:shd w:val="clear" w:color="auto" w:fill="auto"/>
            <w:vAlign w:val="bottom"/>
          </w:tcPr>
          <w:p w:rsidR="00304D50" w:rsidRPr="005C018B" w:rsidRDefault="00304D50" w:rsidP="008B5474">
            <w:pPr>
              <w:pStyle w:val="TableBodyText"/>
              <w:rPr>
                <w:b/>
                <w:sz w:val="18"/>
                <w:szCs w:val="18"/>
              </w:rPr>
            </w:pPr>
            <w:r w:rsidRPr="005C018B">
              <w:rPr>
                <w:b/>
                <w:sz w:val="18"/>
                <w:szCs w:val="18"/>
              </w:rPr>
              <w:t>23.0</w:t>
            </w:r>
          </w:p>
        </w:tc>
        <w:tc>
          <w:tcPr>
            <w:tcW w:w="506" w:type="pct"/>
            <w:tcBorders>
              <w:bottom w:val="single" w:sz="4" w:space="0" w:color="auto"/>
            </w:tcBorders>
            <w:shd w:val="clear" w:color="auto" w:fill="auto"/>
            <w:vAlign w:val="bottom"/>
          </w:tcPr>
          <w:p w:rsidR="00304D50" w:rsidRPr="005C018B" w:rsidRDefault="00304D50" w:rsidP="008B5474">
            <w:pPr>
              <w:pStyle w:val="TableBodyText"/>
              <w:rPr>
                <w:b/>
                <w:sz w:val="18"/>
                <w:szCs w:val="18"/>
              </w:rPr>
            </w:pPr>
            <w:r w:rsidRPr="005C018B">
              <w:rPr>
                <w:b/>
                <w:sz w:val="18"/>
                <w:szCs w:val="18"/>
              </w:rPr>
              <w:t>50.6</w:t>
            </w:r>
          </w:p>
        </w:tc>
      </w:tr>
    </w:tbl>
    <w:p w:rsidR="00304D50" w:rsidRDefault="00304D50" w:rsidP="00304D50">
      <w:pPr>
        <w:pStyle w:val="Note"/>
      </w:pPr>
      <w:r w:rsidRPr="00A2379F">
        <w:noBreakHyphen/>
        <w:t xml:space="preserve"> Nil.</w:t>
      </w:r>
    </w:p>
    <w:p w:rsidR="00304D50" w:rsidRDefault="00304D50" w:rsidP="00304D50">
      <w:pPr>
        <w:pStyle w:val="Source"/>
      </w:pPr>
      <w:r>
        <w:rPr>
          <w:i/>
        </w:rPr>
        <w:t>Sources</w:t>
      </w:r>
      <w:r>
        <w:t>: Commission estimates based on DIISR Annual Report 2009</w:t>
      </w:r>
      <w:r>
        <w:noBreakHyphen/>
        <w:t>10; and detailed DIISR data by ANZSIC industry.</w:t>
      </w:r>
    </w:p>
    <w:p w:rsidR="004C4CE5" w:rsidRDefault="00FA09C3" w:rsidP="004C4CE5">
      <w:pPr>
        <w:pStyle w:val="Heading2"/>
      </w:pPr>
      <w:r>
        <w:t>A.</w:t>
      </w:r>
      <w:r>
        <w:rPr>
          <w:noProof/>
        </w:rPr>
        <w:t>35</w:t>
      </w:r>
      <w:r w:rsidR="004C4CE5">
        <w:tab/>
        <w:t>Pooled Development Funds</w:t>
      </w:r>
    </w:p>
    <w:p w:rsidR="004C4CE5" w:rsidRPr="002D4BCB" w:rsidRDefault="004C4CE5" w:rsidP="004C4CE5">
      <w:pPr>
        <w:pStyle w:val="BodyText"/>
      </w:pPr>
      <w:r>
        <w:t xml:space="preserve">Concessional tax treatment is available to investment companies that are established and registered as Pooled Development Funds (PDF). The program was established in 1992 and intended to encourage investment in SMEs. The program closed </w:t>
      </w:r>
      <w:r w:rsidR="000A3642">
        <w:t xml:space="preserve">to new </w:t>
      </w:r>
      <w:r>
        <w:t>registration</w:t>
      </w:r>
      <w:r w:rsidR="000A3642">
        <w:t>s</w:t>
      </w:r>
      <w:r>
        <w:t xml:space="preserve"> in 2007 </w:t>
      </w:r>
      <w:r w:rsidR="000A3642">
        <w:t>al</w:t>
      </w:r>
      <w:r>
        <w:t xml:space="preserve">though </w:t>
      </w:r>
      <w:r w:rsidR="000A3642">
        <w:t xml:space="preserve">it </w:t>
      </w:r>
      <w:r>
        <w:t xml:space="preserve">continues to operate for existing PDFs. Tax concessions available to PDFs and PDF shareholders include: taxation on income and gains at the rate of 15 per cent rather than the corporate tax rate of 30 per cent; </w:t>
      </w:r>
      <w:r>
        <w:lastRenderedPageBreak/>
        <w:t xml:space="preserve">and other income taxed at the rate of 25 per cent </w:t>
      </w:r>
      <w:r w:rsidRPr="009C1EC7">
        <w:t>(</w:t>
      </w:r>
      <w:r w:rsidRPr="002D4BCB">
        <w:t>Tax Expenditure Statement, Australian Government 2013, Item B 72</w:t>
      </w:r>
      <w:r w:rsidRPr="009C1EC7">
        <w:t>)</w:t>
      </w:r>
      <w:r>
        <w:t xml:space="preserve">. </w:t>
      </w:r>
    </w:p>
    <w:p w:rsidR="004C4CE5" w:rsidRDefault="004C4CE5" w:rsidP="004C4CE5">
      <w:pPr>
        <w:pStyle w:val="BodyText"/>
      </w:pPr>
      <w:r>
        <w:t>The Commission obtains estimates of the revenue forgone under the PDF scheme from the Tax Expenditure Statement.</w:t>
      </w:r>
    </w:p>
    <w:p w:rsidR="004C4CE5" w:rsidRDefault="004C4CE5" w:rsidP="004C4CE5">
      <w:pPr>
        <w:pStyle w:val="BodyText"/>
      </w:pPr>
      <w:r>
        <w:t xml:space="preserve">Assistance under the scheme has been allocated to the </w:t>
      </w:r>
      <w:r w:rsidRPr="00AC73B9">
        <w:rPr>
          <w:i/>
        </w:rPr>
        <w:t>Financial and insurance services</w:t>
      </w:r>
      <w:r>
        <w:t xml:space="preserve"> industry grouping in the Commission’s ANZSIC-based classification (table</w:t>
      </w:r>
      <w:r w:rsidR="00160387">
        <w:t> </w:t>
      </w:r>
      <w:r>
        <w:t>A.35).</w:t>
      </w:r>
    </w:p>
    <w:p w:rsidR="004C4CE5" w:rsidRDefault="004C4CE5" w:rsidP="004C4CE5">
      <w:pPr>
        <w:pStyle w:val="TableTitle"/>
      </w:pPr>
      <w:r>
        <w:rPr>
          <w:b w:val="0"/>
        </w:rPr>
        <w:t xml:space="preserve">Table </w:t>
      </w:r>
      <w:r w:rsidR="00FA09C3">
        <w:rPr>
          <w:b w:val="0"/>
        </w:rPr>
        <w:t>A.</w:t>
      </w:r>
      <w:r w:rsidR="00FA09C3">
        <w:rPr>
          <w:b w:val="0"/>
          <w:noProof/>
        </w:rPr>
        <w:t>35</w:t>
      </w:r>
      <w:r>
        <w:tab/>
        <w:t>Allocation of Pooled Development Funds</w:t>
      </w:r>
      <w:r w:rsidR="00510A57" w:rsidRPr="00510A57">
        <w:t xml:space="preserve"> to industry</w:t>
      </w:r>
      <w:r>
        <w:t>, 2006</w:t>
      </w:r>
      <w:r>
        <w:noBreakHyphen/>
        <w:t>07 to 2011</w:t>
      </w:r>
      <w:r>
        <w:noBreakHyphen/>
        <w:t>12</w:t>
      </w:r>
    </w:p>
    <w:p w:rsidR="004C4CE5" w:rsidRDefault="004C4CE5" w:rsidP="004C4CE5">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4C4CE5" w:rsidRPr="00AF699A" w:rsidTr="008B5474">
        <w:tc>
          <w:tcPr>
            <w:tcW w:w="1960" w:type="pct"/>
            <w:tcBorders>
              <w:top w:val="single" w:sz="6" w:space="0" w:color="auto"/>
              <w:bottom w:val="single" w:sz="6" w:space="0" w:color="auto"/>
            </w:tcBorders>
          </w:tcPr>
          <w:p w:rsidR="004C4CE5" w:rsidRPr="00AF699A" w:rsidRDefault="004C4CE5" w:rsidP="008B547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4C4CE5" w:rsidRPr="00AF699A" w:rsidRDefault="004C4CE5" w:rsidP="008B547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4C4CE5" w:rsidRPr="00AF699A" w:rsidRDefault="004C4CE5" w:rsidP="008B547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4C4CE5" w:rsidRPr="00AF699A" w:rsidRDefault="004C4CE5" w:rsidP="008B547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4C4CE5" w:rsidRPr="00AF699A" w:rsidRDefault="004C4CE5" w:rsidP="008B547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4C4CE5" w:rsidRPr="00AF699A" w:rsidRDefault="004C4CE5" w:rsidP="008B5474">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4C4CE5" w:rsidRPr="00AF699A" w:rsidRDefault="004C4CE5" w:rsidP="008B5474">
            <w:pPr>
              <w:pStyle w:val="TableColumnHeading"/>
              <w:ind w:right="28"/>
              <w:rPr>
                <w:rFonts w:cs="Arial"/>
                <w:sz w:val="18"/>
                <w:szCs w:val="18"/>
              </w:rPr>
            </w:pPr>
            <w:r w:rsidRPr="00AF699A">
              <w:rPr>
                <w:rFonts w:cs="Arial"/>
                <w:sz w:val="18"/>
                <w:szCs w:val="18"/>
              </w:rPr>
              <w:t>2011-12</w:t>
            </w:r>
          </w:p>
        </w:tc>
      </w:tr>
      <w:tr w:rsidR="004C4CE5" w:rsidRPr="006C5A80" w:rsidTr="008B5474">
        <w:tc>
          <w:tcPr>
            <w:tcW w:w="1960" w:type="pct"/>
            <w:tcBorders>
              <w:bottom w:val="single" w:sz="4" w:space="0" w:color="auto"/>
            </w:tcBorders>
            <w:vAlign w:val="bottom"/>
          </w:tcPr>
          <w:p w:rsidR="004C4CE5" w:rsidRPr="00C944BA" w:rsidRDefault="004C4CE5" w:rsidP="008B5474">
            <w:pPr>
              <w:pStyle w:val="TableBodyText"/>
              <w:jc w:val="left"/>
            </w:pPr>
            <w:r>
              <w:t>Financial and insurance services</w:t>
            </w:r>
          </w:p>
        </w:tc>
        <w:tc>
          <w:tcPr>
            <w:tcW w:w="507" w:type="pct"/>
            <w:tcBorders>
              <w:bottom w:val="single" w:sz="4" w:space="0" w:color="auto"/>
            </w:tcBorders>
            <w:vAlign w:val="bottom"/>
          </w:tcPr>
          <w:p w:rsidR="004C4CE5" w:rsidRDefault="004C4CE5" w:rsidP="008B5474">
            <w:pPr>
              <w:pStyle w:val="TableBodyText"/>
            </w:pPr>
            <w:r>
              <w:t>9.0</w:t>
            </w:r>
          </w:p>
        </w:tc>
        <w:tc>
          <w:tcPr>
            <w:tcW w:w="507" w:type="pct"/>
            <w:tcBorders>
              <w:bottom w:val="single" w:sz="4" w:space="0" w:color="auto"/>
            </w:tcBorders>
            <w:vAlign w:val="bottom"/>
          </w:tcPr>
          <w:p w:rsidR="004C4CE5" w:rsidRDefault="004C4CE5" w:rsidP="008B5474">
            <w:pPr>
              <w:pStyle w:val="TableBodyText"/>
            </w:pPr>
            <w:r>
              <w:t>11.0</w:t>
            </w:r>
          </w:p>
        </w:tc>
        <w:tc>
          <w:tcPr>
            <w:tcW w:w="507" w:type="pct"/>
            <w:tcBorders>
              <w:bottom w:val="single" w:sz="4" w:space="0" w:color="auto"/>
            </w:tcBorders>
            <w:vAlign w:val="bottom"/>
          </w:tcPr>
          <w:p w:rsidR="004C4CE5" w:rsidRDefault="004C4CE5" w:rsidP="008B5474">
            <w:pPr>
              <w:pStyle w:val="TableBodyText"/>
            </w:pPr>
            <w:r>
              <w:t>10.0</w:t>
            </w:r>
          </w:p>
        </w:tc>
        <w:tc>
          <w:tcPr>
            <w:tcW w:w="507" w:type="pct"/>
            <w:tcBorders>
              <w:bottom w:val="single" w:sz="4" w:space="0" w:color="auto"/>
            </w:tcBorders>
            <w:vAlign w:val="bottom"/>
          </w:tcPr>
          <w:p w:rsidR="004C4CE5" w:rsidRDefault="004C4CE5" w:rsidP="008B5474">
            <w:pPr>
              <w:pStyle w:val="TableBodyText"/>
            </w:pPr>
            <w:r>
              <w:t>5.0</w:t>
            </w:r>
          </w:p>
        </w:tc>
        <w:tc>
          <w:tcPr>
            <w:tcW w:w="507" w:type="pct"/>
            <w:tcBorders>
              <w:bottom w:val="single" w:sz="4" w:space="0" w:color="auto"/>
            </w:tcBorders>
            <w:shd w:val="clear" w:color="auto" w:fill="auto"/>
            <w:vAlign w:val="bottom"/>
          </w:tcPr>
          <w:p w:rsidR="004C4CE5" w:rsidRDefault="004C4CE5" w:rsidP="008B5474">
            <w:pPr>
              <w:pStyle w:val="TableBodyText"/>
            </w:pPr>
            <w:r>
              <w:t>5.0</w:t>
            </w:r>
          </w:p>
        </w:tc>
        <w:tc>
          <w:tcPr>
            <w:tcW w:w="505" w:type="pct"/>
            <w:tcBorders>
              <w:bottom w:val="single" w:sz="4" w:space="0" w:color="auto"/>
            </w:tcBorders>
            <w:shd w:val="clear" w:color="auto" w:fill="auto"/>
            <w:vAlign w:val="bottom"/>
          </w:tcPr>
          <w:p w:rsidR="004C4CE5" w:rsidRDefault="004C4CE5" w:rsidP="008B5474">
            <w:pPr>
              <w:pStyle w:val="TableBodyText"/>
            </w:pPr>
            <w:r>
              <w:t>45.0</w:t>
            </w:r>
          </w:p>
        </w:tc>
      </w:tr>
    </w:tbl>
    <w:p w:rsidR="004C4CE5" w:rsidRDefault="004C4CE5" w:rsidP="004C4CE5">
      <w:pPr>
        <w:pStyle w:val="Source"/>
      </w:pPr>
      <w:r>
        <w:rPr>
          <w:i/>
        </w:rPr>
        <w:t>Source</w:t>
      </w:r>
      <w:r>
        <w:t>: Commission estimates based on Tax Expenditure Statement 2012, Australian Government 2013, p. 100, item B72.</w:t>
      </w:r>
    </w:p>
    <w:p w:rsidR="00A60FBC" w:rsidRDefault="00FA09C3" w:rsidP="00A60FBC">
      <w:pPr>
        <w:pStyle w:val="Heading2"/>
      </w:pPr>
      <w:r>
        <w:t>A.</w:t>
      </w:r>
      <w:r>
        <w:rPr>
          <w:noProof/>
        </w:rPr>
        <w:t>36</w:t>
      </w:r>
      <w:r w:rsidR="00A60FBC">
        <w:tab/>
        <w:t>Tasmanian Forest Industry Adjustment Package</w:t>
      </w:r>
    </w:p>
    <w:p w:rsidR="00A60FBC" w:rsidRDefault="00A60FBC" w:rsidP="00A60FBC">
      <w:pPr>
        <w:pStyle w:val="BodyText"/>
      </w:pPr>
      <w:r>
        <w:t xml:space="preserve">Established in 2011 under the </w:t>
      </w:r>
      <w:r w:rsidRPr="00616866">
        <w:t>Tasmanian Forests Intergovernmental Agreement</w:t>
      </w:r>
      <w:r>
        <w:t xml:space="preserve"> (Heads of Agreement) signed by the Prime Minister and the Premier of Tasmania, the Tasmanian Forest Industry Adjustment Package provided for $277 million over 15 years </w:t>
      </w:r>
      <w:r w:rsidRPr="00E21BA5">
        <w:t>(</w:t>
      </w:r>
      <w:r w:rsidRPr="002D4BCB">
        <w:t>DAFF 2012</w:t>
      </w:r>
      <w:r w:rsidRPr="00E21BA5">
        <w:t>)</w:t>
      </w:r>
      <w:r>
        <w:t>. The Package comprised three streams:</w:t>
      </w:r>
    </w:p>
    <w:p w:rsidR="00A60FBC" w:rsidRDefault="00A60FBC" w:rsidP="00A60FBC">
      <w:pPr>
        <w:pStyle w:val="ListBullet"/>
      </w:pPr>
      <w:r>
        <w:t>support displaced workers and their families and contractors affected by the recent downturn in industry activity and the commercial decision of Gunns Limited to exit native forest harvest</w:t>
      </w:r>
      <w:r w:rsidR="00253B7F">
        <w:t>ing</w:t>
      </w:r>
      <w:r>
        <w:t xml:space="preserve"> and processing activities ($86 million, including $45 million in exit assistance);</w:t>
      </w:r>
    </w:p>
    <w:p w:rsidR="00A60FBC" w:rsidRDefault="00A60FBC" w:rsidP="00A60FBC">
      <w:pPr>
        <w:pStyle w:val="ListBullet"/>
      </w:pPr>
      <w:r>
        <w:t>help protect forests of high conservation value and ensure a sustainable wood supply for industry ($71 million); and</w:t>
      </w:r>
    </w:p>
    <w:p w:rsidR="00A60FBC" w:rsidRDefault="00A60FBC" w:rsidP="00A60FBC">
      <w:pPr>
        <w:pStyle w:val="ListBullet"/>
      </w:pPr>
      <w:r>
        <w:t>help identify and fund regional development and economic diversification projects in Tasmania ($120 million).</w:t>
      </w:r>
    </w:p>
    <w:p w:rsidR="00A60FBC" w:rsidRPr="00787463" w:rsidRDefault="00A60FBC" w:rsidP="002D4BCB">
      <w:pPr>
        <w:pStyle w:val="BodyText"/>
      </w:pPr>
      <w:r>
        <w:t>In 2011</w:t>
      </w:r>
      <w:r>
        <w:noBreakHyphen/>
        <w:t>12, $42.4 million was spent under the contractors exit assistance component. This has been allocated to</w:t>
      </w:r>
      <w:r w:rsidRPr="0056111F">
        <w:t xml:space="preserve"> the </w:t>
      </w:r>
      <w:r w:rsidRPr="006D1457">
        <w:rPr>
          <w:i/>
        </w:rPr>
        <w:t xml:space="preserve">Forestry and logging </w:t>
      </w:r>
      <w:r w:rsidRPr="0056111F">
        <w:t>industry in the Commission’s ANZSIC-based industry groupings (table</w:t>
      </w:r>
      <w:r w:rsidR="008F027A">
        <w:t> </w:t>
      </w:r>
      <w:r w:rsidRPr="0056111F">
        <w:t>A.</w:t>
      </w:r>
      <w:r>
        <w:t>36</w:t>
      </w:r>
      <w:r w:rsidRPr="0056111F">
        <w:t>).</w:t>
      </w:r>
    </w:p>
    <w:p w:rsidR="00A60FBC" w:rsidRDefault="00A60FBC" w:rsidP="00A60FBC">
      <w:pPr>
        <w:pStyle w:val="TableTitle"/>
      </w:pPr>
      <w:r>
        <w:rPr>
          <w:b w:val="0"/>
        </w:rPr>
        <w:lastRenderedPageBreak/>
        <w:t xml:space="preserve">Table </w:t>
      </w:r>
      <w:r w:rsidR="00FA09C3">
        <w:rPr>
          <w:b w:val="0"/>
        </w:rPr>
        <w:t>A.</w:t>
      </w:r>
      <w:r w:rsidR="00FA09C3">
        <w:rPr>
          <w:b w:val="0"/>
          <w:noProof/>
        </w:rPr>
        <w:t>36</w:t>
      </w:r>
      <w:r>
        <w:tab/>
        <w:t>Allocation of Tasmanian Forest Industry Adjustment Package</w:t>
      </w:r>
      <w:r w:rsidR="00510A57" w:rsidRPr="00510A57">
        <w:t xml:space="preserve"> to industry</w:t>
      </w:r>
      <w:r>
        <w:t>, 2006</w:t>
      </w:r>
      <w:r>
        <w:noBreakHyphen/>
        <w:t>07 to 2011</w:t>
      </w:r>
      <w:r>
        <w:noBreakHyphen/>
        <w:t>12</w:t>
      </w:r>
    </w:p>
    <w:p w:rsidR="00A60FBC" w:rsidRDefault="000E1A26" w:rsidP="00A60FBC">
      <w:pPr>
        <w:pStyle w:val="Subtitle"/>
      </w:pPr>
      <w:r>
        <w:t>$ m</w:t>
      </w:r>
      <w:r w:rsidR="00A60FBC">
        <w:t xml:space="preserve">illion (nominal) </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A60FBC" w:rsidRPr="00AF699A" w:rsidTr="00D0483B">
        <w:trPr>
          <w:trHeight w:val="283"/>
        </w:trPr>
        <w:tc>
          <w:tcPr>
            <w:tcW w:w="1958" w:type="pct"/>
            <w:tcBorders>
              <w:top w:val="single" w:sz="6" w:space="0" w:color="auto"/>
              <w:bottom w:val="single" w:sz="6" w:space="0" w:color="auto"/>
            </w:tcBorders>
          </w:tcPr>
          <w:p w:rsidR="00A60FBC" w:rsidRPr="00AF699A" w:rsidRDefault="00A60FBC" w:rsidP="008B547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A60FBC" w:rsidRPr="00AF699A" w:rsidRDefault="00A60FBC" w:rsidP="008B547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A60FBC" w:rsidRPr="00AF699A" w:rsidRDefault="00A60FBC" w:rsidP="008B547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A60FBC" w:rsidRPr="00AF699A" w:rsidRDefault="00A60FBC" w:rsidP="008B547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A60FBC" w:rsidRPr="00AF699A" w:rsidRDefault="00A60FBC" w:rsidP="008B547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A60FBC" w:rsidRPr="00AF699A" w:rsidRDefault="00A60FBC" w:rsidP="008B5474">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A60FBC" w:rsidRPr="00AF699A" w:rsidRDefault="00A60FBC" w:rsidP="008B5474">
            <w:pPr>
              <w:pStyle w:val="TableColumnHeading"/>
              <w:ind w:right="28"/>
              <w:rPr>
                <w:rFonts w:cs="Arial"/>
                <w:sz w:val="18"/>
                <w:szCs w:val="18"/>
              </w:rPr>
            </w:pPr>
            <w:r w:rsidRPr="00AF699A">
              <w:rPr>
                <w:rFonts w:cs="Arial"/>
                <w:sz w:val="18"/>
                <w:szCs w:val="18"/>
              </w:rPr>
              <w:t>2011-12</w:t>
            </w:r>
          </w:p>
        </w:tc>
      </w:tr>
      <w:tr w:rsidR="00A60FBC" w:rsidRPr="00653FD8" w:rsidTr="008B5474">
        <w:tc>
          <w:tcPr>
            <w:tcW w:w="1958" w:type="pct"/>
            <w:tcBorders>
              <w:bottom w:val="single" w:sz="4" w:space="0" w:color="auto"/>
            </w:tcBorders>
            <w:vAlign w:val="bottom"/>
          </w:tcPr>
          <w:p w:rsidR="00A60FBC" w:rsidRPr="00653FD8" w:rsidRDefault="00A60FBC" w:rsidP="008B5474">
            <w:pPr>
              <w:pStyle w:val="TableBodyText"/>
              <w:jc w:val="left"/>
            </w:pPr>
            <w:r w:rsidRPr="00653FD8">
              <w:t>Forestry and logging</w:t>
            </w:r>
          </w:p>
        </w:tc>
        <w:tc>
          <w:tcPr>
            <w:tcW w:w="507" w:type="pct"/>
            <w:tcBorders>
              <w:bottom w:val="single" w:sz="4" w:space="0" w:color="auto"/>
            </w:tcBorders>
            <w:vAlign w:val="bottom"/>
          </w:tcPr>
          <w:p w:rsidR="00A60FBC" w:rsidRPr="00653FD8" w:rsidRDefault="00A60FBC" w:rsidP="008B5474">
            <w:pPr>
              <w:pStyle w:val="TableBodyText"/>
            </w:pPr>
            <w:r>
              <w:noBreakHyphen/>
            </w:r>
          </w:p>
        </w:tc>
        <w:tc>
          <w:tcPr>
            <w:tcW w:w="507" w:type="pct"/>
            <w:tcBorders>
              <w:bottom w:val="single" w:sz="4" w:space="0" w:color="auto"/>
            </w:tcBorders>
            <w:vAlign w:val="bottom"/>
          </w:tcPr>
          <w:p w:rsidR="00A60FBC" w:rsidRPr="00653FD8" w:rsidRDefault="00A60FBC" w:rsidP="008B5474">
            <w:pPr>
              <w:pStyle w:val="TableBodyText"/>
            </w:pPr>
            <w:r>
              <w:noBreakHyphen/>
            </w:r>
          </w:p>
        </w:tc>
        <w:tc>
          <w:tcPr>
            <w:tcW w:w="507" w:type="pct"/>
            <w:tcBorders>
              <w:bottom w:val="single" w:sz="4" w:space="0" w:color="auto"/>
            </w:tcBorders>
            <w:vAlign w:val="bottom"/>
          </w:tcPr>
          <w:p w:rsidR="00A60FBC" w:rsidRPr="00653FD8" w:rsidRDefault="00A60FBC" w:rsidP="008B5474">
            <w:pPr>
              <w:pStyle w:val="TableBodyText"/>
            </w:pPr>
            <w:r>
              <w:noBreakHyphen/>
            </w:r>
          </w:p>
        </w:tc>
        <w:tc>
          <w:tcPr>
            <w:tcW w:w="507" w:type="pct"/>
            <w:tcBorders>
              <w:bottom w:val="single" w:sz="4" w:space="0" w:color="auto"/>
            </w:tcBorders>
            <w:vAlign w:val="bottom"/>
          </w:tcPr>
          <w:p w:rsidR="00A60FBC" w:rsidRPr="00653FD8" w:rsidRDefault="00A60FBC" w:rsidP="008B5474">
            <w:pPr>
              <w:pStyle w:val="TableBodyText"/>
            </w:pPr>
            <w:r>
              <w:noBreakHyphen/>
            </w:r>
          </w:p>
        </w:tc>
        <w:tc>
          <w:tcPr>
            <w:tcW w:w="507" w:type="pct"/>
            <w:tcBorders>
              <w:bottom w:val="single" w:sz="4" w:space="0" w:color="auto"/>
            </w:tcBorders>
            <w:shd w:val="clear" w:color="auto" w:fill="auto"/>
            <w:vAlign w:val="bottom"/>
          </w:tcPr>
          <w:p w:rsidR="00A60FBC" w:rsidRPr="00653FD8" w:rsidRDefault="00A60FBC" w:rsidP="008B5474">
            <w:pPr>
              <w:pStyle w:val="TableBodyText"/>
            </w:pPr>
            <w:r>
              <w:noBreakHyphen/>
            </w:r>
          </w:p>
        </w:tc>
        <w:tc>
          <w:tcPr>
            <w:tcW w:w="507" w:type="pct"/>
            <w:tcBorders>
              <w:bottom w:val="single" w:sz="4" w:space="0" w:color="auto"/>
            </w:tcBorders>
            <w:shd w:val="clear" w:color="auto" w:fill="auto"/>
            <w:vAlign w:val="bottom"/>
          </w:tcPr>
          <w:p w:rsidR="00A60FBC" w:rsidRPr="00653FD8" w:rsidRDefault="00A60FBC" w:rsidP="008B5474">
            <w:pPr>
              <w:pStyle w:val="TableBodyText"/>
            </w:pPr>
            <w:r w:rsidRPr="00653FD8">
              <w:t>42.4</w:t>
            </w:r>
          </w:p>
        </w:tc>
      </w:tr>
    </w:tbl>
    <w:p w:rsidR="00A60FBC" w:rsidRDefault="00A60FBC" w:rsidP="00A60FBC">
      <w:pPr>
        <w:pStyle w:val="Note"/>
      </w:pPr>
      <w:r w:rsidRPr="00A2379F">
        <w:noBreakHyphen/>
        <w:t xml:space="preserve"> Nil</w:t>
      </w:r>
      <w:r>
        <w:t>.</w:t>
      </w:r>
    </w:p>
    <w:p w:rsidR="00A60FBC" w:rsidRPr="008E77FE" w:rsidRDefault="00A60FBC" w:rsidP="00A60FBC">
      <w:pPr>
        <w:pStyle w:val="Source"/>
      </w:pPr>
      <w:r>
        <w:rPr>
          <w:i/>
        </w:rPr>
        <w:t>Source</w:t>
      </w:r>
      <w:r>
        <w:t>: Commission estimates based on DAFF Annual Report 2011</w:t>
      </w:r>
      <w:r w:rsidR="00C618D6">
        <w:noBreakHyphen/>
      </w:r>
      <w:r>
        <w:t>12.</w:t>
      </w:r>
    </w:p>
    <w:p w:rsidR="00AB6284" w:rsidRDefault="00FA09C3" w:rsidP="00AB6284">
      <w:pPr>
        <w:pStyle w:val="Heading2"/>
      </w:pPr>
      <w:r>
        <w:t>A.</w:t>
      </w:r>
      <w:r>
        <w:rPr>
          <w:noProof/>
        </w:rPr>
        <w:t>37</w:t>
      </w:r>
      <w:r w:rsidR="00AB6284">
        <w:tab/>
        <w:t>Horticulture Australia Limited – Research and Development</w:t>
      </w:r>
    </w:p>
    <w:p w:rsidR="00AB6284" w:rsidRDefault="00AB6284" w:rsidP="00AB6284">
      <w:pPr>
        <w:pStyle w:val="BodyText"/>
      </w:pPr>
      <w:r>
        <w:t xml:space="preserve">Horticulture Australia comprises two entities — Horticulture Australia Ltd (HAL) and the Horticulture Australia Council. Horticulture Australia Ltd focuses on marketing and R&amp;D to improve the national and international competitiveness of horticultural producers. The Horticulture Australia Council deals with issues such as food safety and supply chains, and resource issues such as improved systems of water use. These two bodies replaced the Horticultural R&amp;D Corporation and the Australian Horticultural Corporation </w:t>
      </w:r>
      <w:r w:rsidRPr="000138D9">
        <w:t>(</w:t>
      </w:r>
      <w:r w:rsidRPr="002D4BCB">
        <w:t>HAL 2009</w:t>
      </w:r>
      <w:r w:rsidRPr="000138D9">
        <w:t>)</w:t>
      </w:r>
      <w:r>
        <w:t>.</w:t>
      </w:r>
    </w:p>
    <w:p w:rsidR="00AB6284" w:rsidRDefault="00AB6284" w:rsidP="00AB6284">
      <w:pPr>
        <w:pStyle w:val="BodyText"/>
      </w:pPr>
      <w:r>
        <w:t xml:space="preserve">R&amp;D carried out by HAL is jointly funded by an industry levy and matching Australian Government funding. This funding selectively benefits horticulturalists and has been allocated to the </w:t>
      </w:r>
      <w:r w:rsidRPr="00A2438D">
        <w:rPr>
          <w:i/>
        </w:rPr>
        <w:t xml:space="preserve">Horticulture </w:t>
      </w:r>
      <w:r>
        <w:rPr>
          <w:i/>
        </w:rPr>
        <w:t>and</w:t>
      </w:r>
      <w:r w:rsidRPr="00A2438D">
        <w:rPr>
          <w:i/>
        </w:rPr>
        <w:t xml:space="preserve"> fruit growing</w:t>
      </w:r>
      <w:r>
        <w:t xml:space="preserve"> industry grouping in the Commission’s ANZSIC-based classification (table A.37).</w:t>
      </w:r>
    </w:p>
    <w:p w:rsidR="00AB6284" w:rsidRDefault="00AB6284" w:rsidP="00AB6284">
      <w:pPr>
        <w:pStyle w:val="TableTitle"/>
      </w:pPr>
      <w:r>
        <w:rPr>
          <w:b w:val="0"/>
        </w:rPr>
        <w:t xml:space="preserve">Table </w:t>
      </w:r>
      <w:r w:rsidR="00FA09C3">
        <w:rPr>
          <w:b w:val="0"/>
        </w:rPr>
        <w:t>A.</w:t>
      </w:r>
      <w:r w:rsidR="00FA09C3">
        <w:rPr>
          <w:b w:val="0"/>
          <w:noProof/>
        </w:rPr>
        <w:t>37</w:t>
      </w:r>
      <w:r>
        <w:tab/>
        <w:t>Allocation of Horticulture Australia Limited – Research and Development</w:t>
      </w:r>
      <w:r w:rsidR="00510A57" w:rsidRPr="00510A57">
        <w:t xml:space="preserve"> to industry</w:t>
      </w:r>
      <w:r>
        <w:t>, 2006</w:t>
      </w:r>
      <w:r>
        <w:noBreakHyphen/>
        <w:t>07 to 2011</w:t>
      </w:r>
      <w:r>
        <w:noBreakHyphen/>
        <w:t>12</w:t>
      </w:r>
    </w:p>
    <w:p w:rsidR="00AB6284" w:rsidRDefault="00AB6284" w:rsidP="00AB6284">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AB6284" w:rsidRPr="00AF699A" w:rsidTr="008B5474">
        <w:tc>
          <w:tcPr>
            <w:tcW w:w="1960" w:type="pct"/>
            <w:tcBorders>
              <w:top w:val="single" w:sz="6" w:space="0" w:color="auto"/>
              <w:bottom w:val="single" w:sz="6" w:space="0" w:color="auto"/>
            </w:tcBorders>
          </w:tcPr>
          <w:p w:rsidR="00AB6284" w:rsidRPr="00AF699A" w:rsidRDefault="00AB6284" w:rsidP="008B547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AB6284" w:rsidRPr="00AF699A" w:rsidRDefault="00AB6284" w:rsidP="008B547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AB6284" w:rsidRPr="00AF699A" w:rsidRDefault="00AB6284" w:rsidP="008B547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AB6284" w:rsidRPr="00AF699A" w:rsidRDefault="00AB6284" w:rsidP="008B547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AB6284" w:rsidRPr="00AF699A" w:rsidRDefault="00AB6284" w:rsidP="008B547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AB6284" w:rsidRPr="00AF699A" w:rsidRDefault="00AB6284" w:rsidP="008B5474">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AB6284" w:rsidRPr="00AF699A" w:rsidRDefault="00AB6284" w:rsidP="008B5474">
            <w:pPr>
              <w:pStyle w:val="TableColumnHeading"/>
              <w:ind w:right="28"/>
              <w:rPr>
                <w:rFonts w:cs="Arial"/>
                <w:sz w:val="18"/>
                <w:szCs w:val="18"/>
              </w:rPr>
            </w:pPr>
            <w:r w:rsidRPr="00AF699A">
              <w:rPr>
                <w:rFonts w:cs="Arial"/>
                <w:sz w:val="18"/>
                <w:szCs w:val="18"/>
              </w:rPr>
              <w:t>2011-12</w:t>
            </w:r>
          </w:p>
        </w:tc>
      </w:tr>
      <w:tr w:rsidR="00AB6284" w:rsidRPr="006C5A80" w:rsidTr="008B5474">
        <w:tc>
          <w:tcPr>
            <w:tcW w:w="1960" w:type="pct"/>
            <w:tcBorders>
              <w:bottom w:val="single" w:sz="4" w:space="0" w:color="auto"/>
            </w:tcBorders>
            <w:vAlign w:val="bottom"/>
          </w:tcPr>
          <w:p w:rsidR="00AB6284" w:rsidRPr="00C944BA" w:rsidRDefault="00AB6284" w:rsidP="008B5474">
            <w:pPr>
              <w:pStyle w:val="TableBodyText"/>
              <w:jc w:val="left"/>
            </w:pPr>
            <w:r>
              <w:t>Horticulture and fruit growing</w:t>
            </w:r>
          </w:p>
        </w:tc>
        <w:tc>
          <w:tcPr>
            <w:tcW w:w="507" w:type="pct"/>
            <w:tcBorders>
              <w:bottom w:val="single" w:sz="4" w:space="0" w:color="auto"/>
            </w:tcBorders>
            <w:vAlign w:val="bottom"/>
          </w:tcPr>
          <w:p w:rsidR="00AB6284" w:rsidRPr="002C4533" w:rsidRDefault="00AB6284" w:rsidP="008B5474">
            <w:pPr>
              <w:pStyle w:val="TableBodyText"/>
            </w:pPr>
            <w:r>
              <w:t>34.6</w:t>
            </w:r>
          </w:p>
        </w:tc>
        <w:tc>
          <w:tcPr>
            <w:tcW w:w="507" w:type="pct"/>
            <w:tcBorders>
              <w:bottom w:val="single" w:sz="4" w:space="0" w:color="auto"/>
            </w:tcBorders>
            <w:vAlign w:val="bottom"/>
          </w:tcPr>
          <w:p w:rsidR="00AB6284" w:rsidRPr="002C4533" w:rsidRDefault="00AB6284" w:rsidP="008B5474">
            <w:pPr>
              <w:pStyle w:val="TableBodyText"/>
            </w:pPr>
            <w:r w:rsidRPr="002C4533">
              <w:t>34.5</w:t>
            </w:r>
          </w:p>
        </w:tc>
        <w:tc>
          <w:tcPr>
            <w:tcW w:w="507" w:type="pct"/>
            <w:tcBorders>
              <w:bottom w:val="single" w:sz="4" w:space="0" w:color="auto"/>
            </w:tcBorders>
            <w:vAlign w:val="bottom"/>
          </w:tcPr>
          <w:p w:rsidR="00AB6284" w:rsidRPr="002C4533" w:rsidRDefault="00AB6284" w:rsidP="008B5474">
            <w:pPr>
              <w:pStyle w:val="TableBodyText"/>
            </w:pPr>
            <w:r w:rsidRPr="002C4533">
              <w:t>39.8</w:t>
            </w:r>
          </w:p>
        </w:tc>
        <w:tc>
          <w:tcPr>
            <w:tcW w:w="507" w:type="pct"/>
            <w:tcBorders>
              <w:bottom w:val="single" w:sz="4" w:space="0" w:color="auto"/>
            </w:tcBorders>
            <w:vAlign w:val="bottom"/>
          </w:tcPr>
          <w:p w:rsidR="00AB6284" w:rsidRPr="002C4533" w:rsidRDefault="00AB6284" w:rsidP="008B5474">
            <w:pPr>
              <w:pStyle w:val="TableBodyText"/>
            </w:pPr>
            <w:r w:rsidRPr="002C4533">
              <w:t>40.</w:t>
            </w:r>
            <w:r>
              <w:t>5</w:t>
            </w:r>
          </w:p>
        </w:tc>
        <w:tc>
          <w:tcPr>
            <w:tcW w:w="507" w:type="pct"/>
            <w:tcBorders>
              <w:bottom w:val="single" w:sz="4" w:space="0" w:color="auto"/>
            </w:tcBorders>
            <w:shd w:val="clear" w:color="auto" w:fill="auto"/>
            <w:vAlign w:val="bottom"/>
          </w:tcPr>
          <w:p w:rsidR="00AB6284" w:rsidRPr="002C4533" w:rsidRDefault="00AB6284" w:rsidP="008B5474">
            <w:pPr>
              <w:pStyle w:val="TableBodyText"/>
            </w:pPr>
            <w:r>
              <w:t>40.5</w:t>
            </w:r>
          </w:p>
        </w:tc>
        <w:tc>
          <w:tcPr>
            <w:tcW w:w="505" w:type="pct"/>
            <w:tcBorders>
              <w:bottom w:val="single" w:sz="4" w:space="0" w:color="auto"/>
            </w:tcBorders>
            <w:shd w:val="clear" w:color="auto" w:fill="auto"/>
            <w:vAlign w:val="bottom"/>
          </w:tcPr>
          <w:p w:rsidR="00AB6284" w:rsidRPr="002C4533" w:rsidRDefault="00AB6284" w:rsidP="008B5474">
            <w:pPr>
              <w:pStyle w:val="TableBodyText"/>
            </w:pPr>
            <w:r>
              <w:t>42.0</w:t>
            </w:r>
          </w:p>
        </w:tc>
      </w:tr>
    </w:tbl>
    <w:p w:rsidR="00AB6284" w:rsidRPr="008E77FE" w:rsidRDefault="00AB6284" w:rsidP="00AB6284">
      <w:pPr>
        <w:pStyle w:val="Source"/>
      </w:pPr>
      <w:r>
        <w:rPr>
          <w:i/>
        </w:rPr>
        <w:t>Source</w:t>
      </w:r>
      <w:r>
        <w:t>: Commission estimates based on Horticulture Australia Limited Annual Report 2011</w:t>
      </w:r>
      <w:r>
        <w:noBreakHyphen/>
        <w:t>12 (and earlier years).</w:t>
      </w:r>
    </w:p>
    <w:p w:rsidR="00A60FBC" w:rsidRDefault="00FA09C3" w:rsidP="00986DAE">
      <w:pPr>
        <w:pStyle w:val="Heading2"/>
      </w:pPr>
      <w:r>
        <w:t>A.</w:t>
      </w:r>
      <w:r>
        <w:rPr>
          <w:noProof/>
        </w:rPr>
        <w:t>38</w:t>
      </w:r>
      <w:r w:rsidR="00986DAE">
        <w:tab/>
      </w:r>
      <w:r w:rsidR="00001A28">
        <w:t>TRADEX</w:t>
      </w:r>
      <w:r w:rsidR="00986DAE">
        <w:t xml:space="preserve"> Scheme</w:t>
      </w:r>
    </w:p>
    <w:p w:rsidR="00F655BF" w:rsidRDefault="00F655BF" w:rsidP="00F655BF">
      <w:pPr>
        <w:pStyle w:val="BodyText"/>
      </w:pPr>
      <w:r>
        <w:t xml:space="preserve">The Tradex scheme provides an up-front exemption from Customs duty (and the Goods and Services Tax (GST)) on imported goods intended for export or to be used as inputs to exports. The scheme provides an alternative to the Customs duty drawback scheme (see item A.31) which requires an up-front payment of Customs duty and GST and then the subsequent recovery of these taxes when the goods have been exported. Under the Tradex scheme, goods must be exported within 12 months </w:t>
      </w:r>
      <w:r>
        <w:lastRenderedPageBreak/>
        <w:t xml:space="preserve">of importation, although approval can be sought to extend this period </w:t>
      </w:r>
      <w:r w:rsidRPr="000138D9">
        <w:t>(</w:t>
      </w:r>
      <w:r w:rsidRPr="00504EC1">
        <w:t>AusIndustry 2010</w:t>
      </w:r>
      <w:r w:rsidRPr="000138D9">
        <w:t>)</w:t>
      </w:r>
      <w:r>
        <w:t>.</w:t>
      </w:r>
    </w:p>
    <w:p w:rsidR="00F655BF" w:rsidRDefault="00F655BF" w:rsidP="00F655BF">
      <w:pPr>
        <w:pStyle w:val="BodyText"/>
      </w:pPr>
      <w:r>
        <w:t>The Commission has obtained data from DIISR detailing the industry incidence and total revenue forgone from the scheme. This information has been used to allocate the revenue forgone from the scheme to the Commission’s ANZSIC-based industry groupings (table A.38).</w:t>
      </w:r>
    </w:p>
    <w:p w:rsidR="00986DAE" w:rsidRDefault="00986DAE" w:rsidP="00986DAE">
      <w:pPr>
        <w:pStyle w:val="TableTitle"/>
      </w:pPr>
      <w:r>
        <w:rPr>
          <w:b w:val="0"/>
        </w:rPr>
        <w:t xml:space="preserve">Table </w:t>
      </w:r>
      <w:r w:rsidR="00FA09C3">
        <w:rPr>
          <w:b w:val="0"/>
        </w:rPr>
        <w:t>A.</w:t>
      </w:r>
      <w:r w:rsidR="00FA09C3">
        <w:rPr>
          <w:b w:val="0"/>
          <w:noProof/>
        </w:rPr>
        <w:t>38</w:t>
      </w:r>
      <w:r>
        <w:tab/>
        <w:t xml:space="preserve">Allocation of TRADEX Scheme </w:t>
      </w:r>
      <w:r w:rsidR="00510A57" w:rsidRPr="00510A57">
        <w:t>to industry</w:t>
      </w:r>
      <w:r>
        <w:t>, 2006</w:t>
      </w:r>
      <w:r>
        <w:noBreakHyphen/>
        <w:t>07 to 2011</w:t>
      </w:r>
      <w:r>
        <w:noBreakHyphen/>
        <w:t>12</w:t>
      </w:r>
    </w:p>
    <w:p w:rsidR="00986DAE" w:rsidRDefault="00986DAE" w:rsidP="00986DAE">
      <w:pPr>
        <w:pStyle w:val="Subtitle"/>
      </w:pPr>
      <w:r>
        <w:t>$ million (nominal)</w:t>
      </w:r>
    </w:p>
    <w:tbl>
      <w:tblPr>
        <w:tblW w:w="5000" w:type="pct"/>
        <w:tblCellMar>
          <w:left w:w="0" w:type="dxa"/>
          <w:right w:w="0" w:type="dxa"/>
        </w:tblCellMar>
        <w:tblLook w:val="0000" w:firstRow="0" w:lastRow="0" w:firstColumn="0" w:lastColumn="0" w:noHBand="0" w:noVBand="0"/>
      </w:tblPr>
      <w:tblGrid>
        <w:gridCol w:w="3845"/>
        <w:gridCol w:w="825"/>
        <w:gridCol w:w="824"/>
        <w:gridCol w:w="824"/>
        <w:gridCol w:w="824"/>
        <w:gridCol w:w="824"/>
        <w:gridCol w:w="823"/>
      </w:tblGrid>
      <w:tr w:rsidR="00986DAE" w:rsidRPr="00AF699A" w:rsidTr="00986DAE">
        <w:tc>
          <w:tcPr>
            <w:tcW w:w="2187" w:type="pct"/>
            <w:tcBorders>
              <w:top w:val="single" w:sz="6" w:space="0" w:color="auto"/>
              <w:bottom w:val="single" w:sz="6" w:space="0" w:color="auto"/>
            </w:tcBorders>
          </w:tcPr>
          <w:p w:rsidR="00986DAE" w:rsidRPr="00AF699A" w:rsidRDefault="00986DAE" w:rsidP="00AB38B4">
            <w:pPr>
              <w:pStyle w:val="TableColumnHeading"/>
              <w:jc w:val="left"/>
              <w:rPr>
                <w:rFonts w:cs="Arial"/>
                <w:sz w:val="18"/>
                <w:szCs w:val="18"/>
              </w:rPr>
            </w:pPr>
            <w:r w:rsidRPr="00AF699A">
              <w:rPr>
                <w:rFonts w:cs="Arial"/>
                <w:sz w:val="18"/>
                <w:szCs w:val="18"/>
              </w:rPr>
              <w:t>Industry grouping</w:t>
            </w:r>
          </w:p>
        </w:tc>
        <w:tc>
          <w:tcPr>
            <w:tcW w:w="469" w:type="pct"/>
            <w:tcBorders>
              <w:top w:val="single" w:sz="6" w:space="0" w:color="auto"/>
              <w:bottom w:val="single" w:sz="6" w:space="0" w:color="auto"/>
            </w:tcBorders>
          </w:tcPr>
          <w:p w:rsidR="00986DAE" w:rsidRPr="00AF699A" w:rsidRDefault="00986DAE" w:rsidP="00AB38B4">
            <w:pPr>
              <w:pStyle w:val="TableColumnHeading"/>
              <w:ind w:right="28"/>
              <w:rPr>
                <w:rFonts w:cs="Arial"/>
                <w:sz w:val="18"/>
                <w:szCs w:val="18"/>
              </w:rPr>
            </w:pPr>
            <w:r w:rsidRPr="00AF699A">
              <w:rPr>
                <w:rFonts w:cs="Arial"/>
                <w:sz w:val="18"/>
                <w:szCs w:val="18"/>
              </w:rPr>
              <w:t>2006-07</w:t>
            </w:r>
          </w:p>
        </w:tc>
        <w:tc>
          <w:tcPr>
            <w:tcW w:w="469" w:type="pct"/>
            <w:tcBorders>
              <w:top w:val="single" w:sz="6" w:space="0" w:color="auto"/>
              <w:bottom w:val="single" w:sz="6" w:space="0" w:color="auto"/>
            </w:tcBorders>
          </w:tcPr>
          <w:p w:rsidR="00986DAE" w:rsidRPr="00AF699A" w:rsidRDefault="00986DAE" w:rsidP="00AB38B4">
            <w:pPr>
              <w:pStyle w:val="TableColumnHeading"/>
              <w:ind w:right="28"/>
              <w:rPr>
                <w:rFonts w:cs="Arial"/>
                <w:sz w:val="18"/>
                <w:szCs w:val="18"/>
              </w:rPr>
            </w:pPr>
            <w:r w:rsidRPr="00AF699A">
              <w:rPr>
                <w:rFonts w:cs="Arial"/>
                <w:sz w:val="18"/>
                <w:szCs w:val="18"/>
              </w:rPr>
              <w:t>2007-08</w:t>
            </w:r>
          </w:p>
        </w:tc>
        <w:tc>
          <w:tcPr>
            <w:tcW w:w="469" w:type="pct"/>
            <w:tcBorders>
              <w:top w:val="single" w:sz="6" w:space="0" w:color="auto"/>
              <w:bottom w:val="single" w:sz="6" w:space="0" w:color="auto"/>
            </w:tcBorders>
          </w:tcPr>
          <w:p w:rsidR="00986DAE" w:rsidRPr="00AF699A" w:rsidRDefault="00986DAE" w:rsidP="00AB38B4">
            <w:pPr>
              <w:pStyle w:val="TableColumnHeading"/>
              <w:ind w:right="28"/>
              <w:rPr>
                <w:rFonts w:cs="Arial"/>
                <w:sz w:val="18"/>
                <w:szCs w:val="18"/>
              </w:rPr>
            </w:pPr>
            <w:r w:rsidRPr="00AF699A">
              <w:rPr>
                <w:rFonts w:cs="Arial"/>
                <w:sz w:val="18"/>
                <w:szCs w:val="18"/>
              </w:rPr>
              <w:t>2008-09</w:t>
            </w:r>
          </w:p>
        </w:tc>
        <w:tc>
          <w:tcPr>
            <w:tcW w:w="469" w:type="pct"/>
            <w:tcBorders>
              <w:top w:val="single" w:sz="6" w:space="0" w:color="auto"/>
              <w:bottom w:val="single" w:sz="6" w:space="0" w:color="auto"/>
            </w:tcBorders>
          </w:tcPr>
          <w:p w:rsidR="00986DAE" w:rsidRPr="00AF699A" w:rsidRDefault="00986DAE" w:rsidP="00AB38B4">
            <w:pPr>
              <w:pStyle w:val="TableColumnHeading"/>
              <w:ind w:right="28"/>
              <w:rPr>
                <w:rFonts w:cs="Arial"/>
                <w:sz w:val="18"/>
                <w:szCs w:val="18"/>
              </w:rPr>
            </w:pPr>
            <w:r w:rsidRPr="00AF699A">
              <w:rPr>
                <w:rFonts w:cs="Arial"/>
                <w:sz w:val="18"/>
                <w:szCs w:val="18"/>
              </w:rPr>
              <w:t>2009-10</w:t>
            </w:r>
          </w:p>
        </w:tc>
        <w:tc>
          <w:tcPr>
            <w:tcW w:w="469" w:type="pct"/>
            <w:tcBorders>
              <w:top w:val="single" w:sz="6" w:space="0" w:color="auto"/>
              <w:bottom w:val="single" w:sz="6" w:space="0" w:color="auto"/>
            </w:tcBorders>
            <w:shd w:val="clear" w:color="auto" w:fill="auto"/>
          </w:tcPr>
          <w:p w:rsidR="00986DAE" w:rsidRPr="00AF699A" w:rsidRDefault="00986DAE" w:rsidP="00AB38B4">
            <w:pPr>
              <w:pStyle w:val="TableColumnHeading"/>
              <w:ind w:right="28"/>
              <w:rPr>
                <w:rFonts w:cs="Arial"/>
                <w:sz w:val="18"/>
                <w:szCs w:val="18"/>
              </w:rPr>
            </w:pPr>
            <w:r w:rsidRPr="00AF699A">
              <w:rPr>
                <w:rFonts w:cs="Arial"/>
                <w:sz w:val="18"/>
                <w:szCs w:val="18"/>
              </w:rPr>
              <w:t>2010-11</w:t>
            </w:r>
          </w:p>
        </w:tc>
        <w:tc>
          <w:tcPr>
            <w:tcW w:w="468" w:type="pct"/>
            <w:tcBorders>
              <w:top w:val="single" w:sz="6" w:space="0" w:color="auto"/>
              <w:bottom w:val="single" w:sz="6" w:space="0" w:color="auto"/>
            </w:tcBorders>
            <w:shd w:val="clear" w:color="auto" w:fill="auto"/>
          </w:tcPr>
          <w:p w:rsidR="00986DAE" w:rsidRPr="00AF699A" w:rsidRDefault="00986DAE" w:rsidP="00AB38B4">
            <w:pPr>
              <w:pStyle w:val="TableColumnHeading"/>
              <w:ind w:right="28"/>
              <w:rPr>
                <w:rFonts w:cs="Arial"/>
                <w:sz w:val="18"/>
                <w:szCs w:val="18"/>
              </w:rPr>
            </w:pPr>
            <w:r w:rsidRPr="00AF699A">
              <w:rPr>
                <w:rFonts w:cs="Arial"/>
                <w:sz w:val="18"/>
                <w:szCs w:val="18"/>
              </w:rPr>
              <w:t>2011-12</w:t>
            </w:r>
          </w:p>
        </w:tc>
      </w:tr>
      <w:tr w:rsidR="00986DAE" w:rsidRPr="00AF699A" w:rsidTr="00986DAE">
        <w:tc>
          <w:tcPr>
            <w:tcW w:w="2187" w:type="pct"/>
            <w:tcBorders>
              <w:top w:val="single" w:sz="6" w:space="0" w:color="auto"/>
            </w:tcBorders>
            <w:vAlign w:val="bottom"/>
          </w:tcPr>
          <w:p w:rsidR="00986DAE" w:rsidRPr="009D43B4" w:rsidRDefault="00986DAE" w:rsidP="00AB38B4">
            <w:pPr>
              <w:pStyle w:val="TableBodyText"/>
              <w:jc w:val="left"/>
              <w:rPr>
                <w:b/>
                <w:sz w:val="18"/>
                <w:szCs w:val="18"/>
              </w:rPr>
            </w:pPr>
            <w:r w:rsidRPr="009D43B4">
              <w:rPr>
                <w:b/>
                <w:sz w:val="18"/>
                <w:szCs w:val="18"/>
              </w:rPr>
              <w:t>Primary production</w:t>
            </w:r>
          </w:p>
        </w:tc>
        <w:tc>
          <w:tcPr>
            <w:tcW w:w="469" w:type="pct"/>
            <w:tcBorders>
              <w:top w:val="single" w:sz="6" w:space="0" w:color="auto"/>
            </w:tcBorders>
            <w:vAlign w:val="bottom"/>
          </w:tcPr>
          <w:p w:rsidR="00986DAE" w:rsidRPr="00D20EC8" w:rsidRDefault="00986DAE" w:rsidP="00986DAE">
            <w:pPr>
              <w:pStyle w:val="TableBodyText"/>
              <w:rPr>
                <w:b/>
                <w:sz w:val="18"/>
                <w:szCs w:val="18"/>
              </w:rPr>
            </w:pPr>
            <w:r w:rsidRPr="00D20EC8">
              <w:rPr>
                <w:b/>
                <w:sz w:val="18"/>
                <w:szCs w:val="18"/>
              </w:rPr>
              <w:t>0.6</w:t>
            </w:r>
          </w:p>
        </w:tc>
        <w:tc>
          <w:tcPr>
            <w:tcW w:w="469" w:type="pct"/>
            <w:tcBorders>
              <w:top w:val="single" w:sz="6" w:space="0" w:color="auto"/>
            </w:tcBorders>
            <w:vAlign w:val="bottom"/>
          </w:tcPr>
          <w:p w:rsidR="00986DAE" w:rsidRPr="00D20EC8" w:rsidRDefault="00986DAE" w:rsidP="00986DAE">
            <w:pPr>
              <w:pStyle w:val="TableBodyText"/>
              <w:rPr>
                <w:b/>
                <w:sz w:val="18"/>
                <w:szCs w:val="18"/>
              </w:rPr>
            </w:pPr>
            <w:r w:rsidRPr="00D20EC8">
              <w:rPr>
                <w:b/>
                <w:sz w:val="18"/>
                <w:szCs w:val="18"/>
              </w:rPr>
              <w:t>0.6</w:t>
            </w:r>
          </w:p>
        </w:tc>
        <w:tc>
          <w:tcPr>
            <w:tcW w:w="469" w:type="pct"/>
            <w:tcBorders>
              <w:top w:val="single" w:sz="6" w:space="0" w:color="auto"/>
            </w:tcBorders>
            <w:vAlign w:val="bottom"/>
          </w:tcPr>
          <w:p w:rsidR="00986DAE" w:rsidRPr="00D20EC8" w:rsidRDefault="00986DAE" w:rsidP="00986DAE">
            <w:pPr>
              <w:pStyle w:val="TableBodyText"/>
              <w:rPr>
                <w:b/>
                <w:sz w:val="18"/>
                <w:szCs w:val="18"/>
              </w:rPr>
            </w:pPr>
            <w:r w:rsidRPr="00D20EC8">
              <w:rPr>
                <w:b/>
                <w:sz w:val="18"/>
                <w:szCs w:val="18"/>
              </w:rPr>
              <w:t>0.6</w:t>
            </w:r>
          </w:p>
        </w:tc>
        <w:tc>
          <w:tcPr>
            <w:tcW w:w="469" w:type="pct"/>
            <w:tcBorders>
              <w:top w:val="single" w:sz="6" w:space="0" w:color="auto"/>
            </w:tcBorders>
            <w:vAlign w:val="bottom"/>
          </w:tcPr>
          <w:p w:rsidR="00986DAE" w:rsidRPr="00D20EC8" w:rsidRDefault="00986DAE" w:rsidP="00986DAE">
            <w:pPr>
              <w:pStyle w:val="TableBodyText"/>
              <w:rPr>
                <w:b/>
                <w:sz w:val="18"/>
                <w:szCs w:val="18"/>
              </w:rPr>
            </w:pPr>
            <w:r w:rsidRPr="00D20EC8">
              <w:rPr>
                <w:b/>
                <w:sz w:val="18"/>
                <w:szCs w:val="18"/>
              </w:rPr>
              <w:t>0.5</w:t>
            </w:r>
          </w:p>
        </w:tc>
        <w:tc>
          <w:tcPr>
            <w:tcW w:w="469" w:type="pct"/>
            <w:tcBorders>
              <w:top w:val="single" w:sz="6" w:space="0" w:color="auto"/>
            </w:tcBorders>
            <w:vAlign w:val="bottom"/>
          </w:tcPr>
          <w:p w:rsidR="00986DAE" w:rsidRPr="00D20EC8" w:rsidRDefault="00986DAE" w:rsidP="00986DAE">
            <w:pPr>
              <w:pStyle w:val="TableBodyText"/>
              <w:rPr>
                <w:b/>
                <w:sz w:val="18"/>
                <w:szCs w:val="18"/>
              </w:rPr>
            </w:pPr>
            <w:r w:rsidRPr="00D20EC8">
              <w:rPr>
                <w:b/>
                <w:sz w:val="18"/>
                <w:szCs w:val="18"/>
              </w:rPr>
              <w:t>0.3</w:t>
            </w:r>
          </w:p>
        </w:tc>
        <w:tc>
          <w:tcPr>
            <w:tcW w:w="468" w:type="pct"/>
            <w:tcBorders>
              <w:top w:val="single" w:sz="6" w:space="0" w:color="auto"/>
            </w:tcBorders>
            <w:vAlign w:val="bottom"/>
          </w:tcPr>
          <w:p w:rsidR="00986DAE" w:rsidRPr="00D20EC8" w:rsidRDefault="00986DAE" w:rsidP="00986DAE">
            <w:pPr>
              <w:pStyle w:val="TableBodyText"/>
              <w:rPr>
                <w:b/>
                <w:sz w:val="18"/>
                <w:szCs w:val="18"/>
              </w:rPr>
            </w:pPr>
            <w:r w:rsidRPr="00D20EC8">
              <w:rPr>
                <w:b/>
                <w:sz w:val="18"/>
                <w:szCs w:val="18"/>
              </w:rPr>
              <w:t>0.3</w:t>
            </w:r>
          </w:p>
        </w:tc>
      </w:tr>
      <w:tr w:rsidR="00986DAE" w:rsidRPr="00AF699A" w:rsidTr="00986DAE">
        <w:tc>
          <w:tcPr>
            <w:tcW w:w="2187" w:type="pct"/>
            <w:vAlign w:val="bottom"/>
          </w:tcPr>
          <w:p w:rsidR="00986DAE" w:rsidRPr="009D43B4" w:rsidRDefault="00986DAE" w:rsidP="008375B7">
            <w:pPr>
              <w:pStyle w:val="TableBodyText"/>
              <w:ind w:left="0"/>
              <w:jc w:val="left"/>
              <w:rPr>
                <w:sz w:val="18"/>
                <w:szCs w:val="18"/>
              </w:rPr>
            </w:pPr>
            <w:r w:rsidRPr="009D43B4">
              <w:rPr>
                <w:sz w:val="18"/>
                <w:szCs w:val="18"/>
              </w:rPr>
              <w:t>Dairy cattle farming</w:t>
            </w:r>
          </w:p>
        </w:tc>
        <w:tc>
          <w:tcPr>
            <w:tcW w:w="469" w:type="pct"/>
            <w:vAlign w:val="bottom"/>
          </w:tcPr>
          <w:p w:rsidR="00986DAE" w:rsidRPr="00986DAE" w:rsidRDefault="00986DAE" w:rsidP="00986DAE">
            <w:pPr>
              <w:pStyle w:val="TableBodyText"/>
              <w:rPr>
                <w:sz w:val="18"/>
                <w:szCs w:val="18"/>
              </w:rPr>
            </w:pPr>
            <w:r w:rsidRPr="00986DAE">
              <w:rPr>
                <w:sz w:val="18"/>
                <w:szCs w:val="18"/>
              </w:rPr>
              <w:t>0.6</w:t>
            </w:r>
          </w:p>
        </w:tc>
        <w:tc>
          <w:tcPr>
            <w:tcW w:w="469" w:type="pct"/>
            <w:vAlign w:val="bottom"/>
          </w:tcPr>
          <w:p w:rsidR="00986DAE" w:rsidRPr="00986DAE" w:rsidRDefault="00986DAE" w:rsidP="00986DAE">
            <w:pPr>
              <w:pStyle w:val="TableBodyText"/>
              <w:rPr>
                <w:sz w:val="18"/>
                <w:szCs w:val="18"/>
              </w:rPr>
            </w:pPr>
            <w:r w:rsidRPr="00986DAE">
              <w:rPr>
                <w:sz w:val="18"/>
                <w:szCs w:val="18"/>
              </w:rPr>
              <w:t>0.6</w:t>
            </w:r>
          </w:p>
        </w:tc>
        <w:tc>
          <w:tcPr>
            <w:tcW w:w="469" w:type="pct"/>
            <w:vAlign w:val="bottom"/>
          </w:tcPr>
          <w:p w:rsidR="00986DAE" w:rsidRPr="00986DAE" w:rsidRDefault="00986DAE" w:rsidP="00986DAE">
            <w:pPr>
              <w:pStyle w:val="TableBodyText"/>
              <w:rPr>
                <w:sz w:val="18"/>
                <w:szCs w:val="18"/>
              </w:rPr>
            </w:pPr>
            <w:r w:rsidRPr="00986DAE">
              <w:rPr>
                <w:sz w:val="18"/>
                <w:szCs w:val="18"/>
              </w:rPr>
              <w:t>0.5</w:t>
            </w:r>
          </w:p>
        </w:tc>
        <w:tc>
          <w:tcPr>
            <w:tcW w:w="469" w:type="pct"/>
            <w:vAlign w:val="bottom"/>
          </w:tcPr>
          <w:p w:rsidR="00986DAE" w:rsidRPr="00986DAE" w:rsidRDefault="00986DAE" w:rsidP="00986DAE">
            <w:pPr>
              <w:pStyle w:val="TableBodyText"/>
              <w:rPr>
                <w:sz w:val="18"/>
                <w:szCs w:val="18"/>
              </w:rPr>
            </w:pPr>
            <w:r w:rsidRPr="00986DAE">
              <w:rPr>
                <w:sz w:val="18"/>
                <w:szCs w:val="18"/>
              </w:rPr>
              <w:t>0.5</w:t>
            </w:r>
          </w:p>
        </w:tc>
        <w:tc>
          <w:tcPr>
            <w:tcW w:w="469" w:type="pct"/>
            <w:shd w:val="clear" w:color="auto" w:fill="auto"/>
            <w:vAlign w:val="bottom"/>
          </w:tcPr>
          <w:p w:rsidR="00986DAE" w:rsidRPr="00986DAE" w:rsidRDefault="00986DAE" w:rsidP="00986DAE">
            <w:pPr>
              <w:pStyle w:val="TableBodyText"/>
              <w:rPr>
                <w:sz w:val="18"/>
                <w:szCs w:val="18"/>
              </w:rPr>
            </w:pPr>
            <w:r w:rsidRPr="00986DAE">
              <w:rPr>
                <w:sz w:val="18"/>
                <w:szCs w:val="18"/>
              </w:rPr>
              <w:t>0.3</w:t>
            </w:r>
          </w:p>
        </w:tc>
        <w:tc>
          <w:tcPr>
            <w:tcW w:w="468" w:type="pct"/>
            <w:shd w:val="clear" w:color="auto" w:fill="auto"/>
            <w:vAlign w:val="bottom"/>
          </w:tcPr>
          <w:p w:rsidR="00986DAE" w:rsidRPr="00986DAE" w:rsidRDefault="00986DAE" w:rsidP="00986DAE">
            <w:pPr>
              <w:pStyle w:val="TableBodyText"/>
              <w:rPr>
                <w:sz w:val="18"/>
                <w:szCs w:val="18"/>
              </w:rPr>
            </w:pPr>
            <w:r w:rsidRPr="00986DAE">
              <w:rPr>
                <w:sz w:val="18"/>
                <w:szCs w:val="18"/>
              </w:rPr>
              <w:t>0.3</w:t>
            </w:r>
          </w:p>
        </w:tc>
      </w:tr>
      <w:tr w:rsidR="00986DAE" w:rsidRPr="00AF699A" w:rsidTr="00986DAE">
        <w:tc>
          <w:tcPr>
            <w:tcW w:w="2187" w:type="pct"/>
            <w:vAlign w:val="bottom"/>
          </w:tcPr>
          <w:p w:rsidR="00986DAE" w:rsidRPr="009D43B4" w:rsidRDefault="00986DAE" w:rsidP="008375B7">
            <w:pPr>
              <w:pStyle w:val="TableBodyText"/>
              <w:ind w:left="0"/>
              <w:jc w:val="left"/>
              <w:rPr>
                <w:sz w:val="18"/>
                <w:szCs w:val="18"/>
              </w:rPr>
            </w:pPr>
            <w:r w:rsidRPr="009D43B4">
              <w:rPr>
                <w:sz w:val="18"/>
                <w:szCs w:val="18"/>
              </w:rPr>
              <w:t>Aquaculture and fishing</w:t>
            </w:r>
          </w:p>
        </w:tc>
        <w:tc>
          <w:tcPr>
            <w:tcW w:w="469" w:type="pct"/>
            <w:vAlign w:val="bottom"/>
          </w:tcPr>
          <w:p w:rsidR="00986DAE" w:rsidRPr="00986DAE" w:rsidRDefault="00986DAE" w:rsidP="00986DAE">
            <w:pPr>
              <w:pStyle w:val="TableBodyText"/>
              <w:rPr>
                <w:sz w:val="18"/>
                <w:szCs w:val="18"/>
              </w:rPr>
            </w:pPr>
            <w:r>
              <w:rPr>
                <w:sz w:val="18"/>
                <w:szCs w:val="18"/>
              </w:rPr>
              <w:t>&lt;</w:t>
            </w:r>
            <w:r w:rsidRPr="00986DAE">
              <w:rPr>
                <w:sz w:val="18"/>
                <w:szCs w:val="18"/>
              </w:rPr>
              <w:t>0.</w:t>
            </w:r>
            <w:r>
              <w:rPr>
                <w:sz w:val="18"/>
                <w:szCs w:val="18"/>
              </w:rPr>
              <w:t>1</w:t>
            </w:r>
          </w:p>
        </w:tc>
        <w:tc>
          <w:tcPr>
            <w:tcW w:w="469" w:type="pct"/>
            <w:vAlign w:val="bottom"/>
          </w:tcPr>
          <w:p w:rsidR="00986DAE" w:rsidRPr="00986DAE" w:rsidRDefault="00986DAE" w:rsidP="00986DAE">
            <w:pPr>
              <w:pStyle w:val="TableBodyText"/>
              <w:rPr>
                <w:sz w:val="18"/>
                <w:szCs w:val="18"/>
              </w:rPr>
            </w:pPr>
            <w:r>
              <w:rPr>
                <w:sz w:val="18"/>
                <w:szCs w:val="18"/>
              </w:rPr>
              <w:t>&lt;</w:t>
            </w:r>
            <w:r w:rsidRPr="00986DAE">
              <w:rPr>
                <w:sz w:val="18"/>
                <w:szCs w:val="18"/>
              </w:rPr>
              <w:t>0.</w:t>
            </w:r>
            <w:r>
              <w:rPr>
                <w:sz w:val="18"/>
                <w:szCs w:val="18"/>
              </w:rPr>
              <w:t>1</w:t>
            </w:r>
          </w:p>
        </w:tc>
        <w:tc>
          <w:tcPr>
            <w:tcW w:w="469" w:type="pct"/>
            <w:vAlign w:val="bottom"/>
          </w:tcPr>
          <w:p w:rsidR="00986DAE" w:rsidRPr="00986DAE" w:rsidRDefault="00986DAE" w:rsidP="00986DAE">
            <w:pPr>
              <w:pStyle w:val="TableBodyText"/>
              <w:rPr>
                <w:sz w:val="18"/>
                <w:szCs w:val="18"/>
              </w:rPr>
            </w:pPr>
            <w:r>
              <w:rPr>
                <w:sz w:val="18"/>
                <w:szCs w:val="18"/>
              </w:rPr>
              <w:t>&lt;</w:t>
            </w:r>
            <w:r w:rsidRPr="00986DAE">
              <w:rPr>
                <w:sz w:val="18"/>
                <w:szCs w:val="18"/>
              </w:rPr>
              <w:t>0.</w:t>
            </w:r>
            <w:r>
              <w:rPr>
                <w:sz w:val="18"/>
                <w:szCs w:val="18"/>
              </w:rPr>
              <w:t>1</w:t>
            </w:r>
          </w:p>
        </w:tc>
        <w:tc>
          <w:tcPr>
            <w:tcW w:w="469" w:type="pct"/>
            <w:vAlign w:val="bottom"/>
          </w:tcPr>
          <w:p w:rsidR="00986DAE" w:rsidRPr="00986DAE" w:rsidRDefault="00986DAE" w:rsidP="00986DAE">
            <w:pPr>
              <w:pStyle w:val="TableBodyText"/>
              <w:rPr>
                <w:sz w:val="18"/>
                <w:szCs w:val="18"/>
              </w:rPr>
            </w:pPr>
            <w:r>
              <w:rPr>
                <w:sz w:val="18"/>
                <w:szCs w:val="18"/>
              </w:rPr>
              <w:t>&lt;</w:t>
            </w:r>
            <w:r w:rsidRPr="00986DAE">
              <w:rPr>
                <w:sz w:val="18"/>
                <w:szCs w:val="18"/>
              </w:rPr>
              <w:t>0.</w:t>
            </w:r>
            <w:r>
              <w:rPr>
                <w:sz w:val="18"/>
                <w:szCs w:val="18"/>
              </w:rPr>
              <w:t>1</w:t>
            </w:r>
          </w:p>
        </w:tc>
        <w:tc>
          <w:tcPr>
            <w:tcW w:w="469" w:type="pct"/>
            <w:shd w:val="clear" w:color="auto" w:fill="auto"/>
            <w:vAlign w:val="bottom"/>
          </w:tcPr>
          <w:p w:rsidR="00986DAE" w:rsidRPr="00986DAE" w:rsidRDefault="00986DAE" w:rsidP="00986DAE">
            <w:pPr>
              <w:pStyle w:val="TableBodyText"/>
              <w:rPr>
                <w:sz w:val="18"/>
                <w:szCs w:val="18"/>
              </w:rPr>
            </w:pPr>
            <w:r>
              <w:rPr>
                <w:sz w:val="18"/>
                <w:szCs w:val="18"/>
              </w:rPr>
              <w:t>&lt;</w:t>
            </w:r>
            <w:r w:rsidRPr="00986DAE">
              <w:rPr>
                <w:sz w:val="18"/>
                <w:szCs w:val="18"/>
              </w:rPr>
              <w:t>0.</w:t>
            </w:r>
            <w:r>
              <w:rPr>
                <w:sz w:val="18"/>
                <w:szCs w:val="18"/>
              </w:rPr>
              <w:t>1</w:t>
            </w:r>
          </w:p>
        </w:tc>
        <w:tc>
          <w:tcPr>
            <w:tcW w:w="468" w:type="pct"/>
            <w:shd w:val="clear" w:color="auto" w:fill="auto"/>
            <w:vAlign w:val="bottom"/>
          </w:tcPr>
          <w:p w:rsidR="00986DAE" w:rsidRPr="00986DAE" w:rsidRDefault="00986DAE" w:rsidP="00986DAE">
            <w:pPr>
              <w:pStyle w:val="TableBodyText"/>
              <w:rPr>
                <w:sz w:val="18"/>
                <w:szCs w:val="18"/>
              </w:rPr>
            </w:pPr>
            <w:r>
              <w:rPr>
                <w:sz w:val="18"/>
                <w:szCs w:val="18"/>
              </w:rPr>
              <w:t>&lt;</w:t>
            </w:r>
            <w:r w:rsidRPr="00986DAE">
              <w:rPr>
                <w:sz w:val="18"/>
                <w:szCs w:val="18"/>
              </w:rPr>
              <w:t>0.</w:t>
            </w:r>
            <w:r>
              <w:rPr>
                <w:sz w:val="18"/>
                <w:szCs w:val="18"/>
              </w:rPr>
              <w:t>1</w:t>
            </w:r>
          </w:p>
        </w:tc>
      </w:tr>
      <w:tr w:rsidR="00986DAE" w:rsidRPr="00AF699A" w:rsidTr="00986DAE">
        <w:tc>
          <w:tcPr>
            <w:tcW w:w="2187" w:type="pct"/>
            <w:vAlign w:val="bottom"/>
          </w:tcPr>
          <w:p w:rsidR="00986DAE" w:rsidRPr="009D43B4" w:rsidRDefault="00986DAE" w:rsidP="008375B7">
            <w:pPr>
              <w:pStyle w:val="TableBodyText"/>
              <w:ind w:left="0"/>
              <w:jc w:val="left"/>
              <w:rPr>
                <w:sz w:val="18"/>
                <w:szCs w:val="18"/>
              </w:rPr>
            </w:pPr>
            <w:r w:rsidRPr="009D43B4">
              <w:rPr>
                <w:sz w:val="18"/>
                <w:szCs w:val="18"/>
              </w:rPr>
              <w:t>Primary production support services</w:t>
            </w:r>
          </w:p>
        </w:tc>
        <w:tc>
          <w:tcPr>
            <w:tcW w:w="469" w:type="pct"/>
            <w:vAlign w:val="bottom"/>
          </w:tcPr>
          <w:p w:rsidR="00986DAE" w:rsidRPr="00986DAE" w:rsidRDefault="00986DAE" w:rsidP="00986DAE">
            <w:pPr>
              <w:pStyle w:val="TableBodyText"/>
              <w:rPr>
                <w:sz w:val="18"/>
                <w:szCs w:val="18"/>
              </w:rPr>
            </w:pPr>
            <w:r>
              <w:rPr>
                <w:sz w:val="18"/>
                <w:szCs w:val="18"/>
              </w:rPr>
              <w:t>&lt;</w:t>
            </w:r>
            <w:r w:rsidRPr="00986DAE">
              <w:rPr>
                <w:sz w:val="18"/>
                <w:szCs w:val="18"/>
              </w:rPr>
              <w:t>0.</w:t>
            </w:r>
            <w:r>
              <w:rPr>
                <w:sz w:val="18"/>
                <w:szCs w:val="18"/>
              </w:rPr>
              <w:t>1</w:t>
            </w:r>
          </w:p>
        </w:tc>
        <w:tc>
          <w:tcPr>
            <w:tcW w:w="469" w:type="pct"/>
            <w:vAlign w:val="bottom"/>
          </w:tcPr>
          <w:p w:rsidR="00986DAE" w:rsidRPr="00986DAE" w:rsidRDefault="00986DAE" w:rsidP="00986DAE">
            <w:pPr>
              <w:pStyle w:val="TableBodyText"/>
              <w:rPr>
                <w:sz w:val="18"/>
                <w:szCs w:val="18"/>
              </w:rPr>
            </w:pPr>
            <w:r>
              <w:rPr>
                <w:sz w:val="18"/>
                <w:szCs w:val="18"/>
              </w:rPr>
              <w:t>&lt;</w:t>
            </w:r>
            <w:r w:rsidRPr="00986DAE">
              <w:rPr>
                <w:sz w:val="18"/>
                <w:szCs w:val="18"/>
              </w:rPr>
              <w:t>0.</w:t>
            </w:r>
            <w:r>
              <w:rPr>
                <w:sz w:val="18"/>
                <w:szCs w:val="18"/>
              </w:rPr>
              <w:t>1</w:t>
            </w:r>
          </w:p>
        </w:tc>
        <w:tc>
          <w:tcPr>
            <w:tcW w:w="469" w:type="pct"/>
            <w:vAlign w:val="bottom"/>
          </w:tcPr>
          <w:p w:rsidR="00986DAE" w:rsidRPr="00986DAE" w:rsidRDefault="00986DAE" w:rsidP="00986DAE">
            <w:pPr>
              <w:pStyle w:val="TableBodyText"/>
              <w:rPr>
                <w:sz w:val="18"/>
                <w:szCs w:val="18"/>
              </w:rPr>
            </w:pPr>
            <w:r>
              <w:rPr>
                <w:sz w:val="18"/>
                <w:szCs w:val="18"/>
              </w:rPr>
              <w:t>&lt;</w:t>
            </w:r>
            <w:r w:rsidRPr="00986DAE">
              <w:rPr>
                <w:sz w:val="18"/>
                <w:szCs w:val="18"/>
              </w:rPr>
              <w:t>0.</w:t>
            </w:r>
            <w:r>
              <w:rPr>
                <w:sz w:val="18"/>
                <w:szCs w:val="18"/>
              </w:rPr>
              <w:t>1</w:t>
            </w:r>
          </w:p>
        </w:tc>
        <w:tc>
          <w:tcPr>
            <w:tcW w:w="469" w:type="pct"/>
            <w:vAlign w:val="bottom"/>
          </w:tcPr>
          <w:p w:rsidR="00986DAE" w:rsidRPr="00986DAE" w:rsidRDefault="00986DAE" w:rsidP="00986DAE">
            <w:pPr>
              <w:pStyle w:val="TableBodyText"/>
              <w:rPr>
                <w:sz w:val="18"/>
                <w:szCs w:val="18"/>
              </w:rPr>
            </w:pPr>
            <w:r>
              <w:rPr>
                <w:sz w:val="18"/>
                <w:szCs w:val="18"/>
              </w:rPr>
              <w:t>&lt;</w:t>
            </w:r>
            <w:r w:rsidRPr="00986DAE">
              <w:rPr>
                <w:sz w:val="18"/>
                <w:szCs w:val="18"/>
              </w:rPr>
              <w:t>0.</w:t>
            </w:r>
            <w:r>
              <w:rPr>
                <w:sz w:val="18"/>
                <w:szCs w:val="18"/>
              </w:rPr>
              <w:t>1</w:t>
            </w:r>
          </w:p>
        </w:tc>
        <w:tc>
          <w:tcPr>
            <w:tcW w:w="469" w:type="pct"/>
            <w:shd w:val="clear" w:color="auto" w:fill="auto"/>
            <w:vAlign w:val="bottom"/>
          </w:tcPr>
          <w:p w:rsidR="00986DAE" w:rsidRPr="00986DAE" w:rsidRDefault="00986DAE" w:rsidP="00986DAE">
            <w:pPr>
              <w:pStyle w:val="TableBodyText"/>
              <w:rPr>
                <w:sz w:val="18"/>
                <w:szCs w:val="18"/>
              </w:rPr>
            </w:pPr>
            <w:r>
              <w:rPr>
                <w:sz w:val="18"/>
                <w:szCs w:val="18"/>
              </w:rPr>
              <w:t>&lt;</w:t>
            </w:r>
            <w:r w:rsidRPr="00986DAE">
              <w:rPr>
                <w:sz w:val="18"/>
                <w:szCs w:val="18"/>
              </w:rPr>
              <w:t>0.</w:t>
            </w:r>
            <w:r>
              <w:rPr>
                <w:sz w:val="18"/>
                <w:szCs w:val="18"/>
              </w:rPr>
              <w:t>1</w:t>
            </w:r>
          </w:p>
        </w:tc>
        <w:tc>
          <w:tcPr>
            <w:tcW w:w="468" w:type="pct"/>
            <w:shd w:val="clear" w:color="auto" w:fill="auto"/>
            <w:vAlign w:val="bottom"/>
          </w:tcPr>
          <w:p w:rsidR="00986DAE" w:rsidRPr="00986DAE" w:rsidRDefault="00986DAE" w:rsidP="00986DAE">
            <w:pPr>
              <w:pStyle w:val="TableBodyText"/>
              <w:rPr>
                <w:sz w:val="18"/>
                <w:szCs w:val="18"/>
              </w:rPr>
            </w:pPr>
            <w:r>
              <w:rPr>
                <w:sz w:val="18"/>
                <w:szCs w:val="18"/>
              </w:rPr>
              <w:t>&lt;</w:t>
            </w:r>
            <w:r w:rsidRPr="00986DAE">
              <w:rPr>
                <w:sz w:val="18"/>
                <w:szCs w:val="18"/>
              </w:rPr>
              <w:t>0.</w:t>
            </w:r>
            <w:r>
              <w:rPr>
                <w:sz w:val="18"/>
                <w:szCs w:val="18"/>
              </w:rPr>
              <w:t>1</w:t>
            </w:r>
          </w:p>
        </w:tc>
      </w:tr>
      <w:tr w:rsidR="00986DAE" w:rsidRPr="00AF699A" w:rsidTr="00986DAE">
        <w:tc>
          <w:tcPr>
            <w:tcW w:w="2187" w:type="pct"/>
            <w:vAlign w:val="bottom"/>
          </w:tcPr>
          <w:p w:rsidR="00986DAE" w:rsidRPr="009D43B4" w:rsidRDefault="00986DAE" w:rsidP="00AB38B4">
            <w:pPr>
              <w:pStyle w:val="TableBodyText"/>
              <w:jc w:val="left"/>
              <w:rPr>
                <w:b/>
                <w:sz w:val="18"/>
                <w:szCs w:val="18"/>
              </w:rPr>
            </w:pPr>
            <w:r w:rsidRPr="009D43B4">
              <w:rPr>
                <w:b/>
                <w:sz w:val="18"/>
                <w:szCs w:val="18"/>
              </w:rPr>
              <w:t>Mining</w:t>
            </w:r>
          </w:p>
        </w:tc>
        <w:tc>
          <w:tcPr>
            <w:tcW w:w="469" w:type="pct"/>
            <w:vAlign w:val="bottom"/>
          </w:tcPr>
          <w:p w:rsidR="00986DAE" w:rsidRPr="00D20EC8" w:rsidRDefault="00986DAE" w:rsidP="00986DAE">
            <w:pPr>
              <w:pStyle w:val="TableBodyText"/>
              <w:rPr>
                <w:b/>
                <w:sz w:val="18"/>
                <w:szCs w:val="18"/>
              </w:rPr>
            </w:pPr>
            <w:r w:rsidRPr="00D20EC8">
              <w:rPr>
                <w:b/>
                <w:sz w:val="18"/>
                <w:szCs w:val="18"/>
              </w:rPr>
              <w:t>0.6</w:t>
            </w:r>
          </w:p>
        </w:tc>
        <w:tc>
          <w:tcPr>
            <w:tcW w:w="469" w:type="pct"/>
            <w:vAlign w:val="bottom"/>
          </w:tcPr>
          <w:p w:rsidR="00986DAE" w:rsidRPr="00D20EC8" w:rsidRDefault="00986DAE" w:rsidP="00986DAE">
            <w:pPr>
              <w:pStyle w:val="TableBodyText"/>
              <w:rPr>
                <w:b/>
                <w:sz w:val="18"/>
                <w:szCs w:val="18"/>
              </w:rPr>
            </w:pPr>
            <w:r w:rsidRPr="00D20EC8">
              <w:rPr>
                <w:b/>
                <w:sz w:val="18"/>
                <w:szCs w:val="18"/>
              </w:rPr>
              <w:t>0.6</w:t>
            </w:r>
          </w:p>
        </w:tc>
        <w:tc>
          <w:tcPr>
            <w:tcW w:w="469" w:type="pct"/>
            <w:vAlign w:val="bottom"/>
          </w:tcPr>
          <w:p w:rsidR="00986DAE" w:rsidRPr="00D20EC8" w:rsidRDefault="00986DAE" w:rsidP="00986DAE">
            <w:pPr>
              <w:pStyle w:val="TableBodyText"/>
              <w:rPr>
                <w:b/>
                <w:sz w:val="18"/>
                <w:szCs w:val="18"/>
              </w:rPr>
            </w:pPr>
            <w:r w:rsidRPr="00D20EC8">
              <w:rPr>
                <w:b/>
                <w:sz w:val="18"/>
                <w:szCs w:val="18"/>
              </w:rPr>
              <w:t>0.5</w:t>
            </w:r>
          </w:p>
        </w:tc>
        <w:tc>
          <w:tcPr>
            <w:tcW w:w="469" w:type="pct"/>
            <w:vAlign w:val="bottom"/>
          </w:tcPr>
          <w:p w:rsidR="00986DAE" w:rsidRPr="00D20EC8" w:rsidRDefault="00986DAE" w:rsidP="00986DAE">
            <w:pPr>
              <w:pStyle w:val="TableBodyText"/>
              <w:rPr>
                <w:b/>
                <w:sz w:val="18"/>
                <w:szCs w:val="18"/>
              </w:rPr>
            </w:pPr>
            <w:r w:rsidRPr="00D20EC8">
              <w:rPr>
                <w:b/>
                <w:sz w:val="18"/>
                <w:szCs w:val="18"/>
              </w:rPr>
              <w:t>0.5</w:t>
            </w:r>
          </w:p>
        </w:tc>
        <w:tc>
          <w:tcPr>
            <w:tcW w:w="469" w:type="pct"/>
            <w:shd w:val="clear" w:color="auto" w:fill="auto"/>
            <w:vAlign w:val="bottom"/>
          </w:tcPr>
          <w:p w:rsidR="00986DAE" w:rsidRPr="00D20EC8" w:rsidRDefault="00986DAE" w:rsidP="00986DAE">
            <w:pPr>
              <w:pStyle w:val="TableBodyText"/>
              <w:rPr>
                <w:b/>
                <w:sz w:val="18"/>
                <w:szCs w:val="18"/>
              </w:rPr>
            </w:pPr>
            <w:r w:rsidRPr="00D20EC8">
              <w:rPr>
                <w:b/>
                <w:sz w:val="18"/>
                <w:szCs w:val="18"/>
              </w:rPr>
              <w:t>0.3</w:t>
            </w:r>
          </w:p>
        </w:tc>
        <w:tc>
          <w:tcPr>
            <w:tcW w:w="468" w:type="pct"/>
            <w:shd w:val="clear" w:color="auto" w:fill="auto"/>
            <w:vAlign w:val="bottom"/>
          </w:tcPr>
          <w:p w:rsidR="00986DAE" w:rsidRPr="00D20EC8" w:rsidRDefault="00986DAE" w:rsidP="00986DAE">
            <w:pPr>
              <w:pStyle w:val="TableBodyText"/>
              <w:rPr>
                <w:b/>
                <w:sz w:val="18"/>
                <w:szCs w:val="18"/>
              </w:rPr>
            </w:pPr>
            <w:r w:rsidRPr="00D20EC8">
              <w:rPr>
                <w:b/>
                <w:sz w:val="18"/>
                <w:szCs w:val="18"/>
              </w:rPr>
              <w:t>0.3</w:t>
            </w:r>
          </w:p>
        </w:tc>
      </w:tr>
      <w:tr w:rsidR="00986DAE" w:rsidRPr="00AF699A" w:rsidTr="00986DAE">
        <w:tc>
          <w:tcPr>
            <w:tcW w:w="2187" w:type="pct"/>
            <w:vAlign w:val="bottom"/>
          </w:tcPr>
          <w:p w:rsidR="00986DAE" w:rsidRPr="009D43B4" w:rsidRDefault="00986DAE" w:rsidP="00AB38B4">
            <w:pPr>
              <w:pStyle w:val="TableBodyText"/>
              <w:jc w:val="left"/>
              <w:rPr>
                <w:b/>
                <w:sz w:val="18"/>
                <w:szCs w:val="18"/>
              </w:rPr>
            </w:pPr>
            <w:r w:rsidRPr="009D43B4">
              <w:rPr>
                <w:b/>
                <w:sz w:val="18"/>
                <w:szCs w:val="18"/>
              </w:rPr>
              <w:t>Manufacturing</w:t>
            </w:r>
          </w:p>
        </w:tc>
        <w:tc>
          <w:tcPr>
            <w:tcW w:w="469" w:type="pct"/>
            <w:vAlign w:val="bottom"/>
          </w:tcPr>
          <w:p w:rsidR="00986DAE" w:rsidRPr="00D20EC8" w:rsidRDefault="00986DAE" w:rsidP="00986DAE">
            <w:pPr>
              <w:pStyle w:val="TableBodyText"/>
              <w:rPr>
                <w:b/>
                <w:sz w:val="18"/>
                <w:szCs w:val="18"/>
              </w:rPr>
            </w:pPr>
            <w:r w:rsidRPr="00D20EC8">
              <w:rPr>
                <w:b/>
                <w:sz w:val="18"/>
                <w:szCs w:val="18"/>
              </w:rPr>
              <w:t>69.3</w:t>
            </w:r>
          </w:p>
        </w:tc>
        <w:tc>
          <w:tcPr>
            <w:tcW w:w="469" w:type="pct"/>
            <w:vAlign w:val="bottom"/>
          </w:tcPr>
          <w:p w:rsidR="00986DAE" w:rsidRPr="00D20EC8" w:rsidRDefault="00986DAE" w:rsidP="00986DAE">
            <w:pPr>
              <w:pStyle w:val="TableBodyText"/>
              <w:rPr>
                <w:b/>
                <w:sz w:val="18"/>
                <w:szCs w:val="18"/>
              </w:rPr>
            </w:pPr>
            <w:r w:rsidRPr="00D20EC8">
              <w:rPr>
                <w:b/>
                <w:sz w:val="18"/>
                <w:szCs w:val="18"/>
              </w:rPr>
              <w:t>69.2</w:t>
            </w:r>
          </w:p>
        </w:tc>
        <w:tc>
          <w:tcPr>
            <w:tcW w:w="469" w:type="pct"/>
            <w:vAlign w:val="bottom"/>
          </w:tcPr>
          <w:p w:rsidR="00986DAE" w:rsidRPr="00D20EC8" w:rsidRDefault="00986DAE" w:rsidP="00986DAE">
            <w:pPr>
              <w:pStyle w:val="TableBodyText"/>
              <w:rPr>
                <w:b/>
                <w:sz w:val="18"/>
                <w:szCs w:val="18"/>
              </w:rPr>
            </w:pPr>
            <w:r w:rsidRPr="00D20EC8">
              <w:rPr>
                <w:b/>
                <w:sz w:val="18"/>
                <w:szCs w:val="18"/>
              </w:rPr>
              <w:t>58.8</w:t>
            </w:r>
          </w:p>
        </w:tc>
        <w:tc>
          <w:tcPr>
            <w:tcW w:w="469" w:type="pct"/>
            <w:vAlign w:val="bottom"/>
          </w:tcPr>
          <w:p w:rsidR="00986DAE" w:rsidRPr="00D20EC8" w:rsidRDefault="00986DAE" w:rsidP="00986DAE">
            <w:pPr>
              <w:pStyle w:val="TableBodyText"/>
              <w:rPr>
                <w:b/>
                <w:sz w:val="18"/>
                <w:szCs w:val="18"/>
              </w:rPr>
            </w:pPr>
            <w:r w:rsidRPr="00D20EC8">
              <w:rPr>
                <w:b/>
                <w:sz w:val="18"/>
                <w:szCs w:val="18"/>
              </w:rPr>
              <w:t>52.7</w:t>
            </w:r>
          </w:p>
        </w:tc>
        <w:tc>
          <w:tcPr>
            <w:tcW w:w="469" w:type="pct"/>
            <w:shd w:val="clear" w:color="auto" w:fill="auto"/>
            <w:vAlign w:val="bottom"/>
          </w:tcPr>
          <w:p w:rsidR="00986DAE" w:rsidRPr="00D20EC8" w:rsidRDefault="00986DAE" w:rsidP="00986DAE">
            <w:pPr>
              <w:pStyle w:val="TableBodyText"/>
              <w:rPr>
                <w:b/>
                <w:sz w:val="18"/>
                <w:szCs w:val="18"/>
              </w:rPr>
            </w:pPr>
            <w:r w:rsidRPr="00D20EC8">
              <w:rPr>
                <w:b/>
                <w:sz w:val="18"/>
                <w:szCs w:val="18"/>
              </w:rPr>
              <w:t>33.9</w:t>
            </w:r>
          </w:p>
        </w:tc>
        <w:tc>
          <w:tcPr>
            <w:tcW w:w="468" w:type="pct"/>
            <w:shd w:val="clear" w:color="auto" w:fill="auto"/>
            <w:vAlign w:val="bottom"/>
          </w:tcPr>
          <w:p w:rsidR="00986DAE" w:rsidRPr="00D20EC8" w:rsidRDefault="00986DAE" w:rsidP="00986DAE">
            <w:pPr>
              <w:pStyle w:val="TableBodyText"/>
              <w:rPr>
                <w:b/>
                <w:sz w:val="18"/>
                <w:szCs w:val="18"/>
              </w:rPr>
            </w:pPr>
            <w:r w:rsidRPr="00D20EC8">
              <w:rPr>
                <w:b/>
                <w:sz w:val="18"/>
                <w:szCs w:val="18"/>
              </w:rPr>
              <w:t>36.1</w:t>
            </w:r>
          </w:p>
        </w:tc>
      </w:tr>
      <w:tr w:rsidR="00986DAE" w:rsidRPr="00AF699A" w:rsidTr="00986DAE">
        <w:tc>
          <w:tcPr>
            <w:tcW w:w="2187" w:type="pct"/>
            <w:vAlign w:val="bottom"/>
          </w:tcPr>
          <w:p w:rsidR="00986DAE" w:rsidRPr="009D43B4" w:rsidRDefault="00986DAE" w:rsidP="008375B7">
            <w:pPr>
              <w:pStyle w:val="TableBodyText"/>
              <w:ind w:left="0"/>
              <w:jc w:val="left"/>
              <w:rPr>
                <w:sz w:val="18"/>
                <w:szCs w:val="18"/>
              </w:rPr>
            </w:pPr>
            <w:r w:rsidRPr="009D43B4">
              <w:rPr>
                <w:sz w:val="18"/>
                <w:szCs w:val="18"/>
              </w:rPr>
              <w:t>Food, beverages and tobacco</w:t>
            </w:r>
          </w:p>
        </w:tc>
        <w:tc>
          <w:tcPr>
            <w:tcW w:w="469" w:type="pct"/>
            <w:vAlign w:val="bottom"/>
          </w:tcPr>
          <w:p w:rsidR="00986DAE" w:rsidRPr="00986DAE" w:rsidRDefault="00986DAE" w:rsidP="00986DAE">
            <w:pPr>
              <w:pStyle w:val="TableBodyText"/>
              <w:rPr>
                <w:sz w:val="18"/>
                <w:szCs w:val="18"/>
              </w:rPr>
            </w:pPr>
            <w:r w:rsidRPr="00986DAE">
              <w:rPr>
                <w:sz w:val="18"/>
                <w:szCs w:val="18"/>
              </w:rPr>
              <w:t>0.9</w:t>
            </w:r>
          </w:p>
        </w:tc>
        <w:tc>
          <w:tcPr>
            <w:tcW w:w="469" w:type="pct"/>
            <w:vAlign w:val="bottom"/>
          </w:tcPr>
          <w:p w:rsidR="00986DAE" w:rsidRPr="00986DAE" w:rsidRDefault="00986DAE" w:rsidP="00986DAE">
            <w:pPr>
              <w:pStyle w:val="TableBodyText"/>
              <w:rPr>
                <w:sz w:val="18"/>
                <w:szCs w:val="18"/>
              </w:rPr>
            </w:pPr>
            <w:r w:rsidRPr="00986DAE">
              <w:rPr>
                <w:sz w:val="18"/>
                <w:szCs w:val="18"/>
              </w:rPr>
              <w:t>0.9</w:t>
            </w:r>
          </w:p>
        </w:tc>
        <w:tc>
          <w:tcPr>
            <w:tcW w:w="469" w:type="pct"/>
            <w:vAlign w:val="bottom"/>
          </w:tcPr>
          <w:p w:rsidR="00986DAE" w:rsidRPr="00986DAE" w:rsidRDefault="00986DAE" w:rsidP="00986DAE">
            <w:pPr>
              <w:pStyle w:val="TableBodyText"/>
              <w:rPr>
                <w:sz w:val="18"/>
                <w:szCs w:val="18"/>
              </w:rPr>
            </w:pPr>
            <w:r w:rsidRPr="00986DAE">
              <w:rPr>
                <w:sz w:val="18"/>
                <w:szCs w:val="18"/>
              </w:rPr>
              <w:t>0.8</w:t>
            </w:r>
          </w:p>
        </w:tc>
        <w:tc>
          <w:tcPr>
            <w:tcW w:w="469" w:type="pct"/>
            <w:vAlign w:val="bottom"/>
          </w:tcPr>
          <w:p w:rsidR="00986DAE" w:rsidRPr="00986DAE" w:rsidRDefault="00986DAE" w:rsidP="00986DAE">
            <w:pPr>
              <w:pStyle w:val="TableBodyText"/>
              <w:rPr>
                <w:sz w:val="18"/>
                <w:szCs w:val="18"/>
              </w:rPr>
            </w:pPr>
            <w:r w:rsidRPr="00986DAE">
              <w:rPr>
                <w:sz w:val="18"/>
                <w:szCs w:val="18"/>
              </w:rPr>
              <w:t>0.7</w:t>
            </w:r>
          </w:p>
        </w:tc>
        <w:tc>
          <w:tcPr>
            <w:tcW w:w="469" w:type="pct"/>
            <w:shd w:val="clear" w:color="auto" w:fill="auto"/>
            <w:vAlign w:val="bottom"/>
          </w:tcPr>
          <w:p w:rsidR="00986DAE" w:rsidRPr="00986DAE" w:rsidRDefault="00986DAE" w:rsidP="00986DAE">
            <w:pPr>
              <w:pStyle w:val="TableBodyText"/>
              <w:rPr>
                <w:sz w:val="18"/>
                <w:szCs w:val="18"/>
              </w:rPr>
            </w:pPr>
            <w:r w:rsidRPr="00986DAE">
              <w:rPr>
                <w:sz w:val="18"/>
                <w:szCs w:val="18"/>
              </w:rPr>
              <w:t>0.5</w:t>
            </w:r>
          </w:p>
        </w:tc>
        <w:tc>
          <w:tcPr>
            <w:tcW w:w="468" w:type="pct"/>
            <w:shd w:val="clear" w:color="auto" w:fill="auto"/>
            <w:vAlign w:val="bottom"/>
          </w:tcPr>
          <w:p w:rsidR="00986DAE" w:rsidRPr="00986DAE" w:rsidRDefault="00986DAE" w:rsidP="00986DAE">
            <w:pPr>
              <w:pStyle w:val="TableBodyText"/>
              <w:rPr>
                <w:sz w:val="18"/>
                <w:szCs w:val="18"/>
              </w:rPr>
            </w:pPr>
            <w:r w:rsidRPr="00986DAE">
              <w:rPr>
                <w:sz w:val="18"/>
                <w:szCs w:val="18"/>
              </w:rPr>
              <w:t>0.5</w:t>
            </w:r>
          </w:p>
        </w:tc>
      </w:tr>
      <w:tr w:rsidR="00986DAE" w:rsidRPr="00AF699A" w:rsidTr="00986DAE">
        <w:tc>
          <w:tcPr>
            <w:tcW w:w="2187" w:type="pct"/>
            <w:vAlign w:val="bottom"/>
          </w:tcPr>
          <w:p w:rsidR="00986DAE" w:rsidRPr="009D43B4" w:rsidRDefault="00986DAE" w:rsidP="008375B7">
            <w:pPr>
              <w:pStyle w:val="TableBodyText"/>
              <w:ind w:left="0"/>
              <w:jc w:val="left"/>
              <w:rPr>
                <w:sz w:val="18"/>
                <w:szCs w:val="18"/>
              </w:rPr>
            </w:pPr>
            <w:r w:rsidRPr="009D43B4">
              <w:rPr>
                <w:sz w:val="18"/>
                <w:szCs w:val="18"/>
              </w:rPr>
              <w:t>Textile, leather, clothing and footwear</w:t>
            </w:r>
          </w:p>
        </w:tc>
        <w:tc>
          <w:tcPr>
            <w:tcW w:w="469" w:type="pct"/>
            <w:vAlign w:val="bottom"/>
          </w:tcPr>
          <w:p w:rsidR="00986DAE" w:rsidRPr="00986DAE" w:rsidRDefault="00986DAE" w:rsidP="00986DAE">
            <w:pPr>
              <w:pStyle w:val="TableBodyText"/>
              <w:rPr>
                <w:sz w:val="18"/>
                <w:szCs w:val="18"/>
              </w:rPr>
            </w:pPr>
            <w:r w:rsidRPr="00986DAE">
              <w:rPr>
                <w:sz w:val="18"/>
                <w:szCs w:val="18"/>
              </w:rPr>
              <w:t>7.2</w:t>
            </w:r>
          </w:p>
        </w:tc>
        <w:tc>
          <w:tcPr>
            <w:tcW w:w="469" w:type="pct"/>
            <w:vAlign w:val="bottom"/>
          </w:tcPr>
          <w:p w:rsidR="00986DAE" w:rsidRPr="00986DAE" w:rsidRDefault="00986DAE" w:rsidP="00986DAE">
            <w:pPr>
              <w:pStyle w:val="TableBodyText"/>
              <w:rPr>
                <w:sz w:val="18"/>
                <w:szCs w:val="18"/>
              </w:rPr>
            </w:pPr>
            <w:r w:rsidRPr="00986DAE">
              <w:rPr>
                <w:sz w:val="18"/>
                <w:szCs w:val="18"/>
              </w:rPr>
              <w:t>7.2</w:t>
            </w:r>
          </w:p>
        </w:tc>
        <w:tc>
          <w:tcPr>
            <w:tcW w:w="469" w:type="pct"/>
            <w:vAlign w:val="bottom"/>
          </w:tcPr>
          <w:p w:rsidR="00986DAE" w:rsidRPr="00986DAE" w:rsidRDefault="00986DAE" w:rsidP="00986DAE">
            <w:pPr>
              <w:pStyle w:val="TableBodyText"/>
              <w:rPr>
                <w:sz w:val="18"/>
                <w:szCs w:val="18"/>
              </w:rPr>
            </w:pPr>
            <w:r w:rsidRPr="00986DAE">
              <w:rPr>
                <w:sz w:val="18"/>
                <w:szCs w:val="18"/>
              </w:rPr>
              <w:t>6.1</w:t>
            </w:r>
          </w:p>
        </w:tc>
        <w:tc>
          <w:tcPr>
            <w:tcW w:w="469" w:type="pct"/>
            <w:vAlign w:val="bottom"/>
          </w:tcPr>
          <w:p w:rsidR="00986DAE" w:rsidRPr="00986DAE" w:rsidRDefault="00986DAE" w:rsidP="00986DAE">
            <w:pPr>
              <w:pStyle w:val="TableBodyText"/>
              <w:rPr>
                <w:sz w:val="18"/>
                <w:szCs w:val="18"/>
              </w:rPr>
            </w:pPr>
            <w:r w:rsidRPr="00986DAE">
              <w:rPr>
                <w:sz w:val="18"/>
                <w:szCs w:val="18"/>
              </w:rPr>
              <w:t>5.5</w:t>
            </w:r>
          </w:p>
        </w:tc>
        <w:tc>
          <w:tcPr>
            <w:tcW w:w="469" w:type="pct"/>
            <w:shd w:val="clear" w:color="auto" w:fill="auto"/>
            <w:vAlign w:val="bottom"/>
          </w:tcPr>
          <w:p w:rsidR="00986DAE" w:rsidRPr="00986DAE" w:rsidRDefault="00986DAE" w:rsidP="00986DAE">
            <w:pPr>
              <w:pStyle w:val="TableBodyText"/>
              <w:rPr>
                <w:sz w:val="18"/>
                <w:szCs w:val="18"/>
              </w:rPr>
            </w:pPr>
            <w:r w:rsidRPr="00986DAE">
              <w:rPr>
                <w:sz w:val="18"/>
                <w:szCs w:val="18"/>
              </w:rPr>
              <w:t>3.5</w:t>
            </w:r>
          </w:p>
        </w:tc>
        <w:tc>
          <w:tcPr>
            <w:tcW w:w="468" w:type="pct"/>
            <w:shd w:val="clear" w:color="auto" w:fill="auto"/>
            <w:vAlign w:val="bottom"/>
          </w:tcPr>
          <w:p w:rsidR="00986DAE" w:rsidRPr="00986DAE" w:rsidRDefault="00986DAE" w:rsidP="00986DAE">
            <w:pPr>
              <w:pStyle w:val="TableBodyText"/>
              <w:rPr>
                <w:sz w:val="18"/>
                <w:szCs w:val="18"/>
              </w:rPr>
            </w:pPr>
            <w:r w:rsidRPr="00986DAE">
              <w:rPr>
                <w:sz w:val="18"/>
                <w:szCs w:val="18"/>
              </w:rPr>
              <w:t>3.7</w:t>
            </w:r>
          </w:p>
        </w:tc>
      </w:tr>
      <w:tr w:rsidR="00986DAE" w:rsidRPr="00AF699A" w:rsidTr="00986DAE">
        <w:tc>
          <w:tcPr>
            <w:tcW w:w="2187" w:type="pct"/>
            <w:vAlign w:val="bottom"/>
          </w:tcPr>
          <w:p w:rsidR="00986DAE" w:rsidRPr="009D43B4" w:rsidRDefault="00986DAE" w:rsidP="008375B7">
            <w:pPr>
              <w:pStyle w:val="TableBodyText"/>
              <w:ind w:left="0"/>
              <w:jc w:val="left"/>
              <w:rPr>
                <w:sz w:val="18"/>
                <w:szCs w:val="18"/>
              </w:rPr>
            </w:pPr>
            <w:r w:rsidRPr="009D43B4">
              <w:rPr>
                <w:sz w:val="18"/>
                <w:szCs w:val="18"/>
              </w:rPr>
              <w:t>Wood and paper products</w:t>
            </w:r>
          </w:p>
        </w:tc>
        <w:tc>
          <w:tcPr>
            <w:tcW w:w="469" w:type="pct"/>
            <w:vAlign w:val="bottom"/>
          </w:tcPr>
          <w:p w:rsidR="00986DAE" w:rsidRPr="00986DAE" w:rsidRDefault="00986DAE" w:rsidP="00986DAE">
            <w:pPr>
              <w:pStyle w:val="TableBodyText"/>
              <w:rPr>
                <w:sz w:val="18"/>
                <w:szCs w:val="18"/>
              </w:rPr>
            </w:pPr>
            <w:r w:rsidRPr="00986DAE">
              <w:rPr>
                <w:sz w:val="18"/>
                <w:szCs w:val="18"/>
              </w:rPr>
              <w:t>0.7</w:t>
            </w:r>
          </w:p>
        </w:tc>
        <w:tc>
          <w:tcPr>
            <w:tcW w:w="469" w:type="pct"/>
            <w:vAlign w:val="bottom"/>
          </w:tcPr>
          <w:p w:rsidR="00986DAE" w:rsidRPr="00986DAE" w:rsidRDefault="00986DAE" w:rsidP="00986DAE">
            <w:pPr>
              <w:pStyle w:val="TableBodyText"/>
              <w:rPr>
                <w:sz w:val="18"/>
                <w:szCs w:val="18"/>
              </w:rPr>
            </w:pPr>
            <w:r w:rsidRPr="00986DAE">
              <w:rPr>
                <w:sz w:val="18"/>
                <w:szCs w:val="18"/>
              </w:rPr>
              <w:t>0.7</w:t>
            </w:r>
          </w:p>
        </w:tc>
        <w:tc>
          <w:tcPr>
            <w:tcW w:w="469" w:type="pct"/>
            <w:vAlign w:val="bottom"/>
          </w:tcPr>
          <w:p w:rsidR="00986DAE" w:rsidRPr="00986DAE" w:rsidRDefault="00986DAE" w:rsidP="00986DAE">
            <w:pPr>
              <w:pStyle w:val="TableBodyText"/>
              <w:rPr>
                <w:sz w:val="18"/>
                <w:szCs w:val="18"/>
              </w:rPr>
            </w:pPr>
            <w:r w:rsidRPr="00986DAE">
              <w:rPr>
                <w:sz w:val="18"/>
                <w:szCs w:val="18"/>
              </w:rPr>
              <w:t>0.6</w:t>
            </w:r>
          </w:p>
        </w:tc>
        <w:tc>
          <w:tcPr>
            <w:tcW w:w="469" w:type="pct"/>
            <w:vAlign w:val="bottom"/>
          </w:tcPr>
          <w:p w:rsidR="00986DAE" w:rsidRPr="00986DAE" w:rsidRDefault="00986DAE" w:rsidP="00986DAE">
            <w:pPr>
              <w:pStyle w:val="TableBodyText"/>
              <w:rPr>
                <w:sz w:val="18"/>
                <w:szCs w:val="18"/>
              </w:rPr>
            </w:pPr>
            <w:r w:rsidRPr="00986DAE">
              <w:rPr>
                <w:sz w:val="18"/>
                <w:szCs w:val="18"/>
              </w:rPr>
              <w:t>0.5</w:t>
            </w:r>
          </w:p>
        </w:tc>
        <w:tc>
          <w:tcPr>
            <w:tcW w:w="469" w:type="pct"/>
            <w:shd w:val="clear" w:color="auto" w:fill="auto"/>
            <w:vAlign w:val="bottom"/>
          </w:tcPr>
          <w:p w:rsidR="00986DAE" w:rsidRPr="00986DAE" w:rsidRDefault="00986DAE" w:rsidP="00986DAE">
            <w:pPr>
              <w:pStyle w:val="TableBodyText"/>
              <w:rPr>
                <w:sz w:val="18"/>
                <w:szCs w:val="18"/>
              </w:rPr>
            </w:pPr>
            <w:r w:rsidRPr="00986DAE">
              <w:rPr>
                <w:sz w:val="18"/>
                <w:szCs w:val="18"/>
              </w:rPr>
              <w:t>0.3</w:t>
            </w:r>
          </w:p>
        </w:tc>
        <w:tc>
          <w:tcPr>
            <w:tcW w:w="468" w:type="pct"/>
            <w:shd w:val="clear" w:color="auto" w:fill="auto"/>
            <w:vAlign w:val="bottom"/>
          </w:tcPr>
          <w:p w:rsidR="00986DAE" w:rsidRPr="00986DAE" w:rsidRDefault="00986DAE" w:rsidP="00986DAE">
            <w:pPr>
              <w:pStyle w:val="TableBodyText"/>
              <w:rPr>
                <w:sz w:val="18"/>
                <w:szCs w:val="18"/>
              </w:rPr>
            </w:pPr>
            <w:r w:rsidRPr="00986DAE">
              <w:rPr>
                <w:sz w:val="18"/>
                <w:szCs w:val="18"/>
              </w:rPr>
              <w:t>0.4</w:t>
            </w:r>
          </w:p>
        </w:tc>
      </w:tr>
      <w:tr w:rsidR="00986DAE" w:rsidRPr="00AF699A" w:rsidTr="00986DAE">
        <w:tc>
          <w:tcPr>
            <w:tcW w:w="2187" w:type="pct"/>
            <w:vAlign w:val="bottom"/>
          </w:tcPr>
          <w:p w:rsidR="00986DAE" w:rsidRPr="009D43B4" w:rsidRDefault="00986DAE" w:rsidP="008375B7">
            <w:pPr>
              <w:pStyle w:val="TableBodyText"/>
              <w:ind w:left="0"/>
              <w:jc w:val="left"/>
              <w:rPr>
                <w:sz w:val="18"/>
                <w:szCs w:val="18"/>
              </w:rPr>
            </w:pPr>
            <w:r w:rsidRPr="009D43B4">
              <w:rPr>
                <w:sz w:val="18"/>
                <w:szCs w:val="18"/>
              </w:rPr>
              <w:t>Printing and recorded media</w:t>
            </w:r>
          </w:p>
        </w:tc>
        <w:tc>
          <w:tcPr>
            <w:tcW w:w="469" w:type="pct"/>
            <w:vAlign w:val="bottom"/>
          </w:tcPr>
          <w:p w:rsidR="00986DAE" w:rsidRPr="00986DAE" w:rsidRDefault="00986DAE" w:rsidP="00986DAE">
            <w:pPr>
              <w:pStyle w:val="TableBodyText"/>
              <w:rPr>
                <w:sz w:val="18"/>
                <w:szCs w:val="18"/>
              </w:rPr>
            </w:pPr>
            <w:r w:rsidRPr="00986DAE">
              <w:rPr>
                <w:sz w:val="18"/>
                <w:szCs w:val="18"/>
              </w:rPr>
              <w:t>0.3</w:t>
            </w:r>
          </w:p>
        </w:tc>
        <w:tc>
          <w:tcPr>
            <w:tcW w:w="469" w:type="pct"/>
            <w:vAlign w:val="bottom"/>
          </w:tcPr>
          <w:p w:rsidR="00986DAE" w:rsidRPr="00986DAE" w:rsidRDefault="00986DAE" w:rsidP="00986DAE">
            <w:pPr>
              <w:pStyle w:val="TableBodyText"/>
              <w:rPr>
                <w:sz w:val="18"/>
                <w:szCs w:val="18"/>
              </w:rPr>
            </w:pPr>
            <w:r w:rsidRPr="00986DAE">
              <w:rPr>
                <w:sz w:val="18"/>
                <w:szCs w:val="18"/>
              </w:rPr>
              <w:t>0.3</w:t>
            </w:r>
          </w:p>
        </w:tc>
        <w:tc>
          <w:tcPr>
            <w:tcW w:w="469" w:type="pct"/>
            <w:vAlign w:val="bottom"/>
          </w:tcPr>
          <w:p w:rsidR="00986DAE" w:rsidRPr="00986DAE" w:rsidRDefault="00986DAE" w:rsidP="00986DAE">
            <w:pPr>
              <w:pStyle w:val="TableBodyText"/>
              <w:rPr>
                <w:sz w:val="18"/>
                <w:szCs w:val="18"/>
              </w:rPr>
            </w:pPr>
            <w:r w:rsidRPr="00986DAE">
              <w:rPr>
                <w:sz w:val="18"/>
                <w:szCs w:val="18"/>
              </w:rPr>
              <w:t>0.2</w:t>
            </w:r>
          </w:p>
        </w:tc>
        <w:tc>
          <w:tcPr>
            <w:tcW w:w="469" w:type="pct"/>
            <w:vAlign w:val="bottom"/>
          </w:tcPr>
          <w:p w:rsidR="00986DAE" w:rsidRPr="00986DAE" w:rsidRDefault="00986DAE" w:rsidP="00986DAE">
            <w:pPr>
              <w:pStyle w:val="TableBodyText"/>
              <w:rPr>
                <w:sz w:val="18"/>
                <w:szCs w:val="18"/>
              </w:rPr>
            </w:pPr>
            <w:r w:rsidRPr="00986DAE">
              <w:rPr>
                <w:sz w:val="18"/>
                <w:szCs w:val="18"/>
              </w:rPr>
              <w:t>0.2</w:t>
            </w:r>
          </w:p>
        </w:tc>
        <w:tc>
          <w:tcPr>
            <w:tcW w:w="469" w:type="pct"/>
            <w:shd w:val="clear" w:color="auto" w:fill="auto"/>
            <w:vAlign w:val="bottom"/>
          </w:tcPr>
          <w:p w:rsidR="00986DAE" w:rsidRPr="00986DAE" w:rsidRDefault="00986DAE" w:rsidP="00986DAE">
            <w:pPr>
              <w:pStyle w:val="TableBodyText"/>
              <w:rPr>
                <w:sz w:val="18"/>
                <w:szCs w:val="18"/>
              </w:rPr>
            </w:pPr>
            <w:r w:rsidRPr="00986DAE">
              <w:rPr>
                <w:sz w:val="18"/>
                <w:szCs w:val="18"/>
              </w:rPr>
              <w:t>0.1</w:t>
            </w:r>
          </w:p>
        </w:tc>
        <w:tc>
          <w:tcPr>
            <w:tcW w:w="468" w:type="pct"/>
            <w:shd w:val="clear" w:color="auto" w:fill="auto"/>
            <w:vAlign w:val="bottom"/>
          </w:tcPr>
          <w:p w:rsidR="00986DAE" w:rsidRPr="00986DAE" w:rsidRDefault="00986DAE" w:rsidP="00986DAE">
            <w:pPr>
              <w:pStyle w:val="TableBodyText"/>
              <w:rPr>
                <w:sz w:val="18"/>
                <w:szCs w:val="18"/>
              </w:rPr>
            </w:pPr>
            <w:r w:rsidRPr="00986DAE">
              <w:rPr>
                <w:sz w:val="18"/>
                <w:szCs w:val="18"/>
              </w:rPr>
              <w:t>0.1</w:t>
            </w:r>
          </w:p>
        </w:tc>
      </w:tr>
      <w:tr w:rsidR="00986DAE" w:rsidRPr="00AF699A" w:rsidTr="00986DAE">
        <w:tc>
          <w:tcPr>
            <w:tcW w:w="2187" w:type="pct"/>
            <w:vAlign w:val="bottom"/>
          </w:tcPr>
          <w:p w:rsidR="00986DAE" w:rsidRPr="009D43B4" w:rsidRDefault="00986DAE" w:rsidP="008375B7">
            <w:pPr>
              <w:pStyle w:val="TableBodyText"/>
              <w:ind w:left="0"/>
              <w:jc w:val="left"/>
              <w:rPr>
                <w:sz w:val="18"/>
                <w:szCs w:val="18"/>
              </w:rPr>
            </w:pPr>
            <w:r w:rsidRPr="009D43B4">
              <w:rPr>
                <w:sz w:val="18"/>
                <w:szCs w:val="18"/>
              </w:rPr>
              <w:t>Petroleum, coal, chemical and rubber products</w:t>
            </w:r>
          </w:p>
        </w:tc>
        <w:tc>
          <w:tcPr>
            <w:tcW w:w="469" w:type="pct"/>
            <w:vAlign w:val="bottom"/>
          </w:tcPr>
          <w:p w:rsidR="00986DAE" w:rsidRPr="00986DAE" w:rsidRDefault="00986DAE" w:rsidP="00986DAE">
            <w:pPr>
              <w:pStyle w:val="TableBodyText"/>
              <w:rPr>
                <w:sz w:val="18"/>
                <w:szCs w:val="18"/>
              </w:rPr>
            </w:pPr>
            <w:r w:rsidRPr="00986DAE">
              <w:rPr>
                <w:sz w:val="18"/>
                <w:szCs w:val="18"/>
              </w:rPr>
              <w:t>2.6</w:t>
            </w:r>
          </w:p>
        </w:tc>
        <w:tc>
          <w:tcPr>
            <w:tcW w:w="469" w:type="pct"/>
            <w:vAlign w:val="bottom"/>
          </w:tcPr>
          <w:p w:rsidR="00986DAE" w:rsidRPr="00986DAE" w:rsidRDefault="00986DAE" w:rsidP="00986DAE">
            <w:pPr>
              <w:pStyle w:val="TableBodyText"/>
              <w:rPr>
                <w:sz w:val="18"/>
                <w:szCs w:val="18"/>
              </w:rPr>
            </w:pPr>
            <w:r w:rsidRPr="00986DAE">
              <w:rPr>
                <w:sz w:val="18"/>
                <w:szCs w:val="18"/>
              </w:rPr>
              <w:t>2.6</w:t>
            </w:r>
          </w:p>
        </w:tc>
        <w:tc>
          <w:tcPr>
            <w:tcW w:w="469" w:type="pct"/>
            <w:vAlign w:val="bottom"/>
          </w:tcPr>
          <w:p w:rsidR="00986DAE" w:rsidRPr="00986DAE" w:rsidRDefault="00986DAE" w:rsidP="00986DAE">
            <w:pPr>
              <w:pStyle w:val="TableBodyText"/>
              <w:rPr>
                <w:sz w:val="18"/>
                <w:szCs w:val="18"/>
              </w:rPr>
            </w:pPr>
            <w:r w:rsidRPr="00986DAE">
              <w:rPr>
                <w:sz w:val="18"/>
                <w:szCs w:val="18"/>
              </w:rPr>
              <w:t>2.2</w:t>
            </w:r>
          </w:p>
        </w:tc>
        <w:tc>
          <w:tcPr>
            <w:tcW w:w="469" w:type="pct"/>
            <w:vAlign w:val="bottom"/>
          </w:tcPr>
          <w:p w:rsidR="00986DAE" w:rsidRPr="00986DAE" w:rsidRDefault="00986DAE" w:rsidP="00986DAE">
            <w:pPr>
              <w:pStyle w:val="TableBodyText"/>
              <w:rPr>
                <w:sz w:val="18"/>
                <w:szCs w:val="18"/>
              </w:rPr>
            </w:pPr>
            <w:r w:rsidRPr="00986DAE">
              <w:rPr>
                <w:sz w:val="18"/>
                <w:szCs w:val="18"/>
              </w:rPr>
              <w:t>2.0</w:t>
            </w:r>
          </w:p>
        </w:tc>
        <w:tc>
          <w:tcPr>
            <w:tcW w:w="469" w:type="pct"/>
            <w:shd w:val="clear" w:color="auto" w:fill="auto"/>
            <w:vAlign w:val="bottom"/>
          </w:tcPr>
          <w:p w:rsidR="00986DAE" w:rsidRPr="00986DAE" w:rsidRDefault="00986DAE" w:rsidP="00986DAE">
            <w:pPr>
              <w:pStyle w:val="TableBodyText"/>
              <w:rPr>
                <w:sz w:val="18"/>
                <w:szCs w:val="18"/>
              </w:rPr>
            </w:pPr>
            <w:r w:rsidRPr="00986DAE">
              <w:rPr>
                <w:sz w:val="18"/>
                <w:szCs w:val="18"/>
              </w:rPr>
              <w:t>1.3</w:t>
            </w:r>
          </w:p>
        </w:tc>
        <w:tc>
          <w:tcPr>
            <w:tcW w:w="468" w:type="pct"/>
            <w:shd w:val="clear" w:color="auto" w:fill="auto"/>
            <w:vAlign w:val="bottom"/>
          </w:tcPr>
          <w:p w:rsidR="00986DAE" w:rsidRPr="00986DAE" w:rsidRDefault="00986DAE" w:rsidP="00986DAE">
            <w:pPr>
              <w:pStyle w:val="TableBodyText"/>
              <w:rPr>
                <w:sz w:val="18"/>
                <w:szCs w:val="18"/>
              </w:rPr>
            </w:pPr>
            <w:r w:rsidRPr="00986DAE">
              <w:rPr>
                <w:sz w:val="18"/>
                <w:szCs w:val="18"/>
              </w:rPr>
              <w:t>1.4</w:t>
            </w:r>
          </w:p>
        </w:tc>
      </w:tr>
      <w:tr w:rsidR="00986DAE" w:rsidRPr="00AF699A" w:rsidTr="00986DAE">
        <w:tc>
          <w:tcPr>
            <w:tcW w:w="2187" w:type="pct"/>
            <w:vAlign w:val="bottom"/>
          </w:tcPr>
          <w:p w:rsidR="00986DAE" w:rsidRPr="009D43B4" w:rsidRDefault="00986DAE" w:rsidP="00253B7F">
            <w:pPr>
              <w:pStyle w:val="TableBodyText"/>
              <w:ind w:left="0"/>
              <w:jc w:val="left"/>
              <w:rPr>
                <w:sz w:val="18"/>
                <w:szCs w:val="18"/>
              </w:rPr>
            </w:pPr>
            <w:r w:rsidRPr="009D43B4">
              <w:rPr>
                <w:sz w:val="18"/>
                <w:szCs w:val="18"/>
              </w:rPr>
              <w:t>Non-</w:t>
            </w:r>
            <w:r w:rsidR="00253B7F">
              <w:rPr>
                <w:sz w:val="18"/>
                <w:szCs w:val="18"/>
              </w:rPr>
              <w:t>m</w:t>
            </w:r>
            <w:r w:rsidR="00253B7F" w:rsidRPr="009D43B4">
              <w:rPr>
                <w:sz w:val="18"/>
                <w:szCs w:val="18"/>
              </w:rPr>
              <w:t xml:space="preserve">etallic </w:t>
            </w:r>
            <w:r w:rsidRPr="009D43B4">
              <w:rPr>
                <w:sz w:val="18"/>
                <w:szCs w:val="18"/>
              </w:rPr>
              <w:t>mineral products</w:t>
            </w:r>
          </w:p>
        </w:tc>
        <w:tc>
          <w:tcPr>
            <w:tcW w:w="469" w:type="pct"/>
            <w:vAlign w:val="bottom"/>
          </w:tcPr>
          <w:p w:rsidR="00986DAE" w:rsidRPr="00986DAE" w:rsidRDefault="00986DAE" w:rsidP="00986DAE">
            <w:pPr>
              <w:pStyle w:val="TableBodyText"/>
              <w:rPr>
                <w:sz w:val="18"/>
                <w:szCs w:val="18"/>
              </w:rPr>
            </w:pPr>
            <w:r w:rsidRPr="00986DAE">
              <w:rPr>
                <w:sz w:val="18"/>
                <w:szCs w:val="18"/>
              </w:rPr>
              <w:t>0.3</w:t>
            </w:r>
          </w:p>
        </w:tc>
        <w:tc>
          <w:tcPr>
            <w:tcW w:w="469" w:type="pct"/>
            <w:vAlign w:val="bottom"/>
          </w:tcPr>
          <w:p w:rsidR="00986DAE" w:rsidRPr="00986DAE" w:rsidRDefault="00986DAE" w:rsidP="00986DAE">
            <w:pPr>
              <w:pStyle w:val="TableBodyText"/>
              <w:rPr>
                <w:sz w:val="18"/>
                <w:szCs w:val="18"/>
              </w:rPr>
            </w:pPr>
            <w:r w:rsidRPr="00986DAE">
              <w:rPr>
                <w:sz w:val="18"/>
                <w:szCs w:val="18"/>
              </w:rPr>
              <w:t>0.3</w:t>
            </w:r>
          </w:p>
        </w:tc>
        <w:tc>
          <w:tcPr>
            <w:tcW w:w="469" w:type="pct"/>
            <w:vAlign w:val="bottom"/>
          </w:tcPr>
          <w:p w:rsidR="00986DAE" w:rsidRPr="00986DAE" w:rsidRDefault="00986DAE" w:rsidP="00986DAE">
            <w:pPr>
              <w:pStyle w:val="TableBodyText"/>
              <w:rPr>
                <w:sz w:val="18"/>
                <w:szCs w:val="18"/>
              </w:rPr>
            </w:pPr>
            <w:r w:rsidRPr="00986DAE">
              <w:rPr>
                <w:sz w:val="18"/>
                <w:szCs w:val="18"/>
              </w:rPr>
              <w:t>0.2</w:t>
            </w:r>
          </w:p>
        </w:tc>
        <w:tc>
          <w:tcPr>
            <w:tcW w:w="469" w:type="pct"/>
            <w:vAlign w:val="bottom"/>
          </w:tcPr>
          <w:p w:rsidR="00986DAE" w:rsidRPr="00986DAE" w:rsidRDefault="00986DAE" w:rsidP="00986DAE">
            <w:pPr>
              <w:pStyle w:val="TableBodyText"/>
              <w:rPr>
                <w:sz w:val="18"/>
                <w:szCs w:val="18"/>
              </w:rPr>
            </w:pPr>
            <w:r w:rsidRPr="00986DAE">
              <w:rPr>
                <w:sz w:val="18"/>
                <w:szCs w:val="18"/>
              </w:rPr>
              <w:t>0.2</w:t>
            </w:r>
          </w:p>
        </w:tc>
        <w:tc>
          <w:tcPr>
            <w:tcW w:w="469" w:type="pct"/>
            <w:shd w:val="clear" w:color="auto" w:fill="auto"/>
            <w:vAlign w:val="bottom"/>
          </w:tcPr>
          <w:p w:rsidR="00986DAE" w:rsidRPr="00986DAE" w:rsidRDefault="00986DAE" w:rsidP="00986DAE">
            <w:pPr>
              <w:pStyle w:val="TableBodyText"/>
              <w:rPr>
                <w:sz w:val="18"/>
                <w:szCs w:val="18"/>
              </w:rPr>
            </w:pPr>
            <w:r w:rsidRPr="00986DAE">
              <w:rPr>
                <w:sz w:val="18"/>
                <w:szCs w:val="18"/>
              </w:rPr>
              <w:t>0.1</w:t>
            </w:r>
          </w:p>
        </w:tc>
        <w:tc>
          <w:tcPr>
            <w:tcW w:w="468" w:type="pct"/>
            <w:shd w:val="clear" w:color="auto" w:fill="auto"/>
            <w:vAlign w:val="bottom"/>
          </w:tcPr>
          <w:p w:rsidR="00986DAE" w:rsidRPr="00986DAE" w:rsidRDefault="00986DAE" w:rsidP="00986DAE">
            <w:pPr>
              <w:pStyle w:val="TableBodyText"/>
              <w:rPr>
                <w:sz w:val="18"/>
                <w:szCs w:val="18"/>
              </w:rPr>
            </w:pPr>
            <w:r w:rsidRPr="00986DAE">
              <w:rPr>
                <w:sz w:val="18"/>
                <w:szCs w:val="18"/>
              </w:rPr>
              <w:t>0.1</w:t>
            </w:r>
          </w:p>
        </w:tc>
      </w:tr>
      <w:tr w:rsidR="00986DAE" w:rsidRPr="00AF699A" w:rsidTr="00986DAE">
        <w:tc>
          <w:tcPr>
            <w:tcW w:w="2187" w:type="pct"/>
            <w:vAlign w:val="bottom"/>
          </w:tcPr>
          <w:p w:rsidR="00986DAE" w:rsidRPr="009D43B4" w:rsidRDefault="00986DAE" w:rsidP="008375B7">
            <w:pPr>
              <w:pStyle w:val="TableBodyText"/>
              <w:ind w:left="0"/>
              <w:jc w:val="left"/>
              <w:rPr>
                <w:sz w:val="18"/>
                <w:szCs w:val="18"/>
              </w:rPr>
            </w:pPr>
            <w:r w:rsidRPr="009D43B4">
              <w:rPr>
                <w:sz w:val="18"/>
                <w:szCs w:val="18"/>
              </w:rPr>
              <w:t>Metal and fabricated metal products</w:t>
            </w:r>
          </w:p>
        </w:tc>
        <w:tc>
          <w:tcPr>
            <w:tcW w:w="469" w:type="pct"/>
            <w:vAlign w:val="bottom"/>
          </w:tcPr>
          <w:p w:rsidR="00986DAE" w:rsidRPr="00986DAE" w:rsidRDefault="00986DAE" w:rsidP="00986DAE">
            <w:pPr>
              <w:pStyle w:val="TableBodyText"/>
              <w:rPr>
                <w:sz w:val="18"/>
                <w:szCs w:val="18"/>
              </w:rPr>
            </w:pPr>
            <w:r w:rsidRPr="00986DAE">
              <w:rPr>
                <w:sz w:val="18"/>
                <w:szCs w:val="18"/>
              </w:rPr>
              <w:t>2.2</w:t>
            </w:r>
          </w:p>
        </w:tc>
        <w:tc>
          <w:tcPr>
            <w:tcW w:w="469" w:type="pct"/>
            <w:vAlign w:val="bottom"/>
          </w:tcPr>
          <w:p w:rsidR="00986DAE" w:rsidRPr="00986DAE" w:rsidRDefault="00986DAE" w:rsidP="00986DAE">
            <w:pPr>
              <w:pStyle w:val="TableBodyText"/>
              <w:rPr>
                <w:sz w:val="18"/>
                <w:szCs w:val="18"/>
              </w:rPr>
            </w:pPr>
            <w:r w:rsidRPr="00986DAE">
              <w:rPr>
                <w:sz w:val="18"/>
                <w:szCs w:val="18"/>
              </w:rPr>
              <w:t>2.2</w:t>
            </w:r>
          </w:p>
        </w:tc>
        <w:tc>
          <w:tcPr>
            <w:tcW w:w="469" w:type="pct"/>
            <w:vAlign w:val="bottom"/>
          </w:tcPr>
          <w:p w:rsidR="00986DAE" w:rsidRPr="00986DAE" w:rsidRDefault="00986DAE" w:rsidP="00986DAE">
            <w:pPr>
              <w:pStyle w:val="TableBodyText"/>
              <w:rPr>
                <w:sz w:val="18"/>
                <w:szCs w:val="18"/>
              </w:rPr>
            </w:pPr>
            <w:r w:rsidRPr="00986DAE">
              <w:rPr>
                <w:sz w:val="18"/>
                <w:szCs w:val="18"/>
              </w:rPr>
              <w:t>1.9</w:t>
            </w:r>
          </w:p>
        </w:tc>
        <w:tc>
          <w:tcPr>
            <w:tcW w:w="469" w:type="pct"/>
            <w:vAlign w:val="bottom"/>
          </w:tcPr>
          <w:p w:rsidR="00986DAE" w:rsidRPr="00986DAE" w:rsidRDefault="00986DAE" w:rsidP="00986DAE">
            <w:pPr>
              <w:pStyle w:val="TableBodyText"/>
              <w:rPr>
                <w:sz w:val="18"/>
                <w:szCs w:val="18"/>
              </w:rPr>
            </w:pPr>
            <w:r w:rsidRPr="00986DAE">
              <w:rPr>
                <w:sz w:val="18"/>
                <w:szCs w:val="18"/>
              </w:rPr>
              <w:t>1.7</w:t>
            </w:r>
          </w:p>
        </w:tc>
        <w:tc>
          <w:tcPr>
            <w:tcW w:w="469" w:type="pct"/>
            <w:shd w:val="clear" w:color="auto" w:fill="auto"/>
            <w:vAlign w:val="bottom"/>
          </w:tcPr>
          <w:p w:rsidR="00986DAE" w:rsidRPr="00986DAE" w:rsidRDefault="00986DAE" w:rsidP="00986DAE">
            <w:pPr>
              <w:pStyle w:val="TableBodyText"/>
              <w:rPr>
                <w:sz w:val="18"/>
                <w:szCs w:val="18"/>
              </w:rPr>
            </w:pPr>
            <w:r w:rsidRPr="00986DAE">
              <w:rPr>
                <w:sz w:val="18"/>
                <w:szCs w:val="18"/>
              </w:rPr>
              <w:t>1.1</w:t>
            </w:r>
          </w:p>
        </w:tc>
        <w:tc>
          <w:tcPr>
            <w:tcW w:w="468" w:type="pct"/>
            <w:shd w:val="clear" w:color="auto" w:fill="auto"/>
            <w:vAlign w:val="bottom"/>
          </w:tcPr>
          <w:p w:rsidR="00986DAE" w:rsidRPr="00986DAE" w:rsidRDefault="00986DAE" w:rsidP="00986DAE">
            <w:pPr>
              <w:pStyle w:val="TableBodyText"/>
              <w:rPr>
                <w:sz w:val="18"/>
                <w:szCs w:val="18"/>
              </w:rPr>
            </w:pPr>
            <w:r w:rsidRPr="00986DAE">
              <w:rPr>
                <w:sz w:val="18"/>
                <w:szCs w:val="18"/>
              </w:rPr>
              <w:t>1.1</w:t>
            </w:r>
          </w:p>
        </w:tc>
      </w:tr>
      <w:tr w:rsidR="00986DAE" w:rsidRPr="00AF699A" w:rsidTr="00986DAE">
        <w:tc>
          <w:tcPr>
            <w:tcW w:w="2187" w:type="pct"/>
            <w:vAlign w:val="bottom"/>
          </w:tcPr>
          <w:p w:rsidR="00986DAE" w:rsidRPr="009D43B4" w:rsidRDefault="00986DAE" w:rsidP="008375B7">
            <w:pPr>
              <w:pStyle w:val="TableBodyText"/>
              <w:ind w:left="0"/>
              <w:jc w:val="left"/>
              <w:rPr>
                <w:sz w:val="18"/>
                <w:szCs w:val="18"/>
              </w:rPr>
            </w:pPr>
            <w:r w:rsidRPr="009D43B4">
              <w:rPr>
                <w:sz w:val="18"/>
                <w:szCs w:val="18"/>
              </w:rPr>
              <w:t>Motor vehicle and parts</w:t>
            </w:r>
          </w:p>
        </w:tc>
        <w:tc>
          <w:tcPr>
            <w:tcW w:w="469" w:type="pct"/>
            <w:vAlign w:val="bottom"/>
          </w:tcPr>
          <w:p w:rsidR="00986DAE" w:rsidRPr="00986DAE" w:rsidRDefault="00986DAE" w:rsidP="00986DAE">
            <w:pPr>
              <w:pStyle w:val="TableBodyText"/>
              <w:rPr>
                <w:sz w:val="18"/>
                <w:szCs w:val="18"/>
              </w:rPr>
            </w:pPr>
            <w:r w:rsidRPr="00986DAE">
              <w:rPr>
                <w:sz w:val="18"/>
                <w:szCs w:val="18"/>
              </w:rPr>
              <w:t>46.9</w:t>
            </w:r>
          </w:p>
        </w:tc>
        <w:tc>
          <w:tcPr>
            <w:tcW w:w="469" w:type="pct"/>
            <w:vAlign w:val="bottom"/>
          </w:tcPr>
          <w:p w:rsidR="00986DAE" w:rsidRPr="00986DAE" w:rsidRDefault="00986DAE" w:rsidP="00986DAE">
            <w:pPr>
              <w:pStyle w:val="TableBodyText"/>
              <w:rPr>
                <w:sz w:val="18"/>
                <w:szCs w:val="18"/>
              </w:rPr>
            </w:pPr>
            <w:r w:rsidRPr="00986DAE">
              <w:rPr>
                <w:sz w:val="18"/>
                <w:szCs w:val="18"/>
              </w:rPr>
              <w:t>46.8</w:t>
            </w:r>
          </w:p>
        </w:tc>
        <w:tc>
          <w:tcPr>
            <w:tcW w:w="469" w:type="pct"/>
            <w:vAlign w:val="bottom"/>
          </w:tcPr>
          <w:p w:rsidR="00986DAE" w:rsidRPr="00986DAE" w:rsidRDefault="00986DAE" w:rsidP="00986DAE">
            <w:pPr>
              <w:pStyle w:val="TableBodyText"/>
              <w:rPr>
                <w:sz w:val="18"/>
                <w:szCs w:val="18"/>
              </w:rPr>
            </w:pPr>
            <w:r w:rsidRPr="00986DAE">
              <w:rPr>
                <w:sz w:val="18"/>
                <w:szCs w:val="18"/>
              </w:rPr>
              <w:t>39.7</w:t>
            </w:r>
          </w:p>
        </w:tc>
        <w:tc>
          <w:tcPr>
            <w:tcW w:w="469" w:type="pct"/>
            <w:vAlign w:val="bottom"/>
          </w:tcPr>
          <w:p w:rsidR="00986DAE" w:rsidRPr="00986DAE" w:rsidRDefault="00986DAE" w:rsidP="00986DAE">
            <w:pPr>
              <w:pStyle w:val="TableBodyText"/>
              <w:rPr>
                <w:sz w:val="18"/>
                <w:szCs w:val="18"/>
              </w:rPr>
            </w:pPr>
            <w:r w:rsidRPr="00986DAE">
              <w:rPr>
                <w:sz w:val="18"/>
                <w:szCs w:val="18"/>
              </w:rPr>
              <w:t>35.7</w:t>
            </w:r>
          </w:p>
        </w:tc>
        <w:tc>
          <w:tcPr>
            <w:tcW w:w="469" w:type="pct"/>
            <w:shd w:val="clear" w:color="auto" w:fill="auto"/>
            <w:vAlign w:val="bottom"/>
          </w:tcPr>
          <w:p w:rsidR="00986DAE" w:rsidRPr="00986DAE" w:rsidRDefault="00986DAE" w:rsidP="00986DAE">
            <w:pPr>
              <w:pStyle w:val="TableBodyText"/>
              <w:rPr>
                <w:sz w:val="18"/>
                <w:szCs w:val="18"/>
              </w:rPr>
            </w:pPr>
            <w:r w:rsidRPr="00986DAE">
              <w:rPr>
                <w:sz w:val="18"/>
                <w:szCs w:val="18"/>
              </w:rPr>
              <w:t>22.9</w:t>
            </w:r>
          </w:p>
        </w:tc>
        <w:tc>
          <w:tcPr>
            <w:tcW w:w="468" w:type="pct"/>
            <w:shd w:val="clear" w:color="auto" w:fill="auto"/>
            <w:vAlign w:val="bottom"/>
          </w:tcPr>
          <w:p w:rsidR="00986DAE" w:rsidRPr="00986DAE" w:rsidRDefault="00986DAE" w:rsidP="00986DAE">
            <w:pPr>
              <w:pStyle w:val="TableBodyText"/>
              <w:rPr>
                <w:sz w:val="18"/>
                <w:szCs w:val="18"/>
              </w:rPr>
            </w:pPr>
            <w:r w:rsidRPr="00986DAE">
              <w:rPr>
                <w:sz w:val="18"/>
                <w:szCs w:val="18"/>
              </w:rPr>
              <w:t>24.4</w:t>
            </w:r>
          </w:p>
        </w:tc>
      </w:tr>
      <w:tr w:rsidR="00986DAE" w:rsidRPr="00AF699A" w:rsidTr="00986DAE">
        <w:tc>
          <w:tcPr>
            <w:tcW w:w="2187" w:type="pct"/>
            <w:vAlign w:val="bottom"/>
          </w:tcPr>
          <w:p w:rsidR="00986DAE" w:rsidRPr="009D43B4" w:rsidRDefault="00986DAE" w:rsidP="008375B7">
            <w:pPr>
              <w:pStyle w:val="TableBodyText"/>
              <w:ind w:left="0"/>
              <w:jc w:val="left"/>
              <w:rPr>
                <w:sz w:val="18"/>
                <w:szCs w:val="18"/>
              </w:rPr>
            </w:pPr>
            <w:r w:rsidRPr="009D43B4">
              <w:rPr>
                <w:sz w:val="18"/>
                <w:szCs w:val="18"/>
              </w:rPr>
              <w:t>Other transport equipment</w:t>
            </w:r>
          </w:p>
        </w:tc>
        <w:tc>
          <w:tcPr>
            <w:tcW w:w="469" w:type="pct"/>
            <w:vAlign w:val="bottom"/>
          </w:tcPr>
          <w:p w:rsidR="00986DAE" w:rsidRPr="00986DAE" w:rsidRDefault="00986DAE" w:rsidP="00986DAE">
            <w:pPr>
              <w:pStyle w:val="TableBodyText"/>
              <w:rPr>
                <w:sz w:val="18"/>
                <w:szCs w:val="18"/>
              </w:rPr>
            </w:pPr>
            <w:r w:rsidRPr="00986DAE">
              <w:rPr>
                <w:sz w:val="18"/>
                <w:szCs w:val="18"/>
              </w:rPr>
              <w:t>0.2</w:t>
            </w:r>
          </w:p>
        </w:tc>
        <w:tc>
          <w:tcPr>
            <w:tcW w:w="469" w:type="pct"/>
            <w:vAlign w:val="bottom"/>
          </w:tcPr>
          <w:p w:rsidR="00986DAE" w:rsidRPr="00986DAE" w:rsidRDefault="00986DAE" w:rsidP="00986DAE">
            <w:pPr>
              <w:pStyle w:val="TableBodyText"/>
              <w:rPr>
                <w:sz w:val="18"/>
                <w:szCs w:val="18"/>
              </w:rPr>
            </w:pPr>
            <w:r w:rsidRPr="00986DAE">
              <w:rPr>
                <w:sz w:val="18"/>
                <w:szCs w:val="18"/>
              </w:rPr>
              <w:t>0.2</w:t>
            </w:r>
          </w:p>
        </w:tc>
        <w:tc>
          <w:tcPr>
            <w:tcW w:w="469" w:type="pct"/>
            <w:vAlign w:val="bottom"/>
          </w:tcPr>
          <w:p w:rsidR="00986DAE" w:rsidRPr="00986DAE" w:rsidRDefault="00986DAE" w:rsidP="00986DAE">
            <w:pPr>
              <w:pStyle w:val="TableBodyText"/>
              <w:rPr>
                <w:sz w:val="18"/>
                <w:szCs w:val="18"/>
              </w:rPr>
            </w:pPr>
            <w:r w:rsidRPr="00986DAE">
              <w:rPr>
                <w:sz w:val="18"/>
                <w:szCs w:val="18"/>
              </w:rPr>
              <w:t>0.2</w:t>
            </w:r>
          </w:p>
        </w:tc>
        <w:tc>
          <w:tcPr>
            <w:tcW w:w="469" w:type="pct"/>
            <w:vAlign w:val="bottom"/>
          </w:tcPr>
          <w:p w:rsidR="00986DAE" w:rsidRPr="00986DAE" w:rsidRDefault="00986DAE" w:rsidP="00986DAE">
            <w:pPr>
              <w:pStyle w:val="TableBodyText"/>
              <w:rPr>
                <w:sz w:val="18"/>
                <w:szCs w:val="18"/>
              </w:rPr>
            </w:pPr>
            <w:r w:rsidRPr="00986DAE">
              <w:rPr>
                <w:sz w:val="18"/>
                <w:szCs w:val="18"/>
              </w:rPr>
              <w:t>0.2</w:t>
            </w:r>
          </w:p>
        </w:tc>
        <w:tc>
          <w:tcPr>
            <w:tcW w:w="469" w:type="pct"/>
            <w:shd w:val="clear" w:color="auto" w:fill="auto"/>
            <w:vAlign w:val="bottom"/>
          </w:tcPr>
          <w:p w:rsidR="00986DAE" w:rsidRPr="00986DAE" w:rsidRDefault="00986DAE" w:rsidP="00986DAE">
            <w:pPr>
              <w:pStyle w:val="TableBodyText"/>
              <w:rPr>
                <w:sz w:val="18"/>
                <w:szCs w:val="18"/>
              </w:rPr>
            </w:pPr>
            <w:r w:rsidRPr="00986DAE">
              <w:rPr>
                <w:sz w:val="18"/>
                <w:szCs w:val="18"/>
              </w:rPr>
              <w:t>0.1</w:t>
            </w:r>
          </w:p>
        </w:tc>
        <w:tc>
          <w:tcPr>
            <w:tcW w:w="468" w:type="pct"/>
            <w:shd w:val="clear" w:color="auto" w:fill="auto"/>
            <w:vAlign w:val="bottom"/>
          </w:tcPr>
          <w:p w:rsidR="00986DAE" w:rsidRPr="00986DAE" w:rsidRDefault="00986DAE" w:rsidP="00986DAE">
            <w:pPr>
              <w:pStyle w:val="TableBodyText"/>
              <w:rPr>
                <w:sz w:val="18"/>
                <w:szCs w:val="18"/>
              </w:rPr>
            </w:pPr>
            <w:r w:rsidRPr="00986DAE">
              <w:rPr>
                <w:sz w:val="18"/>
                <w:szCs w:val="18"/>
              </w:rPr>
              <w:t>0.1</w:t>
            </w:r>
          </w:p>
        </w:tc>
      </w:tr>
      <w:tr w:rsidR="00986DAE" w:rsidRPr="00AF699A" w:rsidTr="00986DAE">
        <w:tc>
          <w:tcPr>
            <w:tcW w:w="2187" w:type="pct"/>
            <w:vAlign w:val="bottom"/>
          </w:tcPr>
          <w:p w:rsidR="00986DAE" w:rsidRPr="009D43B4" w:rsidRDefault="00986DAE" w:rsidP="008375B7">
            <w:pPr>
              <w:pStyle w:val="TableBodyText"/>
              <w:ind w:left="0"/>
              <w:jc w:val="left"/>
              <w:rPr>
                <w:sz w:val="18"/>
                <w:szCs w:val="18"/>
              </w:rPr>
            </w:pPr>
            <w:r w:rsidRPr="009D43B4">
              <w:rPr>
                <w:sz w:val="18"/>
                <w:szCs w:val="18"/>
              </w:rPr>
              <w:t>Machinery and equipment manufacturing</w:t>
            </w:r>
          </w:p>
        </w:tc>
        <w:tc>
          <w:tcPr>
            <w:tcW w:w="469" w:type="pct"/>
            <w:vAlign w:val="bottom"/>
          </w:tcPr>
          <w:p w:rsidR="00986DAE" w:rsidRPr="00986DAE" w:rsidRDefault="00986DAE" w:rsidP="00986DAE">
            <w:pPr>
              <w:pStyle w:val="TableBodyText"/>
              <w:rPr>
                <w:sz w:val="18"/>
                <w:szCs w:val="18"/>
              </w:rPr>
            </w:pPr>
            <w:r w:rsidRPr="00986DAE">
              <w:rPr>
                <w:sz w:val="18"/>
                <w:szCs w:val="18"/>
              </w:rPr>
              <w:t>5.8</w:t>
            </w:r>
          </w:p>
        </w:tc>
        <w:tc>
          <w:tcPr>
            <w:tcW w:w="469" w:type="pct"/>
            <w:vAlign w:val="bottom"/>
          </w:tcPr>
          <w:p w:rsidR="00986DAE" w:rsidRPr="00986DAE" w:rsidRDefault="00986DAE" w:rsidP="00986DAE">
            <w:pPr>
              <w:pStyle w:val="TableBodyText"/>
              <w:rPr>
                <w:sz w:val="18"/>
                <w:szCs w:val="18"/>
              </w:rPr>
            </w:pPr>
            <w:r w:rsidRPr="00986DAE">
              <w:rPr>
                <w:sz w:val="18"/>
                <w:szCs w:val="18"/>
              </w:rPr>
              <w:t>5.7</w:t>
            </w:r>
          </w:p>
        </w:tc>
        <w:tc>
          <w:tcPr>
            <w:tcW w:w="469" w:type="pct"/>
            <w:vAlign w:val="bottom"/>
          </w:tcPr>
          <w:p w:rsidR="00986DAE" w:rsidRPr="00986DAE" w:rsidRDefault="00986DAE" w:rsidP="00986DAE">
            <w:pPr>
              <w:pStyle w:val="TableBodyText"/>
              <w:rPr>
                <w:sz w:val="18"/>
                <w:szCs w:val="18"/>
              </w:rPr>
            </w:pPr>
            <w:r w:rsidRPr="00986DAE">
              <w:rPr>
                <w:sz w:val="18"/>
                <w:szCs w:val="18"/>
              </w:rPr>
              <w:t>4.9</w:t>
            </w:r>
          </w:p>
        </w:tc>
        <w:tc>
          <w:tcPr>
            <w:tcW w:w="469" w:type="pct"/>
            <w:vAlign w:val="bottom"/>
          </w:tcPr>
          <w:p w:rsidR="00986DAE" w:rsidRPr="00986DAE" w:rsidRDefault="00986DAE" w:rsidP="00986DAE">
            <w:pPr>
              <w:pStyle w:val="TableBodyText"/>
              <w:rPr>
                <w:sz w:val="18"/>
                <w:szCs w:val="18"/>
              </w:rPr>
            </w:pPr>
            <w:r w:rsidRPr="00986DAE">
              <w:rPr>
                <w:sz w:val="18"/>
                <w:szCs w:val="18"/>
              </w:rPr>
              <w:t>4.4</w:t>
            </w:r>
          </w:p>
        </w:tc>
        <w:tc>
          <w:tcPr>
            <w:tcW w:w="469" w:type="pct"/>
            <w:shd w:val="clear" w:color="auto" w:fill="auto"/>
            <w:vAlign w:val="bottom"/>
          </w:tcPr>
          <w:p w:rsidR="00986DAE" w:rsidRPr="00986DAE" w:rsidRDefault="00986DAE" w:rsidP="00986DAE">
            <w:pPr>
              <w:pStyle w:val="TableBodyText"/>
              <w:rPr>
                <w:sz w:val="18"/>
                <w:szCs w:val="18"/>
              </w:rPr>
            </w:pPr>
            <w:r w:rsidRPr="00986DAE">
              <w:rPr>
                <w:sz w:val="18"/>
                <w:szCs w:val="18"/>
              </w:rPr>
              <w:t>2.8</w:t>
            </w:r>
          </w:p>
        </w:tc>
        <w:tc>
          <w:tcPr>
            <w:tcW w:w="468" w:type="pct"/>
            <w:shd w:val="clear" w:color="auto" w:fill="auto"/>
            <w:vAlign w:val="bottom"/>
          </w:tcPr>
          <w:p w:rsidR="00986DAE" w:rsidRPr="00986DAE" w:rsidRDefault="00986DAE" w:rsidP="00986DAE">
            <w:pPr>
              <w:pStyle w:val="TableBodyText"/>
              <w:rPr>
                <w:sz w:val="18"/>
                <w:szCs w:val="18"/>
              </w:rPr>
            </w:pPr>
            <w:r w:rsidRPr="00986DAE">
              <w:rPr>
                <w:sz w:val="18"/>
                <w:szCs w:val="18"/>
              </w:rPr>
              <w:t>3.0</w:t>
            </w:r>
          </w:p>
        </w:tc>
      </w:tr>
      <w:tr w:rsidR="00986DAE" w:rsidRPr="00AF699A" w:rsidTr="00986DAE">
        <w:tc>
          <w:tcPr>
            <w:tcW w:w="2187" w:type="pct"/>
            <w:vAlign w:val="bottom"/>
          </w:tcPr>
          <w:p w:rsidR="00986DAE" w:rsidRPr="009D43B4" w:rsidRDefault="00986DAE" w:rsidP="008375B7">
            <w:pPr>
              <w:pStyle w:val="TableBodyText"/>
              <w:ind w:left="0"/>
              <w:jc w:val="left"/>
              <w:rPr>
                <w:sz w:val="18"/>
                <w:szCs w:val="18"/>
              </w:rPr>
            </w:pPr>
            <w:r w:rsidRPr="009D43B4">
              <w:rPr>
                <w:sz w:val="18"/>
                <w:szCs w:val="18"/>
              </w:rPr>
              <w:t>Furniture and other manufacturing</w:t>
            </w:r>
          </w:p>
        </w:tc>
        <w:tc>
          <w:tcPr>
            <w:tcW w:w="469" w:type="pct"/>
            <w:vAlign w:val="bottom"/>
          </w:tcPr>
          <w:p w:rsidR="00986DAE" w:rsidRPr="00986DAE" w:rsidRDefault="00986DAE" w:rsidP="00986DAE">
            <w:pPr>
              <w:pStyle w:val="TableBodyText"/>
              <w:rPr>
                <w:sz w:val="18"/>
                <w:szCs w:val="18"/>
              </w:rPr>
            </w:pPr>
            <w:r w:rsidRPr="00986DAE">
              <w:rPr>
                <w:sz w:val="18"/>
                <w:szCs w:val="18"/>
              </w:rPr>
              <w:t>2.3</w:t>
            </w:r>
          </w:p>
        </w:tc>
        <w:tc>
          <w:tcPr>
            <w:tcW w:w="469" w:type="pct"/>
            <w:vAlign w:val="bottom"/>
          </w:tcPr>
          <w:p w:rsidR="00986DAE" w:rsidRPr="00986DAE" w:rsidRDefault="00986DAE" w:rsidP="00986DAE">
            <w:pPr>
              <w:pStyle w:val="TableBodyText"/>
              <w:rPr>
                <w:sz w:val="18"/>
                <w:szCs w:val="18"/>
              </w:rPr>
            </w:pPr>
            <w:r w:rsidRPr="00986DAE">
              <w:rPr>
                <w:sz w:val="18"/>
                <w:szCs w:val="18"/>
              </w:rPr>
              <w:t>2.3</w:t>
            </w:r>
          </w:p>
        </w:tc>
        <w:tc>
          <w:tcPr>
            <w:tcW w:w="469" w:type="pct"/>
            <w:vAlign w:val="bottom"/>
          </w:tcPr>
          <w:p w:rsidR="00986DAE" w:rsidRPr="00986DAE" w:rsidRDefault="00986DAE" w:rsidP="00986DAE">
            <w:pPr>
              <w:pStyle w:val="TableBodyText"/>
              <w:rPr>
                <w:sz w:val="18"/>
                <w:szCs w:val="18"/>
              </w:rPr>
            </w:pPr>
            <w:r w:rsidRPr="00986DAE">
              <w:rPr>
                <w:sz w:val="18"/>
                <w:szCs w:val="18"/>
              </w:rPr>
              <w:t>1.9</w:t>
            </w:r>
          </w:p>
        </w:tc>
        <w:tc>
          <w:tcPr>
            <w:tcW w:w="469" w:type="pct"/>
            <w:vAlign w:val="bottom"/>
          </w:tcPr>
          <w:p w:rsidR="00986DAE" w:rsidRPr="00986DAE" w:rsidRDefault="00986DAE" w:rsidP="00986DAE">
            <w:pPr>
              <w:pStyle w:val="TableBodyText"/>
              <w:rPr>
                <w:sz w:val="18"/>
                <w:szCs w:val="18"/>
              </w:rPr>
            </w:pPr>
            <w:r w:rsidRPr="00986DAE">
              <w:rPr>
                <w:sz w:val="18"/>
                <w:szCs w:val="18"/>
              </w:rPr>
              <w:t>1.7</w:t>
            </w:r>
          </w:p>
        </w:tc>
        <w:tc>
          <w:tcPr>
            <w:tcW w:w="469" w:type="pct"/>
            <w:shd w:val="clear" w:color="auto" w:fill="auto"/>
            <w:vAlign w:val="bottom"/>
          </w:tcPr>
          <w:p w:rsidR="00986DAE" w:rsidRPr="00986DAE" w:rsidRDefault="00986DAE" w:rsidP="00986DAE">
            <w:pPr>
              <w:pStyle w:val="TableBodyText"/>
              <w:rPr>
                <w:sz w:val="18"/>
                <w:szCs w:val="18"/>
              </w:rPr>
            </w:pPr>
            <w:r w:rsidRPr="00986DAE">
              <w:rPr>
                <w:sz w:val="18"/>
                <w:szCs w:val="18"/>
              </w:rPr>
              <w:t>1.1</w:t>
            </w:r>
          </w:p>
        </w:tc>
        <w:tc>
          <w:tcPr>
            <w:tcW w:w="468" w:type="pct"/>
            <w:shd w:val="clear" w:color="auto" w:fill="auto"/>
            <w:vAlign w:val="bottom"/>
          </w:tcPr>
          <w:p w:rsidR="00986DAE" w:rsidRPr="00986DAE" w:rsidRDefault="00986DAE" w:rsidP="00986DAE">
            <w:pPr>
              <w:pStyle w:val="TableBodyText"/>
              <w:rPr>
                <w:sz w:val="18"/>
                <w:szCs w:val="18"/>
              </w:rPr>
            </w:pPr>
            <w:r w:rsidRPr="00986DAE">
              <w:rPr>
                <w:sz w:val="18"/>
                <w:szCs w:val="18"/>
              </w:rPr>
              <w:t>1.2</w:t>
            </w:r>
          </w:p>
        </w:tc>
      </w:tr>
      <w:tr w:rsidR="00986DAE" w:rsidRPr="00AF699A" w:rsidTr="00986DAE">
        <w:tc>
          <w:tcPr>
            <w:tcW w:w="2187" w:type="pct"/>
            <w:vAlign w:val="bottom"/>
          </w:tcPr>
          <w:p w:rsidR="00986DAE" w:rsidRPr="009D43B4" w:rsidRDefault="00986DAE" w:rsidP="00AB38B4">
            <w:pPr>
              <w:pStyle w:val="TableBodyText"/>
              <w:jc w:val="left"/>
              <w:rPr>
                <w:b/>
                <w:sz w:val="18"/>
                <w:szCs w:val="18"/>
              </w:rPr>
            </w:pPr>
            <w:r w:rsidRPr="009D43B4">
              <w:rPr>
                <w:b/>
                <w:sz w:val="18"/>
                <w:szCs w:val="18"/>
              </w:rPr>
              <w:t>Services</w:t>
            </w:r>
          </w:p>
        </w:tc>
        <w:tc>
          <w:tcPr>
            <w:tcW w:w="469" w:type="pct"/>
            <w:vAlign w:val="bottom"/>
          </w:tcPr>
          <w:p w:rsidR="00986DAE" w:rsidRPr="00D20EC8" w:rsidRDefault="00986DAE" w:rsidP="00986DAE">
            <w:pPr>
              <w:pStyle w:val="TableBodyText"/>
              <w:rPr>
                <w:b/>
                <w:sz w:val="18"/>
                <w:szCs w:val="18"/>
              </w:rPr>
            </w:pPr>
            <w:r w:rsidRPr="00D20EC8">
              <w:rPr>
                <w:b/>
                <w:sz w:val="18"/>
                <w:szCs w:val="18"/>
              </w:rPr>
              <w:t>9.6</w:t>
            </w:r>
          </w:p>
        </w:tc>
        <w:tc>
          <w:tcPr>
            <w:tcW w:w="469" w:type="pct"/>
            <w:vAlign w:val="bottom"/>
          </w:tcPr>
          <w:p w:rsidR="00986DAE" w:rsidRPr="00D20EC8" w:rsidRDefault="00986DAE" w:rsidP="00986DAE">
            <w:pPr>
              <w:pStyle w:val="TableBodyText"/>
              <w:rPr>
                <w:b/>
                <w:sz w:val="18"/>
                <w:szCs w:val="18"/>
              </w:rPr>
            </w:pPr>
            <w:r w:rsidRPr="00D20EC8">
              <w:rPr>
                <w:b/>
                <w:sz w:val="18"/>
                <w:szCs w:val="18"/>
              </w:rPr>
              <w:t>9.6</w:t>
            </w:r>
          </w:p>
        </w:tc>
        <w:tc>
          <w:tcPr>
            <w:tcW w:w="469" w:type="pct"/>
            <w:vAlign w:val="bottom"/>
          </w:tcPr>
          <w:p w:rsidR="00986DAE" w:rsidRPr="00D20EC8" w:rsidRDefault="00986DAE" w:rsidP="00986DAE">
            <w:pPr>
              <w:pStyle w:val="TableBodyText"/>
              <w:rPr>
                <w:b/>
                <w:sz w:val="18"/>
                <w:szCs w:val="18"/>
              </w:rPr>
            </w:pPr>
            <w:r w:rsidRPr="00D20EC8">
              <w:rPr>
                <w:b/>
                <w:sz w:val="18"/>
                <w:szCs w:val="18"/>
              </w:rPr>
              <w:t>8.1</w:t>
            </w:r>
          </w:p>
        </w:tc>
        <w:tc>
          <w:tcPr>
            <w:tcW w:w="469" w:type="pct"/>
            <w:vAlign w:val="bottom"/>
          </w:tcPr>
          <w:p w:rsidR="00986DAE" w:rsidRPr="00D20EC8" w:rsidRDefault="00986DAE" w:rsidP="00986DAE">
            <w:pPr>
              <w:pStyle w:val="TableBodyText"/>
              <w:rPr>
                <w:b/>
                <w:sz w:val="18"/>
                <w:szCs w:val="18"/>
              </w:rPr>
            </w:pPr>
            <w:r w:rsidRPr="00D20EC8">
              <w:rPr>
                <w:b/>
                <w:sz w:val="18"/>
                <w:szCs w:val="18"/>
              </w:rPr>
              <w:t>7.3</w:t>
            </w:r>
          </w:p>
        </w:tc>
        <w:tc>
          <w:tcPr>
            <w:tcW w:w="469" w:type="pct"/>
            <w:shd w:val="clear" w:color="auto" w:fill="auto"/>
            <w:vAlign w:val="bottom"/>
          </w:tcPr>
          <w:p w:rsidR="00986DAE" w:rsidRPr="00D20EC8" w:rsidRDefault="00986DAE" w:rsidP="00986DAE">
            <w:pPr>
              <w:pStyle w:val="TableBodyText"/>
              <w:rPr>
                <w:b/>
                <w:sz w:val="18"/>
                <w:szCs w:val="18"/>
              </w:rPr>
            </w:pPr>
            <w:r w:rsidRPr="00D20EC8">
              <w:rPr>
                <w:b/>
                <w:sz w:val="18"/>
                <w:szCs w:val="18"/>
              </w:rPr>
              <w:t>4.7</w:t>
            </w:r>
          </w:p>
        </w:tc>
        <w:tc>
          <w:tcPr>
            <w:tcW w:w="468" w:type="pct"/>
            <w:shd w:val="clear" w:color="auto" w:fill="auto"/>
            <w:vAlign w:val="bottom"/>
          </w:tcPr>
          <w:p w:rsidR="00986DAE" w:rsidRPr="00D20EC8" w:rsidRDefault="00986DAE" w:rsidP="00986DAE">
            <w:pPr>
              <w:pStyle w:val="TableBodyText"/>
              <w:rPr>
                <w:b/>
                <w:sz w:val="18"/>
                <w:szCs w:val="18"/>
              </w:rPr>
            </w:pPr>
            <w:r w:rsidRPr="00D20EC8">
              <w:rPr>
                <w:b/>
                <w:sz w:val="18"/>
                <w:szCs w:val="18"/>
              </w:rPr>
              <w:t>5.0</w:t>
            </w:r>
          </w:p>
        </w:tc>
      </w:tr>
      <w:tr w:rsidR="00986DAE" w:rsidRPr="00AF699A" w:rsidTr="00986DAE">
        <w:tc>
          <w:tcPr>
            <w:tcW w:w="2187" w:type="pct"/>
            <w:vAlign w:val="bottom"/>
          </w:tcPr>
          <w:p w:rsidR="00986DAE" w:rsidRPr="009D43B4" w:rsidRDefault="00986DAE" w:rsidP="008375B7">
            <w:pPr>
              <w:pStyle w:val="TableBodyText"/>
              <w:ind w:left="0"/>
              <w:jc w:val="left"/>
              <w:rPr>
                <w:sz w:val="18"/>
                <w:szCs w:val="18"/>
              </w:rPr>
            </w:pPr>
            <w:r w:rsidRPr="009D43B4">
              <w:rPr>
                <w:sz w:val="18"/>
                <w:szCs w:val="18"/>
              </w:rPr>
              <w:t>Electricity, gas, water and waste services</w:t>
            </w:r>
          </w:p>
        </w:tc>
        <w:tc>
          <w:tcPr>
            <w:tcW w:w="469" w:type="pct"/>
            <w:vAlign w:val="bottom"/>
          </w:tcPr>
          <w:p w:rsidR="00986DAE" w:rsidRPr="00986DAE" w:rsidRDefault="00986DAE" w:rsidP="00986DAE">
            <w:pPr>
              <w:pStyle w:val="TableBodyText"/>
              <w:rPr>
                <w:sz w:val="18"/>
                <w:szCs w:val="18"/>
              </w:rPr>
            </w:pPr>
            <w:r w:rsidRPr="00986DAE">
              <w:rPr>
                <w:sz w:val="18"/>
                <w:szCs w:val="18"/>
              </w:rPr>
              <w:t>0.1</w:t>
            </w:r>
          </w:p>
        </w:tc>
        <w:tc>
          <w:tcPr>
            <w:tcW w:w="469" w:type="pct"/>
            <w:vAlign w:val="bottom"/>
          </w:tcPr>
          <w:p w:rsidR="00986DAE" w:rsidRPr="00986DAE" w:rsidRDefault="00986DAE" w:rsidP="00986DAE">
            <w:pPr>
              <w:pStyle w:val="TableBodyText"/>
              <w:rPr>
                <w:sz w:val="18"/>
                <w:szCs w:val="18"/>
              </w:rPr>
            </w:pPr>
            <w:r w:rsidRPr="00986DAE">
              <w:rPr>
                <w:sz w:val="18"/>
                <w:szCs w:val="18"/>
              </w:rPr>
              <w:t>0.1</w:t>
            </w:r>
          </w:p>
        </w:tc>
        <w:tc>
          <w:tcPr>
            <w:tcW w:w="469" w:type="pct"/>
            <w:vAlign w:val="bottom"/>
          </w:tcPr>
          <w:p w:rsidR="00986DAE" w:rsidRPr="00986DAE" w:rsidRDefault="00986DAE" w:rsidP="00986DAE">
            <w:pPr>
              <w:pStyle w:val="TableBodyText"/>
              <w:rPr>
                <w:sz w:val="18"/>
                <w:szCs w:val="18"/>
              </w:rPr>
            </w:pPr>
            <w:r w:rsidRPr="00986DAE">
              <w:rPr>
                <w:sz w:val="18"/>
                <w:szCs w:val="18"/>
              </w:rPr>
              <w:t>0.1</w:t>
            </w:r>
          </w:p>
        </w:tc>
        <w:tc>
          <w:tcPr>
            <w:tcW w:w="469" w:type="pct"/>
            <w:vAlign w:val="bottom"/>
          </w:tcPr>
          <w:p w:rsidR="00986DAE" w:rsidRPr="00986DAE" w:rsidRDefault="00986DAE" w:rsidP="00986DAE">
            <w:pPr>
              <w:pStyle w:val="TableBodyText"/>
              <w:rPr>
                <w:sz w:val="18"/>
                <w:szCs w:val="18"/>
              </w:rPr>
            </w:pPr>
            <w:r w:rsidRPr="00986DAE">
              <w:rPr>
                <w:sz w:val="18"/>
                <w:szCs w:val="18"/>
              </w:rPr>
              <w:t>0.1</w:t>
            </w:r>
          </w:p>
        </w:tc>
        <w:tc>
          <w:tcPr>
            <w:tcW w:w="469" w:type="pct"/>
            <w:shd w:val="clear" w:color="auto" w:fill="auto"/>
            <w:vAlign w:val="bottom"/>
          </w:tcPr>
          <w:p w:rsidR="00986DAE" w:rsidRPr="00986DAE" w:rsidRDefault="00986DAE" w:rsidP="00986DAE">
            <w:pPr>
              <w:pStyle w:val="TableBodyText"/>
              <w:rPr>
                <w:sz w:val="18"/>
                <w:szCs w:val="18"/>
              </w:rPr>
            </w:pPr>
            <w:r>
              <w:rPr>
                <w:sz w:val="18"/>
                <w:szCs w:val="18"/>
              </w:rPr>
              <w:t>&lt;</w:t>
            </w:r>
            <w:r w:rsidRPr="00986DAE">
              <w:rPr>
                <w:sz w:val="18"/>
                <w:szCs w:val="18"/>
              </w:rPr>
              <w:t>0.1</w:t>
            </w:r>
          </w:p>
        </w:tc>
        <w:tc>
          <w:tcPr>
            <w:tcW w:w="468" w:type="pct"/>
            <w:shd w:val="clear" w:color="auto" w:fill="auto"/>
            <w:vAlign w:val="bottom"/>
          </w:tcPr>
          <w:p w:rsidR="00986DAE" w:rsidRPr="00986DAE" w:rsidRDefault="00986DAE" w:rsidP="00986DAE">
            <w:pPr>
              <w:pStyle w:val="TableBodyText"/>
              <w:rPr>
                <w:sz w:val="18"/>
                <w:szCs w:val="18"/>
              </w:rPr>
            </w:pPr>
            <w:r>
              <w:rPr>
                <w:sz w:val="18"/>
                <w:szCs w:val="18"/>
              </w:rPr>
              <w:t>&lt;</w:t>
            </w:r>
            <w:r w:rsidRPr="00986DAE">
              <w:rPr>
                <w:sz w:val="18"/>
                <w:szCs w:val="18"/>
              </w:rPr>
              <w:t>0.1</w:t>
            </w:r>
          </w:p>
        </w:tc>
      </w:tr>
      <w:tr w:rsidR="00986DAE" w:rsidRPr="00AF699A" w:rsidTr="00986DAE">
        <w:tc>
          <w:tcPr>
            <w:tcW w:w="2187" w:type="pct"/>
            <w:vAlign w:val="bottom"/>
          </w:tcPr>
          <w:p w:rsidR="00986DAE" w:rsidRPr="009D43B4" w:rsidRDefault="00986DAE" w:rsidP="008375B7">
            <w:pPr>
              <w:pStyle w:val="TableBodyText"/>
              <w:ind w:left="0"/>
              <w:jc w:val="left"/>
              <w:rPr>
                <w:sz w:val="18"/>
                <w:szCs w:val="18"/>
              </w:rPr>
            </w:pPr>
            <w:r w:rsidRPr="009D43B4">
              <w:rPr>
                <w:sz w:val="18"/>
                <w:szCs w:val="18"/>
              </w:rPr>
              <w:t>Construction</w:t>
            </w:r>
          </w:p>
        </w:tc>
        <w:tc>
          <w:tcPr>
            <w:tcW w:w="469" w:type="pct"/>
            <w:vAlign w:val="bottom"/>
          </w:tcPr>
          <w:p w:rsidR="00986DAE" w:rsidRPr="00986DAE" w:rsidRDefault="00986DAE" w:rsidP="00986DAE">
            <w:pPr>
              <w:pStyle w:val="TableBodyText"/>
              <w:rPr>
                <w:sz w:val="18"/>
                <w:szCs w:val="18"/>
              </w:rPr>
            </w:pPr>
            <w:r>
              <w:rPr>
                <w:sz w:val="18"/>
                <w:szCs w:val="18"/>
              </w:rPr>
              <w:t>&lt;</w:t>
            </w:r>
            <w:r w:rsidRPr="00986DAE">
              <w:rPr>
                <w:sz w:val="18"/>
                <w:szCs w:val="18"/>
              </w:rPr>
              <w:t>0.</w:t>
            </w:r>
            <w:r>
              <w:rPr>
                <w:sz w:val="18"/>
                <w:szCs w:val="18"/>
              </w:rPr>
              <w:t>1</w:t>
            </w:r>
          </w:p>
        </w:tc>
        <w:tc>
          <w:tcPr>
            <w:tcW w:w="469" w:type="pct"/>
            <w:vAlign w:val="bottom"/>
          </w:tcPr>
          <w:p w:rsidR="00986DAE" w:rsidRPr="00986DAE" w:rsidRDefault="00986DAE" w:rsidP="00986DAE">
            <w:pPr>
              <w:pStyle w:val="TableBodyText"/>
              <w:rPr>
                <w:sz w:val="18"/>
                <w:szCs w:val="18"/>
              </w:rPr>
            </w:pPr>
            <w:r>
              <w:rPr>
                <w:sz w:val="18"/>
                <w:szCs w:val="18"/>
              </w:rPr>
              <w:t>&lt;</w:t>
            </w:r>
            <w:r w:rsidRPr="00986DAE">
              <w:rPr>
                <w:sz w:val="18"/>
                <w:szCs w:val="18"/>
              </w:rPr>
              <w:t>0.</w:t>
            </w:r>
            <w:r>
              <w:rPr>
                <w:sz w:val="18"/>
                <w:szCs w:val="18"/>
              </w:rPr>
              <w:t>1</w:t>
            </w:r>
          </w:p>
        </w:tc>
        <w:tc>
          <w:tcPr>
            <w:tcW w:w="469" w:type="pct"/>
            <w:vAlign w:val="bottom"/>
          </w:tcPr>
          <w:p w:rsidR="00986DAE" w:rsidRPr="00986DAE" w:rsidRDefault="00986DAE" w:rsidP="00986DAE">
            <w:pPr>
              <w:pStyle w:val="TableBodyText"/>
              <w:rPr>
                <w:sz w:val="18"/>
                <w:szCs w:val="18"/>
              </w:rPr>
            </w:pPr>
            <w:r>
              <w:rPr>
                <w:sz w:val="18"/>
                <w:szCs w:val="18"/>
              </w:rPr>
              <w:t>&lt;</w:t>
            </w:r>
            <w:r w:rsidRPr="00986DAE">
              <w:rPr>
                <w:sz w:val="18"/>
                <w:szCs w:val="18"/>
              </w:rPr>
              <w:t>0.</w:t>
            </w:r>
            <w:r>
              <w:rPr>
                <w:sz w:val="18"/>
                <w:szCs w:val="18"/>
              </w:rPr>
              <w:t>1</w:t>
            </w:r>
          </w:p>
        </w:tc>
        <w:tc>
          <w:tcPr>
            <w:tcW w:w="469" w:type="pct"/>
            <w:vAlign w:val="bottom"/>
          </w:tcPr>
          <w:p w:rsidR="00986DAE" w:rsidRPr="00986DAE" w:rsidRDefault="00986DAE" w:rsidP="00986DAE">
            <w:pPr>
              <w:pStyle w:val="TableBodyText"/>
              <w:rPr>
                <w:sz w:val="18"/>
                <w:szCs w:val="18"/>
              </w:rPr>
            </w:pPr>
            <w:r>
              <w:rPr>
                <w:sz w:val="18"/>
                <w:szCs w:val="18"/>
              </w:rPr>
              <w:t>&lt;</w:t>
            </w:r>
            <w:r w:rsidRPr="00986DAE">
              <w:rPr>
                <w:sz w:val="18"/>
                <w:szCs w:val="18"/>
              </w:rPr>
              <w:t>0.</w:t>
            </w:r>
            <w:r>
              <w:rPr>
                <w:sz w:val="18"/>
                <w:szCs w:val="18"/>
              </w:rPr>
              <w:t>1</w:t>
            </w:r>
          </w:p>
        </w:tc>
        <w:tc>
          <w:tcPr>
            <w:tcW w:w="469" w:type="pct"/>
            <w:shd w:val="clear" w:color="auto" w:fill="auto"/>
            <w:vAlign w:val="bottom"/>
          </w:tcPr>
          <w:p w:rsidR="00986DAE" w:rsidRPr="00986DAE" w:rsidRDefault="00986DAE" w:rsidP="00986DAE">
            <w:pPr>
              <w:pStyle w:val="TableBodyText"/>
              <w:rPr>
                <w:sz w:val="18"/>
                <w:szCs w:val="18"/>
              </w:rPr>
            </w:pPr>
            <w:r>
              <w:rPr>
                <w:sz w:val="18"/>
                <w:szCs w:val="18"/>
              </w:rPr>
              <w:t>&lt;</w:t>
            </w:r>
            <w:r w:rsidRPr="00986DAE">
              <w:rPr>
                <w:sz w:val="18"/>
                <w:szCs w:val="18"/>
              </w:rPr>
              <w:t>0.</w:t>
            </w:r>
            <w:r>
              <w:rPr>
                <w:sz w:val="18"/>
                <w:szCs w:val="18"/>
              </w:rPr>
              <w:t>1</w:t>
            </w:r>
          </w:p>
        </w:tc>
        <w:tc>
          <w:tcPr>
            <w:tcW w:w="468" w:type="pct"/>
            <w:shd w:val="clear" w:color="auto" w:fill="auto"/>
            <w:vAlign w:val="bottom"/>
          </w:tcPr>
          <w:p w:rsidR="00986DAE" w:rsidRPr="00986DAE" w:rsidRDefault="00986DAE" w:rsidP="00986DAE">
            <w:pPr>
              <w:pStyle w:val="TableBodyText"/>
              <w:rPr>
                <w:sz w:val="18"/>
                <w:szCs w:val="18"/>
              </w:rPr>
            </w:pPr>
            <w:r>
              <w:rPr>
                <w:sz w:val="18"/>
                <w:szCs w:val="18"/>
              </w:rPr>
              <w:t>&lt;</w:t>
            </w:r>
            <w:r w:rsidRPr="00986DAE">
              <w:rPr>
                <w:sz w:val="18"/>
                <w:szCs w:val="18"/>
              </w:rPr>
              <w:t>0.</w:t>
            </w:r>
            <w:r>
              <w:rPr>
                <w:sz w:val="18"/>
                <w:szCs w:val="18"/>
              </w:rPr>
              <w:t>1</w:t>
            </w:r>
          </w:p>
        </w:tc>
      </w:tr>
      <w:tr w:rsidR="00986DAE" w:rsidRPr="00AF699A" w:rsidTr="00986DAE">
        <w:tc>
          <w:tcPr>
            <w:tcW w:w="2187" w:type="pct"/>
            <w:vAlign w:val="bottom"/>
          </w:tcPr>
          <w:p w:rsidR="00986DAE" w:rsidRPr="009D43B4" w:rsidRDefault="00986DAE" w:rsidP="008375B7">
            <w:pPr>
              <w:pStyle w:val="TableBodyText"/>
              <w:ind w:left="0"/>
              <w:jc w:val="left"/>
              <w:rPr>
                <w:sz w:val="18"/>
                <w:szCs w:val="18"/>
              </w:rPr>
            </w:pPr>
            <w:r w:rsidRPr="009D43B4">
              <w:rPr>
                <w:sz w:val="18"/>
                <w:szCs w:val="18"/>
              </w:rPr>
              <w:t>Wholesale trade</w:t>
            </w:r>
          </w:p>
        </w:tc>
        <w:tc>
          <w:tcPr>
            <w:tcW w:w="469" w:type="pct"/>
            <w:vAlign w:val="bottom"/>
          </w:tcPr>
          <w:p w:rsidR="00986DAE" w:rsidRPr="00986DAE" w:rsidRDefault="00986DAE" w:rsidP="00986DAE">
            <w:pPr>
              <w:pStyle w:val="TableBodyText"/>
              <w:rPr>
                <w:sz w:val="18"/>
                <w:szCs w:val="18"/>
              </w:rPr>
            </w:pPr>
            <w:r w:rsidRPr="00986DAE">
              <w:rPr>
                <w:sz w:val="18"/>
                <w:szCs w:val="18"/>
              </w:rPr>
              <w:t>3.5</w:t>
            </w:r>
          </w:p>
        </w:tc>
        <w:tc>
          <w:tcPr>
            <w:tcW w:w="469" w:type="pct"/>
            <w:vAlign w:val="bottom"/>
          </w:tcPr>
          <w:p w:rsidR="00986DAE" w:rsidRPr="00986DAE" w:rsidRDefault="00986DAE" w:rsidP="00986DAE">
            <w:pPr>
              <w:pStyle w:val="TableBodyText"/>
              <w:rPr>
                <w:sz w:val="18"/>
                <w:szCs w:val="18"/>
              </w:rPr>
            </w:pPr>
            <w:r w:rsidRPr="00986DAE">
              <w:rPr>
                <w:sz w:val="18"/>
                <w:szCs w:val="18"/>
              </w:rPr>
              <w:t>3.5</w:t>
            </w:r>
          </w:p>
        </w:tc>
        <w:tc>
          <w:tcPr>
            <w:tcW w:w="469" w:type="pct"/>
            <w:vAlign w:val="bottom"/>
          </w:tcPr>
          <w:p w:rsidR="00986DAE" w:rsidRPr="00986DAE" w:rsidRDefault="00986DAE" w:rsidP="00986DAE">
            <w:pPr>
              <w:pStyle w:val="TableBodyText"/>
              <w:rPr>
                <w:sz w:val="18"/>
                <w:szCs w:val="18"/>
              </w:rPr>
            </w:pPr>
            <w:r w:rsidRPr="00986DAE">
              <w:rPr>
                <w:sz w:val="18"/>
                <w:szCs w:val="18"/>
              </w:rPr>
              <w:t>2.9</w:t>
            </w:r>
          </w:p>
        </w:tc>
        <w:tc>
          <w:tcPr>
            <w:tcW w:w="469" w:type="pct"/>
            <w:vAlign w:val="bottom"/>
          </w:tcPr>
          <w:p w:rsidR="00986DAE" w:rsidRPr="00986DAE" w:rsidRDefault="00986DAE" w:rsidP="00986DAE">
            <w:pPr>
              <w:pStyle w:val="TableBodyText"/>
              <w:rPr>
                <w:sz w:val="18"/>
                <w:szCs w:val="18"/>
              </w:rPr>
            </w:pPr>
            <w:r w:rsidRPr="00986DAE">
              <w:rPr>
                <w:sz w:val="18"/>
                <w:szCs w:val="18"/>
              </w:rPr>
              <w:t>2.6</w:t>
            </w:r>
          </w:p>
        </w:tc>
        <w:tc>
          <w:tcPr>
            <w:tcW w:w="469" w:type="pct"/>
            <w:shd w:val="clear" w:color="auto" w:fill="auto"/>
            <w:vAlign w:val="bottom"/>
          </w:tcPr>
          <w:p w:rsidR="00986DAE" w:rsidRPr="00986DAE" w:rsidRDefault="00986DAE" w:rsidP="00986DAE">
            <w:pPr>
              <w:pStyle w:val="TableBodyText"/>
              <w:rPr>
                <w:sz w:val="18"/>
                <w:szCs w:val="18"/>
              </w:rPr>
            </w:pPr>
            <w:r w:rsidRPr="00986DAE">
              <w:rPr>
                <w:sz w:val="18"/>
                <w:szCs w:val="18"/>
              </w:rPr>
              <w:t>1.7</w:t>
            </w:r>
          </w:p>
        </w:tc>
        <w:tc>
          <w:tcPr>
            <w:tcW w:w="468" w:type="pct"/>
            <w:shd w:val="clear" w:color="auto" w:fill="auto"/>
            <w:vAlign w:val="bottom"/>
          </w:tcPr>
          <w:p w:rsidR="00986DAE" w:rsidRPr="00986DAE" w:rsidRDefault="00986DAE" w:rsidP="00986DAE">
            <w:pPr>
              <w:pStyle w:val="TableBodyText"/>
              <w:rPr>
                <w:sz w:val="18"/>
                <w:szCs w:val="18"/>
              </w:rPr>
            </w:pPr>
            <w:r w:rsidRPr="00986DAE">
              <w:rPr>
                <w:sz w:val="18"/>
                <w:szCs w:val="18"/>
              </w:rPr>
              <w:t>1.8</w:t>
            </w:r>
          </w:p>
        </w:tc>
      </w:tr>
      <w:tr w:rsidR="00986DAE" w:rsidRPr="00AF699A" w:rsidTr="00986DAE">
        <w:tc>
          <w:tcPr>
            <w:tcW w:w="2187" w:type="pct"/>
            <w:vAlign w:val="bottom"/>
          </w:tcPr>
          <w:p w:rsidR="00986DAE" w:rsidRPr="009D43B4" w:rsidRDefault="00986DAE" w:rsidP="008375B7">
            <w:pPr>
              <w:pStyle w:val="TableBodyText"/>
              <w:ind w:left="0"/>
              <w:jc w:val="left"/>
              <w:rPr>
                <w:sz w:val="18"/>
                <w:szCs w:val="18"/>
              </w:rPr>
            </w:pPr>
            <w:r w:rsidRPr="009D43B4">
              <w:rPr>
                <w:sz w:val="18"/>
                <w:szCs w:val="18"/>
              </w:rPr>
              <w:t>Retail trade</w:t>
            </w:r>
          </w:p>
        </w:tc>
        <w:tc>
          <w:tcPr>
            <w:tcW w:w="469" w:type="pct"/>
            <w:vAlign w:val="bottom"/>
          </w:tcPr>
          <w:p w:rsidR="00986DAE" w:rsidRPr="00986DAE" w:rsidRDefault="00986DAE" w:rsidP="00986DAE">
            <w:pPr>
              <w:pStyle w:val="TableBodyText"/>
              <w:rPr>
                <w:sz w:val="18"/>
                <w:szCs w:val="18"/>
              </w:rPr>
            </w:pPr>
            <w:r w:rsidRPr="00986DAE">
              <w:rPr>
                <w:sz w:val="18"/>
                <w:szCs w:val="18"/>
              </w:rPr>
              <w:t>4.4</w:t>
            </w:r>
          </w:p>
        </w:tc>
        <w:tc>
          <w:tcPr>
            <w:tcW w:w="469" w:type="pct"/>
            <w:vAlign w:val="bottom"/>
          </w:tcPr>
          <w:p w:rsidR="00986DAE" w:rsidRPr="00986DAE" w:rsidRDefault="00986DAE" w:rsidP="00986DAE">
            <w:pPr>
              <w:pStyle w:val="TableBodyText"/>
              <w:rPr>
                <w:sz w:val="18"/>
                <w:szCs w:val="18"/>
              </w:rPr>
            </w:pPr>
            <w:r w:rsidRPr="00986DAE">
              <w:rPr>
                <w:sz w:val="18"/>
                <w:szCs w:val="18"/>
              </w:rPr>
              <w:t>4.4</w:t>
            </w:r>
          </w:p>
        </w:tc>
        <w:tc>
          <w:tcPr>
            <w:tcW w:w="469" w:type="pct"/>
            <w:vAlign w:val="bottom"/>
          </w:tcPr>
          <w:p w:rsidR="00986DAE" w:rsidRPr="00986DAE" w:rsidRDefault="00986DAE" w:rsidP="00986DAE">
            <w:pPr>
              <w:pStyle w:val="TableBodyText"/>
              <w:rPr>
                <w:sz w:val="18"/>
                <w:szCs w:val="18"/>
              </w:rPr>
            </w:pPr>
            <w:r w:rsidRPr="00986DAE">
              <w:rPr>
                <w:sz w:val="18"/>
                <w:szCs w:val="18"/>
              </w:rPr>
              <w:t>3.7</w:t>
            </w:r>
          </w:p>
        </w:tc>
        <w:tc>
          <w:tcPr>
            <w:tcW w:w="469" w:type="pct"/>
            <w:vAlign w:val="bottom"/>
          </w:tcPr>
          <w:p w:rsidR="00986DAE" w:rsidRPr="00986DAE" w:rsidRDefault="00986DAE" w:rsidP="00986DAE">
            <w:pPr>
              <w:pStyle w:val="TableBodyText"/>
              <w:rPr>
                <w:sz w:val="18"/>
                <w:szCs w:val="18"/>
              </w:rPr>
            </w:pPr>
            <w:r w:rsidRPr="00986DAE">
              <w:rPr>
                <w:sz w:val="18"/>
                <w:szCs w:val="18"/>
              </w:rPr>
              <w:t>3.4</w:t>
            </w:r>
          </w:p>
        </w:tc>
        <w:tc>
          <w:tcPr>
            <w:tcW w:w="469" w:type="pct"/>
            <w:shd w:val="clear" w:color="auto" w:fill="auto"/>
            <w:vAlign w:val="bottom"/>
          </w:tcPr>
          <w:p w:rsidR="00986DAE" w:rsidRPr="00986DAE" w:rsidRDefault="00986DAE" w:rsidP="00986DAE">
            <w:pPr>
              <w:pStyle w:val="TableBodyText"/>
              <w:rPr>
                <w:sz w:val="18"/>
                <w:szCs w:val="18"/>
              </w:rPr>
            </w:pPr>
            <w:r w:rsidRPr="00986DAE">
              <w:rPr>
                <w:sz w:val="18"/>
                <w:szCs w:val="18"/>
              </w:rPr>
              <w:t>2.2</w:t>
            </w:r>
          </w:p>
        </w:tc>
        <w:tc>
          <w:tcPr>
            <w:tcW w:w="468" w:type="pct"/>
            <w:shd w:val="clear" w:color="auto" w:fill="auto"/>
            <w:vAlign w:val="bottom"/>
          </w:tcPr>
          <w:p w:rsidR="00986DAE" w:rsidRPr="00986DAE" w:rsidRDefault="00986DAE" w:rsidP="00986DAE">
            <w:pPr>
              <w:pStyle w:val="TableBodyText"/>
              <w:rPr>
                <w:sz w:val="18"/>
                <w:szCs w:val="18"/>
              </w:rPr>
            </w:pPr>
            <w:r w:rsidRPr="00986DAE">
              <w:rPr>
                <w:sz w:val="18"/>
                <w:szCs w:val="18"/>
              </w:rPr>
              <w:t>2.3</w:t>
            </w:r>
          </w:p>
        </w:tc>
      </w:tr>
      <w:tr w:rsidR="00986DAE" w:rsidRPr="00AF699A" w:rsidTr="00986DAE">
        <w:tc>
          <w:tcPr>
            <w:tcW w:w="2187" w:type="pct"/>
            <w:vAlign w:val="bottom"/>
          </w:tcPr>
          <w:p w:rsidR="00986DAE" w:rsidRPr="009D43B4" w:rsidRDefault="00986DAE" w:rsidP="008375B7">
            <w:pPr>
              <w:pStyle w:val="TableBodyText"/>
              <w:ind w:left="0"/>
              <w:jc w:val="left"/>
              <w:rPr>
                <w:sz w:val="18"/>
                <w:szCs w:val="18"/>
              </w:rPr>
            </w:pPr>
            <w:r w:rsidRPr="009D43B4">
              <w:rPr>
                <w:sz w:val="18"/>
                <w:szCs w:val="18"/>
              </w:rPr>
              <w:t>Transport, postal and warehousing</w:t>
            </w:r>
          </w:p>
        </w:tc>
        <w:tc>
          <w:tcPr>
            <w:tcW w:w="469" w:type="pct"/>
            <w:vAlign w:val="bottom"/>
          </w:tcPr>
          <w:p w:rsidR="00986DAE" w:rsidRPr="00986DAE" w:rsidRDefault="00986DAE" w:rsidP="00986DAE">
            <w:pPr>
              <w:pStyle w:val="TableBodyText"/>
              <w:rPr>
                <w:sz w:val="18"/>
                <w:szCs w:val="18"/>
              </w:rPr>
            </w:pPr>
            <w:r w:rsidRPr="00986DAE">
              <w:rPr>
                <w:sz w:val="18"/>
                <w:szCs w:val="18"/>
              </w:rPr>
              <w:t>0.5</w:t>
            </w:r>
          </w:p>
        </w:tc>
        <w:tc>
          <w:tcPr>
            <w:tcW w:w="469" w:type="pct"/>
            <w:vAlign w:val="bottom"/>
          </w:tcPr>
          <w:p w:rsidR="00986DAE" w:rsidRPr="00986DAE" w:rsidRDefault="00986DAE" w:rsidP="00986DAE">
            <w:pPr>
              <w:pStyle w:val="TableBodyText"/>
              <w:rPr>
                <w:sz w:val="18"/>
                <w:szCs w:val="18"/>
              </w:rPr>
            </w:pPr>
            <w:r w:rsidRPr="00986DAE">
              <w:rPr>
                <w:sz w:val="18"/>
                <w:szCs w:val="18"/>
              </w:rPr>
              <w:t>0.5</w:t>
            </w:r>
          </w:p>
        </w:tc>
        <w:tc>
          <w:tcPr>
            <w:tcW w:w="469" w:type="pct"/>
            <w:vAlign w:val="bottom"/>
          </w:tcPr>
          <w:p w:rsidR="00986DAE" w:rsidRPr="00986DAE" w:rsidRDefault="00986DAE" w:rsidP="00986DAE">
            <w:pPr>
              <w:pStyle w:val="TableBodyText"/>
              <w:rPr>
                <w:sz w:val="18"/>
                <w:szCs w:val="18"/>
              </w:rPr>
            </w:pPr>
            <w:r w:rsidRPr="00986DAE">
              <w:rPr>
                <w:sz w:val="18"/>
                <w:szCs w:val="18"/>
              </w:rPr>
              <w:t>0.5</w:t>
            </w:r>
          </w:p>
        </w:tc>
        <w:tc>
          <w:tcPr>
            <w:tcW w:w="469" w:type="pct"/>
            <w:vAlign w:val="bottom"/>
          </w:tcPr>
          <w:p w:rsidR="00986DAE" w:rsidRPr="00986DAE" w:rsidRDefault="00986DAE" w:rsidP="00986DAE">
            <w:pPr>
              <w:pStyle w:val="TableBodyText"/>
              <w:rPr>
                <w:sz w:val="18"/>
                <w:szCs w:val="18"/>
              </w:rPr>
            </w:pPr>
            <w:r w:rsidRPr="00986DAE">
              <w:rPr>
                <w:sz w:val="18"/>
                <w:szCs w:val="18"/>
              </w:rPr>
              <w:t>0.4</w:t>
            </w:r>
          </w:p>
        </w:tc>
        <w:tc>
          <w:tcPr>
            <w:tcW w:w="469" w:type="pct"/>
            <w:shd w:val="clear" w:color="auto" w:fill="auto"/>
            <w:vAlign w:val="bottom"/>
          </w:tcPr>
          <w:p w:rsidR="00986DAE" w:rsidRPr="00986DAE" w:rsidRDefault="00986DAE" w:rsidP="00986DAE">
            <w:pPr>
              <w:pStyle w:val="TableBodyText"/>
              <w:rPr>
                <w:sz w:val="18"/>
                <w:szCs w:val="18"/>
              </w:rPr>
            </w:pPr>
            <w:r w:rsidRPr="00986DAE">
              <w:rPr>
                <w:sz w:val="18"/>
                <w:szCs w:val="18"/>
              </w:rPr>
              <w:t>0.3</w:t>
            </w:r>
          </w:p>
        </w:tc>
        <w:tc>
          <w:tcPr>
            <w:tcW w:w="468" w:type="pct"/>
            <w:shd w:val="clear" w:color="auto" w:fill="auto"/>
            <w:vAlign w:val="bottom"/>
          </w:tcPr>
          <w:p w:rsidR="00986DAE" w:rsidRPr="00986DAE" w:rsidRDefault="00986DAE" w:rsidP="00986DAE">
            <w:pPr>
              <w:pStyle w:val="TableBodyText"/>
              <w:rPr>
                <w:sz w:val="18"/>
                <w:szCs w:val="18"/>
              </w:rPr>
            </w:pPr>
            <w:r w:rsidRPr="00986DAE">
              <w:rPr>
                <w:sz w:val="18"/>
                <w:szCs w:val="18"/>
              </w:rPr>
              <w:t>0.3</w:t>
            </w:r>
          </w:p>
        </w:tc>
      </w:tr>
      <w:tr w:rsidR="00986DAE" w:rsidRPr="00AF699A" w:rsidTr="00986DAE">
        <w:tc>
          <w:tcPr>
            <w:tcW w:w="2187" w:type="pct"/>
            <w:vAlign w:val="bottom"/>
          </w:tcPr>
          <w:p w:rsidR="00986DAE" w:rsidRPr="009D43B4" w:rsidRDefault="00986DAE" w:rsidP="008375B7">
            <w:pPr>
              <w:pStyle w:val="TableBodyText"/>
              <w:ind w:left="0"/>
              <w:jc w:val="left"/>
              <w:rPr>
                <w:sz w:val="18"/>
                <w:szCs w:val="18"/>
              </w:rPr>
            </w:pPr>
            <w:r w:rsidRPr="009D43B4">
              <w:rPr>
                <w:sz w:val="18"/>
                <w:szCs w:val="18"/>
              </w:rPr>
              <w:t>Financial and insurance services</w:t>
            </w:r>
          </w:p>
        </w:tc>
        <w:tc>
          <w:tcPr>
            <w:tcW w:w="469" w:type="pct"/>
            <w:vAlign w:val="bottom"/>
          </w:tcPr>
          <w:p w:rsidR="00986DAE" w:rsidRPr="00986DAE" w:rsidRDefault="00986DAE" w:rsidP="00986DAE">
            <w:pPr>
              <w:pStyle w:val="TableBodyText"/>
              <w:rPr>
                <w:sz w:val="18"/>
                <w:szCs w:val="18"/>
              </w:rPr>
            </w:pPr>
            <w:r>
              <w:rPr>
                <w:sz w:val="18"/>
                <w:szCs w:val="18"/>
              </w:rPr>
              <w:t>&lt;</w:t>
            </w:r>
            <w:r w:rsidRPr="00986DAE">
              <w:rPr>
                <w:sz w:val="18"/>
                <w:szCs w:val="18"/>
              </w:rPr>
              <w:t>0.</w:t>
            </w:r>
            <w:r>
              <w:rPr>
                <w:sz w:val="18"/>
                <w:szCs w:val="18"/>
              </w:rPr>
              <w:t>1</w:t>
            </w:r>
          </w:p>
        </w:tc>
        <w:tc>
          <w:tcPr>
            <w:tcW w:w="469" w:type="pct"/>
            <w:vAlign w:val="bottom"/>
          </w:tcPr>
          <w:p w:rsidR="00986DAE" w:rsidRPr="00986DAE" w:rsidRDefault="00986DAE" w:rsidP="00986DAE">
            <w:pPr>
              <w:pStyle w:val="TableBodyText"/>
              <w:rPr>
                <w:sz w:val="18"/>
                <w:szCs w:val="18"/>
              </w:rPr>
            </w:pPr>
            <w:r>
              <w:rPr>
                <w:sz w:val="18"/>
                <w:szCs w:val="18"/>
              </w:rPr>
              <w:t>&lt;</w:t>
            </w:r>
            <w:r w:rsidRPr="00986DAE">
              <w:rPr>
                <w:sz w:val="18"/>
                <w:szCs w:val="18"/>
              </w:rPr>
              <w:t>0.</w:t>
            </w:r>
            <w:r>
              <w:rPr>
                <w:sz w:val="18"/>
                <w:szCs w:val="18"/>
              </w:rPr>
              <w:t>1</w:t>
            </w:r>
          </w:p>
        </w:tc>
        <w:tc>
          <w:tcPr>
            <w:tcW w:w="469" w:type="pct"/>
            <w:vAlign w:val="bottom"/>
          </w:tcPr>
          <w:p w:rsidR="00986DAE" w:rsidRPr="00986DAE" w:rsidRDefault="00986DAE" w:rsidP="00986DAE">
            <w:pPr>
              <w:pStyle w:val="TableBodyText"/>
              <w:rPr>
                <w:sz w:val="18"/>
                <w:szCs w:val="18"/>
              </w:rPr>
            </w:pPr>
            <w:r>
              <w:rPr>
                <w:sz w:val="18"/>
                <w:szCs w:val="18"/>
              </w:rPr>
              <w:t>&lt;</w:t>
            </w:r>
            <w:r w:rsidRPr="00986DAE">
              <w:rPr>
                <w:sz w:val="18"/>
                <w:szCs w:val="18"/>
              </w:rPr>
              <w:t>0.</w:t>
            </w:r>
            <w:r>
              <w:rPr>
                <w:sz w:val="18"/>
                <w:szCs w:val="18"/>
              </w:rPr>
              <w:t>1</w:t>
            </w:r>
          </w:p>
        </w:tc>
        <w:tc>
          <w:tcPr>
            <w:tcW w:w="469" w:type="pct"/>
            <w:vAlign w:val="bottom"/>
          </w:tcPr>
          <w:p w:rsidR="00986DAE" w:rsidRPr="00986DAE" w:rsidRDefault="00986DAE" w:rsidP="00986DAE">
            <w:pPr>
              <w:pStyle w:val="TableBodyText"/>
              <w:rPr>
                <w:sz w:val="18"/>
                <w:szCs w:val="18"/>
              </w:rPr>
            </w:pPr>
            <w:r>
              <w:rPr>
                <w:sz w:val="18"/>
                <w:szCs w:val="18"/>
              </w:rPr>
              <w:t>&lt;</w:t>
            </w:r>
            <w:r w:rsidRPr="00986DAE">
              <w:rPr>
                <w:sz w:val="18"/>
                <w:szCs w:val="18"/>
              </w:rPr>
              <w:t>0.</w:t>
            </w:r>
            <w:r>
              <w:rPr>
                <w:sz w:val="18"/>
                <w:szCs w:val="18"/>
              </w:rPr>
              <w:t>1</w:t>
            </w:r>
          </w:p>
        </w:tc>
        <w:tc>
          <w:tcPr>
            <w:tcW w:w="469" w:type="pct"/>
            <w:shd w:val="clear" w:color="auto" w:fill="auto"/>
            <w:vAlign w:val="bottom"/>
          </w:tcPr>
          <w:p w:rsidR="00986DAE" w:rsidRPr="00986DAE" w:rsidRDefault="00986DAE" w:rsidP="00986DAE">
            <w:pPr>
              <w:pStyle w:val="TableBodyText"/>
              <w:rPr>
                <w:sz w:val="18"/>
                <w:szCs w:val="18"/>
              </w:rPr>
            </w:pPr>
            <w:r>
              <w:rPr>
                <w:sz w:val="18"/>
                <w:szCs w:val="18"/>
              </w:rPr>
              <w:t>&lt;</w:t>
            </w:r>
            <w:r w:rsidRPr="00986DAE">
              <w:rPr>
                <w:sz w:val="18"/>
                <w:szCs w:val="18"/>
              </w:rPr>
              <w:t>0.</w:t>
            </w:r>
            <w:r>
              <w:rPr>
                <w:sz w:val="18"/>
                <w:szCs w:val="18"/>
              </w:rPr>
              <w:t>1</w:t>
            </w:r>
          </w:p>
        </w:tc>
        <w:tc>
          <w:tcPr>
            <w:tcW w:w="468" w:type="pct"/>
            <w:shd w:val="clear" w:color="auto" w:fill="auto"/>
            <w:vAlign w:val="bottom"/>
          </w:tcPr>
          <w:p w:rsidR="00986DAE" w:rsidRPr="00986DAE" w:rsidRDefault="00986DAE" w:rsidP="00986DAE">
            <w:pPr>
              <w:pStyle w:val="TableBodyText"/>
              <w:rPr>
                <w:sz w:val="18"/>
                <w:szCs w:val="18"/>
              </w:rPr>
            </w:pPr>
            <w:r>
              <w:rPr>
                <w:sz w:val="18"/>
                <w:szCs w:val="18"/>
              </w:rPr>
              <w:t>&lt;</w:t>
            </w:r>
            <w:r w:rsidRPr="00986DAE">
              <w:rPr>
                <w:sz w:val="18"/>
                <w:szCs w:val="18"/>
              </w:rPr>
              <w:t>0.</w:t>
            </w:r>
            <w:r>
              <w:rPr>
                <w:sz w:val="18"/>
                <w:szCs w:val="18"/>
              </w:rPr>
              <w:t>1</w:t>
            </w:r>
          </w:p>
        </w:tc>
      </w:tr>
      <w:tr w:rsidR="00986DAE" w:rsidRPr="00AF699A" w:rsidTr="00986DAE">
        <w:tc>
          <w:tcPr>
            <w:tcW w:w="2187" w:type="pct"/>
            <w:vAlign w:val="bottom"/>
          </w:tcPr>
          <w:p w:rsidR="00986DAE" w:rsidRPr="009D43B4" w:rsidRDefault="00986DAE" w:rsidP="008375B7">
            <w:pPr>
              <w:pStyle w:val="TableBodyText"/>
              <w:ind w:left="0"/>
              <w:jc w:val="left"/>
              <w:rPr>
                <w:sz w:val="18"/>
                <w:szCs w:val="18"/>
              </w:rPr>
            </w:pPr>
            <w:r w:rsidRPr="009D43B4">
              <w:rPr>
                <w:sz w:val="18"/>
                <w:szCs w:val="18"/>
              </w:rPr>
              <w:t>Property,</w:t>
            </w:r>
            <w:r>
              <w:rPr>
                <w:sz w:val="18"/>
                <w:szCs w:val="18"/>
              </w:rPr>
              <w:t xml:space="preserve"> professional and admin.</w:t>
            </w:r>
            <w:r w:rsidRPr="009D43B4">
              <w:rPr>
                <w:sz w:val="18"/>
                <w:szCs w:val="18"/>
              </w:rPr>
              <w:t xml:space="preserve"> services</w:t>
            </w:r>
          </w:p>
        </w:tc>
        <w:tc>
          <w:tcPr>
            <w:tcW w:w="469" w:type="pct"/>
            <w:vAlign w:val="bottom"/>
          </w:tcPr>
          <w:p w:rsidR="00986DAE" w:rsidRPr="00986DAE" w:rsidRDefault="00986DAE" w:rsidP="00986DAE">
            <w:pPr>
              <w:pStyle w:val="TableBodyText"/>
              <w:rPr>
                <w:sz w:val="18"/>
                <w:szCs w:val="18"/>
              </w:rPr>
            </w:pPr>
            <w:r w:rsidRPr="00986DAE">
              <w:rPr>
                <w:sz w:val="18"/>
                <w:szCs w:val="18"/>
              </w:rPr>
              <w:t>0.4</w:t>
            </w:r>
          </w:p>
        </w:tc>
        <w:tc>
          <w:tcPr>
            <w:tcW w:w="469" w:type="pct"/>
            <w:vAlign w:val="bottom"/>
          </w:tcPr>
          <w:p w:rsidR="00986DAE" w:rsidRPr="00986DAE" w:rsidRDefault="00986DAE" w:rsidP="00986DAE">
            <w:pPr>
              <w:pStyle w:val="TableBodyText"/>
              <w:rPr>
                <w:sz w:val="18"/>
                <w:szCs w:val="18"/>
              </w:rPr>
            </w:pPr>
            <w:r w:rsidRPr="00986DAE">
              <w:rPr>
                <w:sz w:val="18"/>
                <w:szCs w:val="18"/>
              </w:rPr>
              <w:t>0.4</w:t>
            </w:r>
          </w:p>
        </w:tc>
        <w:tc>
          <w:tcPr>
            <w:tcW w:w="469" w:type="pct"/>
            <w:vAlign w:val="bottom"/>
          </w:tcPr>
          <w:p w:rsidR="00986DAE" w:rsidRPr="00986DAE" w:rsidRDefault="00986DAE" w:rsidP="00986DAE">
            <w:pPr>
              <w:pStyle w:val="TableBodyText"/>
              <w:rPr>
                <w:sz w:val="18"/>
                <w:szCs w:val="18"/>
              </w:rPr>
            </w:pPr>
            <w:r w:rsidRPr="00986DAE">
              <w:rPr>
                <w:sz w:val="18"/>
                <w:szCs w:val="18"/>
              </w:rPr>
              <w:t>0.4</w:t>
            </w:r>
          </w:p>
        </w:tc>
        <w:tc>
          <w:tcPr>
            <w:tcW w:w="469" w:type="pct"/>
            <w:vAlign w:val="bottom"/>
          </w:tcPr>
          <w:p w:rsidR="00986DAE" w:rsidRPr="00986DAE" w:rsidRDefault="00986DAE" w:rsidP="00986DAE">
            <w:pPr>
              <w:pStyle w:val="TableBodyText"/>
              <w:rPr>
                <w:sz w:val="18"/>
                <w:szCs w:val="18"/>
              </w:rPr>
            </w:pPr>
            <w:r w:rsidRPr="00986DAE">
              <w:rPr>
                <w:sz w:val="18"/>
                <w:szCs w:val="18"/>
              </w:rPr>
              <w:t>0.3</w:t>
            </w:r>
          </w:p>
        </w:tc>
        <w:tc>
          <w:tcPr>
            <w:tcW w:w="469" w:type="pct"/>
            <w:shd w:val="clear" w:color="auto" w:fill="auto"/>
            <w:vAlign w:val="bottom"/>
          </w:tcPr>
          <w:p w:rsidR="00986DAE" w:rsidRPr="00986DAE" w:rsidRDefault="00986DAE" w:rsidP="00986DAE">
            <w:pPr>
              <w:pStyle w:val="TableBodyText"/>
              <w:rPr>
                <w:sz w:val="18"/>
                <w:szCs w:val="18"/>
              </w:rPr>
            </w:pPr>
            <w:r w:rsidRPr="00986DAE">
              <w:rPr>
                <w:sz w:val="18"/>
                <w:szCs w:val="18"/>
              </w:rPr>
              <w:t>0.2</w:t>
            </w:r>
          </w:p>
        </w:tc>
        <w:tc>
          <w:tcPr>
            <w:tcW w:w="468" w:type="pct"/>
            <w:shd w:val="clear" w:color="auto" w:fill="auto"/>
            <w:vAlign w:val="bottom"/>
          </w:tcPr>
          <w:p w:rsidR="00986DAE" w:rsidRPr="00986DAE" w:rsidRDefault="00986DAE" w:rsidP="00986DAE">
            <w:pPr>
              <w:pStyle w:val="TableBodyText"/>
              <w:rPr>
                <w:sz w:val="18"/>
                <w:szCs w:val="18"/>
              </w:rPr>
            </w:pPr>
            <w:r w:rsidRPr="00986DAE">
              <w:rPr>
                <w:sz w:val="18"/>
                <w:szCs w:val="18"/>
              </w:rPr>
              <w:t>0.2</w:t>
            </w:r>
          </w:p>
        </w:tc>
      </w:tr>
      <w:tr w:rsidR="00986DAE" w:rsidRPr="00AF699A" w:rsidTr="00986DAE">
        <w:tc>
          <w:tcPr>
            <w:tcW w:w="2187" w:type="pct"/>
            <w:vAlign w:val="bottom"/>
          </w:tcPr>
          <w:p w:rsidR="00986DAE" w:rsidRPr="009D43B4" w:rsidRDefault="00986DAE" w:rsidP="008375B7">
            <w:pPr>
              <w:pStyle w:val="TableBodyText"/>
              <w:ind w:left="0"/>
              <w:jc w:val="left"/>
              <w:rPr>
                <w:sz w:val="18"/>
                <w:szCs w:val="18"/>
              </w:rPr>
            </w:pPr>
            <w:r w:rsidRPr="009D43B4">
              <w:rPr>
                <w:sz w:val="18"/>
                <w:szCs w:val="18"/>
              </w:rPr>
              <w:t>Public administration and safety</w:t>
            </w:r>
          </w:p>
        </w:tc>
        <w:tc>
          <w:tcPr>
            <w:tcW w:w="469" w:type="pct"/>
            <w:vAlign w:val="bottom"/>
          </w:tcPr>
          <w:p w:rsidR="00986DAE" w:rsidRPr="00986DAE" w:rsidRDefault="00986DAE" w:rsidP="00986DAE">
            <w:pPr>
              <w:pStyle w:val="TableBodyText"/>
              <w:rPr>
                <w:sz w:val="18"/>
                <w:szCs w:val="18"/>
              </w:rPr>
            </w:pPr>
            <w:r w:rsidRPr="00986DAE">
              <w:rPr>
                <w:sz w:val="18"/>
                <w:szCs w:val="18"/>
              </w:rPr>
              <w:t>0.2</w:t>
            </w:r>
          </w:p>
        </w:tc>
        <w:tc>
          <w:tcPr>
            <w:tcW w:w="469" w:type="pct"/>
            <w:vAlign w:val="bottom"/>
          </w:tcPr>
          <w:p w:rsidR="00986DAE" w:rsidRPr="00986DAE" w:rsidRDefault="00986DAE" w:rsidP="00986DAE">
            <w:pPr>
              <w:pStyle w:val="TableBodyText"/>
              <w:rPr>
                <w:sz w:val="18"/>
                <w:szCs w:val="18"/>
              </w:rPr>
            </w:pPr>
            <w:r w:rsidRPr="00986DAE">
              <w:rPr>
                <w:sz w:val="18"/>
                <w:szCs w:val="18"/>
              </w:rPr>
              <w:t>0.2</w:t>
            </w:r>
          </w:p>
        </w:tc>
        <w:tc>
          <w:tcPr>
            <w:tcW w:w="469" w:type="pct"/>
            <w:vAlign w:val="bottom"/>
          </w:tcPr>
          <w:p w:rsidR="00986DAE" w:rsidRPr="00986DAE" w:rsidRDefault="00986DAE" w:rsidP="00986DAE">
            <w:pPr>
              <w:pStyle w:val="TableBodyText"/>
              <w:rPr>
                <w:sz w:val="18"/>
                <w:szCs w:val="18"/>
              </w:rPr>
            </w:pPr>
            <w:r w:rsidRPr="00986DAE">
              <w:rPr>
                <w:sz w:val="18"/>
                <w:szCs w:val="18"/>
              </w:rPr>
              <w:t>0.2</w:t>
            </w:r>
          </w:p>
        </w:tc>
        <w:tc>
          <w:tcPr>
            <w:tcW w:w="469" w:type="pct"/>
            <w:vAlign w:val="bottom"/>
          </w:tcPr>
          <w:p w:rsidR="00986DAE" w:rsidRPr="00986DAE" w:rsidRDefault="00986DAE" w:rsidP="00986DAE">
            <w:pPr>
              <w:pStyle w:val="TableBodyText"/>
              <w:rPr>
                <w:sz w:val="18"/>
                <w:szCs w:val="18"/>
              </w:rPr>
            </w:pPr>
            <w:r w:rsidRPr="00986DAE">
              <w:rPr>
                <w:sz w:val="18"/>
                <w:szCs w:val="18"/>
              </w:rPr>
              <w:t>0.1</w:t>
            </w:r>
          </w:p>
        </w:tc>
        <w:tc>
          <w:tcPr>
            <w:tcW w:w="469" w:type="pct"/>
            <w:shd w:val="clear" w:color="auto" w:fill="auto"/>
            <w:vAlign w:val="bottom"/>
          </w:tcPr>
          <w:p w:rsidR="00986DAE" w:rsidRPr="00986DAE" w:rsidRDefault="00986DAE" w:rsidP="00986DAE">
            <w:pPr>
              <w:pStyle w:val="TableBodyText"/>
              <w:rPr>
                <w:sz w:val="18"/>
                <w:szCs w:val="18"/>
              </w:rPr>
            </w:pPr>
            <w:r>
              <w:rPr>
                <w:sz w:val="18"/>
                <w:szCs w:val="18"/>
              </w:rPr>
              <w:t>&lt;</w:t>
            </w:r>
            <w:r w:rsidRPr="00986DAE">
              <w:rPr>
                <w:sz w:val="18"/>
                <w:szCs w:val="18"/>
              </w:rPr>
              <w:t>0.</w:t>
            </w:r>
            <w:r>
              <w:rPr>
                <w:sz w:val="18"/>
                <w:szCs w:val="18"/>
              </w:rPr>
              <w:t>1</w:t>
            </w:r>
          </w:p>
        </w:tc>
        <w:tc>
          <w:tcPr>
            <w:tcW w:w="468" w:type="pct"/>
            <w:shd w:val="clear" w:color="auto" w:fill="auto"/>
            <w:vAlign w:val="bottom"/>
          </w:tcPr>
          <w:p w:rsidR="00986DAE" w:rsidRPr="00986DAE" w:rsidRDefault="00986DAE" w:rsidP="00986DAE">
            <w:pPr>
              <w:pStyle w:val="TableBodyText"/>
              <w:rPr>
                <w:sz w:val="18"/>
                <w:szCs w:val="18"/>
              </w:rPr>
            </w:pPr>
            <w:r>
              <w:rPr>
                <w:sz w:val="18"/>
                <w:szCs w:val="18"/>
              </w:rPr>
              <w:t>&lt;</w:t>
            </w:r>
            <w:r w:rsidRPr="00986DAE">
              <w:rPr>
                <w:sz w:val="18"/>
                <w:szCs w:val="18"/>
              </w:rPr>
              <w:t>0.</w:t>
            </w:r>
            <w:r>
              <w:rPr>
                <w:sz w:val="18"/>
                <w:szCs w:val="18"/>
              </w:rPr>
              <w:t>1</w:t>
            </w:r>
          </w:p>
        </w:tc>
      </w:tr>
      <w:tr w:rsidR="00986DAE" w:rsidRPr="00AF699A" w:rsidTr="00986DAE">
        <w:tc>
          <w:tcPr>
            <w:tcW w:w="2187" w:type="pct"/>
            <w:vAlign w:val="bottom"/>
          </w:tcPr>
          <w:p w:rsidR="00986DAE" w:rsidRPr="009D43B4" w:rsidRDefault="00986DAE" w:rsidP="008375B7">
            <w:pPr>
              <w:pStyle w:val="TableBodyText"/>
              <w:ind w:left="0"/>
              <w:jc w:val="left"/>
              <w:rPr>
                <w:sz w:val="18"/>
                <w:szCs w:val="18"/>
              </w:rPr>
            </w:pPr>
            <w:r w:rsidRPr="009D43B4">
              <w:rPr>
                <w:sz w:val="18"/>
                <w:szCs w:val="18"/>
              </w:rPr>
              <w:t>Health care and social assistance</w:t>
            </w:r>
          </w:p>
        </w:tc>
        <w:tc>
          <w:tcPr>
            <w:tcW w:w="469" w:type="pct"/>
            <w:vAlign w:val="bottom"/>
          </w:tcPr>
          <w:p w:rsidR="00986DAE" w:rsidRPr="00986DAE" w:rsidRDefault="00986DAE" w:rsidP="00986DAE">
            <w:pPr>
              <w:pStyle w:val="TableBodyText"/>
              <w:rPr>
                <w:sz w:val="18"/>
                <w:szCs w:val="18"/>
              </w:rPr>
            </w:pPr>
            <w:r w:rsidRPr="00986DAE">
              <w:rPr>
                <w:sz w:val="18"/>
                <w:szCs w:val="18"/>
              </w:rPr>
              <w:t>0.3</w:t>
            </w:r>
          </w:p>
        </w:tc>
        <w:tc>
          <w:tcPr>
            <w:tcW w:w="469" w:type="pct"/>
            <w:vAlign w:val="bottom"/>
          </w:tcPr>
          <w:p w:rsidR="00986DAE" w:rsidRPr="00986DAE" w:rsidRDefault="00986DAE" w:rsidP="00986DAE">
            <w:pPr>
              <w:pStyle w:val="TableBodyText"/>
              <w:rPr>
                <w:sz w:val="18"/>
                <w:szCs w:val="18"/>
              </w:rPr>
            </w:pPr>
            <w:r w:rsidRPr="00986DAE">
              <w:rPr>
                <w:sz w:val="18"/>
                <w:szCs w:val="18"/>
              </w:rPr>
              <w:t>0.3</w:t>
            </w:r>
          </w:p>
        </w:tc>
        <w:tc>
          <w:tcPr>
            <w:tcW w:w="469" w:type="pct"/>
            <w:vAlign w:val="bottom"/>
          </w:tcPr>
          <w:p w:rsidR="00986DAE" w:rsidRPr="00986DAE" w:rsidRDefault="00986DAE" w:rsidP="00986DAE">
            <w:pPr>
              <w:pStyle w:val="TableBodyText"/>
              <w:rPr>
                <w:sz w:val="18"/>
                <w:szCs w:val="18"/>
              </w:rPr>
            </w:pPr>
            <w:r w:rsidRPr="00986DAE">
              <w:rPr>
                <w:sz w:val="18"/>
                <w:szCs w:val="18"/>
              </w:rPr>
              <w:t>0.3</w:t>
            </w:r>
          </w:p>
        </w:tc>
        <w:tc>
          <w:tcPr>
            <w:tcW w:w="469" w:type="pct"/>
            <w:vAlign w:val="bottom"/>
          </w:tcPr>
          <w:p w:rsidR="00986DAE" w:rsidRPr="00986DAE" w:rsidRDefault="00986DAE" w:rsidP="00986DAE">
            <w:pPr>
              <w:pStyle w:val="TableBodyText"/>
              <w:rPr>
                <w:sz w:val="18"/>
                <w:szCs w:val="18"/>
              </w:rPr>
            </w:pPr>
            <w:r w:rsidRPr="00986DAE">
              <w:rPr>
                <w:sz w:val="18"/>
                <w:szCs w:val="18"/>
              </w:rPr>
              <w:t>0.2</w:t>
            </w:r>
          </w:p>
        </w:tc>
        <w:tc>
          <w:tcPr>
            <w:tcW w:w="469" w:type="pct"/>
            <w:shd w:val="clear" w:color="auto" w:fill="auto"/>
            <w:vAlign w:val="bottom"/>
          </w:tcPr>
          <w:p w:rsidR="00986DAE" w:rsidRPr="00986DAE" w:rsidRDefault="00986DAE" w:rsidP="00986DAE">
            <w:pPr>
              <w:pStyle w:val="TableBodyText"/>
              <w:rPr>
                <w:sz w:val="18"/>
                <w:szCs w:val="18"/>
              </w:rPr>
            </w:pPr>
            <w:r w:rsidRPr="00986DAE">
              <w:rPr>
                <w:sz w:val="18"/>
                <w:szCs w:val="18"/>
              </w:rPr>
              <w:t>0.2</w:t>
            </w:r>
          </w:p>
        </w:tc>
        <w:tc>
          <w:tcPr>
            <w:tcW w:w="468" w:type="pct"/>
            <w:shd w:val="clear" w:color="auto" w:fill="auto"/>
            <w:vAlign w:val="bottom"/>
          </w:tcPr>
          <w:p w:rsidR="00986DAE" w:rsidRPr="00986DAE" w:rsidRDefault="00986DAE" w:rsidP="00986DAE">
            <w:pPr>
              <w:pStyle w:val="TableBodyText"/>
              <w:rPr>
                <w:sz w:val="18"/>
                <w:szCs w:val="18"/>
              </w:rPr>
            </w:pPr>
            <w:r w:rsidRPr="00986DAE">
              <w:rPr>
                <w:sz w:val="18"/>
                <w:szCs w:val="18"/>
              </w:rPr>
              <w:t>0.2</w:t>
            </w:r>
          </w:p>
        </w:tc>
      </w:tr>
      <w:tr w:rsidR="00986DAE" w:rsidRPr="00AF699A" w:rsidTr="00986DAE">
        <w:tc>
          <w:tcPr>
            <w:tcW w:w="2187" w:type="pct"/>
            <w:tcBorders>
              <w:bottom w:val="single" w:sz="4" w:space="0" w:color="auto"/>
            </w:tcBorders>
            <w:vAlign w:val="bottom"/>
          </w:tcPr>
          <w:p w:rsidR="00986DAE" w:rsidRPr="009D43B4" w:rsidRDefault="00986DAE" w:rsidP="00AB38B4">
            <w:pPr>
              <w:pStyle w:val="TableBodyText"/>
              <w:jc w:val="left"/>
              <w:rPr>
                <w:b/>
                <w:bCs/>
                <w:sz w:val="18"/>
                <w:szCs w:val="18"/>
              </w:rPr>
            </w:pPr>
            <w:r w:rsidRPr="009D43B4">
              <w:rPr>
                <w:b/>
                <w:bCs/>
                <w:sz w:val="18"/>
                <w:szCs w:val="18"/>
              </w:rPr>
              <w:t>Total</w:t>
            </w:r>
          </w:p>
        </w:tc>
        <w:tc>
          <w:tcPr>
            <w:tcW w:w="469" w:type="pct"/>
            <w:tcBorders>
              <w:bottom w:val="single" w:sz="4" w:space="0" w:color="auto"/>
            </w:tcBorders>
            <w:vAlign w:val="bottom"/>
          </w:tcPr>
          <w:p w:rsidR="00986DAE" w:rsidRPr="00D20EC8" w:rsidRDefault="00986DAE" w:rsidP="00986DAE">
            <w:pPr>
              <w:pStyle w:val="TableBodyText"/>
              <w:rPr>
                <w:b/>
                <w:sz w:val="18"/>
                <w:szCs w:val="18"/>
              </w:rPr>
            </w:pPr>
            <w:r w:rsidRPr="00D20EC8">
              <w:rPr>
                <w:b/>
                <w:sz w:val="18"/>
                <w:szCs w:val="18"/>
              </w:rPr>
              <w:t>80.1</w:t>
            </w:r>
          </w:p>
        </w:tc>
        <w:tc>
          <w:tcPr>
            <w:tcW w:w="469" w:type="pct"/>
            <w:tcBorders>
              <w:bottom w:val="single" w:sz="4" w:space="0" w:color="auto"/>
            </w:tcBorders>
            <w:vAlign w:val="bottom"/>
          </w:tcPr>
          <w:p w:rsidR="00986DAE" w:rsidRPr="00D20EC8" w:rsidRDefault="00986DAE" w:rsidP="00986DAE">
            <w:pPr>
              <w:pStyle w:val="TableBodyText"/>
              <w:rPr>
                <w:b/>
                <w:sz w:val="18"/>
                <w:szCs w:val="18"/>
              </w:rPr>
            </w:pPr>
            <w:r w:rsidRPr="00D20EC8">
              <w:rPr>
                <w:b/>
                <w:sz w:val="18"/>
                <w:szCs w:val="18"/>
              </w:rPr>
              <w:t>80.0</w:t>
            </w:r>
          </w:p>
        </w:tc>
        <w:tc>
          <w:tcPr>
            <w:tcW w:w="469" w:type="pct"/>
            <w:tcBorders>
              <w:bottom w:val="single" w:sz="4" w:space="0" w:color="auto"/>
            </w:tcBorders>
            <w:vAlign w:val="bottom"/>
          </w:tcPr>
          <w:p w:rsidR="00986DAE" w:rsidRPr="00D20EC8" w:rsidRDefault="00986DAE" w:rsidP="00986DAE">
            <w:pPr>
              <w:pStyle w:val="TableBodyText"/>
              <w:rPr>
                <w:b/>
                <w:sz w:val="18"/>
                <w:szCs w:val="18"/>
              </w:rPr>
            </w:pPr>
            <w:r w:rsidRPr="00D20EC8">
              <w:rPr>
                <w:b/>
                <w:sz w:val="18"/>
                <w:szCs w:val="18"/>
              </w:rPr>
              <w:t>68.0</w:t>
            </w:r>
          </w:p>
        </w:tc>
        <w:tc>
          <w:tcPr>
            <w:tcW w:w="469" w:type="pct"/>
            <w:tcBorders>
              <w:bottom w:val="single" w:sz="4" w:space="0" w:color="auto"/>
            </w:tcBorders>
            <w:vAlign w:val="bottom"/>
          </w:tcPr>
          <w:p w:rsidR="00986DAE" w:rsidRPr="00D20EC8" w:rsidRDefault="00986DAE" w:rsidP="00986DAE">
            <w:pPr>
              <w:pStyle w:val="TableBodyText"/>
              <w:rPr>
                <w:b/>
                <w:sz w:val="18"/>
                <w:szCs w:val="18"/>
              </w:rPr>
            </w:pPr>
            <w:r w:rsidRPr="00D20EC8">
              <w:rPr>
                <w:b/>
                <w:sz w:val="18"/>
                <w:szCs w:val="18"/>
              </w:rPr>
              <w:t>61.0</w:t>
            </w:r>
          </w:p>
        </w:tc>
        <w:tc>
          <w:tcPr>
            <w:tcW w:w="469" w:type="pct"/>
            <w:tcBorders>
              <w:bottom w:val="single" w:sz="4" w:space="0" w:color="auto"/>
            </w:tcBorders>
            <w:shd w:val="clear" w:color="auto" w:fill="auto"/>
            <w:vAlign w:val="bottom"/>
          </w:tcPr>
          <w:p w:rsidR="00986DAE" w:rsidRPr="00D20EC8" w:rsidRDefault="00986DAE" w:rsidP="00986DAE">
            <w:pPr>
              <w:pStyle w:val="TableBodyText"/>
              <w:rPr>
                <w:b/>
                <w:sz w:val="18"/>
                <w:szCs w:val="18"/>
              </w:rPr>
            </w:pPr>
            <w:r w:rsidRPr="00D20EC8">
              <w:rPr>
                <w:b/>
                <w:sz w:val="18"/>
                <w:szCs w:val="18"/>
              </w:rPr>
              <w:t>39.2</w:t>
            </w:r>
          </w:p>
        </w:tc>
        <w:tc>
          <w:tcPr>
            <w:tcW w:w="468" w:type="pct"/>
            <w:tcBorders>
              <w:bottom w:val="single" w:sz="4" w:space="0" w:color="auto"/>
            </w:tcBorders>
            <w:shd w:val="clear" w:color="auto" w:fill="auto"/>
            <w:vAlign w:val="bottom"/>
          </w:tcPr>
          <w:p w:rsidR="00986DAE" w:rsidRPr="00D20EC8" w:rsidRDefault="00986DAE" w:rsidP="00986DAE">
            <w:pPr>
              <w:pStyle w:val="TableBodyText"/>
              <w:rPr>
                <w:b/>
                <w:sz w:val="18"/>
                <w:szCs w:val="18"/>
              </w:rPr>
            </w:pPr>
            <w:r w:rsidRPr="00D20EC8">
              <w:rPr>
                <w:b/>
                <w:sz w:val="18"/>
                <w:szCs w:val="18"/>
              </w:rPr>
              <w:t>41.7</w:t>
            </w:r>
          </w:p>
        </w:tc>
      </w:tr>
    </w:tbl>
    <w:p w:rsidR="00986DAE" w:rsidRDefault="00986DAE" w:rsidP="00986DAE">
      <w:pPr>
        <w:pStyle w:val="Note"/>
      </w:pPr>
      <w:r w:rsidRPr="008E77FE">
        <w:rPr>
          <w:rStyle w:val="NoteLabel"/>
        </w:rPr>
        <w:t>a</w:t>
      </w:r>
      <w:r>
        <w:t xml:space="preserve"> Unallocated includes general programs where details of beneficiaries are unknown.</w:t>
      </w:r>
    </w:p>
    <w:p w:rsidR="00986DAE" w:rsidRDefault="00986DAE" w:rsidP="00986DAE">
      <w:pPr>
        <w:pStyle w:val="Source"/>
      </w:pPr>
      <w:r>
        <w:rPr>
          <w:i/>
        </w:rPr>
        <w:t>Source</w:t>
      </w:r>
      <w:r>
        <w:t>: Commission estimates based on Tax Expenditure Statement 2012, Australian Government 2013, p. 171, item E34; Industry classification derived from detailed ATO data by ANZSIC industry.</w:t>
      </w:r>
    </w:p>
    <w:p w:rsidR="00F42FB3" w:rsidRDefault="00FA09C3" w:rsidP="00F42FB3">
      <w:pPr>
        <w:pStyle w:val="Heading2"/>
      </w:pPr>
      <w:r>
        <w:lastRenderedPageBreak/>
        <w:t>A.</w:t>
      </w:r>
      <w:r>
        <w:rPr>
          <w:noProof/>
        </w:rPr>
        <w:t>39</w:t>
      </w:r>
      <w:r w:rsidR="00F42FB3">
        <w:tab/>
        <w:t>Meat and Livestock Australia – Research and Development</w:t>
      </w:r>
    </w:p>
    <w:p w:rsidR="00F42FB3" w:rsidRDefault="00F42FB3" w:rsidP="00F42FB3">
      <w:pPr>
        <w:pStyle w:val="BodyText"/>
      </w:pPr>
      <w:r>
        <w:t>Meat &amp; Livestock Australia (MLA) provides R&amp;D and marketing services to the Australian red meat industry (</w:t>
      </w:r>
      <w:r w:rsidRPr="002D4BCB">
        <w:t>MLA 2012</w:t>
      </w:r>
      <w:r>
        <w:t xml:space="preserve">). MLA is a producer-owned company that works in partnership with industry and government </w:t>
      </w:r>
      <w:r w:rsidR="009C7910">
        <w:t xml:space="preserve">with the objective of achieving </w:t>
      </w:r>
      <w:r>
        <w:t>a profitable and sustainable red meat and livestock industry. MLA is funded through Australian Government appropriations, industry levies and contributions from individual companies and industry bodies.</w:t>
      </w:r>
    </w:p>
    <w:p w:rsidR="00F42FB3" w:rsidRDefault="00F42FB3" w:rsidP="00F42FB3">
      <w:pPr>
        <w:pStyle w:val="BodyText"/>
      </w:pPr>
      <w:r>
        <w:t xml:space="preserve">R&amp;D carried out by the MLC selectively assists livestock farming which is mostly located within the </w:t>
      </w:r>
      <w:r w:rsidRPr="000626B0">
        <w:rPr>
          <w:i/>
        </w:rPr>
        <w:t>Sheep, beef cattle and grain farming</w:t>
      </w:r>
      <w:r>
        <w:t xml:space="preserve"> industry grouping in the Commission’s ANZSIC-based classification (table A.3</w:t>
      </w:r>
      <w:r w:rsidR="00E5096C">
        <w:t>9</w:t>
      </w:r>
      <w:r>
        <w:t>).</w:t>
      </w:r>
    </w:p>
    <w:p w:rsidR="00F42FB3" w:rsidRDefault="00F42FB3" w:rsidP="00F42FB3">
      <w:pPr>
        <w:pStyle w:val="TableTitle"/>
      </w:pPr>
      <w:r>
        <w:rPr>
          <w:b w:val="0"/>
        </w:rPr>
        <w:t xml:space="preserve">Table </w:t>
      </w:r>
      <w:r w:rsidR="00FA09C3">
        <w:rPr>
          <w:b w:val="0"/>
        </w:rPr>
        <w:t>A.</w:t>
      </w:r>
      <w:r w:rsidR="00FA09C3">
        <w:rPr>
          <w:b w:val="0"/>
          <w:noProof/>
        </w:rPr>
        <w:t>39</w:t>
      </w:r>
      <w:r>
        <w:tab/>
        <w:t>Allocation of Meat and Livestock Australia – Research and Development</w:t>
      </w:r>
      <w:r w:rsidR="00510A57" w:rsidRPr="00510A57">
        <w:t xml:space="preserve"> to industry</w:t>
      </w:r>
      <w:r>
        <w:t>, 2006</w:t>
      </w:r>
      <w:r>
        <w:noBreakHyphen/>
        <w:t>07 to 2011</w:t>
      </w:r>
      <w:r>
        <w:noBreakHyphen/>
        <w:t>12</w:t>
      </w:r>
    </w:p>
    <w:p w:rsidR="00F42FB3" w:rsidRDefault="00F42FB3" w:rsidP="00F42FB3">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F42FB3" w:rsidRPr="00AF699A" w:rsidTr="008B5474">
        <w:tc>
          <w:tcPr>
            <w:tcW w:w="1960" w:type="pct"/>
            <w:tcBorders>
              <w:top w:val="single" w:sz="6" w:space="0" w:color="auto"/>
              <w:bottom w:val="single" w:sz="6" w:space="0" w:color="auto"/>
            </w:tcBorders>
          </w:tcPr>
          <w:p w:rsidR="00F42FB3" w:rsidRPr="00AF699A" w:rsidRDefault="00F42FB3" w:rsidP="008B547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F42FB3" w:rsidRPr="00AF699A" w:rsidRDefault="00F42FB3" w:rsidP="008B547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F42FB3" w:rsidRPr="00AF699A" w:rsidRDefault="00F42FB3" w:rsidP="008B547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F42FB3" w:rsidRPr="00AF699A" w:rsidRDefault="00F42FB3" w:rsidP="008B547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F42FB3" w:rsidRPr="00AF699A" w:rsidRDefault="00F42FB3" w:rsidP="008B547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F42FB3" w:rsidRPr="00AF699A" w:rsidRDefault="00F42FB3" w:rsidP="008B5474">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F42FB3" w:rsidRPr="00AF699A" w:rsidRDefault="00F42FB3" w:rsidP="008B5474">
            <w:pPr>
              <w:pStyle w:val="TableColumnHeading"/>
              <w:ind w:right="28"/>
              <w:rPr>
                <w:rFonts w:cs="Arial"/>
                <w:sz w:val="18"/>
                <w:szCs w:val="18"/>
              </w:rPr>
            </w:pPr>
            <w:r w:rsidRPr="00AF699A">
              <w:rPr>
                <w:rFonts w:cs="Arial"/>
                <w:sz w:val="18"/>
                <w:szCs w:val="18"/>
              </w:rPr>
              <w:t>2011-12</w:t>
            </w:r>
          </w:p>
        </w:tc>
      </w:tr>
      <w:tr w:rsidR="00F42FB3" w:rsidRPr="006C5A80" w:rsidTr="008B5474">
        <w:tc>
          <w:tcPr>
            <w:tcW w:w="1960" w:type="pct"/>
            <w:tcBorders>
              <w:bottom w:val="single" w:sz="4" w:space="0" w:color="auto"/>
            </w:tcBorders>
            <w:vAlign w:val="bottom"/>
          </w:tcPr>
          <w:p w:rsidR="00F42FB3" w:rsidRPr="00C944BA" w:rsidRDefault="00F42FB3" w:rsidP="008B5474">
            <w:pPr>
              <w:pStyle w:val="TableBodyText"/>
              <w:jc w:val="left"/>
            </w:pPr>
            <w:r>
              <w:t>Sheep, beef cattle and grain farming</w:t>
            </w:r>
          </w:p>
        </w:tc>
        <w:tc>
          <w:tcPr>
            <w:tcW w:w="507" w:type="pct"/>
            <w:tcBorders>
              <w:bottom w:val="single" w:sz="4" w:space="0" w:color="auto"/>
            </w:tcBorders>
            <w:vAlign w:val="bottom"/>
          </w:tcPr>
          <w:p w:rsidR="00F42FB3" w:rsidRDefault="00F42FB3" w:rsidP="008B5474">
            <w:pPr>
              <w:pStyle w:val="TableBodyText"/>
            </w:pPr>
            <w:r>
              <w:t>35.7</w:t>
            </w:r>
          </w:p>
        </w:tc>
        <w:tc>
          <w:tcPr>
            <w:tcW w:w="507" w:type="pct"/>
            <w:tcBorders>
              <w:bottom w:val="single" w:sz="4" w:space="0" w:color="auto"/>
            </w:tcBorders>
            <w:vAlign w:val="bottom"/>
          </w:tcPr>
          <w:p w:rsidR="00F42FB3" w:rsidRDefault="00F42FB3" w:rsidP="008B5474">
            <w:pPr>
              <w:pStyle w:val="TableBodyText"/>
            </w:pPr>
            <w:r>
              <w:t>34.5</w:t>
            </w:r>
          </w:p>
        </w:tc>
        <w:tc>
          <w:tcPr>
            <w:tcW w:w="507" w:type="pct"/>
            <w:tcBorders>
              <w:bottom w:val="single" w:sz="4" w:space="0" w:color="auto"/>
            </w:tcBorders>
            <w:vAlign w:val="bottom"/>
          </w:tcPr>
          <w:p w:rsidR="00F42FB3" w:rsidRDefault="00F42FB3" w:rsidP="008B5474">
            <w:pPr>
              <w:pStyle w:val="TableBodyText"/>
            </w:pPr>
            <w:r>
              <w:t>31.4</w:t>
            </w:r>
          </w:p>
        </w:tc>
        <w:tc>
          <w:tcPr>
            <w:tcW w:w="507" w:type="pct"/>
            <w:tcBorders>
              <w:bottom w:val="single" w:sz="4" w:space="0" w:color="auto"/>
            </w:tcBorders>
            <w:vAlign w:val="bottom"/>
          </w:tcPr>
          <w:p w:rsidR="00F42FB3" w:rsidRDefault="00F42FB3" w:rsidP="008B5474">
            <w:pPr>
              <w:pStyle w:val="TableBodyText"/>
            </w:pPr>
            <w:r>
              <w:t>38.1</w:t>
            </w:r>
          </w:p>
        </w:tc>
        <w:tc>
          <w:tcPr>
            <w:tcW w:w="507" w:type="pct"/>
            <w:tcBorders>
              <w:bottom w:val="single" w:sz="4" w:space="0" w:color="auto"/>
            </w:tcBorders>
            <w:shd w:val="clear" w:color="auto" w:fill="auto"/>
            <w:vAlign w:val="bottom"/>
          </w:tcPr>
          <w:p w:rsidR="00F42FB3" w:rsidRDefault="00F42FB3" w:rsidP="008B5474">
            <w:pPr>
              <w:pStyle w:val="TableBodyText"/>
            </w:pPr>
            <w:r>
              <w:t>35.6</w:t>
            </w:r>
          </w:p>
        </w:tc>
        <w:tc>
          <w:tcPr>
            <w:tcW w:w="505" w:type="pct"/>
            <w:tcBorders>
              <w:bottom w:val="single" w:sz="4" w:space="0" w:color="auto"/>
            </w:tcBorders>
            <w:shd w:val="clear" w:color="auto" w:fill="auto"/>
            <w:vAlign w:val="bottom"/>
          </w:tcPr>
          <w:p w:rsidR="00F42FB3" w:rsidRDefault="00F42FB3" w:rsidP="008B5474">
            <w:pPr>
              <w:pStyle w:val="TableBodyText"/>
            </w:pPr>
            <w:r>
              <w:t>37.1</w:t>
            </w:r>
          </w:p>
        </w:tc>
      </w:tr>
    </w:tbl>
    <w:p w:rsidR="00F42FB3" w:rsidRPr="008E77FE" w:rsidRDefault="00F42FB3" w:rsidP="00F42FB3">
      <w:pPr>
        <w:pStyle w:val="Source"/>
      </w:pPr>
      <w:r>
        <w:rPr>
          <w:i/>
        </w:rPr>
        <w:t>Source</w:t>
      </w:r>
      <w:r>
        <w:t>: Commission estimates based on MLA Annual Report 2011</w:t>
      </w:r>
      <w:r>
        <w:noBreakHyphen/>
        <w:t>12 (and earlier years).</w:t>
      </w:r>
    </w:p>
    <w:p w:rsidR="00834E79" w:rsidRDefault="00FA09C3" w:rsidP="00834E79">
      <w:pPr>
        <w:pStyle w:val="Heading2"/>
      </w:pPr>
      <w:r>
        <w:t>A.</w:t>
      </w:r>
      <w:r>
        <w:rPr>
          <w:noProof/>
        </w:rPr>
        <w:t>40</w:t>
      </w:r>
      <w:r w:rsidR="00834E79">
        <w:tab/>
        <w:t>Caring for Our Country – Landcare</w:t>
      </w:r>
    </w:p>
    <w:p w:rsidR="00834E79" w:rsidRDefault="00834E79" w:rsidP="00834E79">
      <w:pPr>
        <w:pStyle w:val="BodyText"/>
      </w:pPr>
      <w:r>
        <w:t>In March 2008, the Australian Government announced that it would commit around $2 billion over five years in natural resource and environmental management through the Caring for Our Country program. The program is intended to provide a coordinated approach to environmental management in Australia supported by transparent and consistent national five-year objectives. The program combines previous Australian Government natural resource management programs including: the Natural Heritage Trust; the National Landcare program; the Environmental Stewardship program; and the Working on Country program (</w:t>
      </w:r>
      <w:r w:rsidRPr="002D4BCB">
        <w:t>Garrett and Burke 2008</w:t>
      </w:r>
      <w:r>
        <w:t>).</w:t>
      </w:r>
    </w:p>
    <w:p w:rsidR="00834E79" w:rsidRDefault="00834E79" w:rsidP="00834E79">
      <w:pPr>
        <w:pStyle w:val="BodyText"/>
      </w:pPr>
      <w:r>
        <w:t>Six priority areas have been identified to receive funding under the program:</w:t>
      </w:r>
    </w:p>
    <w:p w:rsidR="00834E79" w:rsidRDefault="00834E79" w:rsidP="00834E79">
      <w:pPr>
        <w:pStyle w:val="ListBullet"/>
      </w:pPr>
      <w:r>
        <w:t>Australia’s National Reserve System;</w:t>
      </w:r>
    </w:p>
    <w:p w:rsidR="00834E79" w:rsidRDefault="00834E79" w:rsidP="00834E79">
      <w:pPr>
        <w:pStyle w:val="ListBullet"/>
      </w:pPr>
      <w:r>
        <w:t>biodiversity and natural icons;</w:t>
      </w:r>
    </w:p>
    <w:p w:rsidR="00834E79" w:rsidRDefault="00834E79" w:rsidP="00834E79">
      <w:pPr>
        <w:pStyle w:val="ListBullet"/>
      </w:pPr>
      <w:r>
        <w:t>coastal environments and critical aquatic habitats;</w:t>
      </w:r>
    </w:p>
    <w:p w:rsidR="00834E79" w:rsidRDefault="00834E79" w:rsidP="00834E79">
      <w:pPr>
        <w:pStyle w:val="ListBullet"/>
      </w:pPr>
      <w:r>
        <w:t>sustainable farm practices;</w:t>
      </w:r>
    </w:p>
    <w:p w:rsidR="00834E79" w:rsidRDefault="00834E79" w:rsidP="00834E79">
      <w:pPr>
        <w:pStyle w:val="ListBullet"/>
      </w:pPr>
      <w:r>
        <w:t>natural resource management in remote and northern Australia; and</w:t>
      </w:r>
    </w:p>
    <w:p w:rsidR="00834E79" w:rsidRDefault="00834E79" w:rsidP="00834E79">
      <w:pPr>
        <w:pStyle w:val="ListBullet"/>
      </w:pPr>
      <w:r>
        <w:lastRenderedPageBreak/>
        <w:t>community skills, knowledge and engagement.</w:t>
      </w:r>
    </w:p>
    <w:p w:rsidR="00834E79" w:rsidRDefault="00834E79" w:rsidP="00834E79">
      <w:pPr>
        <w:pStyle w:val="BodyText"/>
      </w:pPr>
      <w:r>
        <w:t xml:space="preserve">The program primarily benefits the primary production sector. However, information on the specific industry incidence of the program has not been readily available. Accordingly, the budgetary outlay has been classified to the </w:t>
      </w:r>
      <w:r w:rsidRPr="00DE1336">
        <w:rPr>
          <w:i/>
        </w:rPr>
        <w:t>Unallocated primary production</w:t>
      </w:r>
      <w:r>
        <w:t xml:space="preserve"> industry grouping in the Commission’s ANZSIC-based classification (table A.</w:t>
      </w:r>
      <w:r w:rsidR="00E5096C">
        <w:t>40</w:t>
      </w:r>
      <w:r>
        <w:t>).</w:t>
      </w:r>
    </w:p>
    <w:p w:rsidR="00834E79" w:rsidRDefault="00834E79" w:rsidP="00834E79">
      <w:pPr>
        <w:pStyle w:val="TableTitle"/>
      </w:pPr>
      <w:r>
        <w:rPr>
          <w:b w:val="0"/>
        </w:rPr>
        <w:t xml:space="preserve">Table </w:t>
      </w:r>
      <w:r w:rsidR="00FA09C3">
        <w:rPr>
          <w:b w:val="0"/>
        </w:rPr>
        <w:t>A.</w:t>
      </w:r>
      <w:r w:rsidR="00FA09C3">
        <w:rPr>
          <w:b w:val="0"/>
          <w:noProof/>
        </w:rPr>
        <w:t>40</w:t>
      </w:r>
      <w:r>
        <w:tab/>
        <w:t xml:space="preserve">Allocation of Caring for Our Country </w:t>
      </w:r>
      <w:r w:rsidR="006B2ED0">
        <w:t>–</w:t>
      </w:r>
      <w:r>
        <w:t xml:space="preserve"> Landcare</w:t>
      </w:r>
      <w:r w:rsidR="00510A57" w:rsidRPr="00510A57">
        <w:t xml:space="preserve"> to industry</w:t>
      </w:r>
      <w:r>
        <w:t>, 2006</w:t>
      </w:r>
      <w:r>
        <w:noBreakHyphen/>
        <w:t>07 to 2011</w:t>
      </w:r>
      <w:r>
        <w:noBreakHyphen/>
        <w:t>12</w:t>
      </w:r>
    </w:p>
    <w:p w:rsidR="00834E79" w:rsidRDefault="00834E79" w:rsidP="00834E79">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834E79" w:rsidRPr="00AF699A" w:rsidTr="008B5474">
        <w:tc>
          <w:tcPr>
            <w:tcW w:w="1960" w:type="pct"/>
            <w:tcBorders>
              <w:top w:val="single" w:sz="6" w:space="0" w:color="auto"/>
              <w:bottom w:val="single" w:sz="6" w:space="0" w:color="auto"/>
            </w:tcBorders>
          </w:tcPr>
          <w:p w:rsidR="00834E79" w:rsidRPr="00AF699A" w:rsidRDefault="00834E79" w:rsidP="008B547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834E79" w:rsidRPr="00AF699A" w:rsidRDefault="00834E79" w:rsidP="008B547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834E79" w:rsidRPr="00AF699A" w:rsidRDefault="00834E79" w:rsidP="008B547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834E79" w:rsidRPr="00AF699A" w:rsidRDefault="00834E79" w:rsidP="008B547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834E79" w:rsidRPr="00AF699A" w:rsidRDefault="00834E79" w:rsidP="008B547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834E79" w:rsidRPr="00AF699A" w:rsidRDefault="00834E79" w:rsidP="008B5474">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834E79" w:rsidRPr="00AF699A" w:rsidRDefault="00834E79" w:rsidP="008B5474">
            <w:pPr>
              <w:pStyle w:val="TableColumnHeading"/>
              <w:ind w:right="28"/>
              <w:rPr>
                <w:rFonts w:cs="Arial"/>
                <w:sz w:val="18"/>
                <w:szCs w:val="18"/>
              </w:rPr>
            </w:pPr>
            <w:r w:rsidRPr="00AF699A">
              <w:rPr>
                <w:rFonts w:cs="Arial"/>
                <w:sz w:val="18"/>
                <w:szCs w:val="18"/>
              </w:rPr>
              <w:t>2011-12</w:t>
            </w:r>
          </w:p>
        </w:tc>
      </w:tr>
      <w:tr w:rsidR="00834E79" w:rsidRPr="006C5A80" w:rsidTr="008B5474">
        <w:tc>
          <w:tcPr>
            <w:tcW w:w="1960" w:type="pct"/>
            <w:tcBorders>
              <w:bottom w:val="single" w:sz="4" w:space="0" w:color="auto"/>
            </w:tcBorders>
            <w:vAlign w:val="bottom"/>
          </w:tcPr>
          <w:p w:rsidR="00834E79" w:rsidRPr="00C944BA" w:rsidRDefault="00834E79" w:rsidP="008B5474">
            <w:pPr>
              <w:pStyle w:val="TableBodyText"/>
              <w:jc w:val="left"/>
            </w:pPr>
            <w:r>
              <w:t>Unallocated primary production</w:t>
            </w:r>
            <w:r w:rsidRPr="00C00D98">
              <w:rPr>
                <w:rStyle w:val="NoteLabel"/>
                <w:szCs w:val="18"/>
              </w:rPr>
              <w:t>a</w:t>
            </w:r>
          </w:p>
        </w:tc>
        <w:tc>
          <w:tcPr>
            <w:tcW w:w="507" w:type="pct"/>
            <w:tcBorders>
              <w:bottom w:val="single" w:sz="4" w:space="0" w:color="auto"/>
            </w:tcBorders>
            <w:vAlign w:val="bottom"/>
          </w:tcPr>
          <w:p w:rsidR="00834E79" w:rsidRDefault="005C238D" w:rsidP="008B5474">
            <w:pPr>
              <w:pStyle w:val="TableBodyText"/>
            </w:pPr>
            <w:r>
              <w:t>37.0</w:t>
            </w:r>
          </w:p>
        </w:tc>
        <w:tc>
          <w:tcPr>
            <w:tcW w:w="507" w:type="pct"/>
            <w:tcBorders>
              <w:bottom w:val="single" w:sz="4" w:space="0" w:color="auto"/>
            </w:tcBorders>
            <w:vAlign w:val="bottom"/>
          </w:tcPr>
          <w:p w:rsidR="00834E79" w:rsidRDefault="005C238D" w:rsidP="008B5474">
            <w:pPr>
              <w:pStyle w:val="TableBodyText"/>
            </w:pPr>
            <w:r>
              <w:t>44.6</w:t>
            </w:r>
          </w:p>
        </w:tc>
        <w:tc>
          <w:tcPr>
            <w:tcW w:w="507" w:type="pct"/>
            <w:tcBorders>
              <w:bottom w:val="single" w:sz="4" w:space="0" w:color="auto"/>
            </w:tcBorders>
            <w:vAlign w:val="bottom"/>
          </w:tcPr>
          <w:p w:rsidR="00834E79" w:rsidRDefault="00834E79" w:rsidP="008B5474">
            <w:pPr>
              <w:pStyle w:val="TableBodyText"/>
            </w:pPr>
            <w:r>
              <w:t>35.2</w:t>
            </w:r>
          </w:p>
        </w:tc>
        <w:tc>
          <w:tcPr>
            <w:tcW w:w="507" w:type="pct"/>
            <w:tcBorders>
              <w:bottom w:val="single" w:sz="4" w:space="0" w:color="auto"/>
            </w:tcBorders>
            <w:vAlign w:val="bottom"/>
          </w:tcPr>
          <w:p w:rsidR="00834E79" w:rsidRDefault="00834E79" w:rsidP="008B5474">
            <w:pPr>
              <w:pStyle w:val="TableBodyText"/>
            </w:pPr>
            <w:r>
              <w:t>32.1</w:t>
            </w:r>
          </w:p>
        </w:tc>
        <w:tc>
          <w:tcPr>
            <w:tcW w:w="507" w:type="pct"/>
            <w:tcBorders>
              <w:bottom w:val="single" w:sz="4" w:space="0" w:color="auto"/>
            </w:tcBorders>
            <w:shd w:val="clear" w:color="auto" w:fill="auto"/>
            <w:vAlign w:val="bottom"/>
          </w:tcPr>
          <w:p w:rsidR="00834E79" w:rsidRDefault="00834E79" w:rsidP="008B5474">
            <w:pPr>
              <w:pStyle w:val="TableBodyText"/>
            </w:pPr>
            <w:r>
              <w:t>34.0</w:t>
            </w:r>
          </w:p>
        </w:tc>
        <w:tc>
          <w:tcPr>
            <w:tcW w:w="505" w:type="pct"/>
            <w:tcBorders>
              <w:bottom w:val="single" w:sz="4" w:space="0" w:color="auto"/>
            </w:tcBorders>
            <w:shd w:val="clear" w:color="auto" w:fill="auto"/>
            <w:vAlign w:val="bottom"/>
          </w:tcPr>
          <w:p w:rsidR="00834E79" w:rsidRDefault="00834E79" w:rsidP="008B5474">
            <w:pPr>
              <w:pStyle w:val="TableBodyText"/>
            </w:pPr>
            <w:r>
              <w:t>36.8</w:t>
            </w:r>
          </w:p>
        </w:tc>
      </w:tr>
    </w:tbl>
    <w:p w:rsidR="00834E79" w:rsidRPr="00F60026" w:rsidRDefault="00834E79" w:rsidP="00834E79">
      <w:pPr>
        <w:pStyle w:val="Source"/>
        <w:spacing w:after="0"/>
        <w:rPr>
          <w:i/>
        </w:rPr>
      </w:pPr>
      <w:r w:rsidRPr="009B56F1">
        <w:rPr>
          <w:rStyle w:val="NoteLabel"/>
        </w:rPr>
        <w:t>a</w:t>
      </w:r>
      <w:r w:rsidRPr="009B56F1">
        <w:t xml:space="preserve"> Unallocated includes general programs where details of beneficiaries are unknown.</w:t>
      </w:r>
    </w:p>
    <w:p w:rsidR="00834E79" w:rsidRPr="008E77FE" w:rsidRDefault="00834E79" w:rsidP="00834E79">
      <w:pPr>
        <w:pStyle w:val="Source"/>
      </w:pPr>
      <w:r>
        <w:rPr>
          <w:i/>
        </w:rPr>
        <w:t>Source</w:t>
      </w:r>
      <w:r>
        <w:t>: Commission estimates based on DAFF Annual Report 2011</w:t>
      </w:r>
      <w:r>
        <w:noBreakHyphen/>
        <w:t>12 (and earlier years).</w:t>
      </w:r>
    </w:p>
    <w:p w:rsidR="00834E79" w:rsidRDefault="00FA09C3" w:rsidP="00834E79">
      <w:pPr>
        <w:pStyle w:val="Heading2"/>
      </w:pPr>
      <w:r>
        <w:t>A.</w:t>
      </w:r>
      <w:r>
        <w:rPr>
          <w:noProof/>
        </w:rPr>
        <w:t>41</w:t>
      </w:r>
      <w:r w:rsidR="00834E79">
        <w:tab/>
        <w:t>Bass Strait Passenger Vehicle Equalisation Scheme</w:t>
      </w:r>
    </w:p>
    <w:p w:rsidR="00834E79" w:rsidRDefault="00834E79" w:rsidP="00834E79">
      <w:pPr>
        <w:pStyle w:val="BodyText"/>
      </w:pPr>
      <w:r>
        <w:t>The Bass Strait Passenger Vehicle Equalisation scheme was introduced in 1996 and provides a partial rebate of the cost of sea travel across Bass Strait for passengers accompanying an eligible vehicle. The rebate is provided to the driver of an eligible passenger vehicle in the form of a reduced fare charged by a service operator. The service operator is reimbursed by the Australian Government for the total rebate provided to eligible passengers. The scheme provides assistance for over 150 000 eligible vehicle crossings annually. The scheme is demand driven and uncapped with no upper limit to the total annual payment (</w:t>
      </w:r>
      <w:r w:rsidRPr="002D4BCB">
        <w:t>DITRDLG 2010</w:t>
      </w:r>
      <w:r>
        <w:t>).</w:t>
      </w:r>
    </w:p>
    <w:p w:rsidR="007A66FC" w:rsidRDefault="00834E79" w:rsidP="00834E79">
      <w:pPr>
        <w:pStyle w:val="BodyText"/>
      </w:pPr>
      <w:r>
        <w:t xml:space="preserve">The Bass Strait Passenger Vehicle Equalisation scheme is considered to initially benefit transport services activities. Accordingly, the scheme has been allocated to the </w:t>
      </w:r>
      <w:r w:rsidRPr="00BD4D4C">
        <w:rPr>
          <w:i/>
        </w:rPr>
        <w:t>Transport, postal and warehousing</w:t>
      </w:r>
      <w:r>
        <w:t xml:space="preserve"> industry grouping in the Commission’s ANZSIC-based classification (table A.4</w:t>
      </w:r>
      <w:r w:rsidR="00E5096C">
        <w:t>1</w:t>
      </w:r>
      <w:r>
        <w:t>).</w:t>
      </w:r>
    </w:p>
    <w:p w:rsidR="007A66FC" w:rsidRDefault="007A66FC" w:rsidP="00BF6BF7">
      <w:pPr>
        <w:pStyle w:val="BodyText"/>
      </w:pPr>
      <w:r>
        <w:br w:type="page"/>
      </w:r>
    </w:p>
    <w:p w:rsidR="00834E79" w:rsidRDefault="00834E79" w:rsidP="00834E79">
      <w:pPr>
        <w:pStyle w:val="TableTitle"/>
      </w:pPr>
      <w:r>
        <w:rPr>
          <w:b w:val="0"/>
        </w:rPr>
        <w:lastRenderedPageBreak/>
        <w:t xml:space="preserve">Table </w:t>
      </w:r>
      <w:r w:rsidR="00FA09C3">
        <w:rPr>
          <w:b w:val="0"/>
        </w:rPr>
        <w:t>A.</w:t>
      </w:r>
      <w:r w:rsidR="00FA09C3">
        <w:rPr>
          <w:b w:val="0"/>
          <w:noProof/>
        </w:rPr>
        <w:t>41</w:t>
      </w:r>
      <w:r>
        <w:tab/>
        <w:t>Allocation of Bass Strait Passenger Vehicle Equalisation</w:t>
      </w:r>
      <w:r w:rsidR="00510A57" w:rsidRPr="00510A57">
        <w:t xml:space="preserve"> to industry</w:t>
      </w:r>
      <w:r>
        <w:t>, 2006</w:t>
      </w:r>
      <w:r>
        <w:noBreakHyphen/>
        <w:t>07 to 2011</w:t>
      </w:r>
      <w:r>
        <w:noBreakHyphen/>
        <w:t>12</w:t>
      </w:r>
    </w:p>
    <w:p w:rsidR="00834E79" w:rsidRDefault="00834E79" w:rsidP="00834E79">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834E79" w:rsidRPr="00AF699A" w:rsidTr="008B5474">
        <w:tc>
          <w:tcPr>
            <w:tcW w:w="1960" w:type="pct"/>
            <w:tcBorders>
              <w:top w:val="single" w:sz="6" w:space="0" w:color="auto"/>
              <w:bottom w:val="single" w:sz="6" w:space="0" w:color="auto"/>
            </w:tcBorders>
          </w:tcPr>
          <w:p w:rsidR="00834E79" w:rsidRPr="00AF699A" w:rsidRDefault="00834E79" w:rsidP="008B547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834E79" w:rsidRPr="00AF699A" w:rsidRDefault="00834E79" w:rsidP="008B547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834E79" w:rsidRPr="00AF699A" w:rsidRDefault="00834E79" w:rsidP="008B547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834E79" w:rsidRPr="00AF699A" w:rsidRDefault="00834E79" w:rsidP="008B547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834E79" w:rsidRPr="00AF699A" w:rsidRDefault="00834E79" w:rsidP="008B547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834E79" w:rsidRPr="00AF699A" w:rsidRDefault="00834E79" w:rsidP="008B5474">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834E79" w:rsidRPr="00AF699A" w:rsidRDefault="00834E79" w:rsidP="008B5474">
            <w:pPr>
              <w:pStyle w:val="TableColumnHeading"/>
              <w:ind w:right="28"/>
              <w:rPr>
                <w:rFonts w:cs="Arial"/>
                <w:sz w:val="18"/>
                <w:szCs w:val="18"/>
              </w:rPr>
            </w:pPr>
            <w:r w:rsidRPr="00AF699A">
              <w:rPr>
                <w:rFonts w:cs="Arial"/>
                <w:sz w:val="18"/>
                <w:szCs w:val="18"/>
              </w:rPr>
              <w:t>2011-12</w:t>
            </w:r>
          </w:p>
        </w:tc>
      </w:tr>
      <w:tr w:rsidR="00834E79" w:rsidRPr="006C5A80" w:rsidTr="008B5474">
        <w:tc>
          <w:tcPr>
            <w:tcW w:w="1960" w:type="pct"/>
            <w:tcBorders>
              <w:bottom w:val="single" w:sz="4" w:space="0" w:color="auto"/>
            </w:tcBorders>
            <w:vAlign w:val="bottom"/>
          </w:tcPr>
          <w:p w:rsidR="00834E79" w:rsidRPr="00C944BA" w:rsidRDefault="00834E79" w:rsidP="008B5474">
            <w:pPr>
              <w:pStyle w:val="TableBodyText"/>
              <w:jc w:val="left"/>
            </w:pPr>
            <w:r>
              <w:t>Transport, postal and warehousing</w:t>
            </w:r>
          </w:p>
        </w:tc>
        <w:tc>
          <w:tcPr>
            <w:tcW w:w="507" w:type="pct"/>
            <w:tcBorders>
              <w:bottom w:val="single" w:sz="4" w:space="0" w:color="auto"/>
            </w:tcBorders>
            <w:vAlign w:val="bottom"/>
          </w:tcPr>
          <w:p w:rsidR="00834E79" w:rsidRDefault="00834E79" w:rsidP="008B5474">
            <w:pPr>
              <w:pStyle w:val="TableBodyText"/>
            </w:pPr>
            <w:r>
              <w:t>28.4</w:t>
            </w:r>
          </w:p>
        </w:tc>
        <w:tc>
          <w:tcPr>
            <w:tcW w:w="507" w:type="pct"/>
            <w:tcBorders>
              <w:bottom w:val="single" w:sz="4" w:space="0" w:color="auto"/>
            </w:tcBorders>
            <w:vAlign w:val="bottom"/>
          </w:tcPr>
          <w:p w:rsidR="00834E79" w:rsidRDefault="00834E79" w:rsidP="008B5474">
            <w:pPr>
              <w:pStyle w:val="TableBodyText"/>
            </w:pPr>
            <w:r>
              <w:t>30.1</w:t>
            </w:r>
          </w:p>
        </w:tc>
        <w:tc>
          <w:tcPr>
            <w:tcW w:w="507" w:type="pct"/>
            <w:tcBorders>
              <w:bottom w:val="single" w:sz="4" w:space="0" w:color="auto"/>
            </w:tcBorders>
            <w:vAlign w:val="bottom"/>
          </w:tcPr>
          <w:p w:rsidR="00834E79" w:rsidRDefault="00834E79" w:rsidP="008B5474">
            <w:pPr>
              <w:pStyle w:val="TableBodyText"/>
            </w:pPr>
            <w:r>
              <w:t>35.1</w:t>
            </w:r>
          </w:p>
        </w:tc>
        <w:tc>
          <w:tcPr>
            <w:tcW w:w="507" w:type="pct"/>
            <w:tcBorders>
              <w:bottom w:val="single" w:sz="4" w:space="0" w:color="auto"/>
            </w:tcBorders>
            <w:vAlign w:val="bottom"/>
          </w:tcPr>
          <w:p w:rsidR="00834E79" w:rsidRDefault="00834E79" w:rsidP="008B5474">
            <w:pPr>
              <w:pStyle w:val="TableBodyText"/>
            </w:pPr>
            <w:r>
              <w:t>36.5</w:t>
            </w:r>
          </w:p>
        </w:tc>
        <w:tc>
          <w:tcPr>
            <w:tcW w:w="507" w:type="pct"/>
            <w:tcBorders>
              <w:bottom w:val="single" w:sz="4" w:space="0" w:color="auto"/>
            </w:tcBorders>
            <w:shd w:val="clear" w:color="auto" w:fill="auto"/>
            <w:vAlign w:val="bottom"/>
          </w:tcPr>
          <w:p w:rsidR="00834E79" w:rsidRDefault="00834E79" w:rsidP="008B5474">
            <w:pPr>
              <w:pStyle w:val="TableBodyText"/>
            </w:pPr>
            <w:r>
              <w:t>36.5</w:t>
            </w:r>
          </w:p>
        </w:tc>
        <w:tc>
          <w:tcPr>
            <w:tcW w:w="505" w:type="pct"/>
            <w:tcBorders>
              <w:bottom w:val="single" w:sz="4" w:space="0" w:color="auto"/>
            </w:tcBorders>
            <w:shd w:val="clear" w:color="auto" w:fill="auto"/>
            <w:vAlign w:val="bottom"/>
          </w:tcPr>
          <w:p w:rsidR="00834E79" w:rsidRDefault="00834E79" w:rsidP="008B5474">
            <w:pPr>
              <w:pStyle w:val="TableBodyText"/>
            </w:pPr>
            <w:r>
              <w:t>34.6</w:t>
            </w:r>
          </w:p>
        </w:tc>
      </w:tr>
    </w:tbl>
    <w:p w:rsidR="00C260EC" w:rsidRDefault="00834E79" w:rsidP="00C260EC">
      <w:pPr>
        <w:pStyle w:val="Source"/>
      </w:pPr>
      <w:r>
        <w:rPr>
          <w:i/>
        </w:rPr>
        <w:t>Sources</w:t>
      </w:r>
      <w:r>
        <w:t>: Commission estimates based on Department of Infrastructure, Transport, Regional Development and Local Government Annual Report 2011</w:t>
      </w:r>
      <w:r>
        <w:noBreakHyphen/>
        <w:t>12 (and earlier years).</w:t>
      </w:r>
    </w:p>
    <w:p w:rsidR="00C260EC" w:rsidRDefault="00C260EC" w:rsidP="00C260EC">
      <w:pPr>
        <w:pStyle w:val="Heading2"/>
      </w:pPr>
      <w:r>
        <w:t>A.42</w:t>
      </w:r>
      <w:r>
        <w:tab/>
        <w:t>Ford Australia Assistance</w:t>
      </w:r>
    </w:p>
    <w:p w:rsidR="00635856" w:rsidRDefault="00635856" w:rsidP="00635856">
      <w:pPr>
        <w:pStyle w:val="BodyText"/>
      </w:pPr>
      <w:r>
        <w:t>In 2011</w:t>
      </w:r>
      <w:r>
        <w:noBreakHyphen/>
        <w:t>12, the Australian Government provided a $34 million grant to Ford Australia Limited (</w:t>
      </w:r>
      <w:r w:rsidRPr="002D4BCB">
        <w:t>Department of Industry 2013d</w:t>
      </w:r>
      <w:r>
        <w:t>). The announced purpose of the grant was to:</w:t>
      </w:r>
    </w:p>
    <w:p w:rsidR="00635856" w:rsidRDefault="00635856" w:rsidP="00635856">
      <w:pPr>
        <w:pStyle w:val="ListBullet"/>
      </w:pPr>
      <w:r>
        <w:t xml:space="preserve">help </w:t>
      </w:r>
      <w:r w:rsidR="00B32287">
        <w:t xml:space="preserve">Ford Australia Limited </w:t>
      </w:r>
      <w:r>
        <w:t xml:space="preserve">make investments that </w:t>
      </w:r>
      <w:r w:rsidRPr="00E52B4D">
        <w:t>contribute to the viability and sustainability of th</w:t>
      </w:r>
      <w:r>
        <w:t>e company and an internationally c</w:t>
      </w:r>
      <w:r w:rsidRPr="00E52B4D">
        <w:t>ompetitive Australian automotive industry</w:t>
      </w:r>
      <w:r>
        <w:t>;</w:t>
      </w:r>
    </w:p>
    <w:p w:rsidR="00635856" w:rsidRDefault="00635856" w:rsidP="00635856">
      <w:pPr>
        <w:pStyle w:val="ListBullet"/>
      </w:pPr>
      <w:r>
        <w:t xml:space="preserve">enhance </w:t>
      </w:r>
      <w:r w:rsidR="00B32287">
        <w:t xml:space="preserve">the company’s </w:t>
      </w:r>
      <w:r>
        <w:t>automotive capabilities; and</w:t>
      </w:r>
    </w:p>
    <w:p w:rsidR="00635856" w:rsidRPr="00243DFB" w:rsidRDefault="00635856" w:rsidP="00635856">
      <w:pPr>
        <w:pStyle w:val="ListBullet"/>
      </w:pPr>
      <w:r w:rsidRPr="00DA77A9">
        <w:t xml:space="preserve">support innovation in the company and the </w:t>
      </w:r>
      <w:r>
        <w:t xml:space="preserve">automotive </w:t>
      </w:r>
      <w:r w:rsidRPr="00DA77A9">
        <w:t>industry</w:t>
      </w:r>
      <w:r>
        <w:t>.</w:t>
      </w:r>
    </w:p>
    <w:p w:rsidR="00635856" w:rsidRPr="00741843" w:rsidRDefault="00635856" w:rsidP="00A21A08">
      <w:pPr>
        <w:pStyle w:val="BodyText"/>
      </w:pPr>
      <w:r w:rsidRPr="00741843">
        <w:t xml:space="preserve">The grant has been allocated to the </w:t>
      </w:r>
      <w:r w:rsidRPr="00741843">
        <w:rPr>
          <w:i/>
        </w:rPr>
        <w:t>Motor vehicles and parts</w:t>
      </w:r>
      <w:r w:rsidRPr="00741843">
        <w:t xml:space="preserve"> industry grouping in the Commission’s ANZSIC-based classification (table A.4</w:t>
      </w:r>
      <w:r w:rsidR="00E5096C" w:rsidRPr="00741843">
        <w:t>2</w:t>
      </w:r>
      <w:r w:rsidRPr="00741843">
        <w:t>).</w:t>
      </w:r>
    </w:p>
    <w:p w:rsidR="00635856" w:rsidRDefault="00635856" w:rsidP="00635856">
      <w:pPr>
        <w:pStyle w:val="TableTitle"/>
      </w:pPr>
      <w:r>
        <w:rPr>
          <w:b w:val="0"/>
        </w:rPr>
        <w:t xml:space="preserve">Table </w:t>
      </w:r>
      <w:r w:rsidR="00FA09C3">
        <w:rPr>
          <w:b w:val="0"/>
        </w:rPr>
        <w:t>A.</w:t>
      </w:r>
      <w:r w:rsidR="00FA09C3">
        <w:rPr>
          <w:b w:val="0"/>
          <w:noProof/>
        </w:rPr>
        <w:t>42</w:t>
      </w:r>
      <w:r>
        <w:tab/>
        <w:t>Allocation of Ford Australia Assistance</w:t>
      </w:r>
      <w:r w:rsidR="00510A57" w:rsidRPr="00510A57">
        <w:t xml:space="preserve"> to industry</w:t>
      </w:r>
      <w:r>
        <w:t>, 2006</w:t>
      </w:r>
      <w:r>
        <w:noBreakHyphen/>
        <w:t>07 to 2011</w:t>
      </w:r>
      <w:r>
        <w:noBreakHyphen/>
        <w:t>12</w:t>
      </w:r>
    </w:p>
    <w:p w:rsidR="00635856" w:rsidRDefault="000E1A26" w:rsidP="00635856">
      <w:pPr>
        <w:pStyle w:val="Subtitle"/>
      </w:pPr>
      <w:r>
        <w:t>$ m</w:t>
      </w:r>
      <w:r w:rsidR="00635856">
        <w:t xml:space="preserve">illion (nominal) </w:t>
      </w:r>
    </w:p>
    <w:tbl>
      <w:tblPr>
        <w:tblW w:w="5000" w:type="pct"/>
        <w:tblCellMar>
          <w:left w:w="0" w:type="dxa"/>
          <w:right w:w="0" w:type="dxa"/>
        </w:tblCellMar>
        <w:tblLook w:val="0000" w:firstRow="0" w:lastRow="0" w:firstColumn="0" w:lastColumn="0" w:noHBand="0" w:noVBand="0"/>
      </w:tblPr>
      <w:tblGrid>
        <w:gridCol w:w="3445"/>
        <w:gridCol w:w="891"/>
        <w:gridCol w:w="891"/>
        <w:gridCol w:w="891"/>
        <w:gridCol w:w="891"/>
        <w:gridCol w:w="891"/>
        <w:gridCol w:w="889"/>
      </w:tblGrid>
      <w:tr w:rsidR="00635856" w:rsidRPr="00AF699A" w:rsidTr="00D0483B">
        <w:trPr>
          <w:trHeight w:val="340"/>
        </w:trPr>
        <w:tc>
          <w:tcPr>
            <w:tcW w:w="1959" w:type="pct"/>
            <w:tcBorders>
              <w:top w:val="single" w:sz="6" w:space="0" w:color="auto"/>
              <w:bottom w:val="single" w:sz="6" w:space="0" w:color="auto"/>
            </w:tcBorders>
          </w:tcPr>
          <w:p w:rsidR="00635856" w:rsidRPr="00AF699A" w:rsidRDefault="00635856" w:rsidP="008B547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635856" w:rsidRPr="00AF699A" w:rsidRDefault="00635856" w:rsidP="008B547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635856" w:rsidRPr="00AF699A" w:rsidRDefault="00635856" w:rsidP="008B547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635856" w:rsidRPr="00AF699A" w:rsidRDefault="00635856" w:rsidP="008B547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635856" w:rsidRPr="00AF699A" w:rsidRDefault="00635856" w:rsidP="008B547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635856" w:rsidRPr="00AF699A" w:rsidRDefault="00635856" w:rsidP="008B5474">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635856" w:rsidRPr="00AF699A" w:rsidRDefault="00635856" w:rsidP="008B5474">
            <w:pPr>
              <w:pStyle w:val="TableColumnHeading"/>
              <w:ind w:right="28"/>
              <w:rPr>
                <w:rFonts w:cs="Arial"/>
                <w:sz w:val="18"/>
                <w:szCs w:val="18"/>
              </w:rPr>
            </w:pPr>
            <w:r w:rsidRPr="00AF699A">
              <w:rPr>
                <w:rFonts w:cs="Arial"/>
                <w:sz w:val="18"/>
                <w:szCs w:val="18"/>
              </w:rPr>
              <w:t>2011-12</w:t>
            </w:r>
          </w:p>
        </w:tc>
      </w:tr>
      <w:tr w:rsidR="00635856" w:rsidRPr="0047417E" w:rsidTr="008B5474">
        <w:tc>
          <w:tcPr>
            <w:tcW w:w="1959" w:type="pct"/>
            <w:tcBorders>
              <w:bottom w:val="single" w:sz="4" w:space="0" w:color="auto"/>
            </w:tcBorders>
            <w:vAlign w:val="bottom"/>
          </w:tcPr>
          <w:p w:rsidR="00635856" w:rsidRPr="0047417E" w:rsidRDefault="00635856" w:rsidP="008B5474">
            <w:pPr>
              <w:pStyle w:val="TableBodyText"/>
              <w:jc w:val="left"/>
            </w:pPr>
            <w:r w:rsidRPr="0047417E">
              <w:t>Motor vehicle and parts</w:t>
            </w:r>
          </w:p>
        </w:tc>
        <w:tc>
          <w:tcPr>
            <w:tcW w:w="507" w:type="pct"/>
            <w:tcBorders>
              <w:bottom w:val="single" w:sz="4" w:space="0" w:color="auto"/>
            </w:tcBorders>
            <w:vAlign w:val="bottom"/>
          </w:tcPr>
          <w:p w:rsidR="00635856" w:rsidRPr="0047417E" w:rsidRDefault="00635856" w:rsidP="008B5474">
            <w:pPr>
              <w:pStyle w:val="TableBodyText"/>
            </w:pPr>
            <w:r>
              <w:noBreakHyphen/>
            </w:r>
          </w:p>
        </w:tc>
        <w:tc>
          <w:tcPr>
            <w:tcW w:w="507" w:type="pct"/>
            <w:tcBorders>
              <w:bottom w:val="single" w:sz="4" w:space="0" w:color="auto"/>
            </w:tcBorders>
            <w:vAlign w:val="bottom"/>
          </w:tcPr>
          <w:p w:rsidR="00635856" w:rsidRPr="0047417E" w:rsidRDefault="00635856" w:rsidP="008B5474">
            <w:pPr>
              <w:pStyle w:val="TableBodyText"/>
            </w:pPr>
            <w:r>
              <w:noBreakHyphen/>
            </w:r>
          </w:p>
        </w:tc>
        <w:tc>
          <w:tcPr>
            <w:tcW w:w="507" w:type="pct"/>
            <w:tcBorders>
              <w:bottom w:val="single" w:sz="4" w:space="0" w:color="auto"/>
            </w:tcBorders>
            <w:vAlign w:val="bottom"/>
          </w:tcPr>
          <w:p w:rsidR="00635856" w:rsidRPr="0047417E" w:rsidRDefault="00635856" w:rsidP="008B5474">
            <w:pPr>
              <w:pStyle w:val="TableBodyText"/>
            </w:pPr>
            <w:r>
              <w:noBreakHyphen/>
            </w:r>
          </w:p>
        </w:tc>
        <w:tc>
          <w:tcPr>
            <w:tcW w:w="507" w:type="pct"/>
            <w:tcBorders>
              <w:bottom w:val="single" w:sz="4" w:space="0" w:color="auto"/>
            </w:tcBorders>
            <w:vAlign w:val="bottom"/>
          </w:tcPr>
          <w:p w:rsidR="00635856" w:rsidRPr="0047417E" w:rsidRDefault="00635856" w:rsidP="008B5474">
            <w:pPr>
              <w:pStyle w:val="TableBodyText"/>
            </w:pPr>
            <w:r>
              <w:noBreakHyphen/>
            </w:r>
          </w:p>
        </w:tc>
        <w:tc>
          <w:tcPr>
            <w:tcW w:w="507" w:type="pct"/>
            <w:tcBorders>
              <w:bottom w:val="single" w:sz="4" w:space="0" w:color="auto"/>
            </w:tcBorders>
            <w:shd w:val="clear" w:color="auto" w:fill="auto"/>
            <w:vAlign w:val="bottom"/>
          </w:tcPr>
          <w:p w:rsidR="00635856" w:rsidRPr="0047417E" w:rsidRDefault="00635856" w:rsidP="008B5474">
            <w:pPr>
              <w:pStyle w:val="TableBodyText"/>
            </w:pPr>
            <w:r>
              <w:noBreakHyphen/>
            </w:r>
          </w:p>
        </w:tc>
        <w:tc>
          <w:tcPr>
            <w:tcW w:w="507" w:type="pct"/>
            <w:tcBorders>
              <w:bottom w:val="single" w:sz="4" w:space="0" w:color="auto"/>
            </w:tcBorders>
            <w:shd w:val="clear" w:color="auto" w:fill="auto"/>
            <w:vAlign w:val="bottom"/>
          </w:tcPr>
          <w:p w:rsidR="00635856" w:rsidRPr="0047417E" w:rsidRDefault="00635856" w:rsidP="008B5474">
            <w:pPr>
              <w:pStyle w:val="TableBodyText"/>
            </w:pPr>
            <w:r w:rsidRPr="0047417E">
              <w:t>34</w:t>
            </w:r>
            <w:r>
              <w:t>.0</w:t>
            </w:r>
          </w:p>
        </w:tc>
      </w:tr>
    </w:tbl>
    <w:p w:rsidR="00635856" w:rsidRDefault="00635856" w:rsidP="00635856">
      <w:pPr>
        <w:pStyle w:val="Note"/>
      </w:pPr>
      <w:r w:rsidRPr="00A2379F">
        <w:noBreakHyphen/>
        <w:t xml:space="preserve"> </w:t>
      </w:r>
      <w:r>
        <w:t>Nil.</w:t>
      </w:r>
    </w:p>
    <w:p w:rsidR="00635856" w:rsidRPr="008E77FE" w:rsidRDefault="00635856" w:rsidP="00635856">
      <w:pPr>
        <w:pStyle w:val="Source"/>
      </w:pPr>
      <w:r>
        <w:rPr>
          <w:i/>
        </w:rPr>
        <w:t>Source</w:t>
      </w:r>
      <w:r>
        <w:t>: Commission estimates based on detailed DIISR data by ANZSIC industry.</w:t>
      </w:r>
    </w:p>
    <w:p w:rsidR="00B82E99" w:rsidRDefault="00FA09C3" w:rsidP="00B82E99">
      <w:pPr>
        <w:pStyle w:val="Heading2"/>
      </w:pPr>
      <w:r>
        <w:t>A.</w:t>
      </w:r>
      <w:r>
        <w:rPr>
          <w:noProof/>
        </w:rPr>
        <w:t>43</w:t>
      </w:r>
      <w:r w:rsidR="00B82E99">
        <w:tab/>
        <w:t>Australian Solar Institute</w:t>
      </w:r>
    </w:p>
    <w:p w:rsidR="00B82E99" w:rsidRDefault="00B82E99" w:rsidP="00B82E99">
      <w:pPr>
        <w:pStyle w:val="BodyText"/>
      </w:pPr>
      <w:r>
        <w:t xml:space="preserve">Established in 2009, the Australian Solar Institute (also known as the Energy Innovation Fund) aims to keep Australia at the forefront of solar innovation by investing in activities that aim to </w:t>
      </w:r>
      <w:r w:rsidRPr="006C2895">
        <w:t>reduce the cost, and increase the competitiveness</w:t>
      </w:r>
      <w:r w:rsidR="00F03D8D">
        <w:t>,</w:t>
      </w:r>
      <w:r w:rsidRPr="006C2895">
        <w:t xml:space="preserve"> of photovoltaic and concentrating solar power technologies</w:t>
      </w:r>
      <w:r>
        <w:t xml:space="preserve"> (</w:t>
      </w:r>
      <w:r w:rsidRPr="002D4BCB">
        <w:t>Australian Solar Institute 2013</w:t>
      </w:r>
      <w:r>
        <w:t>).</w:t>
      </w:r>
    </w:p>
    <w:p w:rsidR="00B82E99" w:rsidRPr="002D4BCB" w:rsidRDefault="00B82E99" w:rsidP="002D4BCB">
      <w:pPr>
        <w:pStyle w:val="BodyText"/>
      </w:pPr>
      <w:r w:rsidRPr="002D4BCB">
        <w:lastRenderedPageBreak/>
        <w:t>The activities of the Institute have been identified as selectively benefiting activities predominantly in the manufacturing sector. However, information on the specific industry incidence of the program has not been readily available. Accordingly, the budget outlay has been classified to the Unallocated other industry grouping in the Commission’s ANZSIC-based classification (table A.4</w:t>
      </w:r>
      <w:r w:rsidR="00E5096C" w:rsidRPr="002D4BCB">
        <w:t>3</w:t>
      </w:r>
      <w:r w:rsidRPr="002D4BCB">
        <w:t>).</w:t>
      </w:r>
    </w:p>
    <w:p w:rsidR="00B82E99" w:rsidRDefault="00B82E99" w:rsidP="00B82E99">
      <w:pPr>
        <w:pStyle w:val="TableTitle"/>
      </w:pPr>
      <w:r>
        <w:rPr>
          <w:b w:val="0"/>
        </w:rPr>
        <w:t xml:space="preserve">Table </w:t>
      </w:r>
      <w:r w:rsidR="00FA09C3">
        <w:rPr>
          <w:b w:val="0"/>
        </w:rPr>
        <w:t>A.</w:t>
      </w:r>
      <w:r w:rsidR="00FA09C3">
        <w:rPr>
          <w:b w:val="0"/>
          <w:noProof/>
        </w:rPr>
        <w:t>43</w:t>
      </w:r>
      <w:r>
        <w:tab/>
        <w:t>Allocation of Australian Solar Institute funding</w:t>
      </w:r>
      <w:r w:rsidR="00510A57" w:rsidRPr="00510A57">
        <w:t xml:space="preserve"> to industry</w:t>
      </w:r>
      <w:r>
        <w:t>, 2006</w:t>
      </w:r>
      <w:r>
        <w:noBreakHyphen/>
        <w:t>07 to 2011</w:t>
      </w:r>
      <w:r>
        <w:noBreakHyphen/>
        <w:t>12</w:t>
      </w:r>
    </w:p>
    <w:p w:rsidR="00B82E99" w:rsidRDefault="00B82E99" w:rsidP="00B82E99">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B82E99" w:rsidRPr="00AF699A" w:rsidTr="008B5474">
        <w:tc>
          <w:tcPr>
            <w:tcW w:w="1960" w:type="pct"/>
            <w:tcBorders>
              <w:top w:val="single" w:sz="6" w:space="0" w:color="auto"/>
              <w:bottom w:val="single" w:sz="6" w:space="0" w:color="auto"/>
            </w:tcBorders>
          </w:tcPr>
          <w:p w:rsidR="00B82E99" w:rsidRPr="00AF699A" w:rsidRDefault="00B82E99" w:rsidP="008B547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B82E99" w:rsidRPr="00AF699A" w:rsidRDefault="00B82E99" w:rsidP="008B547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B82E99" w:rsidRPr="00AF699A" w:rsidRDefault="00B82E99" w:rsidP="008B547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B82E99" w:rsidRPr="00AF699A" w:rsidRDefault="00B82E99" w:rsidP="008B547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B82E99" w:rsidRPr="00AF699A" w:rsidRDefault="00B82E99" w:rsidP="008B547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B82E99" w:rsidRPr="00AF699A" w:rsidRDefault="00B82E99" w:rsidP="008B5474">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B82E99" w:rsidRPr="00AF699A" w:rsidRDefault="00B82E99" w:rsidP="008B5474">
            <w:pPr>
              <w:pStyle w:val="TableColumnHeading"/>
              <w:ind w:right="28"/>
              <w:rPr>
                <w:rFonts w:cs="Arial"/>
                <w:sz w:val="18"/>
                <w:szCs w:val="18"/>
              </w:rPr>
            </w:pPr>
            <w:r w:rsidRPr="00AF699A">
              <w:rPr>
                <w:rFonts w:cs="Arial"/>
                <w:sz w:val="18"/>
                <w:szCs w:val="18"/>
              </w:rPr>
              <w:t>2011-12</w:t>
            </w:r>
          </w:p>
        </w:tc>
      </w:tr>
      <w:tr w:rsidR="00B82E99" w:rsidRPr="006C5A80" w:rsidTr="008B5474">
        <w:tc>
          <w:tcPr>
            <w:tcW w:w="1960" w:type="pct"/>
            <w:tcBorders>
              <w:bottom w:val="single" w:sz="4" w:space="0" w:color="auto"/>
            </w:tcBorders>
            <w:vAlign w:val="bottom"/>
          </w:tcPr>
          <w:p w:rsidR="00B82E99" w:rsidRPr="00C944BA" w:rsidRDefault="00B82E99" w:rsidP="008B5474">
            <w:pPr>
              <w:pStyle w:val="TableBodyText"/>
              <w:jc w:val="left"/>
            </w:pPr>
            <w:r>
              <w:t>Unallocated manufacturing</w:t>
            </w:r>
            <w:r w:rsidRPr="00C00D98">
              <w:rPr>
                <w:rStyle w:val="NoteLabel"/>
                <w:szCs w:val="18"/>
              </w:rPr>
              <w:t>a</w:t>
            </w:r>
          </w:p>
        </w:tc>
        <w:tc>
          <w:tcPr>
            <w:tcW w:w="507" w:type="pct"/>
            <w:tcBorders>
              <w:bottom w:val="single" w:sz="4" w:space="0" w:color="auto"/>
            </w:tcBorders>
            <w:vAlign w:val="bottom"/>
          </w:tcPr>
          <w:p w:rsidR="00B82E99" w:rsidRPr="0084352E" w:rsidRDefault="00B82E99" w:rsidP="008B5474">
            <w:pPr>
              <w:pStyle w:val="TableBodyText"/>
            </w:pPr>
            <w:r>
              <w:noBreakHyphen/>
            </w:r>
          </w:p>
        </w:tc>
        <w:tc>
          <w:tcPr>
            <w:tcW w:w="507" w:type="pct"/>
            <w:tcBorders>
              <w:bottom w:val="single" w:sz="4" w:space="0" w:color="auto"/>
            </w:tcBorders>
            <w:vAlign w:val="bottom"/>
          </w:tcPr>
          <w:p w:rsidR="00B82E99" w:rsidRPr="0084352E" w:rsidRDefault="00B82E99" w:rsidP="008B5474">
            <w:pPr>
              <w:pStyle w:val="TableBodyText"/>
            </w:pPr>
            <w:r>
              <w:noBreakHyphen/>
            </w:r>
          </w:p>
        </w:tc>
        <w:tc>
          <w:tcPr>
            <w:tcW w:w="507" w:type="pct"/>
            <w:tcBorders>
              <w:bottom w:val="single" w:sz="4" w:space="0" w:color="auto"/>
            </w:tcBorders>
            <w:vAlign w:val="bottom"/>
          </w:tcPr>
          <w:p w:rsidR="00B82E99" w:rsidRPr="0084352E" w:rsidRDefault="00B82E99" w:rsidP="008B5474">
            <w:pPr>
              <w:pStyle w:val="TableBodyText"/>
            </w:pPr>
            <w:r w:rsidRPr="0084352E">
              <w:t>5.8</w:t>
            </w:r>
          </w:p>
        </w:tc>
        <w:tc>
          <w:tcPr>
            <w:tcW w:w="507" w:type="pct"/>
            <w:tcBorders>
              <w:bottom w:val="single" w:sz="4" w:space="0" w:color="auto"/>
            </w:tcBorders>
            <w:vAlign w:val="bottom"/>
          </w:tcPr>
          <w:p w:rsidR="00B82E99" w:rsidRPr="0084352E" w:rsidRDefault="00B82E99" w:rsidP="008B5474">
            <w:pPr>
              <w:pStyle w:val="TableBodyText"/>
            </w:pPr>
            <w:r w:rsidRPr="0084352E">
              <w:t>49.8</w:t>
            </w:r>
          </w:p>
        </w:tc>
        <w:tc>
          <w:tcPr>
            <w:tcW w:w="507" w:type="pct"/>
            <w:tcBorders>
              <w:bottom w:val="single" w:sz="4" w:space="0" w:color="auto"/>
            </w:tcBorders>
            <w:shd w:val="clear" w:color="auto" w:fill="auto"/>
            <w:vAlign w:val="bottom"/>
          </w:tcPr>
          <w:p w:rsidR="00B82E99" w:rsidRPr="0084352E" w:rsidRDefault="00B82E99" w:rsidP="008B5474">
            <w:pPr>
              <w:pStyle w:val="TableBodyText"/>
            </w:pPr>
            <w:r w:rsidRPr="0084352E">
              <w:t>30</w:t>
            </w:r>
            <w:r>
              <w:t>.0</w:t>
            </w:r>
          </w:p>
        </w:tc>
        <w:tc>
          <w:tcPr>
            <w:tcW w:w="505" w:type="pct"/>
            <w:tcBorders>
              <w:bottom w:val="single" w:sz="4" w:space="0" w:color="auto"/>
            </w:tcBorders>
            <w:shd w:val="clear" w:color="auto" w:fill="auto"/>
            <w:vAlign w:val="bottom"/>
          </w:tcPr>
          <w:p w:rsidR="00B82E99" w:rsidRPr="0084352E" w:rsidRDefault="00B82E99" w:rsidP="008B5474">
            <w:pPr>
              <w:pStyle w:val="TableBodyText"/>
            </w:pPr>
            <w:r w:rsidRPr="0084352E">
              <w:t>32.7</w:t>
            </w:r>
          </w:p>
        </w:tc>
      </w:tr>
    </w:tbl>
    <w:p w:rsidR="00B82E99" w:rsidRPr="00F60026" w:rsidRDefault="00B82E99" w:rsidP="00B82E99">
      <w:pPr>
        <w:pStyle w:val="Source"/>
        <w:spacing w:after="0"/>
        <w:rPr>
          <w:i/>
        </w:rPr>
      </w:pPr>
      <w:r w:rsidRPr="00A2379F">
        <w:noBreakHyphen/>
        <w:t xml:space="preserve"> </w:t>
      </w:r>
      <w:r>
        <w:t>Nil</w:t>
      </w:r>
      <w:r w:rsidRPr="00A2379F">
        <w:t>.</w:t>
      </w:r>
      <w:r w:rsidRPr="00B1392F">
        <w:t xml:space="preserve"> </w:t>
      </w:r>
      <w:r w:rsidRPr="009B56F1">
        <w:rPr>
          <w:rStyle w:val="NoteLabel"/>
        </w:rPr>
        <w:t>a</w:t>
      </w:r>
      <w:r w:rsidRPr="009B56F1">
        <w:t xml:space="preserve"> Unallocated includes general programs where detai</w:t>
      </w:r>
      <w:r>
        <w:t>ls of beneficiaries are unknown.</w:t>
      </w:r>
    </w:p>
    <w:p w:rsidR="00B82E99" w:rsidRDefault="00B82E99" w:rsidP="00B82E99">
      <w:pPr>
        <w:pStyle w:val="Source"/>
      </w:pPr>
      <w:r>
        <w:rPr>
          <w:i/>
        </w:rPr>
        <w:t>Source</w:t>
      </w:r>
      <w:r>
        <w:t>: Commission estimates based on Department of Resources, Energy and Tourism Annual Report 2011</w:t>
      </w:r>
      <w:r>
        <w:noBreakHyphen/>
        <w:t>12 (and earlier years).</w:t>
      </w:r>
    </w:p>
    <w:p w:rsidR="00D62EE7" w:rsidRDefault="00FA09C3" w:rsidP="00D62EE7">
      <w:pPr>
        <w:pStyle w:val="Heading2"/>
      </w:pPr>
      <w:r>
        <w:t>A.</w:t>
      </w:r>
      <w:r>
        <w:rPr>
          <w:noProof/>
        </w:rPr>
        <w:t>44</w:t>
      </w:r>
      <w:r w:rsidR="00D62EE7">
        <w:tab/>
        <w:t>Exceptional Circumstances – interest rate subsidies</w:t>
      </w:r>
    </w:p>
    <w:p w:rsidR="00D62EE7" w:rsidRDefault="00D62EE7" w:rsidP="00D62EE7">
      <w:pPr>
        <w:pStyle w:val="BodyText"/>
      </w:pPr>
      <w:r>
        <w:t>The Exceptional Circumstances (EC) arrangements are the Australian Government’s primary mechanism for assisting farmers and small business operators affected by drought. There have been two main forms of assistance available under the arrangements: interest rate subsidies and income support.</w:t>
      </w:r>
    </w:p>
    <w:p w:rsidR="00D62EE7" w:rsidRDefault="00D62EE7" w:rsidP="00D62EE7">
      <w:pPr>
        <w:pStyle w:val="BodyText"/>
      </w:pPr>
      <w:r>
        <w:t>EC interest rate subsidies of up to $100 000 per year, with a cap of $500 000 over five years, have been available to eligible farm enterprises and small businesses. EC interest rate subsidies have been funded jointly by the Australian Government (90 per cent) and state and territory governments (10 per cent). Only the Australian Government contribution is reported in the table below.</w:t>
      </w:r>
    </w:p>
    <w:p w:rsidR="00D62EE7" w:rsidRDefault="00D62EE7" w:rsidP="00D62EE7">
      <w:pPr>
        <w:pStyle w:val="BodyText"/>
      </w:pPr>
      <w:r>
        <w:t xml:space="preserve">The EC interest rate subsidy arrangements ceased on 30 June 2012 </w:t>
      </w:r>
      <w:r w:rsidRPr="00DD3B0A">
        <w:t>(</w:t>
      </w:r>
      <w:r w:rsidRPr="002D4BCB">
        <w:t>DAFF 2012</w:t>
      </w:r>
      <w:r w:rsidRPr="00DD3B0A">
        <w:t>)</w:t>
      </w:r>
      <w:r>
        <w:t>. The Department of Agriculture, Fisheries and Forestry (DAFF) has provided a breakdown of EC interest rate subsidies by ANZSIC industry (table A.4</w:t>
      </w:r>
      <w:r w:rsidR="00E5096C">
        <w:t>4</w:t>
      </w:r>
      <w:r>
        <w:t>).</w:t>
      </w:r>
    </w:p>
    <w:p w:rsidR="00D62EE7" w:rsidRDefault="00D62EE7" w:rsidP="00D62EE7">
      <w:pPr>
        <w:pStyle w:val="TableTitle"/>
      </w:pPr>
      <w:r>
        <w:rPr>
          <w:b w:val="0"/>
        </w:rPr>
        <w:lastRenderedPageBreak/>
        <w:t xml:space="preserve">Table </w:t>
      </w:r>
      <w:r w:rsidR="00FA09C3">
        <w:rPr>
          <w:b w:val="0"/>
        </w:rPr>
        <w:t>A.</w:t>
      </w:r>
      <w:r w:rsidR="00FA09C3">
        <w:rPr>
          <w:b w:val="0"/>
          <w:noProof/>
        </w:rPr>
        <w:t>44</w:t>
      </w:r>
      <w:r>
        <w:tab/>
        <w:t xml:space="preserve">Allocation of Exceptional Circumstances – interest rate subsidies </w:t>
      </w:r>
      <w:r w:rsidR="00510A57" w:rsidRPr="00510A57">
        <w:t>to industry</w:t>
      </w:r>
      <w:r>
        <w:t>, 2006</w:t>
      </w:r>
      <w:r>
        <w:noBreakHyphen/>
        <w:t>07 to 2011</w:t>
      </w:r>
      <w:r>
        <w:noBreakHyphen/>
        <w:t>12</w:t>
      </w:r>
    </w:p>
    <w:p w:rsidR="00D62EE7" w:rsidRDefault="00D62EE7" w:rsidP="00D62EE7">
      <w:pPr>
        <w:pStyle w:val="Subtitle"/>
      </w:pPr>
      <w:r>
        <w:t>$ million (nominal)</w:t>
      </w:r>
    </w:p>
    <w:tbl>
      <w:tblPr>
        <w:tblW w:w="5000" w:type="pct"/>
        <w:tblCellMar>
          <w:left w:w="0" w:type="dxa"/>
          <w:right w:w="0" w:type="dxa"/>
        </w:tblCellMar>
        <w:tblLook w:val="0000" w:firstRow="0" w:lastRow="0" w:firstColumn="0" w:lastColumn="0" w:noHBand="0" w:noVBand="0"/>
      </w:tblPr>
      <w:tblGrid>
        <w:gridCol w:w="3445"/>
        <w:gridCol w:w="891"/>
        <w:gridCol w:w="891"/>
        <w:gridCol w:w="891"/>
        <w:gridCol w:w="891"/>
        <w:gridCol w:w="891"/>
        <w:gridCol w:w="889"/>
      </w:tblGrid>
      <w:tr w:rsidR="00D62EE7" w:rsidRPr="00AF699A" w:rsidTr="008B5474">
        <w:tc>
          <w:tcPr>
            <w:tcW w:w="1959" w:type="pct"/>
            <w:tcBorders>
              <w:top w:val="single" w:sz="6" w:space="0" w:color="auto"/>
              <w:bottom w:val="single" w:sz="6" w:space="0" w:color="auto"/>
            </w:tcBorders>
          </w:tcPr>
          <w:p w:rsidR="00D62EE7" w:rsidRPr="00AF699A" w:rsidRDefault="00D62EE7" w:rsidP="008B547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D62EE7" w:rsidRPr="00AF699A" w:rsidRDefault="00D62EE7" w:rsidP="008B547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D62EE7" w:rsidRPr="00AF699A" w:rsidRDefault="00D62EE7" w:rsidP="008B547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D62EE7" w:rsidRPr="00AF699A" w:rsidRDefault="00D62EE7" w:rsidP="008B547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D62EE7" w:rsidRPr="00AF699A" w:rsidRDefault="00D62EE7" w:rsidP="008B547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D62EE7" w:rsidRPr="00AF699A" w:rsidRDefault="00D62EE7" w:rsidP="008B5474">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D62EE7" w:rsidRPr="00AF699A" w:rsidRDefault="00D62EE7" w:rsidP="008B5474">
            <w:pPr>
              <w:pStyle w:val="TableColumnHeading"/>
              <w:ind w:right="28"/>
              <w:rPr>
                <w:rFonts w:cs="Arial"/>
                <w:sz w:val="18"/>
                <w:szCs w:val="18"/>
              </w:rPr>
            </w:pPr>
            <w:r w:rsidRPr="00AF699A">
              <w:rPr>
                <w:rFonts w:cs="Arial"/>
                <w:sz w:val="18"/>
                <w:szCs w:val="18"/>
              </w:rPr>
              <w:t>2011-12</w:t>
            </w:r>
          </w:p>
        </w:tc>
      </w:tr>
      <w:tr w:rsidR="00D62EE7" w:rsidRPr="006C5A80" w:rsidTr="008B5474">
        <w:tc>
          <w:tcPr>
            <w:tcW w:w="1959" w:type="pct"/>
            <w:tcBorders>
              <w:top w:val="single" w:sz="6" w:space="0" w:color="auto"/>
            </w:tcBorders>
            <w:vAlign w:val="bottom"/>
          </w:tcPr>
          <w:p w:rsidR="00D62EE7" w:rsidRPr="003166D0" w:rsidRDefault="00D62EE7" w:rsidP="008B5474">
            <w:pPr>
              <w:pStyle w:val="TableBodyText"/>
              <w:jc w:val="left"/>
              <w:rPr>
                <w:b/>
                <w:sz w:val="18"/>
                <w:szCs w:val="18"/>
              </w:rPr>
            </w:pPr>
            <w:r w:rsidRPr="003166D0">
              <w:rPr>
                <w:b/>
                <w:sz w:val="18"/>
                <w:szCs w:val="18"/>
              </w:rPr>
              <w:t>Primary production</w:t>
            </w:r>
          </w:p>
        </w:tc>
        <w:tc>
          <w:tcPr>
            <w:tcW w:w="507" w:type="pct"/>
            <w:tcBorders>
              <w:top w:val="single" w:sz="6" w:space="0" w:color="auto"/>
            </w:tcBorders>
            <w:vAlign w:val="bottom"/>
          </w:tcPr>
          <w:p w:rsidR="00D62EE7" w:rsidRPr="005C5AC5" w:rsidRDefault="00D62EE7" w:rsidP="008B5474">
            <w:pPr>
              <w:pStyle w:val="TableBodyText"/>
              <w:rPr>
                <w:b/>
                <w:sz w:val="18"/>
                <w:szCs w:val="18"/>
              </w:rPr>
            </w:pPr>
            <w:r w:rsidRPr="005C5AC5">
              <w:rPr>
                <w:b/>
                <w:sz w:val="18"/>
                <w:szCs w:val="18"/>
              </w:rPr>
              <w:t>414.5</w:t>
            </w:r>
          </w:p>
        </w:tc>
        <w:tc>
          <w:tcPr>
            <w:tcW w:w="507" w:type="pct"/>
            <w:tcBorders>
              <w:top w:val="single" w:sz="6" w:space="0" w:color="auto"/>
            </w:tcBorders>
            <w:vAlign w:val="bottom"/>
          </w:tcPr>
          <w:p w:rsidR="00D62EE7" w:rsidRPr="005C5AC5" w:rsidRDefault="00D62EE7" w:rsidP="008B5474">
            <w:pPr>
              <w:pStyle w:val="TableBodyText"/>
              <w:rPr>
                <w:b/>
                <w:sz w:val="18"/>
                <w:szCs w:val="18"/>
              </w:rPr>
            </w:pPr>
            <w:r w:rsidRPr="005C5AC5">
              <w:rPr>
                <w:b/>
                <w:sz w:val="18"/>
                <w:szCs w:val="18"/>
              </w:rPr>
              <w:t>640.1</w:t>
            </w:r>
          </w:p>
        </w:tc>
        <w:tc>
          <w:tcPr>
            <w:tcW w:w="507" w:type="pct"/>
            <w:tcBorders>
              <w:top w:val="single" w:sz="6" w:space="0" w:color="auto"/>
            </w:tcBorders>
            <w:vAlign w:val="bottom"/>
          </w:tcPr>
          <w:p w:rsidR="00D62EE7" w:rsidRPr="005C5AC5" w:rsidRDefault="00D62EE7" w:rsidP="008B5474">
            <w:pPr>
              <w:pStyle w:val="TableBodyText"/>
              <w:rPr>
                <w:b/>
                <w:sz w:val="18"/>
                <w:szCs w:val="18"/>
              </w:rPr>
            </w:pPr>
            <w:r w:rsidRPr="005C5AC5">
              <w:rPr>
                <w:b/>
                <w:sz w:val="18"/>
                <w:szCs w:val="18"/>
              </w:rPr>
              <w:t>457.3</w:t>
            </w:r>
          </w:p>
        </w:tc>
        <w:tc>
          <w:tcPr>
            <w:tcW w:w="507" w:type="pct"/>
            <w:tcBorders>
              <w:top w:val="single" w:sz="6" w:space="0" w:color="auto"/>
            </w:tcBorders>
            <w:vAlign w:val="bottom"/>
          </w:tcPr>
          <w:p w:rsidR="00D62EE7" w:rsidRPr="005C5AC5" w:rsidRDefault="00D62EE7" w:rsidP="008B5474">
            <w:pPr>
              <w:pStyle w:val="TableBodyText"/>
              <w:rPr>
                <w:b/>
                <w:sz w:val="18"/>
                <w:szCs w:val="18"/>
              </w:rPr>
            </w:pPr>
            <w:r w:rsidRPr="005C5AC5">
              <w:rPr>
                <w:b/>
                <w:sz w:val="18"/>
                <w:szCs w:val="18"/>
              </w:rPr>
              <w:t>358.8</w:t>
            </w:r>
          </w:p>
        </w:tc>
        <w:tc>
          <w:tcPr>
            <w:tcW w:w="507" w:type="pct"/>
            <w:tcBorders>
              <w:top w:val="single" w:sz="6" w:space="0" w:color="auto"/>
            </w:tcBorders>
            <w:vAlign w:val="bottom"/>
          </w:tcPr>
          <w:p w:rsidR="00D62EE7" w:rsidRPr="005C5AC5" w:rsidRDefault="00D62EE7" w:rsidP="008B5474">
            <w:pPr>
              <w:pStyle w:val="TableBodyText"/>
              <w:rPr>
                <w:b/>
                <w:sz w:val="18"/>
                <w:szCs w:val="18"/>
              </w:rPr>
            </w:pPr>
            <w:r w:rsidRPr="005C5AC5">
              <w:rPr>
                <w:b/>
                <w:sz w:val="18"/>
                <w:szCs w:val="18"/>
              </w:rPr>
              <w:t>247.0</w:t>
            </w:r>
          </w:p>
        </w:tc>
        <w:tc>
          <w:tcPr>
            <w:tcW w:w="507" w:type="pct"/>
            <w:tcBorders>
              <w:top w:val="single" w:sz="6" w:space="0" w:color="auto"/>
            </w:tcBorders>
            <w:vAlign w:val="bottom"/>
          </w:tcPr>
          <w:p w:rsidR="00D62EE7" w:rsidRPr="005C5AC5" w:rsidRDefault="00D62EE7" w:rsidP="008B5474">
            <w:pPr>
              <w:pStyle w:val="TableBodyText"/>
              <w:rPr>
                <w:b/>
                <w:sz w:val="18"/>
                <w:szCs w:val="18"/>
              </w:rPr>
            </w:pPr>
            <w:r w:rsidRPr="005C5AC5">
              <w:rPr>
                <w:b/>
                <w:sz w:val="18"/>
                <w:szCs w:val="18"/>
              </w:rPr>
              <w:t>31.7</w:t>
            </w:r>
          </w:p>
        </w:tc>
      </w:tr>
      <w:tr w:rsidR="00D62EE7" w:rsidRPr="006C5A80" w:rsidTr="008B5474">
        <w:tc>
          <w:tcPr>
            <w:tcW w:w="1959" w:type="pct"/>
            <w:vAlign w:val="bottom"/>
          </w:tcPr>
          <w:p w:rsidR="00D62EE7" w:rsidRPr="003166D0" w:rsidRDefault="00D62EE7" w:rsidP="008B5474">
            <w:pPr>
              <w:pStyle w:val="TableBodyText"/>
              <w:jc w:val="left"/>
              <w:rPr>
                <w:sz w:val="18"/>
                <w:szCs w:val="18"/>
              </w:rPr>
            </w:pPr>
            <w:r w:rsidRPr="003166D0">
              <w:rPr>
                <w:sz w:val="18"/>
                <w:szCs w:val="18"/>
              </w:rPr>
              <w:t>Horticulture and fruit growing</w:t>
            </w:r>
          </w:p>
        </w:tc>
        <w:tc>
          <w:tcPr>
            <w:tcW w:w="507" w:type="pct"/>
            <w:vAlign w:val="bottom"/>
          </w:tcPr>
          <w:p w:rsidR="00D62EE7" w:rsidRPr="005C5AC5" w:rsidRDefault="00D62EE7" w:rsidP="008B5474">
            <w:pPr>
              <w:pStyle w:val="TableBodyText"/>
              <w:rPr>
                <w:sz w:val="18"/>
                <w:szCs w:val="18"/>
              </w:rPr>
            </w:pPr>
            <w:r w:rsidRPr="005C5AC5">
              <w:rPr>
                <w:sz w:val="18"/>
                <w:szCs w:val="18"/>
              </w:rPr>
              <w:t>8.7</w:t>
            </w:r>
          </w:p>
        </w:tc>
        <w:tc>
          <w:tcPr>
            <w:tcW w:w="507" w:type="pct"/>
            <w:vAlign w:val="bottom"/>
          </w:tcPr>
          <w:p w:rsidR="00D62EE7" w:rsidRPr="005C5AC5" w:rsidRDefault="00D62EE7" w:rsidP="008B5474">
            <w:pPr>
              <w:pStyle w:val="TableBodyText"/>
              <w:rPr>
                <w:sz w:val="18"/>
                <w:szCs w:val="18"/>
              </w:rPr>
            </w:pPr>
            <w:r w:rsidRPr="005C5AC5">
              <w:rPr>
                <w:sz w:val="18"/>
                <w:szCs w:val="18"/>
              </w:rPr>
              <w:t>13.5</w:t>
            </w:r>
          </w:p>
        </w:tc>
        <w:tc>
          <w:tcPr>
            <w:tcW w:w="507" w:type="pct"/>
            <w:vAlign w:val="bottom"/>
          </w:tcPr>
          <w:p w:rsidR="00D62EE7" w:rsidRPr="005C5AC5" w:rsidRDefault="00D62EE7" w:rsidP="008B5474">
            <w:pPr>
              <w:pStyle w:val="TableBodyText"/>
              <w:rPr>
                <w:sz w:val="18"/>
                <w:szCs w:val="18"/>
              </w:rPr>
            </w:pPr>
            <w:r w:rsidRPr="005C5AC5">
              <w:rPr>
                <w:sz w:val="18"/>
                <w:szCs w:val="18"/>
              </w:rPr>
              <w:t>34.0</w:t>
            </w:r>
          </w:p>
        </w:tc>
        <w:tc>
          <w:tcPr>
            <w:tcW w:w="507" w:type="pct"/>
            <w:vAlign w:val="bottom"/>
          </w:tcPr>
          <w:p w:rsidR="00D62EE7" w:rsidRPr="005C5AC5" w:rsidRDefault="00D62EE7" w:rsidP="008B5474">
            <w:pPr>
              <w:pStyle w:val="TableBodyText"/>
              <w:rPr>
                <w:sz w:val="18"/>
                <w:szCs w:val="18"/>
              </w:rPr>
            </w:pPr>
            <w:r w:rsidRPr="005C5AC5">
              <w:rPr>
                <w:sz w:val="18"/>
                <w:szCs w:val="18"/>
              </w:rPr>
              <w:t>27.6</w:t>
            </w:r>
          </w:p>
        </w:tc>
        <w:tc>
          <w:tcPr>
            <w:tcW w:w="507" w:type="pct"/>
            <w:vAlign w:val="bottom"/>
          </w:tcPr>
          <w:p w:rsidR="00D62EE7" w:rsidRPr="005C5AC5" w:rsidRDefault="00D62EE7" w:rsidP="008B5474">
            <w:pPr>
              <w:pStyle w:val="TableBodyText"/>
              <w:rPr>
                <w:sz w:val="18"/>
                <w:szCs w:val="18"/>
              </w:rPr>
            </w:pPr>
            <w:r w:rsidRPr="005C5AC5">
              <w:rPr>
                <w:sz w:val="18"/>
                <w:szCs w:val="18"/>
              </w:rPr>
              <w:t>26.0</w:t>
            </w:r>
          </w:p>
        </w:tc>
        <w:tc>
          <w:tcPr>
            <w:tcW w:w="507" w:type="pct"/>
            <w:vAlign w:val="bottom"/>
          </w:tcPr>
          <w:p w:rsidR="00D62EE7" w:rsidRPr="005C5AC5" w:rsidRDefault="00D62EE7" w:rsidP="008B5474">
            <w:pPr>
              <w:pStyle w:val="TableBodyText"/>
              <w:rPr>
                <w:sz w:val="18"/>
                <w:szCs w:val="18"/>
              </w:rPr>
            </w:pPr>
            <w:r w:rsidRPr="005C5AC5">
              <w:rPr>
                <w:sz w:val="18"/>
                <w:szCs w:val="18"/>
              </w:rPr>
              <w:t>8.7</w:t>
            </w:r>
          </w:p>
        </w:tc>
      </w:tr>
      <w:tr w:rsidR="00D62EE7" w:rsidRPr="006C5A80" w:rsidTr="008B5474">
        <w:tc>
          <w:tcPr>
            <w:tcW w:w="1959" w:type="pct"/>
            <w:vAlign w:val="bottom"/>
          </w:tcPr>
          <w:p w:rsidR="00D62EE7" w:rsidRPr="003166D0" w:rsidRDefault="00D62EE7" w:rsidP="008B5474">
            <w:pPr>
              <w:pStyle w:val="TableBodyText"/>
              <w:jc w:val="left"/>
              <w:rPr>
                <w:sz w:val="18"/>
                <w:szCs w:val="18"/>
              </w:rPr>
            </w:pPr>
            <w:r w:rsidRPr="003166D0">
              <w:rPr>
                <w:sz w:val="18"/>
                <w:szCs w:val="18"/>
              </w:rPr>
              <w:t>Sheep, beef cattle and grain farming</w:t>
            </w:r>
          </w:p>
        </w:tc>
        <w:tc>
          <w:tcPr>
            <w:tcW w:w="507" w:type="pct"/>
            <w:vAlign w:val="bottom"/>
          </w:tcPr>
          <w:p w:rsidR="00D62EE7" w:rsidRPr="005C5AC5" w:rsidRDefault="00D62EE7" w:rsidP="008B5474">
            <w:pPr>
              <w:pStyle w:val="TableBodyText"/>
              <w:rPr>
                <w:sz w:val="18"/>
                <w:szCs w:val="18"/>
              </w:rPr>
            </w:pPr>
            <w:r w:rsidRPr="005C5AC5">
              <w:rPr>
                <w:sz w:val="18"/>
                <w:szCs w:val="18"/>
              </w:rPr>
              <w:t>296.4</w:t>
            </w:r>
          </w:p>
        </w:tc>
        <w:tc>
          <w:tcPr>
            <w:tcW w:w="507" w:type="pct"/>
            <w:vAlign w:val="bottom"/>
          </w:tcPr>
          <w:p w:rsidR="00D62EE7" w:rsidRPr="005C5AC5" w:rsidRDefault="00D62EE7" w:rsidP="008B5474">
            <w:pPr>
              <w:pStyle w:val="TableBodyText"/>
              <w:rPr>
                <w:sz w:val="18"/>
                <w:szCs w:val="18"/>
              </w:rPr>
            </w:pPr>
            <w:r w:rsidRPr="005C5AC5">
              <w:rPr>
                <w:sz w:val="18"/>
                <w:szCs w:val="18"/>
              </w:rPr>
              <w:t>457.7</w:t>
            </w:r>
          </w:p>
        </w:tc>
        <w:tc>
          <w:tcPr>
            <w:tcW w:w="507" w:type="pct"/>
            <w:vAlign w:val="bottom"/>
          </w:tcPr>
          <w:p w:rsidR="00D62EE7" w:rsidRPr="005C5AC5" w:rsidRDefault="00D62EE7" w:rsidP="008B5474">
            <w:pPr>
              <w:pStyle w:val="TableBodyText"/>
              <w:rPr>
                <w:sz w:val="18"/>
                <w:szCs w:val="18"/>
              </w:rPr>
            </w:pPr>
            <w:r w:rsidRPr="005C5AC5">
              <w:rPr>
                <w:sz w:val="18"/>
                <w:szCs w:val="18"/>
              </w:rPr>
              <w:t>359.1</w:t>
            </w:r>
          </w:p>
        </w:tc>
        <w:tc>
          <w:tcPr>
            <w:tcW w:w="507" w:type="pct"/>
            <w:vAlign w:val="bottom"/>
          </w:tcPr>
          <w:p w:rsidR="00D62EE7" w:rsidRPr="005C5AC5" w:rsidRDefault="00D62EE7" w:rsidP="008B5474">
            <w:pPr>
              <w:pStyle w:val="TableBodyText"/>
              <w:rPr>
                <w:sz w:val="18"/>
                <w:szCs w:val="18"/>
              </w:rPr>
            </w:pPr>
            <w:r w:rsidRPr="005C5AC5">
              <w:rPr>
                <w:sz w:val="18"/>
                <w:szCs w:val="18"/>
              </w:rPr>
              <w:t>256.2</w:t>
            </w:r>
          </w:p>
        </w:tc>
        <w:tc>
          <w:tcPr>
            <w:tcW w:w="507" w:type="pct"/>
            <w:vAlign w:val="bottom"/>
          </w:tcPr>
          <w:p w:rsidR="00D62EE7" w:rsidRPr="005C5AC5" w:rsidRDefault="00D62EE7" w:rsidP="008B5474">
            <w:pPr>
              <w:pStyle w:val="TableBodyText"/>
              <w:rPr>
                <w:sz w:val="18"/>
                <w:szCs w:val="18"/>
              </w:rPr>
            </w:pPr>
            <w:r w:rsidRPr="005C5AC5">
              <w:rPr>
                <w:sz w:val="18"/>
                <w:szCs w:val="18"/>
              </w:rPr>
              <w:t>182.8</w:t>
            </w:r>
          </w:p>
        </w:tc>
        <w:tc>
          <w:tcPr>
            <w:tcW w:w="507" w:type="pct"/>
            <w:vAlign w:val="bottom"/>
          </w:tcPr>
          <w:p w:rsidR="00D62EE7" w:rsidRPr="005C5AC5" w:rsidRDefault="00D62EE7" w:rsidP="008B5474">
            <w:pPr>
              <w:pStyle w:val="TableBodyText"/>
              <w:rPr>
                <w:sz w:val="18"/>
                <w:szCs w:val="18"/>
              </w:rPr>
            </w:pPr>
            <w:r w:rsidRPr="005C5AC5">
              <w:rPr>
                <w:sz w:val="18"/>
                <w:szCs w:val="18"/>
              </w:rPr>
              <w:t>15.8</w:t>
            </w:r>
          </w:p>
        </w:tc>
      </w:tr>
      <w:tr w:rsidR="00D62EE7" w:rsidRPr="006C5A80" w:rsidTr="008B5474">
        <w:tc>
          <w:tcPr>
            <w:tcW w:w="1959" w:type="pct"/>
            <w:vAlign w:val="bottom"/>
          </w:tcPr>
          <w:p w:rsidR="00D62EE7" w:rsidRPr="003166D0" w:rsidRDefault="00D62EE7" w:rsidP="008B5474">
            <w:pPr>
              <w:pStyle w:val="TableBodyText"/>
              <w:jc w:val="left"/>
              <w:rPr>
                <w:sz w:val="18"/>
                <w:szCs w:val="18"/>
              </w:rPr>
            </w:pPr>
            <w:r w:rsidRPr="003166D0">
              <w:rPr>
                <w:sz w:val="18"/>
                <w:szCs w:val="18"/>
              </w:rPr>
              <w:t>Other crop growing</w:t>
            </w:r>
          </w:p>
        </w:tc>
        <w:tc>
          <w:tcPr>
            <w:tcW w:w="507" w:type="pct"/>
            <w:vAlign w:val="bottom"/>
          </w:tcPr>
          <w:p w:rsidR="00D62EE7" w:rsidRPr="005C5AC5" w:rsidRDefault="00D62EE7" w:rsidP="008B5474">
            <w:pPr>
              <w:pStyle w:val="TableBodyText"/>
              <w:rPr>
                <w:sz w:val="18"/>
                <w:szCs w:val="18"/>
              </w:rPr>
            </w:pPr>
            <w:r w:rsidRPr="005C5AC5">
              <w:rPr>
                <w:sz w:val="18"/>
                <w:szCs w:val="18"/>
              </w:rPr>
              <w:t>15.4</w:t>
            </w:r>
          </w:p>
        </w:tc>
        <w:tc>
          <w:tcPr>
            <w:tcW w:w="507" w:type="pct"/>
            <w:vAlign w:val="bottom"/>
          </w:tcPr>
          <w:p w:rsidR="00D62EE7" w:rsidRPr="005C5AC5" w:rsidRDefault="00D62EE7" w:rsidP="008B5474">
            <w:pPr>
              <w:pStyle w:val="TableBodyText"/>
              <w:rPr>
                <w:sz w:val="18"/>
                <w:szCs w:val="18"/>
              </w:rPr>
            </w:pPr>
            <w:r w:rsidRPr="005C5AC5">
              <w:rPr>
                <w:sz w:val="18"/>
                <w:szCs w:val="18"/>
              </w:rPr>
              <w:t>23.8</w:t>
            </w:r>
          </w:p>
        </w:tc>
        <w:tc>
          <w:tcPr>
            <w:tcW w:w="507" w:type="pct"/>
            <w:vAlign w:val="bottom"/>
          </w:tcPr>
          <w:p w:rsidR="00D62EE7" w:rsidRPr="005C5AC5" w:rsidRDefault="00D62EE7" w:rsidP="008B5474">
            <w:pPr>
              <w:pStyle w:val="TableBodyText"/>
              <w:rPr>
                <w:sz w:val="18"/>
                <w:szCs w:val="18"/>
              </w:rPr>
            </w:pPr>
            <w:r w:rsidRPr="005C5AC5">
              <w:rPr>
                <w:sz w:val="18"/>
                <w:szCs w:val="18"/>
              </w:rPr>
              <w:t>7.8</w:t>
            </w:r>
          </w:p>
        </w:tc>
        <w:tc>
          <w:tcPr>
            <w:tcW w:w="507" w:type="pct"/>
            <w:vAlign w:val="bottom"/>
          </w:tcPr>
          <w:p w:rsidR="00D62EE7" w:rsidRPr="005C5AC5" w:rsidRDefault="00D62EE7" w:rsidP="008B5474">
            <w:pPr>
              <w:pStyle w:val="TableBodyText"/>
              <w:rPr>
                <w:sz w:val="18"/>
                <w:szCs w:val="18"/>
              </w:rPr>
            </w:pPr>
            <w:r w:rsidRPr="005C5AC5">
              <w:rPr>
                <w:sz w:val="18"/>
                <w:szCs w:val="18"/>
              </w:rPr>
              <w:t>31.8</w:t>
            </w:r>
          </w:p>
        </w:tc>
        <w:tc>
          <w:tcPr>
            <w:tcW w:w="507" w:type="pct"/>
            <w:shd w:val="clear" w:color="auto" w:fill="auto"/>
            <w:vAlign w:val="bottom"/>
          </w:tcPr>
          <w:p w:rsidR="00D62EE7" w:rsidRPr="005C5AC5" w:rsidRDefault="00D62EE7" w:rsidP="008B5474">
            <w:pPr>
              <w:pStyle w:val="TableBodyText"/>
              <w:rPr>
                <w:sz w:val="18"/>
                <w:szCs w:val="18"/>
              </w:rPr>
            </w:pPr>
            <w:r w:rsidRPr="005C5AC5">
              <w:rPr>
                <w:sz w:val="18"/>
                <w:szCs w:val="18"/>
              </w:rPr>
              <w:noBreakHyphen/>
            </w:r>
          </w:p>
        </w:tc>
        <w:tc>
          <w:tcPr>
            <w:tcW w:w="507" w:type="pct"/>
            <w:shd w:val="clear" w:color="auto" w:fill="auto"/>
            <w:vAlign w:val="bottom"/>
          </w:tcPr>
          <w:p w:rsidR="00D62EE7" w:rsidRPr="005C5AC5" w:rsidRDefault="00D62EE7" w:rsidP="008B5474">
            <w:pPr>
              <w:pStyle w:val="TableBodyText"/>
              <w:rPr>
                <w:sz w:val="18"/>
                <w:szCs w:val="18"/>
              </w:rPr>
            </w:pPr>
            <w:r w:rsidRPr="005C5AC5">
              <w:rPr>
                <w:sz w:val="18"/>
                <w:szCs w:val="18"/>
              </w:rPr>
              <w:t>2.1</w:t>
            </w:r>
          </w:p>
        </w:tc>
      </w:tr>
      <w:tr w:rsidR="00D62EE7" w:rsidRPr="006C5A80" w:rsidTr="008B5474">
        <w:tc>
          <w:tcPr>
            <w:tcW w:w="1959" w:type="pct"/>
            <w:vAlign w:val="bottom"/>
          </w:tcPr>
          <w:p w:rsidR="00D62EE7" w:rsidRPr="003166D0" w:rsidRDefault="00D62EE7" w:rsidP="008B5474">
            <w:pPr>
              <w:pStyle w:val="TableBodyText"/>
              <w:jc w:val="left"/>
              <w:rPr>
                <w:sz w:val="18"/>
                <w:szCs w:val="18"/>
              </w:rPr>
            </w:pPr>
            <w:r w:rsidRPr="003166D0">
              <w:rPr>
                <w:sz w:val="18"/>
                <w:szCs w:val="18"/>
              </w:rPr>
              <w:t>Dairy cattle farming</w:t>
            </w:r>
          </w:p>
        </w:tc>
        <w:tc>
          <w:tcPr>
            <w:tcW w:w="507" w:type="pct"/>
            <w:vAlign w:val="bottom"/>
          </w:tcPr>
          <w:p w:rsidR="00D62EE7" w:rsidRPr="005C5AC5" w:rsidRDefault="00D62EE7" w:rsidP="008B5474">
            <w:pPr>
              <w:pStyle w:val="TableBodyText"/>
              <w:rPr>
                <w:sz w:val="18"/>
                <w:szCs w:val="18"/>
              </w:rPr>
            </w:pPr>
            <w:r w:rsidRPr="005C5AC5">
              <w:rPr>
                <w:sz w:val="18"/>
                <w:szCs w:val="18"/>
              </w:rPr>
              <w:t>88.4</w:t>
            </w:r>
          </w:p>
        </w:tc>
        <w:tc>
          <w:tcPr>
            <w:tcW w:w="507" w:type="pct"/>
            <w:vAlign w:val="bottom"/>
          </w:tcPr>
          <w:p w:rsidR="00D62EE7" w:rsidRPr="005C5AC5" w:rsidRDefault="00D62EE7" w:rsidP="008B5474">
            <w:pPr>
              <w:pStyle w:val="TableBodyText"/>
              <w:rPr>
                <w:sz w:val="18"/>
                <w:szCs w:val="18"/>
              </w:rPr>
            </w:pPr>
            <w:r w:rsidRPr="005C5AC5">
              <w:rPr>
                <w:sz w:val="18"/>
                <w:szCs w:val="18"/>
              </w:rPr>
              <w:t>136.5</w:t>
            </w:r>
          </w:p>
        </w:tc>
        <w:tc>
          <w:tcPr>
            <w:tcW w:w="507" w:type="pct"/>
            <w:vAlign w:val="bottom"/>
          </w:tcPr>
          <w:p w:rsidR="00D62EE7" w:rsidRPr="005C5AC5" w:rsidRDefault="00D62EE7" w:rsidP="008B5474">
            <w:pPr>
              <w:pStyle w:val="TableBodyText"/>
              <w:rPr>
                <w:sz w:val="18"/>
                <w:szCs w:val="18"/>
              </w:rPr>
            </w:pPr>
            <w:r w:rsidRPr="005C5AC5">
              <w:rPr>
                <w:sz w:val="18"/>
                <w:szCs w:val="18"/>
              </w:rPr>
              <w:t>45.3</w:t>
            </w:r>
          </w:p>
        </w:tc>
        <w:tc>
          <w:tcPr>
            <w:tcW w:w="507" w:type="pct"/>
            <w:vAlign w:val="bottom"/>
          </w:tcPr>
          <w:p w:rsidR="00D62EE7" w:rsidRPr="005C5AC5" w:rsidRDefault="00D62EE7" w:rsidP="008B5474">
            <w:pPr>
              <w:pStyle w:val="TableBodyText"/>
              <w:rPr>
                <w:sz w:val="18"/>
                <w:szCs w:val="18"/>
              </w:rPr>
            </w:pPr>
            <w:r w:rsidRPr="005C5AC5">
              <w:rPr>
                <w:sz w:val="18"/>
                <w:szCs w:val="18"/>
              </w:rPr>
              <w:t>38.1</w:t>
            </w:r>
          </w:p>
        </w:tc>
        <w:tc>
          <w:tcPr>
            <w:tcW w:w="507" w:type="pct"/>
            <w:shd w:val="clear" w:color="auto" w:fill="auto"/>
            <w:vAlign w:val="bottom"/>
          </w:tcPr>
          <w:p w:rsidR="00D62EE7" w:rsidRPr="005C5AC5" w:rsidRDefault="00D62EE7" w:rsidP="008B5474">
            <w:pPr>
              <w:pStyle w:val="TableBodyText"/>
              <w:rPr>
                <w:sz w:val="18"/>
                <w:szCs w:val="18"/>
              </w:rPr>
            </w:pPr>
            <w:r w:rsidRPr="005C5AC5">
              <w:rPr>
                <w:sz w:val="18"/>
                <w:szCs w:val="18"/>
              </w:rPr>
              <w:t>23.3</w:t>
            </w:r>
          </w:p>
        </w:tc>
        <w:tc>
          <w:tcPr>
            <w:tcW w:w="507" w:type="pct"/>
            <w:shd w:val="clear" w:color="auto" w:fill="auto"/>
            <w:vAlign w:val="bottom"/>
          </w:tcPr>
          <w:p w:rsidR="00D62EE7" w:rsidRPr="005C5AC5" w:rsidRDefault="00D62EE7" w:rsidP="008B5474">
            <w:pPr>
              <w:pStyle w:val="TableBodyText"/>
              <w:rPr>
                <w:sz w:val="18"/>
                <w:szCs w:val="18"/>
              </w:rPr>
            </w:pPr>
            <w:r w:rsidRPr="005C5AC5">
              <w:rPr>
                <w:sz w:val="18"/>
                <w:szCs w:val="18"/>
              </w:rPr>
              <w:t>2.9</w:t>
            </w:r>
          </w:p>
        </w:tc>
      </w:tr>
      <w:tr w:rsidR="00D62EE7" w:rsidRPr="006C5A80" w:rsidTr="008B5474">
        <w:tc>
          <w:tcPr>
            <w:tcW w:w="1959" w:type="pct"/>
            <w:vAlign w:val="bottom"/>
          </w:tcPr>
          <w:p w:rsidR="00D62EE7" w:rsidRPr="003166D0" w:rsidRDefault="00D62EE7" w:rsidP="008B5474">
            <w:pPr>
              <w:pStyle w:val="TableBodyText"/>
              <w:jc w:val="left"/>
              <w:rPr>
                <w:sz w:val="18"/>
                <w:szCs w:val="18"/>
              </w:rPr>
            </w:pPr>
            <w:r w:rsidRPr="003166D0">
              <w:rPr>
                <w:sz w:val="18"/>
                <w:szCs w:val="18"/>
              </w:rPr>
              <w:t>Other livestock farming</w:t>
            </w:r>
          </w:p>
        </w:tc>
        <w:tc>
          <w:tcPr>
            <w:tcW w:w="507" w:type="pct"/>
            <w:vAlign w:val="bottom"/>
          </w:tcPr>
          <w:p w:rsidR="00D62EE7" w:rsidRPr="005C5AC5" w:rsidRDefault="00D62EE7" w:rsidP="008B5474">
            <w:pPr>
              <w:pStyle w:val="TableBodyText"/>
              <w:rPr>
                <w:sz w:val="18"/>
                <w:szCs w:val="18"/>
              </w:rPr>
            </w:pPr>
            <w:r w:rsidRPr="005C5AC5">
              <w:rPr>
                <w:sz w:val="18"/>
                <w:szCs w:val="18"/>
              </w:rPr>
              <w:t>5.6</w:t>
            </w:r>
          </w:p>
        </w:tc>
        <w:tc>
          <w:tcPr>
            <w:tcW w:w="507" w:type="pct"/>
            <w:vAlign w:val="bottom"/>
          </w:tcPr>
          <w:p w:rsidR="00D62EE7" w:rsidRPr="005C5AC5" w:rsidRDefault="00D62EE7" w:rsidP="008B5474">
            <w:pPr>
              <w:pStyle w:val="TableBodyText"/>
              <w:rPr>
                <w:sz w:val="18"/>
                <w:szCs w:val="18"/>
              </w:rPr>
            </w:pPr>
            <w:r w:rsidRPr="005C5AC5">
              <w:rPr>
                <w:sz w:val="18"/>
                <w:szCs w:val="18"/>
              </w:rPr>
              <w:t>8.6</w:t>
            </w:r>
          </w:p>
        </w:tc>
        <w:tc>
          <w:tcPr>
            <w:tcW w:w="507" w:type="pct"/>
            <w:vAlign w:val="bottom"/>
          </w:tcPr>
          <w:p w:rsidR="00D62EE7" w:rsidRPr="005C5AC5" w:rsidRDefault="00D62EE7" w:rsidP="008B5474">
            <w:pPr>
              <w:pStyle w:val="TableBodyText"/>
              <w:rPr>
                <w:sz w:val="18"/>
                <w:szCs w:val="18"/>
              </w:rPr>
            </w:pPr>
            <w:r w:rsidRPr="005C5AC5">
              <w:rPr>
                <w:sz w:val="18"/>
                <w:szCs w:val="18"/>
              </w:rPr>
              <w:t>5.9</w:t>
            </w:r>
          </w:p>
        </w:tc>
        <w:tc>
          <w:tcPr>
            <w:tcW w:w="507" w:type="pct"/>
            <w:vAlign w:val="bottom"/>
          </w:tcPr>
          <w:p w:rsidR="00D62EE7" w:rsidRPr="005C5AC5" w:rsidRDefault="00D62EE7" w:rsidP="008B5474">
            <w:pPr>
              <w:pStyle w:val="TableBodyText"/>
              <w:rPr>
                <w:sz w:val="18"/>
                <w:szCs w:val="18"/>
              </w:rPr>
            </w:pPr>
            <w:r w:rsidRPr="005C5AC5">
              <w:rPr>
                <w:sz w:val="18"/>
                <w:szCs w:val="18"/>
              </w:rPr>
              <w:t>3.4</w:t>
            </w:r>
          </w:p>
        </w:tc>
        <w:tc>
          <w:tcPr>
            <w:tcW w:w="507" w:type="pct"/>
            <w:shd w:val="clear" w:color="auto" w:fill="auto"/>
            <w:vAlign w:val="bottom"/>
          </w:tcPr>
          <w:p w:rsidR="00D62EE7" w:rsidRPr="005C5AC5" w:rsidRDefault="00D62EE7" w:rsidP="008B5474">
            <w:pPr>
              <w:pStyle w:val="TableBodyText"/>
              <w:rPr>
                <w:sz w:val="18"/>
                <w:szCs w:val="18"/>
              </w:rPr>
            </w:pPr>
            <w:r w:rsidRPr="005C5AC5">
              <w:rPr>
                <w:sz w:val="18"/>
                <w:szCs w:val="18"/>
              </w:rPr>
              <w:t>1.5</w:t>
            </w:r>
          </w:p>
        </w:tc>
        <w:tc>
          <w:tcPr>
            <w:tcW w:w="507" w:type="pct"/>
            <w:shd w:val="clear" w:color="auto" w:fill="auto"/>
            <w:vAlign w:val="bottom"/>
          </w:tcPr>
          <w:p w:rsidR="00D62EE7" w:rsidRPr="005C5AC5" w:rsidRDefault="00D62EE7" w:rsidP="008B5474">
            <w:pPr>
              <w:pStyle w:val="TableBodyText"/>
              <w:rPr>
                <w:sz w:val="18"/>
                <w:szCs w:val="18"/>
              </w:rPr>
            </w:pPr>
            <w:r w:rsidRPr="005C5AC5">
              <w:rPr>
                <w:sz w:val="18"/>
                <w:szCs w:val="18"/>
              </w:rPr>
              <w:t>0.4</w:t>
            </w:r>
          </w:p>
        </w:tc>
      </w:tr>
      <w:tr w:rsidR="00D62EE7" w:rsidRPr="006C5A80" w:rsidTr="008B5474">
        <w:tc>
          <w:tcPr>
            <w:tcW w:w="1959" w:type="pct"/>
            <w:vAlign w:val="bottom"/>
          </w:tcPr>
          <w:p w:rsidR="00D62EE7" w:rsidRPr="003166D0" w:rsidRDefault="00D62EE7" w:rsidP="008B5474">
            <w:pPr>
              <w:pStyle w:val="TableBodyText"/>
              <w:jc w:val="left"/>
              <w:rPr>
                <w:sz w:val="18"/>
                <w:szCs w:val="18"/>
              </w:rPr>
            </w:pPr>
            <w:r w:rsidRPr="003166D0">
              <w:rPr>
                <w:sz w:val="18"/>
                <w:szCs w:val="18"/>
              </w:rPr>
              <w:t>Aquaculture and fishing</w:t>
            </w:r>
          </w:p>
        </w:tc>
        <w:tc>
          <w:tcPr>
            <w:tcW w:w="507" w:type="pct"/>
            <w:vAlign w:val="bottom"/>
          </w:tcPr>
          <w:p w:rsidR="00D62EE7" w:rsidRPr="005C5AC5" w:rsidRDefault="00D62EE7" w:rsidP="008B5474">
            <w:pPr>
              <w:pStyle w:val="TableBodyText"/>
              <w:rPr>
                <w:sz w:val="18"/>
                <w:szCs w:val="18"/>
              </w:rPr>
            </w:pPr>
            <w:r w:rsidRPr="005C5AC5">
              <w:rPr>
                <w:sz w:val="18"/>
                <w:szCs w:val="18"/>
              </w:rPr>
              <w:noBreakHyphen/>
            </w:r>
          </w:p>
        </w:tc>
        <w:tc>
          <w:tcPr>
            <w:tcW w:w="507" w:type="pct"/>
            <w:vAlign w:val="bottom"/>
          </w:tcPr>
          <w:p w:rsidR="00D62EE7" w:rsidRPr="005C5AC5" w:rsidRDefault="00D62EE7" w:rsidP="008B5474">
            <w:pPr>
              <w:pStyle w:val="TableBodyText"/>
              <w:rPr>
                <w:sz w:val="18"/>
                <w:szCs w:val="18"/>
              </w:rPr>
            </w:pPr>
            <w:r w:rsidRPr="005C5AC5">
              <w:rPr>
                <w:sz w:val="18"/>
                <w:szCs w:val="18"/>
              </w:rPr>
              <w:noBreakHyphen/>
            </w:r>
          </w:p>
        </w:tc>
        <w:tc>
          <w:tcPr>
            <w:tcW w:w="507" w:type="pct"/>
            <w:vAlign w:val="bottom"/>
          </w:tcPr>
          <w:p w:rsidR="00D62EE7" w:rsidRPr="005C5AC5" w:rsidRDefault="00D62EE7" w:rsidP="008B5474">
            <w:pPr>
              <w:pStyle w:val="TableBodyText"/>
              <w:rPr>
                <w:sz w:val="18"/>
                <w:szCs w:val="18"/>
              </w:rPr>
            </w:pPr>
            <w:r w:rsidRPr="005C5AC5">
              <w:rPr>
                <w:sz w:val="18"/>
                <w:szCs w:val="18"/>
              </w:rPr>
              <w:t>&lt;0.1</w:t>
            </w:r>
          </w:p>
        </w:tc>
        <w:tc>
          <w:tcPr>
            <w:tcW w:w="507" w:type="pct"/>
            <w:vAlign w:val="bottom"/>
          </w:tcPr>
          <w:p w:rsidR="00D62EE7" w:rsidRPr="005C5AC5" w:rsidRDefault="00D62EE7" w:rsidP="008B5474">
            <w:pPr>
              <w:pStyle w:val="TableBodyText"/>
              <w:rPr>
                <w:sz w:val="18"/>
                <w:szCs w:val="18"/>
              </w:rPr>
            </w:pPr>
            <w:r w:rsidRPr="005C5AC5">
              <w:rPr>
                <w:sz w:val="18"/>
                <w:szCs w:val="18"/>
              </w:rPr>
              <w:t>&lt;0.1</w:t>
            </w:r>
          </w:p>
        </w:tc>
        <w:tc>
          <w:tcPr>
            <w:tcW w:w="507" w:type="pct"/>
            <w:shd w:val="clear" w:color="auto" w:fill="auto"/>
            <w:vAlign w:val="bottom"/>
          </w:tcPr>
          <w:p w:rsidR="00D62EE7" w:rsidRPr="005C5AC5" w:rsidRDefault="00D62EE7" w:rsidP="008B5474">
            <w:pPr>
              <w:pStyle w:val="TableBodyText"/>
              <w:rPr>
                <w:sz w:val="18"/>
                <w:szCs w:val="18"/>
              </w:rPr>
            </w:pPr>
            <w:r w:rsidRPr="005C5AC5">
              <w:rPr>
                <w:sz w:val="18"/>
                <w:szCs w:val="18"/>
              </w:rPr>
              <w:t>13.3</w:t>
            </w:r>
          </w:p>
        </w:tc>
        <w:tc>
          <w:tcPr>
            <w:tcW w:w="507" w:type="pct"/>
            <w:shd w:val="clear" w:color="auto" w:fill="auto"/>
            <w:vAlign w:val="bottom"/>
          </w:tcPr>
          <w:p w:rsidR="00D62EE7" w:rsidRPr="005C5AC5" w:rsidRDefault="00D62EE7" w:rsidP="008B5474">
            <w:pPr>
              <w:pStyle w:val="TableBodyText"/>
              <w:rPr>
                <w:sz w:val="18"/>
                <w:szCs w:val="18"/>
              </w:rPr>
            </w:pPr>
            <w:r w:rsidRPr="005C5AC5">
              <w:rPr>
                <w:sz w:val="18"/>
                <w:szCs w:val="18"/>
              </w:rPr>
              <w:t>&lt;0.1</w:t>
            </w:r>
          </w:p>
        </w:tc>
      </w:tr>
      <w:tr w:rsidR="00D62EE7" w:rsidRPr="006C5A80" w:rsidTr="008B5474">
        <w:tc>
          <w:tcPr>
            <w:tcW w:w="1959" w:type="pct"/>
            <w:vAlign w:val="bottom"/>
          </w:tcPr>
          <w:p w:rsidR="00D62EE7" w:rsidRPr="003166D0" w:rsidRDefault="00D62EE7" w:rsidP="008B5474">
            <w:pPr>
              <w:pStyle w:val="TableBodyText"/>
              <w:jc w:val="left"/>
              <w:rPr>
                <w:sz w:val="18"/>
                <w:szCs w:val="18"/>
              </w:rPr>
            </w:pPr>
            <w:r w:rsidRPr="003166D0">
              <w:rPr>
                <w:sz w:val="18"/>
                <w:szCs w:val="18"/>
              </w:rPr>
              <w:t>Forestry and logging</w:t>
            </w:r>
          </w:p>
        </w:tc>
        <w:tc>
          <w:tcPr>
            <w:tcW w:w="507" w:type="pct"/>
            <w:vAlign w:val="bottom"/>
          </w:tcPr>
          <w:p w:rsidR="00D62EE7" w:rsidRPr="005C5AC5" w:rsidRDefault="00D62EE7" w:rsidP="008B5474">
            <w:pPr>
              <w:pStyle w:val="TableBodyText"/>
              <w:rPr>
                <w:sz w:val="18"/>
                <w:szCs w:val="18"/>
              </w:rPr>
            </w:pPr>
            <w:r w:rsidRPr="005C5AC5">
              <w:rPr>
                <w:sz w:val="18"/>
                <w:szCs w:val="18"/>
              </w:rPr>
              <w:noBreakHyphen/>
            </w:r>
          </w:p>
        </w:tc>
        <w:tc>
          <w:tcPr>
            <w:tcW w:w="507" w:type="pct"/>
            <w:vAlign w:val="bottom"/>
          </w:tcPr>
          <w:p w:rsidR="00D62EE7" w:rsidRPr="005C5AC5" w:rsidRDefault="00D62EE7" w:rsidP="008B5474">
            <w:pPr>
              <w:pStyle w:val="TableBodyText"/>
              <w:rPr>
                <w:sz w:val="18"/>
                <w:szCs w:val="18"/>
              </w:rPr>
            </w:pPr>
            <w:r w:rsidRPr="005C5AC5">
              <w:rPr>
                <w:sz w:val="18"/>
                <w:szCs w:val="18"/>
              </w:rPr>
              <w:noBreakHyphen/>
            </w:r>
          </w:p>
        </w:tc>
        <w:tc>
          <w:tcPr>
            <w:tcW w:w="507" w:type="pct"/>
            <w:vAlign w:val="bottom"/>
          </w:tcPr>
          <w:p w:rsidR="00D62EE7" w:rsidRPr="005C5AC5" w:rsidRDefault="00D62EE7" w:rsidP="008B5474">
            <w:pPr>
              <w:pStyle w:val="TableBodyText"/>
              <w:rPr>
                <w:sz w:val="18"/>
                <w:szCs w:val="18"/>
              </w:rPr>
            </w:pPr>
            <w:r w:rsidRPr="005C5AC5">
              <w:rPr>
                <w:sz w:val="18"/>
                <w:szCs w:val="18"/>
              </w:rPr>
              <w:t>&lt;0.1</w:t>
            </w:r>
          </w:p>
        </w:tc>
        <w:tc>
          <w:tcPr>
            <w:tcW w:w="507" w:type="pct"/>
            <w:vAlign w:val="bottom"/>
          </w:tcPr>
          <w:p w:rsidR="00D62EE7" w:rsidRPr="005C5AC5" w:rsidRDefault="00D62EE7" w:rsidP="008B5474">
            <w:pPr>
              <w:pStyle w:val="TableBodyText"/>
              <w:rPr>
                <w:sz w:val="18"/>
                <w:szCs w:val="18"/>
              </w:rPr>
            </w:pPr>
            <w:r w:rsidRPr="005C5AC5">
              <w:rPr>
                <w:sz w:val="18"/>
                <w:szCs w:val="18"/>
              </w:rPr>
              <w:noBreakHyphen/>
            </w:r>
          </w:p>
        </w:tc>
        <w:tc>
          <w:tcPr>
            <w:tcW w:w="507" w:type="pct"/>
            <w:shd w:val="clear" w:color="auto" w:fill="auto"/>
            <w:vAlign w:val="bottom"/>
          </w:tcPr>
          <w:p w:rsidR="00D62EE7" w:rsidRPr="005C5AC5" w:rsidRDefault="00D62EE7" w:rsidP="008B5474">
            <w:pPr>
              <w:pStyle w:val="TableBodyText"/>
              <w:rPr>
                <w:sz w:val="18"/>
                <w:szCs w:val="18"/>
              </w:rPr>
            </w:pPr>
            <w:r w:rsidRPr="005C5AC5">
              <w:rPr>
                <w:sz w:val="18"/>
                <w:szCs w:val="18"/>
              </w:rPr>
              <w:noBreakHyphen/>
            </w:r>
          </w:p>
        </w:tc>
        <w:tc>
          <w:tcPr>
            <w:tcW w:w="507" w:type="pct"/>
            <w:shd w:val="clear" w:color="auto" w:fill="auto"/>
            <w:vAlign w:val="bottom"/>
          </w:tcPr>
          <w:p w:rsidR="00D62EE7" w:rsidRPr="005C5AC5" w:rsidRDefault="00D62EE7" w:rsidP="008B5474">
            <w:pPr>
              <w:pStyle w:val="TableBodyText"/>
              <w:rPr>
                <w:sz w:val="18"/>
                <w:szCs w:val="18"/>
              </w:rPr>
            </w:pPr>
            <w:r w:rsidRPr="005C5AC5">
              <w:rPr>
                <w:sz w:val="18"/>
                <w:szCs w:val="18"/>
              </w:rPr>
              <w:t>&lt;0.1</w:t>
            </w:r>
          </w:p>
        </w:tc>
      </w:tr>
      <w:tr w:rsidR="00D62EE7" w:rsidRPr="006C5A80" w:rsidTr="008B5474">
        <w:tc>
          <w:tcPr>
            <w:tcW w:w="1959" w:type="pct"/>
            <w:vAlign w:val="bottom"/>
          </w:tcPr>
          <w:p w:rsidR="00D62EE7" w:rsidRPr="003166D0" w:rsidRDefault="00D62EE7" w:rsidP="008B5474">
            <w:pPr>
              <w:pStyle w:val="TableBodyText"/>
              <w:jc w:val="left"/>
              <w:rPr>
                <w:sz w:val="18"/>
                <w:szCs w:val="18"/>
              </w:rPr>
            </w:pPr>
            <w:r w:rsidRPr="003166D0">
              <w:rPr>
                <w:sz w:val="18"/>
                <w:szCs w:val="18"/>
              </w:rPr>
              <w:t>Primary production support services</w:t>
            </w:r>
          </w:p>
        </w:tc>
        <w:tc>
          <w:tcPr>
            <w:tcW w:w="507" w:type="pct"/>
            <w:vAlign w:val="bottom"/>
          </w:tcPr>
          <w:p w:rsidR="00D62EE7" w:rsidRPr="005C5AC5" w:rsidRDefault="00D62EE7" w:rsidP="008B5474">
            <w:pPr>
              <w:pStyle w:val="TableBodyText"/>
              <w:rPr>
                <w:sz w:val="18"/>
                <w:szCs w:val="18"/>
              </w:rPr>
            </w:pPr>
            <w:r w:rsidRPr="005C5AC5">
              <w:rPr>
                <w:sz w:val="18"/>
                <w:szCs w:val="18"/>
              </w:rPr>
              <w:t>&lt;0.1</w:t>
            </w:r>
          </w:p>
        </w:tc>
        <w:tc>
          <w:tcPr>
            <w:tcW w:w="507" w:type="pct"/>
            <w:vAlign w:val="bottom"/>
          </w:tcPr>
          <w:p w:rsidR="00D62EE7" w:rsidRPr="005C5AC5" w:rsidRDefault="00D62EE7" w:rsidP="008B5474">
            <w:pPr>
              <w:pStyle w:val="TableBodyText"/>
              <w:rPr>
                <w:sz w:val="18"/>
                <w:szCs w:val="18"/>
              </w:rPr>
            </w:pPr>
            <w:r w:rsidRPr="005C5AC5">
              <w:rPr>
                <w:sz w:val="18"/>
                <w:szCs w:val="18"/>
              </w:rPr>
              <w:t>&lt;0.1</w:t>
            </w:r>
          </w:p>
        </w:tc>
        <w:tc>
          <w:tcPr>
            <w:tcW w:w="507" w:type="pct"/>
            <w:vAlign w:val="bottom"/>
          </w:tcPr>
          <w:p w:rsidR="00D62EE7" w:rsidRPr="005C5AC5" w:rsidRDefault="00D62EE7" w:rsidP="008B5474">
            <w:pPr>
              <w:pStyle w:val="TableBodyText"/>
              <w:rPr>
                <w:sz w:val="18"/>
                <w:szCs w:val="18"/>
              </w:rPr>
            </w:pPr>
            <w:r w:rsidRPr="005C5AC5">
              <w:rPr>
                <w:sz w:val="18"/>
                <w:szCs w:val="18"/>
              </w:rPr>
              <w:t>1.2</w:t>
            </w:r>
          </w:p>
        </w:tc>
        <w:tc>
          <w:tcPr>
            <w:tcW w:w="507" w:type="pct"/>
            <w:vAlign w:val="bottom"/>
          </w:tcPr>
          <w:p w:rsidR="00D62EE7" w:rsidRPr="005C5AC5" w:rsidRDefault="00D62EE7" w:rsidP="008B5474">
            <w:pPr>
              <w:pStyle w:val="TableBodyText"/>
              <w:rPr>
                <w:sz w:val="18"/>
                <w:szCs w:val="18"/>
              </w:rPr>
            </w:pPr>
            <w:r w:rsidRPr="005C5AC5">
              <w:rPr>
                <w:sz w:val="18"/>
                <w:szCs w:val="18"/>
              </w:rPr>
              <w:t>1.6</w:t>
            </w:r>
          </w:p>
        </w:tc>
        <w:tc>
          <w:tcPr>
            <w:tcW w:w="507" w:type="pct"/>
            <w:shd w:val="clear" w:color="auto" w:fill="auto"/>
            <w:vAlign w:val="bottom"/>
          </w:tcPr>
          <w:p w:rsidR="00D62EE7" w:rsidRPr="005C5AC5" w:rsidRDefault="00D62EE7" w:rsidP="008B5474">
            <w:pPr>
              <w:pStyle w:val="TableBodyText"/>
              <w:rPr>
                <w:sz w:val="18"/>
                <w:szCs w:val="18"/>
              </w:rPr>
            </w:pPr>
            <w:r w:rsidRPr="005C5AC5">
              <w:rPr>
                <w:sz w:val="18"/>
                <w:szCs w:val="18"/>
              </w:rPr>
              <w:noBreakHyphen/>
            </w:r>
          </w:p>
        </w:tc>
        <w:tc>
          <w:tcPr>
            <w:tcW w:w="507" w:type="pct"/>
            <w:shd w:val="clear" w:color="auto" w:fill="auto"/>
            <w:vAlign w:val="bottom"/>
          </w:tcPr>
          <w:p w:rsidR="00D62EE7" w:rsidRPr="005C5AC5" w:rsidRDefault="00D62EE7" w:rsidP="008B5474">
            <w:pPr>
              <w:pStyle w:val="TableBodyText"/>
              <w:rPr>
                <w:sz w:val="18"/>
                <w:szCs w:val="18"/>
              </w:rPr>
            </w:pPr>
            <w:r w:rsidRPr="005C5AC5">
              <w:rPr>
                <w:sz w:val="18"/>
                <w:szCs w:val="18"/>
              </w:rPr>
              <w:t>1.8</w:t>
            </w:r>
          </w:p>
        </w:tc>
      </w:tr>
      <w:tr w:rsidR="00D62EE7" w:rsidRPr="006C5A80" w:rsidTr="008B5474">
        <w:tc>
          <w:tcPr>
            <w:tcW w:w="1959" w:type="pct"/>
            <w:vAlign w:val="bottom"/>
          </w:tcPr>
          <w:p w:rsidR="00D62EE7" w:rsidRPr="003166D0" w:rsidRDefault="00D62EE7" w:rsidP="008B5474">
            <w:pPr>
              <w:pStyle w:val="TableBodyText"/>
              <w:jc w:val="left"/>
              <w:rPr>
                <w:sz w:val="18"/>
                <w:szCs w:val="18"/>
              </w:rPr>
            </w:pPr>
            <w:r w:rsidRPr="003166D0">
              <w:rPr>
                <w:sz w:val="18"/>
                <w:szCs w:val="18"/>
              </w:rPr>
              <w:t>Unallocated primary production</w:t>
            </w:r>
          </w:p>
        </w:tc>
        <w:tc>
          <w:tcPr>
            <w:tcW w:w="507" w:type="pct"/>
            <w:vAlign w:val="bottom"/>
          </w:tcPr>
          <w:p w:rsidR="00D62EE7" w:rsidRPr="005C5AC5" w:rsidRDefault="00D62EE7" w:rsidP="008B5474">
            <w:pPr>
              <w:pStyle w:val="TableBodyText"/>
              <w:rPr>
                <w:sz w:val="18"/>
                <w:szCs w:val="18"/>
              </w:rPr>
            </w:pPr>
            <w:r w:rsidRPr="005C5AC5">
              <w:rPr>
                <w:sz w:val="18"/>
                <w:szCs w:val="18"/>
              </w:rPr>
              <w:t>&lt;0.1</w:t>
            </w:r>
          </w:p>
        </w:tc>
        <w:tc>
          <w:tcPr>
            <w:tcW w:w="507" w:type="pct"/>
            <w:vAlign w:val="bottom"/>
          </w:tcPr>
          <w:p w:rsidR="00D62EE7" w:rsidRPr="005C5AC5" w:rsidRDefault="00D62EE7" w:rsidP="008B5474">
            <w:pPr>
              <w:pStyle w:val="TableBodyText"/>
              <w:rPr>
                <w:sz w:val="18"/>
                <w:szCs w:val="18"/>
              </w:rPr>
            </w:pPr>
            <w:r w:rsidRPr="005C5AC5">
              <w:rPr>
                <w:sz w:val="18"/>
                <w:szCs w:val="18"/>
              </w:rPr>
              <w:t>&lt;0.1</w:t>
            </w:r>
          </w:p>
        </w:tc>
        <w:tc>
          <w:tcPr>
            <w:tcW w:w="507" w:type="pct"/>
            <w:vAlign w:val="bottom"/>
          </w:tcPr>
          <w:p w:rsidR="00D62EE7" w:rsidRPr="005C5AC5" w:rsidRDefault="00D62EE7" w:rsidP="008B5474">
            <w:pPr>
              <w:pStyle w:val="TableBodyText"/>
              <w:rPr>
                <w:sz w:val="18"/>
                <w:szCs w:val="18"/>
              </w:rPr>
            </w:pPr>
            <w:r w:rsidRPr="005C5AC5">
              <w:rPr>
                <w:sz w:val="18"/>
                <w:szCs w:val="18"/>
              </w:rPr>
              <w:t>3.9</w:t>
            </w:r>
          </w:p>
        </w:tc>
        <w:tc>
          <w:tcPr>
            <w:tcW w:w="507" w:type="pct"/>
            <w:vAlign w:val="bottom"/>
          </w:tcPr>
          <w:p w:rsidR="00D62EE7" w:rsidRPr="005C5AC5" w:rsidRDefault="00D62EE7" w:rsidP="008B5474">
            <w:pPr>
              <w:pStyle w:val="TableBodyText"/>
              <w:rPr>
                <w:sz w:val="18"/>
                <w:szCs w:val="18"/>
              </w:rPr>
            </w:pPr>
            <w:r w:rsidRPr="005C5AC5">
              <w:rPr>
                <w:sz w:val="18"/>
                <w:szCs w:val="18"/>
              </w:rPr>
              <w:noBreakHyphen/>
            </w:r>
          </w:p>
        </w:tc>
        <w:tc>
          <w:tcPr>
            <w:tcW w:w="507" w:type="pct"/>
            <w:shd w:val="clear" w:color="auto" w:fill="auto"/>
            <w:vAlign w:val="bottom"/>
          </w:tcPr>
          <w:p w:rsidR="00D62EE7" w:rsidRPr="005C5AC5" w:rsidRDefault="00D62EE7" w:rsidP="008B5474">
            <w:pPr>
              <w:pStyle w:val="TableBodyText"/>
              <w:rPr>
                <w:sz w:val="18"/>
                <w:szCs w:val="18"/>
              </w:rPr>
            </w:pPr>
            <w:r w:rsidRPr="005C5AC5">
              <w:rPr>
                <w:sz w:val="18"/>
                <w:szCs w:val="18"/>
              </w:rPr>
              <w:noBreakHyphen/>
            </w:r>
          </w:p>
        </w:tc>
        <w:tc>
          <w:tcPr>
            <w:tcW w:w="507" w:type="pct"/>
            <w:shd w:val="clear" w:color="auto" w:fill="auto"/>
            <w:vAlign w:val="bottom"/>
          </w:tcPr>
          <w:p w:rsidR="00D62EE7" w:rsidRPr="005C5AC5" w:rsidRDefault="00D62EE7" w:rsidP="008B5474">
            <w:pPr>
              <w:pStyle w:val="TableBodyText"/>
              <w:rPr>
                <w:sz w:val="18"/>
                <w:szCs w:val="18"/>
              </w:rPr>
            </w:pPr>
            <w:r w:rsidRPr="005C5AC5">
              <w:rPr>
                <w:sz w:val="18"/>
                <w:szCs w:val="18"/>
              </w:rPr>
              <w:t>&lt;0.1</w:t>
            </w:r>
          </w:p>
        </w:tc>
      </w:tr>
      <w:tr w:rsidR="00D62EE7" w:rsidRPr="006C5A80" w:rsidTr="008B5474">
        <w:tc>
          <w:tcPr>
            <w:tcW w:w="1959" w:type="pct"/>
            <w:vAlign w:val="bottom"/>
          </w:tcPr>
          <w:p w:rsidR="00D62EE7" w:rsidRPr="003166D0" w:rsidRDefault="00D62EE7" w:rsidP="008B5474">
            <w:pPr>
              <w:pStyle w:val="TableBodyText"/>
              <w:jc w:val="left"/>
              <w:rPr>
                <w:b/>
                <w:sz w:val="18"/>
                <w:szCs w:val="18"/>
              </w:rPr>
            </w:pPr>
            <w:r w:rsidRPr="003166D0">
              <w:rPr>
                <w:b/>
                <w:sz w:val="18"/>
                <w:szCs w:val="18"/>
              </w:rPr>
              <w:t>Manufacturing</w:t>
            </w:r>
          </w:p>
        </w:tc>
        <w:tc>
          <w:tcPr>
            <w:tcW w:w="507" w:type="pct"/>
            <w:vAlign w:val="bottom"/>
          </w:tcPr>
          <w:p w:rsidR="00D62EE7" w:rsidRPr="005C5AC5" w:rsidRDefault="00D62EE7" w:rsidP="008B5474">
            <w:pPr>
              <w:pStyle w:val="TableBodyText"/>
              <w:rPr>
                <w:b/>
                <w:sz w:val="18"/>
                <w:szCs w:val="18"/>
              </w:rPr>
            </w:pPr>
            <w:r w:rsidRPr="005C5AC5">
              <w:rPr>
                <w:b/>
                <w:sz w:val="18"/>
                <w:szCs w:val="18"/>
              </w:rPr>
              <w:noBreakHyphen/>
            </w:r>
          </w:p>
        </w:tc>
        <w:tc>
          <w:tcPr>
            <w:tcW w:w="507" w:type="pct"/>
            <w:vAlign w:val="bottom"/>
          </w:tcPr>
          <w:p w:rsidR="00D62EE7" w:rsidRPr="005C5AC5" w:rsidRDefault="00D62EE7" w:rsidP="008B5474">
            <w:pPr>
              <w:pStyle w:val="TableBodyText"/>
              <w:rPr>
                <w:b/>
                <w:sz w:val="18"/>
                <w:szCs w:val="18"/>
              </w:rPr>
            </w:pPr>
            <w:r w:rsidRPr="005C5AC5">
              <w:rPr>
                <w:b/>
                <w:sz w:val="18"/>
                <w:szCs w:val="18"/>
              </w:rPr>
              <w:noBreakHyphen/>
            </w:r>
          </w:p>
        </w:tc>
        <w:tc>
          <w:tcPr>
            <w:tcW w:w="507" w:type="pct"/>
            <w:vAlign w:val="bottom"/>
          </w:tcPr>
          <w:p w:rsidR="00D62EE7" w:rsidRPr="005C5AC5" w:rsidRDefault="00D62EE7" w:rsidP="008B5474">
            <w:pPr>
              <w:pStyle w:val="TableBodyText"/>
              <w:rPr>
                <w:b/>
                <w:sz w:val="18"/>
                <w:szCs w:val="18"/>
              </w:rPr>
            </w:pPr>
            <w:r w:rsidRPr="005C5AC5">
              <w:rPr>
                <w:b/>
                <w:sz w:val="18"/>
                <w:szCs w:val="18"/>
              </w:rPr>
              <w:noBreakHyphen/>
            </w:r>
          </w:p>
        </w:tc>
        <w:tc>
          <w:tcPr>
            <w:tcW w:w="507" w:type="pct"/>
            <w:vAlign w:val="bottom"/>
          </w:tcPr>
          <w:p w:rsidR="00D62EE7" w:rsidRPr="005C5AC5" w:rsidRDefault="00D62EE7" w:rsidP="008B5474">
            <w:pPr>
              <w:pStyle w:val="TableBodyText"/>
              <w:rPr>
                <w:b/>
                <w:sz w:val="18"/>
                <w:szCs w:val="18"/>
              </w:rPr>
            </w:pPr>
            <w:r w:rsidRPr="005C5AC5">
              <w:rPr>
                <w:b/>
                <w:sz w:val="18"/>
                <w:szCs w:val="18"/>
              </w:rPr>
              <w:noBreakHyphen/>
            </w:r>
          </w:p>
        </w:tc>
        <w:tc>
          <w:tcPr>
            <w:tcW w:w="507" w:type="pct"/>
            <w:shd w:val="clear" w:color="auto" w:fill="auto"/>
            <w:vAlign w:val="bottom"/>
          </w:tcPr>
          <w:p w:rsidR="00D62EE7" w:rsidRPr="005C5AC5" w:rsidRDefault="00D62EE7" w:rsidP="008B5474">
            <w:pPr>
              <w:pStyle w:val="TableBodyText"/>
              <w:rPr>
                <w:b/>
                <w:sz w:val="18"/>
                <w:szCs w:val="18"/>
              </w:rPr>
            </w:pPr>
            <w:r w:rsidRPr="005C5AC5">
              <w:rPr>
                <w:b/>
                <w:sz w:val="18"/>
                <w:szCs w:val="18"/>
              </w:rPr>
              <w:t>&lt;0.1</w:t>
            </w:r>
          </w:p>
        </w:tc>
        <w:tc>
          <w:tcPr>
            <w:tcW w:w="507" w:type="pct"/>
            <w:shd w:val="clear" w:color="auto" w:fill="auto"/>
            <w:vAlign w:val="bottom"/>
          </w:tcPr>
          <w:p w:rsidR="00D62EE7" w:rsidRPr="005C5AC5" w:rsidRDefault="00D62EE7" w:rsidP="008B5474">
            <w:pPr>
              <w:pStyle w:val="TableBodyText"/>
              <w:rPr>
                <w:b/>
                <w:sz w:val="18"/>
                <w:szCs w:val="18"/>
              </w:rPr>
            </w:pPr>
            <w:r w:rsidRPr="005C5AC5">
              <w:rPr>
                <w:b/>
                <w:sz w:val="18"/>
                <w:szCs w:val="18"/>
              </w:rPr>
              <w:noBreakHyphen/>
            </w:r>
          </w:p>
        </w:tc>
      </w:tr>
      <w:tr w:rsidR="00D62EE7" w:rsidRPr="006C5A80" w:rsidTr="008B5474">
        <w:tc>
          <w:tcPr>
            <w:tcW w:w="1959" w:type="pct"/>
            <w:vAlign w:val="bottom"/>
          </w:tcPr>
          <w:p w:rsidR="00D62EE7" w:rsidRPr="003166D0" w:rsidRDefault="00D62EE7" w:rsidP="008B5474">
            <w:pPr>
              <w:pStyle w:val="TableBodyText"/>
              <w:jc w:val="left"/>
              <w:rPr>
                <w:sz w:val="18"/>
                <w:szCs w:val="18"/>
              </w:rPr>
            </w:pPr>
            <w:r w:rsidRPr="003166D0">
              <w:rPr>
                <w:sz w:val="18"/>
                <w:szCs w:val="18"/>
              </w:rPr>
              <w:t>Machinery and equipment manufacturing</w:t>
            </w:r>
          </w:p>
        </w:tc>
        <w:tc>
          <w:tcPr>
            <w:tcW w:w="507" w:type="pct"/>
            <w:vAlign w:val="bottom"/>
          </w:tcPr>
          <w:p w:rsidR="00D62EE7" w:rsidRPr="005C5AC5" w:rsidRDefault="00D62EE7" w:rsidP="008B5474">
            <w:pPr>
              <w:pStyle w:val="TableBodyText"/>
              <w:rPr>
                <w:sz w:val="18"/>
                <w:szCs w:val="18"/>
              </w:rPr>
            </w:pPr>
            <w:r w:rsidRPr="005C5AC5">
              <w:rPr>
                <w:sz w:val="18"/>
                <w:szCs w:val="18"/>
              </w:rPr>
              <w:noBreakHyphen/>
            </w:r>
          </w:p>
        </w:tc>
        <w:tc>
          <w:tcPr>
            <w:tcW w:w="507" w:type="pct"/>
            <w:vAlign w:val="bottom"/>
          </w:tcPr>
          <w:p w:rsidR="00D62EE7" w:rsidRPr="005C5AC5" w:rsidRDefault="00D62EE7" w:rsidP="008B5474">
            <w:pPr>
              <w:pStyle w:val="TableBodyText"/>
              <w:rPr>
                <w:sz w:val="18"/>
                <w:szCs w:val="18"/>
              </w:rPr>
            </w:pPr>
            <w:r w:rsidRPr="005C5AC5">
              <w:rPr>
                <w:sz w:val="18"/>
                <w:szCs w:val="18"/>
              </w:rPr>
              <w:noBreakHyphen/>
            </w:r>
          </w:p>
        </w:tc>
        <w:tc>
          <w:tcPr>
            <w:tcW w:w="507" w:type="pct"/>
            <w:vAlign w:val="bottom"/>
          </w:tcPr>
          <w:p w:rsidR="00D62EE7" w:rsidRPr="005C5AC5" w:rsidRDefault="00D62EE7" w:rsidP="008B5474">
            <w:pPr>
              <w:pStyle w:val="TableBodyText"/>
              <w:rPr>
                <w:sz w:val="18"/>
                <w:szCs w:val="18"/>
              </w:rPr>
            </w:pPr>
            <w:r w:rsidRPr="005C5AC5">
              <w:rPr>
                <w:sz w:val="18"/>
                <w:szCs w:val="18"/>
              </w:rPr>
              <w:noBreakHyphen/>
            </w:r>
          </w:p>
        </w:tc>
        <w:tc>
          <w:tcPr>
            <w:tcW w:w="507" w:type="pct"/>
            <w:vAlign w:val="bottom"/>
          </w:tcPr>
          <w:p w:rsidR="00D62EE7" w:rsidRPr="005C5AC5" w:rsidRDefault="00D62EE7" w:rsidP="008B5474">
            <w:pPr>
              <w:pStyle w:val="TableBodyText"/>
              <w:rPr>
                <w:sz w:val="18"/>
                <w:szCs w:val="18"/>
              </w:rPr>
            </w:pPr>
            <w:r w:rsidRPr="005C5AC5">
              <w:rPr>
                <w:sz w:val="18"/>
                <w:szCs w:val="18"/>
              </w:rPr>
              <w:noBreakHyphen/>
            </w:r>
          </w:p>
        </w:tc>
        <w:tc>
          <w:tcPr>
            <w:tcW w:w="507" w:type="pct"/>
            <w:shd w:val="clear" w:color="auto" w:fill="auto"/>
            <w:vAlign w:val="bottom"/>
          </w:tcPr>
          <w:p w:rsidR="00D62EE7" w:rsidRPr="005C5AC5" w:rsidRDefault="00D62EE7" w:rsidP="008B5474">
            <w:pPr>
              <w:pStyle w:val="TableBodyText"/>
              <w:rPr>
                <w:sz w:val="18"/>
                <w:szCs w:val="18"/>
              </w:rPr>
            </w:pPr>
            <w:r w:rsidRPr="005C5AC5">
              <w:rPr>
                <w:sz w:val="18"/>
                <w:szCs w:val="18"/>
              </w:rPr>
              <w:t>&lt;0.1</w:t>
            </w:r>
          </w:p>
        </w:tc>
        <w:tc>
          <w:tcPr>
            <w:tcW w:w="507" w:type="pct"/>
            <w:shd w:val="clear" w:color="auto" w:fill="auto"/>
            <w:vAlign w:val="bottom"/>
          </w:tcPr>
          <w:p w:rsidR="00D62EE7" w:rsidRPr="005C5AC5" w:rsidRDefault="00D62EE7" w:rsidP="008B5474">
            <w:pPr>
              <w:pStyle w:val="TableBodyText"/>
              <w:rPr>
                <w:sz w:val="18"/>
                <w:szCs w:val="18"/>
              </w:rPr>
            </w:pPr>
            <w:r w:rsidRPr="005C5AC5">
              <w:rPr>
                <w:sz w:val="18"/>
                <w:szCs w:val="18"/>
              </w:rPr>
              <w:noBreakHyphen/>
            </w:r>
          </w:p>
        </w:tc>
      </w:tr>
      <w:tr w:rsidR="00D62EE7" w:rsidRPr="006C5A80" w:rsidTr="008B5474">
        <w:tc>
          <w:tcPr>
            <w:tcW w:w="1959" w:type="pct"/>
            <w:vAlign w:val="bottom"/>
          </w:tcPr>
          <w:p w:rsidR="00D62EE7" w:rsidRPr="003166D0" w:rsidRDefault="00D62EE7" w:rsidP="008B5474">
            <w:pPr>
              <w:pStyle w:val="TableBodyText"/>
              <w:jc w:val="left"/>
              <w:rPr>
                <w:b/>
                <w:sz w:val="18"/>
                <w:szCs w:val="18"/>
              </w:rPr>
            </w:pPr>
            <w:r w:rsidRPr="003166D0">
              <w:rPr>
                <w:b/>
                <w:sz w:val="18"/>
                <w:szCs w:val="18"/>
              </w:rPr>
              <w:t>Services</w:t>
            </w:r>
          </w:p>
        </w:tc>
        <w:tc>
          <w:tcPr>
            <w:tcW w:w="507" w:type="pct"/>
            <w:vAlign w:val="bottom"/>
          </w:tcPr>
          <w:p w:rsidR="00D62EE7" w:rsidRPr="005C5AC5" w:rsidRDefault="00D62EE7" w:rsidP="008B5474">
            <w:pPr>
              <w:pStyle w:val="TableBodyText"/>
              <w:rPr>
                <w:b/>
                <w:sz w:val="18"/>
                <w:szCs w:val="18"/>
              </w:rPr>
            </w:pPr>
            <w:r w:rsidRPr="005C5AC5">
              <w:rPr>
                <w:b/>
                <w:sz w:val="18"/>
                <w:szCs w:val="18"/>
              </w:rPr>
              <w:noBreakHyphen/>
            </w:r>
          </w:p>
        </w:tc>
        <w:tc>
          <w:tcPr>
            <w:tcW w:w="507" w:type="pct"/>
            <w:vAlign w:val="bottom"/>
          </w:tcPr>
          <w:p w:rsidR="00D62EE7" w:rsidRPr="005C5AC5" w:rsidRDefault="00D62EE7" w:rsidP="008B5474">
            <w:pPr>
              <w:pStyle w:val="TableBodyText"/>
              <w:rPr>
                <w:b/>
                <w:sz w:val="18"/>
                <w:szCs w:val="18"/>
              </w:rPr>
            </w:pPr>
            <w:r w:rsidRPr="005C5AC5">
              <w:rPr>
                <w:b/>
                <w:sz w:val="18"/>
                <w:szCs w:val="18"/>
              </w:rPr>
              <w:noBreakHyphen/>
            </w:r>
          </w:p>
        </w:tc>
        <w:tc>
          <w:tcPr>
            <w:tcW w:w="507" w:type="pct"/>
            <w:vAlign w:val="bottom"/>
          </w:tcPr>
          <w:p w:rsidR="00D62EE7" w:rsidRPr="005C5AC5" w:rsidRDefault="00D62EE7" w:rsidP="008B5474">
            <w:pPr>
              <w:pStyle w:val="TableBodyText"/>
              <w:rPr>
                <w:b/>
                <w:sz w:val="18"/>
                <w:szCs w:val="18"/>
              </w:rPr>
            </w:pPr>
            <w:r w:rsidRPr="005C5AC5">
              <w:rPr>
                <w:b/>
                <w:sz w:val="18"/>
                <w:szCs w:val="18"/>
              </w:rPr>
              <w:noBreakHyphen/>
            </w:r>
          </w:p>
        </w:tc>
        <w:tc>
          <w:tcPr>
            <w:tcW w:w="507" w:type="pct"/>
            <w:vAlign w:val="bottom"/>
          </w:tcPr>
          <w:p w:rsidR="00D62EE7" w:rsidRPr="005C5AC5" w:rsidRDefault="00D62EE7" w:rsidP="008B5474">
            <w:pPr>
              <w:pStyle w:val="TableBodyText"/>
              <w:rPr>
                <w:b/>
                <w:sz w:val="18"/>
                <w:szCs w:val="18"/>
              </w:rPr>
            </w:pPr>
            <w:r w:rsidRPr="005C5AC5">
              <w:rPr>
                <w:b/>
                <w:sz w:val="18"/>
                <w:szCs w:val="18"/>
              </w:rPr>
              <w:noBreakHyphen/>
            </w:r>
          </w:p>
        </w:tc>
        <w:tc>
          <w:tcPr>
            <w:tcW w:w="507" w:type="pct"/>
            <w:shd w:val="clear" w:color="auto" w:fill="auto"/>
            <w:vAlign w:val="bottom"/>
          </w:tcPr>
          <w:p w:rsidR="00D62EE7" w:rsidRPr="005C5AC5" w:rsidRDefault="00D62EE7" w:rsidP="008B5474">
            <w:pPr>
              <w:pStyle w:val="TableBodyText"/>
              <w:rPr>
                <w:b/>
                <w:sz w:val="18"/>
                <w:szCs w:val="18"/>
              </w:rPr>
            </w:pPr>
            <w:r w:rsidRPr="005C5AC5">
              <w:rPr>
                <w:b/>
                <w:sz w:val="18"/>
                <w:szCs w:val="18"/>
              </w:rPr>
              <w:t>0.5</w:t>
            </w:r>
          </w:p>
        </w:tc>
        <w:tc>
          <w:tcPr>
            <w:tcW w:w="507" w:type="pct"/>
            <w:shd w:val="clear" w:color="auto" w:fill="auto"/>
            <w:vAlign w:val="bottom"/>
          </w:tcPr>
          <w:p w:rsidR="00D62EE7" w:rsidRPr="005C5AC5" w:rsidRDefault="00D62EE7" w:rsidP="008B5474">
            <w:pPr>
              <w:pStyle w:val="TableBodyText"/>
              <w:rPr>
                <w:b/>
                <w:sz w:val="18"/>
                <w:szCs w:val="18"/>
              </w:rPr>
            </w:pPr>
            <w:r w:rsidRPr="005C5AC5">
              <w:rPr>
                <w:b/>
                <w:sz w:val="18"/>
                <w:szCs w:val="18"/>
              </w:rPr>
              <w:t>0.3</w:t>
            </w:r>
          </w:p>
        </w:tc>
      </w:tr>
      <w:tr w:rsidR="00D62EE7" w:rsidRPr="006C5A80" w:rsidTr="008B5474">
        <w:tc>
          <w:tcPr>
            <w:tcW w:w="1959" w:type="pct"/>
            <w:vAlign w:val="bottom"/>
          </w:tcPr>
          <w:p w:rsidR="00D62EE7" w:rsidRPr="003166D0" w:rsidRDefault="00D62EE7" w:rsidP="008B5474">
            <w:pPr>
              <w:pStyle w:val="TableBodyText"/>
              <w:jc w:val="left"/>
              <w:rPr>
                <w:sz w:val="18"/>
                <w:szCs w:val="18"/>
              </w:rPr>
            </w:pPr>
            <w:r w:rsidRPr="003166D0">
              <w:rPr>
                <w:sz w:val="18"/>
                <w:szCs w:val="18"/>
              </w:rPr>
              <w:t>Wholesale trade</w:t>
            </w:r>
          </w:p>
        </w:tc>
        <w:tc>
          <w:tcPr>
            <w:tcW w:w="507" w:type="pct"/>
            <w:vAlign w:val="bottom"/>
          </w:tcPr>
          <w:p w:rsidR="00D62EE7" w:rsidRPr="005C5AC5" w:rsidRDefault="00D62EE7" w:rsidP="008B5474">
            <w:pPr>
              <w:pStyle w:val="TableBodyText"/>
              <w:rPr>
                <w:sz w:val="18"/>
                <w:szCs w:val="18"/>
              </w:rPr>
            </w:pPr>
            <w:r w:rsidRPr="005C5AC5">
              <w:rPr>
                <w:sz w:val="18"/>
                <w:szCs w:val="18"/>
              </w:rPr>
              <w:noBreakHyphen/>
            </w:r>
          </w:p>
        </w:tc>
        <w:tc>
          <w:tcPr>
            <w:tcW w:w="507" w:type="pct"/>
            <w:vAlign w:val="bottom"/>
          </w:tcPr>
          <w:p w:rsidR="00D62EE7" w:rsidRPr="005C5AC5" w:rsidRDefault="00D62EE7" w:rsidP="008B5474">
            <w:pPr>
              <w:pStyle w:val="TableBodyText"/>
              <w:rPr>
                <w:sz w:val="18"/>
                <w:szCs w:val="18"/>
              </w:rPr>
            </w:pPr>
            <w:r w:rsidRPr="005C5AC5">
              <w:rPr>
                <w:sz w:val="18"/>
                <w:szCs w:val="18"/>
              </w:rPr>
              <w:noBreakHyphen/>
            </w:r>
          </w:p>
        </w:tc>
        <w:tc>
          <w:tcPr>
            <w:tcW w:w="507" w:type="pct"/>
            <w:vAlign w:val="bottom"/>
          </w:tcPr>
          <w:p w:rsidR="00D62EE7" w:rsidRPr="005C5AC5" w:rsidRDefault="00D62EE7" w:rsidP="008B5474">
            <w:pPr>
              <w:pStyle w:val="TableBodyText"/>
              <w:rPr>
                <w:sz w:val="18"/>
                <w:szCs w:val="18"/>
              </w:rPr>
            </w:pPr>
            <w:r w:rsidRPr="005C5AC5">
              <w:rPr>
                <w:sz w:val="18"/>
                <w:szCs w:val="18"/>
              </w:rPr>
              <w:noBreakHyphen/>
            </w:r>
          </w:p>
        </w:tc>
        <w:tc>
          <w:tcPr>
            <w:tcW w:w="507" w:type="pct"/>
            <w:vAlign w:val="bottom"/>
          </w:tcPr>
          <w:p w:rsidR="00D62EE7" w:rsidRPr="005C5AC5" w:rsidRDefault="00D62EE7" w:rsidP="008B5474">
            <w:pPr>
              <w:pStyle w:val="TableBodyText"/>
              <w:rPr>
                <w:sz w:val="18"/>
                <w:szCs w:val="18"/>
              </w:rPr>
            </w:pPr>
            <w:r w:rsidRPr="005C5AC5">
              <w:rPr>
                <w:sz w:val="18"/>
                <w:szCs w:val="18"/>
              </w:rPr>
              <w:noBreakHyphen/>
            </w:r>
          </w:p>
        </w:tc>
        <w:tc>
          <w:tcPr>
            <w:tcW w:w="507" w:type="pct"/>
            <w:shd w:val="clear" w:color="auto" w:fill="auto"/>
            <w:vAlign w:val="bottom"/>
          </w:tcPr>
          <w:p w:rsidR="00D62EE7" w:rsidRPr="005C5AC5" w:rsidRDefault="00D62EE7" w:rsidP="008B5474">
            <w:pPr>
              <w:pStyle w:val="TableBodyText"/>
              <w:rPr>
                <w:sz w:val="18"/>
                <w:szCs w:val="18"/>
              </w:rPr>
            </w:pPr>
            <w:r w:rsidRPr="005C5AC5">
              <w:rPr>
                <w:sz w:val="18"/>
                <w:szCs w:val="18"/>
              </w:rPr>
              <w:t>&lt;0.1</w:t>
            </w:r>
          </w:p>
        </w:tc>
        <w:tc>
          <w:tcPr>
            <w:tcW w:w="507" w:type="pct"/>
            <w:shd w:val="clear" w:color="auto" w:fill="auto"/>
            <w:vAlign w:val="bottom"/>
          </w:tcPr>
          <w:p w:rsidR="00D62EE7" w:rsidRPr="005C5AC5" w:rsidRDefault="00D62EE7" w:rsidP="008B5474">
            <w:pPr>
              <w:pStyle w:val="TableBodyText"/>
              <w:rPr>
                <w:sz w:val="18"/>
                <w:szCs w:val="18"/>
              </w:rPr>
            </w:pPr>
            <w:r w:rsidRPr="005C5AC5">
              <w:rPr>
                <w:sz w:val="18"/>
                <w:szCs w:val="18"/>
              </w:rPr>
              <w:noBreakHyphen/>
            </w:r>
          </w:p>
        </w:tc>
      </w:tr>
      <w:tr w:rsidR="00D62EE7" w:rsidRPr="006C5A80" w:rsidTr="008B5474">
        <w:tc>
          <w:tcPr>
            <w:tcW w:w="1959" w:type="pct"/>
            <w:vAlign w:val="bottom"/>
          </w:tcPr>
          <w:p w:rsidR="00D62EE7" w:rsidRPr="003166D0" w:rsidRDefault="00D62EE7" w:rsidP="008B5474">
            <w:pPr>
              <w:pStyle w:val="TableBodyText"/>
              <w:jc w:val="left"/>
              <w:rPr>
                <w:sz w:val="18"/>
                <w:szCs w:val="18"/>
              </w:rPr>
            </w:pPr>
            <w:r w:rsidRPr="003166D0">
              <w:rPr>
                <w:sz w:val="18"/>
                <w:szCs w:val="18"/>
              </w:rPr>
              <w:t>Retail trade</w:t>
            </w:r>
          </w:p>
        </w:tc>
        <w:tc>
          <w:tcPr>
            <w:tcW w:w="507" w:type="pct"/>
            <w:vAlign w:val="bottom"/>
          </w:tcPr>
          <w:p w:rsidR="00D62EE7" w:rsidRPr="005C5AC5" w:rsidRDefault="00D62EE7" w:rsidP="008B5474">
            <w:pPr>
              <w:pStyle w:val="TableBodyText"/>
              <w:rPr>
                <w:sz w:val="18"/>
                <w:szCs w:val="18"/>
              </w:rPr>
            </w:pPr>
            <w:r w:rsidRPr="005C5AC5">
              <w:rPr>
                <w:sz w:val="18"/>
                <w:szCs w:val="18"/>
              </w:rPr>
              <w:noBreakHyphen/>
            </w:r>
          </w:p>
        </w:tc>
        <w:tc>
          <w:tcPr>
            <w:tcW w:w="507" w:type="pct"/>
            <w:vAlign w:val="bottom"/>
          </w:tcPr>
          <w:p w:rsidR="00D62EE7" w:rsidRPr="005C5AC5" w:rsidRDefault="00D62EE7" w:rsidP="008B5474">
            <w:pPr>
              <w:pStyle w:val="TableBodyText"/>
              <w:rPr>
                <w:sz w:val="18"/>
                <w:szCs w:val="18"/>
              </w:rPr>
            </w:pPr>
            <w:r w:rsidRPr="005C5AC5">
              <w:rPr>
                <w:sz w:val="18"/>
                <w:szCs w:val="18"/>
              </w:rPr>
              <w:noBreakHyphen/>
            </w:r>
          </w:p>
        </w:tc>
        <w:tc>
          <w:tcPr>
            <w:tcW w:w="507" w:type="pct"/>
            <w:vAlign w:val="bottom"/>
          </w:tcPr>
          <w:p w:rsidR="00D62EE7" w:rsidRPr="005C5AC5" w:rsidRDefault="00D62EE7" w:rsidP="008B5474">
            <w:pPr>
              <w:pStyle w:val="TableBodyText"/>
              <w:rPr>
                <w:sz w:val="18"/>
                <w:szCs w:val="18"/>
              </w:rPr>
            </w:pPr>
            <w:r w:rsidRPr="005C5AC5">
              <w:rPr>
                <w:sz w:val="18"/>
                <w:szCs w:val="18"/>
              </w:rPr>
              <w:noBreakHyphen/>
            </w:r>
          </w:p>
        </w:tc>
        <w:tc>
          <w:tcPr>
            <w:tcW w:w="507" w:type="pct"/>
            <w:vAlign w:val="bottom"/>
          </w:tcPr>
          <w:p w:rsidR="00D62EE7" w:rsidRPr="005C5AC5" w:rsidRDefault="00D62EE7" w:rsidP="008B5474">
            <w:pPr>
              <w:pStyle w:val="TableBodyText"/>
              <w:rPr>
                <w:sz w:val="18"/>
                <w:szCs w:val="18"/>
              </w:rPr>
            </w:pPr>
            <w:r w:rsidRPr="005C5AC5">
              <w:rPr>
                <w:sz w:val="18"/>
                <w:szCs w:val="18"/>
              </w:rPr>
              <w:noBreakHyphen/>
            </w:r>
          </w:p>
        </w:tc>
        <w:tc>
          <w:tcPr>
            <w:tcW w:w="507" w:type="pct"/>
            <w:shd w:val="clear" w:color="auto" w:fill="auto"/>
            <w:vAlign w:val="bottom"/>
          </w:tcPr>
          <w:p w:rsidR="00D62EE7" w:rsidRPr="005C5AC5" w:rsidRDefault="00D62EE7" w:rsidP="008B5474">
            <w:pPr>
              <w:pStyle w:val="TableBodyText"/>
              <w:rPr>
                <w:sz w:val="18"/>
                <w:szCs w:val="18"/>
              </w:rPr>
            </w:pPr>
            <w:r w:rsidRPr="005C5AC5">
              <w:rPr>
                <w:sz w:val="18"/>
                <w:szCs w:val="18"/>
              </w:rPr>
              <w:t>&lt;0.1</w:t>
            </w:r>
          </w:p>
        </w:tc>
        <w:tc>
          <w:tcPr>
            <w:tcW w:w="507" w:type="pct"/>
            <w:shd w:val="clear" w:color="auto" w:fill="auto"/>
            <w:vAlign w:val="bottom"/>
          </w:tcPr>
          <w:p w:rsidR="00D62EE7" w:rsidRPr="005C5AC5" w:rsidRDefault="00D62EE7" w:rsidP="008B5474">
            <w:pPr>
              <w:pStyle w:val="TableBodyText"/>
              <w:rPr>
                <w:sz w:val="18"/>
                <w:szCs w:val="18"/>
              </w:rPr>
            </w:pPr>
            <w:r w:rsidRPr="005C5AC5">
              <w:rPr>
                <w:sz w:val="18"/>
                <w:szCs w:val="18"/>
              </w:rPr>
              <w:noBreakHyphen/>
            </w:r>
          </w:p>
        </w:tc>
      </w:tr>
      <w:tr w:rsidR="00D62EE7" w:rsidRPr="006C5A80" w:rsidTr="008B5474">
        <w:tc>
          <w:tcPr>
            <w:tcW w:w="1959" w:type="pct"/>
            <w:vAlign w:val="bottom"/>
          </w:tcPr>
          <w:p w:rsidR="00D62EE7" w:rsidRPr="003166D0" w:rsidRDefault="00D62EE7" w:rsidP="008B5474">
            <w:pPr>
              <w:pStyle w:val="TableBodyText"/>
              <w:jc w:val="left"/>
              <w:rPr>
                <w:sz w:val="18"/>
                <w:szCs w:val="18"/>
              </w:rPr>
            </w:pPr>
            <w:r w:rsidRPr="003166D0">
              <w:rPr>
                <w:sz w:val="18"/>
                <w:szCs w:val="18"/>
              </w:rPr>
              <w:t>Transport, postal and warehousing</w:t>
            </w:r>
          </w:p>
        </w:tc>
        <w:tc>
          <w:tcPr>
            <w:tcW w:w="507" w:type="pct"/>
            <w:vAlign w:val="bottom"/>
          </w:tcPr>
          <w:p w:rsidR="00D62EE7" w:rsidRPr="005C5AC5" w:rsidRDefault="00D62EE7" w:rsidP="008B5474">
            <w:pPr>
              <w:pStyle w:val="TableBodyText"/>
              <w:rPr>
                <w:sz w:val="18"/>
                <w:szCs w:val="18"/>
              </w:rPr>
            </w:pPr>
            <w:r w:rsidRPr="005C5AC5">
              <w:rPr>
                <w:sz w:val="18"/>
                <w:szCs w:val="18"/>
              </w:rPr>
              <w:noBreakHyphen/>
            </w:r>
          </w:p>
        </w:tc>
        <w:tc>
          <w:tcPr>
            <w:tcW w:w="507" w:type="pct"/>
            <w:vAlign w:val="bottom"/>
          </w:tcPr>
          <w:p w:rsidR="00D62EE7" w:rsidRPr="005C5AC5" w:rsidRDefault="00D62EE7" w:rsidP="008B5474">
            <w:pPr>
              <w:pStyle w:val="TableBodyText"/>
              <w:rPr>
                <w:sz w:val="18"/>
                <w:szCs w:val="18"/>
              </w:rPr>
            </w:pPr>
            <w:r w:rsidRPr="005C5AC5">
              <w:rPr>
                <w:sz w:val="18"/>
                <w:szCs w:val="18"/>
              </w:rPr>
              <w:noBreakHyphen/>
            </w:r>
          </w:p>
        </w:tc>
        <w:tc>
          <w:tcPr>
            <w:tcW w:w="507" w:type="pct"/>
            <w:vAlign w:val="bottom"/>
          </w:tcPr>
          <w:p w:rsidR="00D62EE7" w:rsidRPr="005C5AC5" w:rsidRDefault="00D62EE7" w:rsidP="008B5474">
            <w:pPr>
              <w:pStyle w:val="TableBodyText"/>
              <w:rPr>
                <w:sz w:val="18"/>
                <w:szCs w:val="18"/>
              </w:rPr>
            </w:pPr>
            <w:r w:rsidRPr="005C5AC5">
              <w:rPr>
                <w:sz w:val="18"/>
                <w:szCs w:val="18"/>
              </w:rPr>
              <w:noBreakHyphen/>
            </w:r>
          </w:p>
        </w:tc>
        <w:tc>
          <w:tcPr>
            <w:tcW w:w="507" w:type="pct"/>
            <w:vAlign w:val="bottom"/>
          </w:tcPr>
          <w:p w:rsidR="00D62EE7" w:rsidRPr="005C5AC5" w:rsidRDefault="00D62EE7" w:rsidP="008B5474">
            <w:pPr>
              <w:pStyle w:val="TableBodyText"/>
              <w:rPr>
                <w:sz w:val="18"/>
                <w:szCs w:val="18"/>
              </w:rPr>
            </w:pPr>
            <w:r w:rsidRPr="005C5AC5">
              <w:rPr>
                <w:sz w:val="18"/>
                <w:szCs w:val="18"/>
              </w:rPr>
              <w:noBreakHyphen/>
            </w:r>
          </w:p>
        </w:tc>
        <w:tc>
          <w:tcPr>
            <w:tcW w:w="507" w:type="pct"/>
            <w:shd w:val="clear" w:color="auto" w:fill="auto"/>
            <w:vAlign w:val="bottom"/>
          </w:tcPr>
          <w:p w:rsidR="00D62EE7" w:rsidRPr="005C5AC5" w:rsidRDefault="00D62EE7" w:rsidP="008B5474">
            <w:pPr>
              <w:pStyle w:val="TableBodyText"/>
              <w:rPr>
                <w:sz w:val="18"/>
                <w:szCs w:val="18"/>
              </w:rPr>
            </w:pPr>
            <w:r w:rsidRPr="005C5AC5">
              <w:rPr>
                <w:sz w:val="18"/>
                <w:szCs w:val="18"/>
              </w:rPr>
              <w:t>0.4</w:t>
            </w:r>
          </w:p>
        </w:tc>
        <w:tc>
          <w:tcPr>
            <w:tcW w:w="507" w:type="pct"/>
            <w:shd w:val="clear" w:color="auto" w:fill="auto"/>
            <w:vAlign w:val="bottom"/>
          </w:tcPr>
          <w:p w:rsidR="00D62EE7" w:rsidRPr="005C5AC5" w:rsidRDefault="00D62EE7" w:rsidP="008B5474">
            <w:pPr>
              <w:pStyle w:val="TableBodyText"/>
              <w:rPr>
                <w:sz w:val="18"/>
                <w:szCs w:val="18"/>
              </w:rPr>
            </w:pPr>
            <w:r w:rsidRPr="005C5AC5">
              <w:rPr>
                <w:sz w:val="18"/>
                <w:szCs w:val="18"/>
              </w:rPr>
              <w:t>0.3</w:t>
            </w:r>
          </w:p>
        </w:tc>
      </w:tr>
      <w:tr w:rsidR="00D62EE7" w:rsidRPr="006C5A80" w:rsidTr="008B5474">
        <w:tc>
          <w:tcPr>
            <w:tcW w:w="1959" w:type="pct"/>
            <w:vAlign w:val="bottom"/>
          </w:tcPr>
          <w:p w:rsidR="00D62EE7" w:rsidRPr="003166D0" w:rsidRDefault="00D62EE7" w:rsidP="008B5474">
            <w:pPr>
              <w:pStyle w:val="TableBodyText"/>
              <w:jc w:val="left"/>
              <w:rPr>
                <w:sz w:val="18"/>
                <w:szCs w:val="18"/>
              </w:rPr>
            </w:pPr>
            <w:r w:rsidRPr="003166D0">
              <w:rPr>
                <w:sz w:val="18"/>
                <w:szCs w:val="18"/>
              </w:rPr>
              <w:t>Property, professional and administrative services</w:t>
            </w:r>
          </w:p>
        </w:tc>
        <w:tc>
          <w:tcPr>
            <w:tcW w:w="507" w:type="pct"/>
            <w:vAlign w:val="bottom"/>
          </w:tcPr>
          <w:p w:rsidR="00D62EE7" w:rsidRPr="005C5AC5" w:rsidRDefault="00D62EE7" w:rsidP="008B5474">
            <w:pPr>
              <w:pStyle w:val="TableBodyText"/>
              <w:rPr>
                <w:sz w:val="18"/>
                <w:szCs w:val="18"/>
              </w:rPr>
            </w:pPr>
            <w:r w:rsidRPr="005C5AC5">
              <w:rPr>
                <w:sz w:val="18"/>
                <w:szCs w:val="18"/>
              </w:rPr>
              <w:noBreakHyphen/>
            </w:r>
          </w:p>
        </w:tc>
        <w:tc>
          <w:tcPr>
            <w:tcW w:w="507" w:type="pct"/>
            <w:vAlign w:val="bottom"/>
          </w:tcPr>
          <w:p w:rsidR="00D62EE7" w:rsidRPr="005C5AC5" w:rsidRDefault="00D62EE7" w:rsidP="008B5474">
            <w:pPr>
              <w:pStyle w:val="TableBodyText"/>
              <w:rPr>
                <w:sz w:val="18"/>
                <w:szCs w:val="18"/>
              </w:rPr>
            </w:pPr>
            <w:r w:rsidRPr="005C5AC5">
              <w:rPr>
                <w:sz w:val="18"/>
                <w:szCs w:val="18"/>
              </w:rPr>
              <w:noBreakHyphen/>
            </w:r>
          </w:p>
        </w:tc>
        <w:tc>
          <w:tcPr>
            <w:tcW w:w="507" w:type="pct"/>
            <w:vAlign w:val="bottom"/>
          </w:tcPr>
          <w:p w:rsidR="00D62EE7" w:rsidRPr="005C5AC5" w:rsidRDefault="00D62EE7" w:rsidP="008B5474">
            <w:pPr>
              <w:pStyle w:val="TableBodyText"/>
              <w:rPr>
                <w:sz w:val="18"/>
                <w:szCs w:val="18"/>
              </w:rPr>
            </w:pPr>
            <w:r w:rsidRPr="005C5AC5">
              <w:rPr>
                <w:sz w:val="18"/>
                <w:szCs w:val="18"/>
              </w:rPr>
              <w:noBreakHyphen/>
            </w:r>
          </w:p>
        </w:tc>
        <w:tc>
          <w:tcPr>
            <w:tcW w:w="507" w:type="pct"/>
            <w:vAlign w:val="bottom"/>
          </w:tcPr>
          <w:p w:rsidR="00D62EE7" w:rsidRPr="005C5AC5" w:rsidRDefault="00D62EE7" w:rsidP="008B5474">
            <w:pPr>
              <w:pStyle w:val="TableBodyText"/>
              <w:rPr>
                <w:sz w:val="18"/>
                <w:szCs w:val="18"/>
              </w:rPr>
            </w:pPr>
            <w:r w:rsidRPr="005C5AC5">
              <w:rPr>
                <w:sz w:val="18"/>
                <w:szCs w:val="18"/>
              </w:rPr>
              <w:noBreakHyphen/>
            </w:r>
          </w:p>
        </w:tc>
        <w:tc>
          <w:tcPr>
            <w:tcW w:w="507" w:type="pct"/>
            <w:shd w:val="clear" w:color="auto" w:fill="auto"/>
            <w:vAlign w:val="bottom"/>
          </w:tcPr>
          <w:p w:rsidR="00D62EE7" w:rsidRPr="005C5AC5" w:rsidRDefault="00D62EE7" w:rsidP="008B5474">
            <w:pPr>
              <w:pStyle w:val="TableBodyText"/>
              <w:rPr>
                <w:sz w:val="18"/>
                <w:szCs w:val="18"/>
              </w:rPr>
            </w:pPr>
            <w:r w:rsidRPr="005C5AC5">
              <w:rPr>
                <w:sz w:val="18"/>
                <w:szCs w:val="18"/>
              </w:rPr>
              <w:t>&lt;0.1</w:t>
            </w:r>
          </w:p>
        </w:tc>
        <w:tc>
          <w:tcPr>
            <w:tcW w:w="507" w:type="pct"/>
            <w:shd w:val="clear" w:color="auto" w:fill="auto"/>
            <w:vAlign w:val="bottom"/>
          </w:tcPr>
          <w:p w:rsidR="00D62EE7" w:rsidRPr="005C5AC5" w:rsidRDefault="00D62EE7" w:rsidP="008B5474">
            <w:pPr>
              <w:pStyle w:val="TableBodyText"/>
              <w:rPr>
                <w:sz w:val="18"/>
                <w:szCs w:val="18"/>
              </w:rPr>
            </w:pPr>
            <w:r w:rsidRPr="005C5AC5">
              <w:rPr>
                <w:sz w:val="18"/>
                <w:szCs w:val="18"/>
              </w:rPr>
              <w:noBreakHyphen/>
            </w:r>
          </w:p>
        </w:tc>
      </w:tr>
      <w:tr w:rsidR="00D62EE7" w:rsidRPr="006C5A80" w:rsidTr="008B5474">
        <w:tc>
          <w:tcPr>
            <w:tcW w:w="1959" w:type="pct"/>
            <w:tcBorders>
              <w:bottom w:val="single" w:sz="4" w:space="0" w:color="auto"/>
            </w:tcBorders>
            <w:vAlign w:val="bottom"/>
          </w:tcPr>
          <w:p w:rsidR="00D62EE7" w:rsidRPr="003166D0" w:rsidRDefault="00D62EE7" w:rsidP="008B5474">
            <w:pPr>
              <w:pStyle w:val="TableBodyText"/>
              <w:jc w:val="left"/>
              <w:rPr>
                <w:b/>
                <w:bCs/>
                <w:sz w:val="18"/>
                <w:szCs w:val="18"/>
              </w:rPr>
            </w:pPr>
            <w:r w:rsidRPr="003166D0">
              <w:rPr>
                <w:b/>
                <w:bCs/>
                <w:sz w:val="18"/>
                <w:szCs w:val="18"/>
              </w:rPr>
              <w:t>Total</w:t>
            </w:r>
          </w:p>
        </w:tc>
        <w:tc>
          <w:tcPr>
            <w:tcW w:w="507" w:type="pct"/>
            <w:tcBorders>
              <w:bottom w:val="single" w:sz="4" w:space="0" w:color="auto"/>
            </w:tcBorders>
            <w:vAlign w:val="bottom"/>
          </w:tcPr>
          <w:p w:rsidR="00D62EE7" w:rsidRPr="005C5AC5" w:rsidRDefault="00D62EE7" w:rsidP="008B5474">
            <w:pPr>
              <w:pStyle w:val="TableBodyText"/>
              <w:rPr>
                <w:b/>
                <w:bCs/>
                <w:sz w:val="18"/>
                <w:szCs w:val="18"/>
              </w:rPr>
            </w:pPr>
            <w:r w:rsidRPr="005C5AC5">
              <w:rPr>
                <w:b/>
                <w:bCs/>
                <w:sz w:val="18"/>
                <w:szCs w:val="18"/>
              </w:rPr>
              <w:t>414.5</w:t>
            </w:r>
          </w:p>
        </w:tc>
        <w:tc>
          <w:tcPr>
            <w:tcW w:w="507" w:type="pct"/>
            <w:tcBorders>
              <w:bottom w:val="single" w:sz="4" w:space="0" w:color="auto"/>
            </w:tcBorders>
            <w:vAlign w:val="bottom"/>
          </w:tcPr>
          <w:p w:rsidR="00D62EE7" w:rsidRPr="005C5AC5" w:rsidRDefault="00D62EE7" w:rsidP="008B5474">
            <w:pPr>
              <w:pStyle w:val="TableBodyText"/>
              <w:rPr>
                <w:b/>
                <w:bCs/>
                <w:sz w:val="18"/>
                <w:szCs w:val="18"/>
              </w:rPr>
            </w:pPr>
            <w:r w:rsidRPr="005C5AC5">
              <w:rPr>
                <w:b/>
                <w:bCs/>
                <w:sz w:val="18"/>
                <w:szCs w:val="18"/>
              </w:rPr>
              <w:t>640.1</w:t>
            </w:r>
          </w:p>
        </w:tc>
        <w:tc>
          <w:tcPr>
            <w:tcW w:w="507" w:type="pct"/>
            <w:tcBorders>
              <w:bottom w:val="single" w:sz="4" w:space="0" w:color="auto"/>
            </w:tcBorders>
            <w:vAlign w:val="bottom"/>
          </w:tcPr>
          <w:p w:rsidR="00D62EE7" w:rsidRPr="005C5AC5" w:rsidRDefault="00D62EE7" w:rsidP="008B5474">
            <w:pPr>
              <w:pStyle w:val="TableBodyText"/>
              <w:rPr>
                <w:b/>
                <w:bCs/>
                <w:sz w:val="18"/>
                <w:szCs w:val="18"/>
              </w:rPr>
            </w:pPr>
            <w:r w:rsidRPr="005C5AC5">
              <w:rPr>
                <w:b/>
                <w:bCs/>
                <w:sz w:val="18"/>
                <w:szCs w:val="18"/>
              </w:rPr>
              <w:t>457.3</w:t>
            </w:r>
          </w:p>
        </w:tc>
        <w:tc>
          <w:tcPr>
            <w:tcW w:w="507" w:type="pct"/>
            <w:tcBorders>
              <w:bottom w:val="single" w:sz="4" w:space="0" w:color="auto"/>
            </w:tcBorders>
            <w:vAlign w:val="bottom"/>
          </w:tcPr>
          <w:p w:rsidR="00D62EE7" w:rsidRPr="005C5AC5" w:rsidRDefault="00D62EE7" w:rsidP="008B5474">
            <w:pPr>
              <w:pStyle w:val="TableBodyText"/>
              <w:rPr>
                <w:b/>
                <w:bCs/>
                <w:sz w:val="18"/>
                <w:szCs w:val="18"/>
              </w:rPr>
            </w:pPr>
            <w:r w:rsidRPr="005C5AC5">
              <w:rPr>
                <w:b/>
                <w:bCs/>
                <w:sz w:val="18"/>
                <w:szCs w:val="18"/>
              </w:rPr>
              <w:t>358.8</w:t>
            </w:r>
          </w:p>
        </w:tc>
        <w:tc>
          <w:tcPr>
            <w:tcW w:w="507" w:type="pct"/>
            <w:tcBorders>
              <w:bottom w:val="single" w:sz="4" w:space="0" w:color="auto"/>
            </w:tcBorders>
            <w:shd w:val="clear" w:color="auto" w:fill="auto"/>
            <w:vAlign w:val="bottom"/>
          </w:tcPr>
          <w:p w:rsidR="00D62EE7" w:rsidRPr="005C5AC5" w:rsidRDefault="00D62EE7" w:rsidP="008B5474">
            <w:pPr>
              <w:pStyle w:val="TableBodyText"/>
              <w:rPr>
                <w:b/>
                <w:bCs/>
                <w:sz w:val="18"/>
                <w:szCs w:val="18"/>
              </w:rPr>
            </w:pPr>
            <w:r w:rsidRPr="005C5AC5">
              <w:rPr>
                <w:b/>
                <w:bCs/>
                <w:sz w:val="18"/>
                <w:szCs w:val="18"/>
              </w:rPr>
              <w:t>247.5</w:t>
            </w:r>
          </w:p>
        </w:tc>
        <w:tc>
          <w:tcPr>
            <w:tcW w:w="507" w:type="pct"/>
            <w:tcBorders>
              <w:bottom w:val="single" w:sz="4" w:space="0" w:color="auto"/>
            </w:tcBorders>
            <w:shd w:val="clear" w:color="auto" w:fill="auto"/>
            <w:vAlign w:val="bottom"/>
          </w:tcPr>
          <w:p w:rsidR="00D62EE7" w:rsidRPr="005C5AC5" w:rsidRDefault="00D62EE7" w:rsidP="008B5474">
            <w:pPr>
              <w:pStyle w:val="TableBodyText"/>
              <w:rPr>
                <w:b/>
                <w:bCs/>
                <w:sz w:val="18"/>
                <w:szCs w:val="18"/>
              </w:rPr>
            </w:pPr>
            <w:r w:rsidRPr="005C5AC5">
              <w:rPr>
                <w:b/>
                <w:bCs/>
                <w:sz w:val="18"/>
                <w:szCs w:val="18"/>
              </w:rPr>
              <w:t>32.0</w:t>
            </w:r>
          </w:p>
        </w:tc>
      </w:tr>
    </w:tbl>
    <w:p w:rsidR="00D62EE7" w:rsidRDefault="00D62EE7" w:rsidP="00D62EE7">
      <w:pPr>
        <w:pStyle w:val="Source"/>
        <w:spacing w:after="0"/>
        <w:rPr>
          <w:i/>
        </w:rPr>
      </w:pPr>
      <w:r>
        <w:t>– Nil.</w:t>
      </w:r>
    </w:p>
    <w:p w:rsidR="00D62EE7" w:rsidRDefault="00D62EE7" w:rsidP="00D62EE7">
      <w:pPr>
        <w:pStyle w:val="Source"/>
      </w:pPr>
      <w:r>
        <w:rPr>
          <w:i/>
        </w:rPr>
        <w:t>Source</w:t>
      </w:r>
      <w:r>
        <w:t>: Commission estimates based on</w:t>
      </w:r>
      <w:r w:rsidRPr="00552FBC">
        <w:t xml:space="preserve"> detailed </w:t>
      </w:r>
      <w:r>
        <w:t>DAFF</w:t>
      </w:r>
      <w:r w:rsidRPr="00552FBC">
        <w:t xml:space="preserve"> </w:t>
      </w:r>
      <w:r>
        <w:t xml:space="preserve">Exceptional Circumstances </w:t>
      </w:r>
      <w:r w:rsidRPr="00552FBC">
        <w:t>data by ANZSIC industry</w:t>
      </w:r>
      <w:r>
        <w:t>.</w:t>
      </w:r>
    </w:p>
    <w:p w:rsidR="00D91E1F" w:rsidRDefault="00FA09C3" w:rsidP="00D91E1F">
      <w:pPr>
        <w:pStyle w:val="Heading2"/>
      </w:pPr>
      <w:r>
        <w:t>A.</w:t>
      </w:r>
      <w:r>
        <w:rPr>
          <w:noProof/>
        </w:rPr>
        <w:t>45</w:t>
      </w:r>
      <w:r w:rsidR="00D91E1F">
        <w:tab/>
        <w:t>Exemption of refundable film tax offset payments</w:t>
      </w:r>
    </w:p>
    <w:p w:rsidR="00D91E1F" w:rsidRDefault="00D91E1F" w:rsidP="00D91E1F">
      <w:pPr>
        <w:pStyle w:val="BodyText"/>
      </w:pPr>
      <w:r>
        <w:t>The refundable tax offset for large scale film production provides a financial incentive for film production to be undertaken in Australia. Payments made under the scheme (see Annex item A.31) are exempt from tax (</w:t>
      </w:r>
      <w:r w:rsidRPr="002D4BCB">
        <w:t>Tax Expenditure Statement, Australian Government 2013, Item B 35</w:t>
      </w:r>
      <w:r>
        <w:t>).</w:t>
      </w:r>
    </w:p>
    <w:p w:rsidR="007A66FC" w:rsidRDefault="00D91E1F" w:rsidP="00BF6BF7">
      <w:pPr>
        <w:pStyle w:val="BodyText"/>
      </w:pPr>
      <w:r>
        <w:t xml:space="preserve">The refundable film tax offset selectively benefits film production activities. The taxation concession has been allocated to the </w:t>
      </w:r>
      <w:r w:rsidRPr="0020211E">
        <w:rPr>
          <w:i/>
        </w:rPr>
        <w:t xml:space="preserve">Arts </w:t>
      </w:r>
      <w:r>
        <w:rPr>
          <w:i/>
        </w:rPr>
        <w:t xml:space="preserve">and </w:t>
      </w:r>
      <w:r w:rsidRPr="0020211E">
        <w:rPr>
          <w:i/>
        </w:rPr>
        <w:t>recreational services</w:t>
      </w:r>
      <w:r>
        <w:t xml:space="preserve"> industry grouping in the Commission’s ANZSIC-based classification (table A.4</w:t>
      </w:r>
      <w:r w:rsidR="00E5096C">
        <w:t>5</w:t>
      </w:r>
      <w:r>
        <w:t>).</w:t>
      </w:r>
    </w:p>
    <w:p w:rsidR="0063501B" w:rsidRDefault="0063501B" w:rsidP="0063501B">
      <w:pPr>
        <w:pStyle w:val="BodyText"/>
      </w:pPr>
      <w:r>
        <w:br w:type="page"/>
      </w:r>
    </w:p>
    <w:p w:rsidR="00D91E1F" w:rsidRDefault="00D91E1F" w:rsidP="00D91E1F">
      <w:pPr>
        <w:pStyle w:val="TableTitle"/>
      </w:pPr>
      <w:r>
        <w:rPr>
          <w:b w:val="0"/>
        </w:rPr>
        <w:lastRenderedPageBreak/>
        <w:t xml:space="preserve">Table </w:t>
      </w:r>
      <w:r w:rsidR="00FA09C3">
        <w:rPr>
          <w:b w:val="0"/>
        </w:rPr>
        <w:t>A.</w:t>
      </w:r>
      <w:r w:rsidR="00FA09C3">
        <w:rPr>
          <w:b w:val="0"/>
          <w:noProof/>
        </w:rPr>
        <w:t>45</w:t>
      </w:r>
      <w:r>
        <w:tab/>
        <w:t>Allocation of Exemption of refundable film tax offset payments</w:t>
      </w:r>
      <w:r w:rsidR="00510A57" w:rsidRPr="00510A57">
        <w:t xml:space="preserve"> to industry</w:t>
      </w:r>
      <w:r>
        <w:t>, 2006</w:t>
      </w:r>
      <w:r>
        <w:noBreakHyphen/>
        <w:t>07 to 2011</w:t>
      </w:r>
      <w:r>
        <w:noBreakHyphen/>
        <w:t>12</w:t>
      </w:r>
    </w:p>
    <w:p w:rsidR="00D91E1F" w:rsidRDefault="00D91E1F" w:rsidP="00D91E1F">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D91E1F" w:rsidRPr="00AF699A" w:rsidTr="008B5474">
        <w:tc>
          <w:tcPr>
            <w:tcW w:w="1960" w:type="pct"/>
            <w:tcBorders>
              <w:top w:val="single" w:sz="6" w:space="0" w:color="auto"/>
              <w:bottom w:val="single" w:sz="6" w:space="0" w:color="auto"/>
            </w:tcBorders>
          </w:tcPr>
          <w:p w:rsidR="00D91E1F" w:rsidRPr="00AF699A" w:rsidRDefault="00D91E1F" w:rsidP="008B547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D91E1F" w:rsidRPr="00AF699A" w:rsidRDefault="00D91E1F" w:rsidP="008B547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D91E1F" w:rsidRPr="00AF699A" w:rsidRDefault="00D91E1F" w:rsidP="008B547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D91E1F" w:rsidRPr="00AF699A" w:rsidRDefault="00D91E1F" w:rsidP="008B547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D91E1F" w:rsidRPr="00AF699A" w:rsidRDefault="00D91E1F" w:rsidP="008B547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D91E1F" w:rsidRPr="00AF699A" w:rsidRDefault="00D91E1F" w:rsidP="008B5474">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D91E1F" w:rsidRPr="00AF699A" w:rsidRDefault="00D91E1F" w:rsidP="008B5474">
            <w:pPr>
              <w:pStyle w:val="TableColumnHeading"/>
              <w:ind w:right="28"/>
              <w:rPr>
                <w:rFonts w:cs="Arial"/>
                <w:sz w:val="18"/>
                <w:szCs w:val="18"/>
              </w:rPr>
            </w:pPr>
            <w:r w:rsidRPr="00AF699A">
              <w:rPr>
                <w:rFonts w:cs="Arial"/>
                <w:sz w:val="18"/>
                <w:szCs w:val="18"/>
              </w:rPr>
              <w:t>2011-12</w:t>
            </w:r>
          </w:p>
        </w:tc>
      </w:tr>
      <w:tr w:rsidR="00D91E1F" w:rsidRPr="006C5A80" w:rsidTr="008B5474">
        <w:tc>
          <w:tcPr>
            <w:tcW w:w="1960" w:type="pct"/>
            <w:tcBorders>
              <w:bottom w:val="single" w:sz="4" w:space="0" w:color="auto"/>
            </w:tcBorders>
            <w:vAlign w:val="bottom"/>
          </w:tcPr>
          <w:p w:rsidR="00D91E1F" w:rsidRPr="00C944BA" w:rsidRDefault="00D91E1F" w:rsidP="008B5474">
            <w:pPr>
              <w:pStyle w:val="TableBodyText"/>
              <w:jc w:val="left"/>
            </w:pPr>
            <w:r>
              <w:t>Arts and recreation services</w:t>
            </w:r>
          </w:p>
        </w:tc>
        <w:tc>
          <w:tcPr>
            <w:tcW w:w="507" w:type="pct"/>
            <w:tcBorders>
              <w:bottom w:val="single" w:sz="4" w:space="0" w:color="auto"/>
            </w:tcBorders>
            <w:vAlign w:val="bottom"/>
          </w:tcPr>
          <w:p w:rsidR="00D91E1F" w:rsidRPr="0020211E" w:rsidRDefault="00D91E1F" w:rsidP="008B5474">
            <w:pPr>
              <w:pStyle w:val="TableBodyText"/>
            </w:pPr>
            <w:r w:rsidRPr="0020211E">
              <w:t>10.0</w:t>
            </w:r>
          </w:p>
        </w:tc>
        <w:tc>
          <w:tcPr>
            <w:tcW w:w="507" w:type="pct"/>
            <w:tcBorders>
              <w:bottom w:val="single" w:sz="4" w:space="0" w:color="auto"/>
            </w:tcBorders>
            <w:vAlign w:val="bottom"/>
          </w:tcPr>
          <w:p w:rsidR="00D91E1F" w:rsidRPr="0020211E" w:rsidRDefault="00D91E1F" w:rsidP="008B5474">
            <w:pPr>
              <w:pStyle w:val="TableBodyText"/>
            </w:pPr>
            <w:r w:rsidRPr="0020211E">
              <w:t>2.0</w:t>
            </w:r>
          </w:p>
        </w:tc>
        <w:tc>
          <w:tcPr>
            <w:tcW w:w="507" w:type="pct"/>
            <w:tcBorders>
              <w:bottom w:val="single" w:sz="4" w:space="0" w:color="auto"/>
            </w:tcBorders>
            <w:vAlign w:val="bottom"/>
          </w:tcPr>
          <w:p w:rsidR="00D91E1F" w:rsidRPr="0020211E" w:rsidRDefault="00D91E1F" w:rsidP="008B5474">
            <w:pPr>
              <w:pStyle w:val="TableBodyText"/>
            </w:pPr>
            <w:r w:rsidRPr="0020211E">
              <w:t>17.0</w:t>
            </w:r>
          </w:p>
        </w:tc>
        <w:tc>
          <w:tcPr>
            <w:tcW w:w="507" w:type="pct"/>
            <w:tcBorders>
              <w:bottom w:val="single" w:sz="4" w:space="0" w:color="auto"/>
            </w:tcBorders>
            <w:vAlign w:val="bottom"/>
          </w:tcPr>
          <w:p w:rsidR="00D91E1F" w:rsidRPr="0020211E" w:rsidRDefault="00D91E1F" w:rsidP="008B5474">
            <w:pPr>
              <w:pStyle w:val="TableBodyText"/>
            </w:pPr>
            <w:r w:rsidRPr="0020211E">
              <w:t>38.0</w:t>
            </w:r>
          </w:p>
        </w:tc>
        <w:tc>
          <w:tcPr>
            <w:tcW w:w="507" w:type="pct"/>
            <w:tcBorders>
              <w:bottom w:val="single" w:sz="4" w:space="0" w:color="auto"/>
            </w:tcBorders>
            <w:shd w:val="clear" w:color="auto" w:fill="auto"/>
            <w:vAlign w:val="bottom"/>
          </w:tcPr>
          <w:p w:rsidR="00D91E1F" w:rsidRPr="0020211E" w:rsidRDefault="00D91E1F" w:rsidP="008B5474">
            <w:pPr>
              <w:pStyle w:val="TableBodyText"/>
            </w:pPr>
            <w:r w:rsidRPr="0020211E">
              <w:t>36.0</w:t>
            </w:r>
          </w:p>
        </w:tc>
        <w:tc>
          <w:tcPr>
            <w:tcW w:w="505" w:type="pct"/>
            <w:tcBorders>
              <w:bottom w:val="single" w:sz="4" w:space="0" w:color="auto"/>
            </w:tcBorders>
            <w:shd w:val="clear" w:color="auto" w:fill="auto"/>
            <w:vAlign w:val="bottom"/>
          </w:tcPr>
          <w:p w:rsidR="00D91E1F" w:rsidRPr="0020211E" w:rsidRDefault="00D91E1F" w:rsidP="008B5474">
            <w:pPr>
              <w:pStyle w:val="TableBodyText"/>
            </w:pPr>
            <w:r w:rsidRPr="0020211E">
              <w:t>32.0</w:t>
            </w:r>
          </w:p>
        </w:tc>
      </w:tr>
    </w:tbl>
    <w:p w:rsidR="00D91E1F" w:rsidRDefault="00D91E1F" w:rsidP="00D91E1F">
      <w:pPr>
        <w:pStyle w:val="Source"/>
      </w:pPr>
      <w:r>
        <w:rPr>
          <w:i/>
        </w:rPr>
        <w:t>Source</w:t>
      </w:r>
      <w:r>
        <w:t>: Commission estimates based on Tax Expenditure Statement 2012, Australian Government 2013, p.</w:t>
      </w:r>
      <w:r w:rsidR="00831B4E">
        <w:t> </w:t>
      </w:r>
      <w:r>
        <w:t>82, item B35.</w:t>
      </w:r>
    </w:p>
    <w:p w:rsidR="00933692" w:rsidRDefault="00FA09C3" w:rsidP="00933692">
      <w:pPr>
        <w:pStyle w:val="Heading2"/>
      </w:pPr>
      <w:r>
        <w:t>A.</w:t>
      </w:r>
      <w:r>
        <w:rPr>
          <w:noProof/>
        </w:rPr>
        <w:t>46</w:t>
      </w:r>
      <w:r w:rsidR="00933692">
        <w:tab/>
        <w:t>Green Building Fund</w:t>
      </w:r>
    </w:p>
    <w:p w:rsidR="00933692" w:rsidRPr="00EB2448" w:rsidRDefault="00933692" w:rsidP="00933692">
      <w:pPr>
        <w:pStyle w:val="BodyText"/>
      </w:pPr>
      <w:r>
        <w:t xml:space="preserve">Part of the Clean Business Australia initiative, the Green Building Fund (GBF) aims to reduce greenhouse gas emissions from existing Australian commercial office buildings, by providing incentives to building owners to improve their energy efficiency. The fund also provides a limited number of grants for projects directed towards developing the knowledge, skills or capability of those involved in the operation of commercial office buildings. </w:t>
      </w:r>
      <w:r w:rsidR="00F03D8D">
        <w:t>In</w:t>
      </w:r>
      <w:r>
        <w:t xml:space="preserve"> 2010</w:t>
      </w:r>
      <w:r w:rsidR="00F03D8D">
        <w:t>,</w:t>
      </w:r>
      <w:r>
        <w:t xml:space="preserve"> the Australian Government committed an additional $30 million to the GBF and expanded the program </w:t>
      </w:r>
      <w:r w:rsidR="00F03D8D">
        <w:t xml:space="preserve">by including </w:t>
      </w:r>
      <w:r>
        <w:t xml:space="preserve">hotels and shopping centres covered by the National Australian Built Environment Rating System </w:t>
      </w:r>
      <w:r w:rsidRPr="002F5C9C">
        <w:t>(</w:t>
      </w:r>
      <w:r w:rsidRPr="002D4BCB">
        <w:t>DIISR 2011</w:t>
      </w:r>
      <w:r w:rsidRPr="002F5C9C">
        <w:t>)</w:t>
      </w:r>
      <w:r>
        <w:t>.</w:t>
      </w:r>
    </w:p>
    <w:p w:rsidR="00933692" w:rsidRDefault="00933692" w:rsidP="00933692">
      <w:pPr>
        <w:pStyle w:val="BodyText"/>
      </w:pPr>
      <w:r>
        <w:t xml:space="preserve">The GBF </w:t>
      </w:r>
      <w:r w:rsidRPr="00EC43DB">
        <w:t>benefit</w:t>
      </w:r>
      <w:r>
        <w:t>s</w:t>
      </w:r>
      <w:r w:rsidRPr="00EC43DB">
        <w:t xml:space="preserve"> </w:t>
      </w:r>
      <w:r w:rsidR="00F03D8D">
        <w:t xml:space="preserve">various </w:t>
      </w:r>
      <w:r>
        <w:t>businesse</w:t>
      </w:r>
      <w:r w:rsidRPr="00EC43DB">
        <w:t xml:space="preserve">s </w:t>
      </w:r>
      <w:r w:rsidR="00F03D8D">
        <w:t>in the</w:t>
      </w:r>
      <w:r>
        <w:t xml:space="preserve"> </w:t>
      </w:r>
      <w:r w:rsidRPr="00EC43DB">
        <w:t>services</w:t>
      </w:r>
      <w:r w:rsidR="00F03D8D">
        <w:t xml:space="preserve"> sector</w:t>
      </w:r>
      <w:r w:rsidRPr="00EC43DB">
        <w:t xml:space="preserve">. </w:t>
      </w:r>
      <w:r>
        <w:t xml:space="preserve">However, information on the specific industry incidence of the program has not been readily available. Accordingly, the budget outlay has been classified to the </w:t>
      </w:r>
      <w:r w:rsidRPr="00EC43DB">
        <w:rPr>
          <w:i/>
        </w:rPr>
        <w:t>Unallocated services</w:t>
      </w:r>
      <w:r w:rsidRPr="00EC43DB">
        <w:t xml:space="preserve"> </w:t>
      </w:r>
      <w:r>
        <w:t xml:space="preserve">industry </w:t>
      </w:r>
      <w:r w:rsidRPr="00EC43DB">
        <w:t>grouping in the Commission’s ANZSIC-based classification (table</w:t>
      </w:r>
      <w:r>
        <w:t> </w:t>
      </w:r>
      <w:r w:rsidRPr="00EC43DB">
        <w:t>A.</w:t>
      </w:r>
      <w:r>
        <w:t>4</w:t>
      </w:r>
      <w:r w:rsidR="00E5096C">
        <w:t>6</w:t>
      </w:r>
      <w:r w:rsidRPr="00EC43DB">
        <w:t>).</w:t>
      </w:r>
    </w:p>
    <w:p w:rsidR="00933692" w:rsidRDefault="00933692" w:rsidP="00933692">
      <w:pPr>
        <w:pStyle w:val="TableTitle"/>
      </w:pPr>
      <w:r>
        <w:rPr>
          <w:b w:val="0"/>
        </w:rPr>
        <w:t xml:space="preserve">Table </w:t>
      </w:r>
      <w:r w:rsidR="00FA09C3">
        <w:rPr>
          <w:b w:val="0"/>
        </w:rPr>
        <w:t>A.</w:t>
      </w:r>
      <w:r w:rsidR="00FA09C3">
        <w:rPr>
          <w:b w:val="0"/>
          <w:noProof/>
        </w:rPr>
        <w:t>46</w:t>
      </w:r>
      <w:r>
        <w:tab/>
        <w:t>Allocation of Green Building Fund</w:t>
      </w:r>
      <w:r w:rsidR="00510A57" w:rsidRPr="00510A57">
        <w:t xml:space="preserve"> to industry</w:t>
      </w:r>
      <w:r>
        <w:t>, 2006</w:t>
      </w:r>
      <w:r>
        <w:noBreakHyphen/>
        <w:t>07 to 2011</w:t>
      </w:r>
      <w:r>
        <w:noBreakHyphen/>
        <w:t>12</w:t>
      </w:r>
    </w:p>
    <w:p w:rsidR="00933692" w:rsidRDefault="000E1A26" w:rsidP="00933692">
      <w:pPr>
        <w:pStyle w:val="Subtitle"/>
      </w:pPr>
      <w:r>
        <w:t>$ m</w:t>
      </w:r>
      <w:r w:rsidR="00933692">
        <w:t>illion (nominal)</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933692" w:rsidRPr="00AF699A" w:rsidTr="008B5474">
        <w:tc>
          <w:tcPr>
            <w:tcW w:w="1958" w:type="pct"/>
            <w:tcBorders>
              <w:top w:val="single" w:sz="6" w:space="0" w:color="auto"/>
              <w:bottom w:val="single" w:sz="6" w:space="0" w:color="auto"/>
            </w:tcBorders>
          </w:tcPr>
          <w:p w:rsidR="00933692" w:rsidRPr="00AF699A" w:rsidRDefault="00933692" w:rsidP="008B547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933692" w:rsidRPr="00AF699A" w:rsidRDefault="00933692" w:rsidP="008B547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933692" w:rsidRPr="00AF699A" w:rsidRDefault="00933692" w:rsidP="008B547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933692" w:rsidRPr="00AF699A" w:rsidRDefault="00933692" w:rsidP="008B547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933692" w:rsidRPr="00AF699A" w:rsidRDefault="00933692" w:rsidP="008B547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933692" w:rsidRPr="00AF699A" w:rsidRDefault="00933692" w:rsidP="008B5474">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933692" w:rsidRPr="00AF699A" w:rsidRDefault="00933692" w:rsidP="008B5474">
            <w:pPr>
              <w:pStyle w:val="TableColumnHeading"/>
              <w:ind w:right="28"/>
              <w:rPr>
                <w:rFonts w:cs="Arial"/>
                <w:sz w:val="18"/>
                <w:szCs w:val="18"/>
              </w:rPr>
            </w:pPr>
            <w:r w:rsidRPr="00AF699A">
              <w:rPr>
                <w:rFonts w:cs="Arial"/>
                <w:sz w:val="18"/>
                <w:szCs w:val="18"/>
              </w:rPr>
              <w:t>2011-12</w:t>
            </w:r>
          </w:p>
        </w:tc>
      </w:tr>
      <w:tr w:rsidR="00933692" w:rsidRPr="00EB51A6" w:rsidTr="008B5474">
        <w:tc>
          <w:tcPr>
            <w:tcW w:w="1958" w:type="pct"/>
            <w:tcBorders>
              <w:bottom w:val="single" w:sz="4" w:space="0" w:color="auto"/>
            </w:tcBorders>
            <w:vAlign w:val="bottom"/>
          </w:tcPr>
          <w:p w:rsidR="00933692" w:rsidRPr="00DC47DA" w:rsidRDefault="00933692" w:rsidP="008B5474">
            <w:pPr>
              <w:pStyle w:val="TableBodyText"/>
              <w:jc w:val="left"/>
            </w:pPr>
            <w:r w:rsidRPr="00DC47DA">
              <w:t>Unallocated services</w:t>
            </w:r>
            <w:r w:rsidRPr="00C00D98">
              <w:rPr>
                <w:rStyle w:val="NoteLabel"/>
                <w:szCs w:val="18"/>
              </w:rPr>
              <w:t>a</w:t>
            </w:r>
          </w:p>
        </w:tc>
        <w:tc>
          <w:tcPr>
            <w:tcW w:w="507" w:type="pct"/>
            <w:tcBorders>
              <w:bottom w:val="single" w:sz="4" w:space="0" w:color="auto"/>
            </w:tcBorders>
            <w:vAlign w:val="bottom"/>
          </w:tcPr>
          <w:p w:rsidR="00933692" w:rsidRPr="00DC47DA" w:rsidRDefault="00933692" w:rsidP="008B5474">
            <w:pPr>
              <w:pStyle w:val="TableBodyText"/>
            </w:pPr>
            <w:r>
              <w:noBreakHyphen/>
            </w:r>
          </w:p>
        </w:tc>
        <w:tc>
          <w:tcPr>
            <w:tcW w:w="507" w:type="pct"/>
            <w:tcBorders>
              <w:bottom w:val="single" w:sz="4" w:space="0" w:color="auto"/>
            </w:tcBorders>
            <w:vAlign w:val="bottom"/>
          </w:tcPr>
          <w:p w:rsidR="00933692" w:rsidRPr="00DC47DA" w:rsidRDefault="00933692" w:rsidP="008B5474">
            <w:pPr>
              <w:pStyle w:val="TableBodyText"/>
            </w:pPr>
            <w:r>
              <w:noBreakHyphen/>
            </w:r>
          </w:p>
        </w:tc>
        <w:tc>
          <w:tcPr>
            <w:tcW w:w="507" w:type="pct"/>
            <w:tcBorders>
              <w:bottom w:val="single" w:sz="4" w:space="0" w:color="auto"/>
            </w:tcBorders>
            <w:vAlign w:val="bottom"/>
          </w:tcPr>
          <w:p w:rsidR="00933692" w:rsidRPr="00DC47DA" w:rsidRDefault="00933692" w:rsidP="008B5474">
            <w:pPr>
              <w:pStyle w:val="TableBodyText"/>
            </w:pPr>
            <w:r>
              <w:noBreakHyphen/>
            </w:r>
          </w:p>
        </w:tc>
        <w:tc>
          <w:tcPr>
            <w:tcW w:w="507" w:type="pct"/>
            <w:tcBorders>
              <w:bottom w:val="single" w:sz="4" w:space="0" w:color="auto"/>
            </w:tcBorders>
            <w:vAlign w:val="bottom"/>
          </w:tcPr>
          <w:p w:rsidR="00933692" w:rsidRPr="00DC47DA" w:rsidRDefault="00933692" w:rsidP="008B5474">
            <w:pPr>
              <w:pStyle w:val="TableBodyText"/>
            </w:pPr>
            <w:r w:rsidRPr="00DC47DA">
              <w:t>16.7</w:t>
            </w:r>
          </w:p>
        </w:tc>
        <w:tc>
          <w:tcPr>
            <w:tcW w:w="507" w:type="pct"/>
            <w:tcBorders>
              <w:bottom w:val="single" w:sz="4" w:space="0" w:color="auto"/>
            </w:tcBorders>
            <w:shd w:val="clear" w:color="auto" w:fill="auto"/>
            <w:vAlign w:val="bottom"/>
          </w:tcPr>
          <w:p w:rsidR="00933692" w:rsidRPr="00DC47DA" w:rsidRDefault="00933692" w:rsidP="008B5474">
            <w:pPr>
              <w:pStyle w:val="TableBodyText"/>
            </w:pPr>
            <w:r w:rsidRPr="00DC47DA">
              <w:t>24.0</w:t>
            </w:r>
          </w:p>
        </w:tc>
        <w:tc>
          <w:tcPr>
            <w:tcW w:w="507" w:type="pct"/>
            <w:tcBorders>
              <w:bottom w:val="single" w:sz="4" w:space="0" w:color="auto"/>
            </w:tcBorders>
            <w:shd w:val="clear" w:color="auto" w:fill="auto"/>
            <w:vAlign w:val="bottom"/>
          </w:tcPr>
          <w:p w:rsidR="00933692" w:rsidRPr="00DC47DA" w:rsidRDefault="00933692" w:rsidP="008B5474">
            <w:pPr>
              <w:pStyle w:val="TableBodyText"/>
            </w:pPr>
            <w:r w:rsidRPr="00DC47DA">
              <w:t>31.9</w:t>
            </w:r>
          </w:p>
        </w:tc>
      </w:tr>
    </w:tbl>
    <w:p w:rsidR="00933692" w:rsidRDefault="00933692" w:rsidP="00933692">
      <w:pPr>
        <w:pStyle w:val="Note"/>
      </w:pPr>
      <w:r w:rsidRPr="00A2379F">
        <w:noBreakHyphen/>
        <w:t xml:space="preserve"> Nil.</w:t>
      </w:r>
      <w:r>
        <w:t xml:space="preserve"> </w:t>
      </w:r>
      <w:r w:rsidRPr="008E77FE">
        <w:rPr>
          <w:rStyle w:val="NoteLabel"/>
        </w:rPr>
        <w:t>a</w:t>
      </w:r>
      <w:r>
        <w:t xml:space="preserve"> </w:t>
      </w:r>
      <w:r w:rsidRPr="009B56F1">
        <w:t>Unallocated includes general programs where detai</w:t>
      </w:r>
      <w:r>
        <w:t>ls of beneficiaries are unknown.</w:t>
      </w:r>
    </w:p>
    <w:p w:rsidR="0063501B" w:rsidRPr="0063501B" w:rsidRDefault="00933692" w:rsidP="0063501B">
      <w:pPr>
        <w:pStyle w:val="Source"/>
      </w:pPr>
      <w:r>
        <w:rPr>
          <w:i/>
        </w:rPr>
        <w:t>Source</w:t>
      </w:r>
      <w:r>
        <w:t>: Commission estimates based on detailed DIISR data by ANZSIC industry.</w:t>
      </w:r>
    </w:p>
    <w:p w:rsidR="00824A09" w:rsidRPr="00741843" w:rsidRDefault="00FA09C3" w:rsidP="00824A09">
      <w:pPr>
        <w:pStyle w:val="Heading2"/>
      </w:pPr>
      <w:r w:rsidRPr="00741843">
        <w:t>A.47</w:t>
      </w:r>
      <w:r w:rsidR="00824A09" w:rsidRPr="00741843">
        <w:tab/>
        <w:t>Carbon Farming Futures</w:t>
      </w:r>
    </w:p>
    <w:p w:rsidR="00824A09" w:rsidRDefault="00824A09" w:rsidP="00824A09">
      <w:pPr>
        <w:pStyle w:val="BodyText"/>
      </w:pPr>
      <w:r>
        <w:t>The Carbon Farming Futures program aims to provide $429 million over six years to ensure that advances in management practices, technologies and techniques will continue to evolve to reduce emissions while maintaining productivity (</w:t>
      </w:r>
      <w:r w:rsidRPr="002D4BCB">
        <w:t>LSCBB 2012</w:t>
      </w:r>
      <w:r>
        <w:t xml:space="preserve">). These advances are intended to allow farmers and other land managers to benefit from economic opportunities while assisting Australia in </w:t>
      </w:r>
      <w:r>
        <w:lastRenderedPageBreak/>
        <w:t>achieving its long term emission</w:t>
      </w:r>
      <w:r w:rsidR="0099203D">
        <w:t>s</w:t>
      </w:r>
      <w:r>
        <w:t xml:space="preserve"> reduction target. The program includes five components.</w:t>
      </w:r>
    </w:p>
    <w:p w:rsidR="00824A09" w:rsidRDefault="00824A09" w:rsidP="00824A09">
      <w:pPr>
        <w:pStyle w:val="ListBullet"/>
      </w:pPr>
      <w:r>
        <w:t xml:space="preserve">The Filling the Research Gap program aims to invest around $201 million over the six years to support research into abatement technologies and practices that reduce greenhouse gas emissions from the land sector, store carbon in the landscape and enhance sustainable agricultural practices. The research outcomes are intended to support the development of offset methodologies under the </w:t>
      </w:r>
      <w:r w:rsidR="0099203D">
        <w:t>Carbon Farming Initiative (</w:t>
      </w:r>
      <w:r>
        <w:t>CFI</w:t>
      </w:r>
      <w:r w:rsidR="0099203D">
        <w:t>)</w:t>
      </w:r>
      <w:r>
        <w:t>.</w:t>
      </w:r>
    </w:p>
    <w:p w:rsidR="00824A09" w:rsidRDefault="00824A09" w:rsidP="00824A09">
      <w:pPr>
        <w:pStyle w:val="ListBullet"/>
      </w:pPr>
      <w:r>
        <w:t>The Action on the Ground program aims to invest around $99 million over the six years to help land managers, farmers and industry to trial on-farm abatement management practices and technologies to demonstrate how they can reduce agricultural greenhouse gas emissions (methane and nitrous oxide) or increase and store carbon in soil.</w:t>
      </w:r>
    </w:p>
    <w:p w:rsidR="00824A09" w:rsidRDefault="00824A09" w:rsidP="00824A09">
      <w:pPr>
        <w:pStyle w:val="ListBullet"/>
      </w:pPr>
      <w:r>
        <w:t>The Extension and Outreach program aims to invest around $64 million over the six years to support a range of activities that will provide information and support to land managers, farmers, and their key influencers about the CFI and land sector emissions management. The program also aims to fund the development of information tools and systems and additional communication resources to boost awareness and build capacity for land managers to undertake greenhouse gas mitigation practices and participate in the CFI.</w:t>
      </w:r>
    </w:p>
    <w:p w:rsidR="00824A09" w:rsidRDefault="00824A09" w:rsidP="00824A09">
      <w:pPr>
        <w:pStyle w:val="ListBullet"/>
      </w:pPr>
      <w:r>
        <w:t xml:space="preserve">The Conservation </w:t>
      </w:r>
      <w:r w:rsidR="0099203D">
        <w:t xml:space="preserve">Tillage Refundable Tax Offset </w:t>
      </w:r>
      <w:r>
        <w:t>program is intended to provide a 15 per cent refundable tax offset for new conservation seeding equipment purchased and installed between 1 July 2012 and 30 June 2015.</w:t>
      </w:r>
    </w:p>
    <w:p w:rsidR="00824A09" w:rsidRDefault="00824A09" w:rsidP="00824A09">
      <w:pPr>
        <w:pStyle w:val="ListBullet"/>
      </w:pPr>
      <w:r>
        <w:t>The Carbon Farming Initiative Methodology Development program (MDP) includes $19.6 million in funding to facilitate the development of CFI methodologies that expand opportunities for the participation of land managers in the CFI.</w:t>
      </w:r>
    </w:p>
    <w:p w:rsidR="00D0483B" w:rsidRDefault="00824A09" w:rsidP="001A0C4A">
      <w:pPr>
        <w:pStyle w:val="BodyText"/>
      </w:pPr>
      <w:r w:rsidRPr="00BB2C0A">
        <w:t xml:space="preserve">The program primarily benefits the primary production sector. However, </w:t>
      </w:r>
      <w:r>
        <w:t xml:space="preserve">information on </w:t>
      </w:r>
      <w:r w:rsidRPr="00BB2C0A">
        <w:t xml:space="preserve">the </w:t>
      </w:r>
      <w:r>
        <w:t xml:space="preserve">specific industry incidence of the program has not been readily available. Accordingly, the budget outlay has been classified </w:t>
      </w:r>
      <w:r w:rsidRPr="00BB2C0A">
        <w:t>to</w:t>
      </w:r>
      <w:r>
        <w:t xml:space="preserve"> the</w:t>
      </w:r>
      <w:r w:rsidRPr="00BB2C0A">
        <w:t xml:space="preserve"> </w:t>
      </w:r>
      <w:r w:rsidRPr="00BB2C0A">
        <w:rPr>
          <w:i/>
        </w:rPr>
        <w:t>Unallocated primary production</w:t>
      </w:r>
      <w:r>
        <w:t xml:space="preserve"> industry grouping in the Commission’s ANZSIC-based classification (table</w:t>
      </w:r>
      <w:r w:rsidR="00160387">
        <w:t> </w:t>
      </w:r>
      <w:r>
        <w:t>A.4</w:t>
      </w:r>
      <w:r w:rsidR="00E5096C">
        <w:t>7</w:t>
      </w:r>
      <w:r w:rsidRPr="00BB2C0A">
        <w:t>).</w:t>
      </w:r>
    </w:p>
    <w:p w:rsidR="00824A09" w:rsidRDefault="00824A09" w:rsidP="00824A09">
      <w:pPr>
        <w:pStyle w:val="TableTitle"/>
      </w:pPr>
      <w:r>
        <w:rPr>
          <w:b w:val="0"/>
        </w:rPr>
        <w:lastRenderedPageBreak/>
        <w:t xml:space="preserve">Table </w:t>
      </w:r>
      <w:r w:rsidR="00FA09C3">
        <w:rPr>
          <w:b w:val="0"/>
        </w:rPr>
        <w:t>A.</w:t>
      </w:r>
      <w:r w:rsidR="00FA09C3">
        <w:rPr>
          <w:b w:val="0"/>
          <w:noProof/>
        </w:rPr>
        <w:t>47</w:t>
      </w:r>
      <w:r>
        <w:tab/>
        <w:t>Allocation of Carbon Farming Futures</w:t>
      </w:r>
      <w:r w:rsidR="00510A57" w:rsidRPr="00510A57">
        <w:t xml:space="preserve"> to industry</w:t>
      </w:r>
      <w:r>
        <w:t>, 2006</w:t>
      </w:r>
      <w:r>
        <w:noBreakHyphen/>
        <w:t>07 to 2011</w:t>
      </w:r>
      <w:r>
        <w:noBreakHyphen/>
        <w:t>12</w:t>
      </w:r>
    </w:p>
    <w:p w:rsidR="00824A09" w:rsidRDefault="00824A09" w:rsidP="00824A09">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824A09" w:rsidRPr="00AF699A" w:rsidTr="008B5474">
        <w:tc>
          <w:tcPr>
            <w:tcW w:w="1960" w:type="pct"/>
            <w:tcBorders>
              <w:top w:val="single" w:sz="6" w:space="0" w:color="auto"/>
              <w:bottom w:val="single" w:sz="6" w:space="0" w:color="auto"/>
            </w:tcBorders>
          </w:tcPr>
          <w:p w:rsidR="00824A09" w:rsidRPr="00AF699A" w:rsidRDefault="00824A09" w:rsidP="008B547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824A09" w:rsidRPr="00AF699A" w:rsidRDefault="00824A09" w:rsidP="008B547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824A09" w:rsidRPr="00AF699A" w:rsidRDefault="00824A09" w:rsidP="008B547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824A09" w:rsidRPr="00AF699A" w:rsidRDefault="00824A09" w:rsidP="008B547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824A09" w:rsidRPr="00AF699A" w:rsidRDefault="00824A09" w:rsidP="008B547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824A09" w:rsidRPr="00AF699A" w:rsidRDefault="00824A09" w:rsidP="008B5474">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824A09" w:rsidRPr="00AF699A" w:rsidRDefault="00824A09" w:rsidP="008B5474">
            <w:pPr>
              <w:pStyle w:val="TableColumnHeading"/>
              <w:ind w:right="28"/>
              <w:rPr>
                <w:rFonts w:cs="Arial"/>
                <w:sz w:val="18"/>
                <w:szCs w:val="18"/>
              </w:rPr>
            </w:pPr>
            <w:r w:rsidRPr="00AF699A">
              <w:rPr>
                <w:rFonts w:cs="Arial"/>
                <w:sz w:val="18"/>
                <w:szCs w:val="18"/>
              </w:rPr>
              <w:t>2011-12</w:t>
            </w:r>
          </w:p>
        </w:tc>
      </w:tr>
      <w:tr w:rsidR="00824A09" w:rsidRPr="006C5A80" w:rsidTr="008B5474">
        <w:tc>
          <w:tcPr>
            <w:tcW w:w="1960" w:type="pct"/>
            <w:tcBorders>
              <w:bottom w:val="single" w:sz="4" w:space="0" w:color="auto"/>
            </w:tcBorders>
            <w:vAlign w:val="bottom"/>
          </w:tcPr>
          <w:p w:rsidR="00824A09" w:rsidRPr="00C944BA" w:rsidRDefault="00824A09" w:rsidP="008B5474">
            <w:pPr>
              <w:pStyle w:val="TableBodyText"/>
              <w:jc w:val="left"/>
            </w:pPr>
            <w:r>
              <w:t>Unallocated primary production</w:t>
            </w:r>
            <w:r w:rsidRPr="00C00D98">
              <w:rPr>
                <w:rStyle w:val="NoteLabel"/>
                <w:szCs w:val="18"/>
              </w:rPr>
              <w:t>a</w:t>
            </w:r>
          </w:p>
        </w:tc>
        <w:tc>
          <w:tcPr>
            <w:tcW w:w="507" w:type="pct"/>
            <w:tcBorders>
              <w:bottom w:val="single" w:sz="4" w:space="0" w:color="auto"/>
            </w:tcBorders>
            <w:vAlign w:val="bottom"/>
          </w:tcPr>
          <w:p w:rsidR="00824A09" w:rsidRPr="00F567A8" w:rsidRDefault="00824A09" w:rsidP="008B5474">
            <w:pPr>
              <w:pStyle w:val="TableBodyText"/>
            </w:pPr>
            <w:r>
              <w:noBreakHyphen/>
            </w:r>
          </w:p>
        </w:tc>
        <w:tc>
          <w:tcPr>
            <w:tcW w:w="507" w:type="pct"/>
            <w:tcBorders>
              <w:bottom w:val="single" w:sz="4" w:space="0" w:color="auto"/>
            </w:tcBorders>
            <w:vAlign w:val="bottom"/>
          </w:tcPr>
          <w:p w:rsidR="00824A09" w:rsidRPr="00F567A8" w:rsidRDefault="00824A09" w:rsidP="008B5474">
            <w:pPr>
              <w:pStyle w:val="TableBodyText"/>
            </w:pPr>
            <w:r>
              <w:noBreakHyphen/>
            </w:r>
          </w:p>
        </w:tc>
        <w:tc>
          <w:tcPr>
            <w:tcW w:w="507" w:type="pct"/>
            <w:tcBorders>
              <w:bottom w:val="single" w:sz="4" w:space="0" w:color="auto"/>
            </w:tcBorders>
            <w:vAlign w:val="bottom"/>
          </w:tcPr>
          <w:p w:rsidR="00824A09" w:rsidRPr="00F567A8" w:rsidRDefault="00824A09" w:rsidP="008B5474">
            <w:pPr>
              <w:pStyle w:val="TableBodyText"/>
            </w:pPr>
            <w:r>
              <w:noBreakHyphen/>
            </w:r>
          </w:p>
        </w:tc>
        <w:tc>
          <w:tcPr>
            <w:tcW w:w="507" w:type="pct"/>
            <w:tcBorders>
              <w:bottom w:val="single" w:sz="4" w:space="0" w:color="auto"/>
            </w:tcBorders>
            <w:vAlign w:val="bottom"/>
          </w:tcPr>
          <w:p w:rsidR="00824A09" w:rsidRPr="00F567A8" w:rsidRDefault="00824A09" w:rsidP="008B5474">
            <w:pPr>
              <w:pStyle w:val="TableBodyText"/>
            </w:pPr>
            <w:r>
              <w:noBreakHyphen/>
            </w:r>
          </w:p>
        </w:tc>
        <w:tc>
          <w:tcPr>
            <w:tcW w:w="507" w:type="pct"/>
            <w:tcBorders>
              <w:bottom w:val="single" w:sz="4" w:space="0" w:color="auto"/>
            </w:tcBorders>
            <w:shd w:val="clear" w:color="auto" w:fill="auto"/>
            <w:vAlign w:val="bottom"/>
          </w:tcPr>
          <w:p w:rsidR="00824A09" w:rsidRPr="00F567A8" w:rsidRDefault="00824A09" w:rsidP="008B5474">
            <w:pPr>
              <w:pStyle w:val="TableBodyText"/>
            </w:pPr>
            <w:r>
              <w:noBreakHyphen/>
            </w:r>
          </w:p>
        </w:tc>
        <w:tc>
          <w:tcPr>
            <w:tcW w:w="505" w:type="pct"/>
            <w:tcBorders>
              <w:bottom w:val="single" w:sz="4" w:space="0" w:color="auto"/>
            </w:tcBorders>
            <w:shd w:val="clear" w:color="auto" w:fill="auto"/>
            <w:vAlign w:val="bottom"/>
          </w:tcPr>
          <w:p w:rsidR="00824A09" w:rsidRPr="00F567A8" w:rsidRDefault="00824A09" w:rsidP="008B5474">
            <w:pPr>
              <w:pStyle w:val="TableBodyText"/>
            </w:pPr>
            <w:r>
              <w:t>27.3</w:t>
            </w:r>
          </w:p>
        </w:tc>
      </w:tr>
    </w:tbl>
    <w:p w:rsidR="00824A09" w:rsidRPr="00F60026" w:rsidRDefault="00824A09" w:rsidP="00824A09">
      <w:pPr>
        <w:pStyle w:val="Source"/>
        <w:spacing w:after="0"/>
        <w:rPr>
          <w:i/>
        </w:rPr>
      </w:pPr>
      <w:r w:rsidRPr="00A2379F">
        <w:noBreakHyphen/>
        <w:t xml:space="preserve"> </w:t>
      </w:r>
      <w:r>
        <w:t>Nil</w:t>
      </w:r>
      <w:r w:rsidRPr="00A2379F">
        <w:t>.</w:t>
      </w:r>
      <w:r w:rsidRPr="00B1392F">
        <w:t xml:space="preserve"> </w:t>
      </w:r>
      <w:r w:rsidRPr="009B56F1">
        <w:rPr>
          <w:rStyle w:val="NoteLabel"/>
        </w:rPr>
        <w:t>a</w:t>
      </w:r>
      <w:r w:rsidRPr="009B56F1">
        <w:t xml:space="preserve"> Unallocated includes general programs where detai</w:t>
      </w:r>
      <w:r>
        <w:t>ls of beneficiaries are unknown.</w:t>
      </w:r>
    </w:p>
    <w:p w:rsidR="00824A09" w:rsidRDefault="00824A09" w:rsidP="00824A09">
      <w:pPr>
        <w:pStyle w:val="Source"/>
      </w:pPr>
      <w:r>
        <w:rPr>
          <w:i/>
        </w:rPr>
        <w:t>Source</w:t>
      </w:r>
      <w:r>
        <w:t xml:space="preserve">: Commission estimates based on </w:t>
      </w:r>
      <w:r w:rsidRPr="004C2899">
        <w:t>Land Sector Carbon and Biodiversity Board Annual Report 2011</w:t>
      </w:r>
      <w:r>
        <w:noBreakHyphen/>
      </w:r>
      <w:r w:rsidRPr="004C2899">
        <w:t>12</w:t>
      </w:r>
      <w:r>
        <w:t>.</w:t>
      </w:r>
    </w:p>
    <w:p w:rsidR="0077181A" w:rsidRDefault="00FA09C3" w:rsidP="0077181A">
      <w:pPr>
        <w:pStyle w:val="Heading2"/>
      </w:pPr>
      <w:r>
        <w:t>A.</w:t>
      </w:r>
      <w:r>
        <w:rPr>
          <w:noProof/>
        </w:rPr>
        <w:t>48</w:t>
      </w:r>
      <w:r w:rsidR="0077181A">
        <w:tab/>
        <w:t>Enterprise Connect Innovation Centres</w:t>
      </w:r>
    </w:p>
    <w:p w:rsidR="0077181A" w:rsidRDefault="0077181A" w:rsidP="0077181A">
      <w:pPr>
        <w:pStyle w:val="BodyText"/>
      </w:pPr>
      <w:r>
        <w:t>Announced by the Australian Government in May 2008, the Enterprise Connect Innovation centres aim to provide Australia’s small and medium sized enterprises (SMEs) with access to technology, research, and business and management advisory services. Enterprise Connect comprises two components</w:t>
      </w:r>
      <w:r w:rsidR="0028109E">
        <w:t xml:space="preserve">: </w:t>
      </w:r>
      <w:r>
        <w:t>a manufacturing network and innovation centres (</w:t>
      </w:r>
      <w:r w:rsidRPr="002D4BCB">
        <w:t>Carr 2008b</w:t>
      </w:r>
      <w:r>
        <w:t>).</w:t>
      </w:r>
    </w:p>
    <w:p w:rsidR="0077181A" w:rsidRDefault="0077181A" w:rsidP="0077181A">
      <w:pPr>
        <w:pStyle w:val="BodyText"/>
      </w:pPr>
      <w:r w:rsidRPr="00D504B3">
        <w:t>Each year, the Department of Innovation, Industry, Scien</w:t>
      </w:r>
      <w:r>
        <w:t>ce and Research (DIISR) provides</w:t>
      </w:r>
      <w:r w:rsidRPr="00D504B3">
        <w:t xml:space="preserve"> data on expenditure for the </w:t>
      </w:r>
      <w:r>
        <w:t>Enterprise Connect Innovation Centres</w:t>
      </w:r>
      <w:r w:rsidRPr="00D504B3">
        <w:t xml:space="preserve"> according to the Commission’s ANZSIC-based industry classification (table</w:t>
      </w:r>
      <w:r w:rsidR="00160387">
        <w:t> </w:t>
      </w:r>
      <w:r w:rsidRPr="00D504B3">
        <w:t>A.</w:t>
      </w:r>
      <w:r>
        <w:t>4</w:t>
      </w:r>
      <w:r w:rsidR="00C75068">
        <w:t>8</w:t>
      </w:r>
      <w:r w:rsidRPr="00D504B3">
        <w:t>).</w:t>
      </w:r>
    </w:p>
    <w:p w:rsidR="0077181A" w:rsidRDefault="0077181A" w:rsidP="0077181A">
      <w:pPr>
        <w:pStyle w:val="TableTitle"/>
      </w:pPr>
      <w:r>
        <w:rPr>
          <w:b w:val="0"/>
        </w:rPr>
        <w:lastRenderedPageBreak/>
        <w:t xml:space="preserve">Table </w:t>
      </w:r>
      <w:r w:rsidR="00FA09C3">
        <w:rPr>
          <w:b w:val="0"/>
        </w:rPr>
        <w:t>A.</w:t>
      </w:r>
      <w:r w:rsidR="00FA09C3">
        <w:rPr>
          <w:b w:val="0"/>
          <w:noProof/>
        </w:rPr>
        <w:t>48</w:t>
      </w:r>
      <w:r>
        <w:tab/>
        <w:t xml:space="preserve">Allocation of Enterprise Connect Innovation Centres </w:t>
      </w:r>
      <w:r w:rsidR="00510A57" w:rsidRPr="00510A57">
        <w:t>to industry</w:t>
      </w:r>
      <w:r>
        <w:t>, 2006</w:t>
      </w:r>
      <w:r>
        <w:noBreakHyphen/>
        <w:t>07 to 2011</w:t>
      </w:r>
      <w:r>
        <w:noBreakHyphen/>
        <w:t>12</w:t>
      </w:r>
    </w:p>
    <w:p w:rsidR="0077181A" w:rsidRDefault="0077181A" w:rsidP="0077181A">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77181A" w:rsidRPr="00AF699A" w:rsidTr="008B5474">
        <w:tc>
          <w:tcPr>
            <w:tcW w:w="1960" w:type="pct"/>
            <w:tcBorders>
              <w:top w:val="single" w:sz="6" w:space="0" w:color="auto"/>
              <w:bottom w:val="single" w:sz="6" w:space="0" w:color="auto"/>
            </w:tcBorders>
          </w:tcPr>
          <w:p w:rsidR="0077181A" w:rsidRPr="00AF699A" w:rsidRDefault="0077181A" w:rsidP="008B547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77181A" w:rsidRPr="00AF699A" w:rsidRDefault="0077181A" w:rsidP="008B547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77181A" w:rsidRPr="00AF699A" w:rsidRDefault="0077181A" w:rsidP="008B547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77181A" w:rsidRPr="00AF699A" w:rsidRDefault="0077181A" w:rsidP="008B547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77181A" w:rsidRPr="00AF699A" w:rsidRDefault="0077181A" w:rsidP="008B547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77181A" w:rsidRPr="00AF699A" w:rsidRDefault="0077181A" w:rsidP="008B5474">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77181A" w:rsidRPr="00AF699A" w:rsidRDefault="0077181A" w:rsidP="008B5474">
            <w:pPr>
              <w:pStyle w:val="TableColumnHeading"/>
              <w:ind w:right="28"/>
              <w:rPr>
                <w:rFonts w:cs="Arial"/>
                <w:sz w:val="18"/>
                <w:szCs w:val="18"/>
              </w:rPr>
            </w:pPr>
            <w:r w:rsidRPr="00AF699A">
              <w:rPr>
                <w:rFonts w:cs="Arial"/>
                <w:sz w:val="18"/>
                <w:szCs w:val="18"/>
              </w:rPr>
              <w:t>2011-12</w:t>
            </w:r>
          </w:p>
        </w:tc>
      </w:tr>
      <w:tr w:rsidR="0077181A" w:rsidRPr="006C5A80" w:rsidTr="008B5474">
        <w:tc>
          <w:tcPr>
            <w:tcW w:w="1960" w:type="pct"/>
            <w:tcBorders>
              <w:top w:val="single" w:sz="6" w:space="0" w:color="auto"/>
            </w:tcBorders>
            <w:vAlign w:val="bottom"/>
          </w:tcPr>
          <w:p w:rsidR="0077181A" w:rsidRPr="00390699" w:rsidRDefault="0077181A" w:rsidP="008B5474">
            <w:pPr>
              <w:pStyle w:val="TableBodyText"/>
              <w:jc w:val="left"/>
              <w:rPr>
                <w:b/>
                <w:sz w:val="18"/>
                <w:szCs w:val="18"/>
              </w:rPr>
            </w:pPr>
            <w:r w:rsidRPr="00390699">
              <w:rPr>
                <w:b/>
                <w:sz w:val="18"/>
                <w:szCs w:val="18"/>
              </w:rPr>
              <w:t>Primary production</w:t>
            </w:r>
          </w:p>
        </w:tc>
        <w:tc>
          <w:tcPr>
            <w:tcW w:w="507" w:type="pct"/>
            <w:tcBorders>
              <w:top w:val="single" w:sz="6" w:space="0" w:color="auto"/>
            </w:tcBorders>
            <w:vAlign w:val="bottom"/>
          </w:tcPr>
          <w:p w:rsidR="0077181A" w:rsidRPr="00DB22D2" w:rsidRDefault="0077181A" w:rsidP="008B5474">
            <w:pPr>
              <w:pStyle w:val="TableBodyText"/>
              <w:rPr>
                <w:b/>
                <w:sz w:val="18"/>
                <w:szCs w:val="18"/>
              </w:rPr>
            </w:pPr>
            <w:r w:rsidRPr="00DB22D2">
              <w:rPr>
                <w:b/>
                <w:sz w:val="18"/>
                <w:szCs w:val="18"/>
              </w:rPr>
              <w:noBreakHyphen/>
            </w:r>
          </w:p>
        </w:tc>
        <w:tc>
          <w:tcPr>
            <w:tcW w:w="507" w:type="pct"/>
            <w:tcBorders>
              <w:top w:val="single" w:sz="6" w:space="0" w:color="auto"/>
            </w:tcBorders>
            <w:vAlign w:val="bottom"/>
          </w:tcPr>
          <w:p w:rsidR="0077181A" w:rsidRPr="00DB22D2" w:rsidRDefault="0077181A" w:rsidP="008B5474">
            <w:pPr>
              <w:pStyle w:val="TableBodyText"/>
              <w:rPr>
                <w:b/>
                <w:sz w:val="18"/>
                <w:szCs w:val="18"/>
              </w:rPr>
            </w:pPr>
            <w:r w:rsidRPr="00CF70F6">
              <w:rPr>
                <w:b/>
                <w:sz w:val="18"/>
                <w:szCs w:val="18"/>
              </w:rPr>
              <w:t>&lt;0.1</w:t>
            </w:r>
          </w:p>
        </w:tc>
        <w:tc>
          <w:tcPr>
            <w:tcW w:w="507" w:type="pct"/>
            <w:tcBorders>
              <w:top w:val="single" w:sz="6" w:space="0" w:color="auto"/>
            </w:tcBorders>
            <w:vAlign w:val="bottom"/>
          </w:tcPr>
          <w:p w:rsidR="0077181A" w:rsidRPr="00DB22D2" w:rsidRDefault="0077181A" w:rsidP="008B5474">
            <w:pPr>
              <w:pStyle w:val="TableBodyText"/>
              <w:rPr>
                <w:b/>
                <w:sz w:val="18"/>
                <w:szCs w:val="18"/>
              </w:rPr>
            </w:pPr>
            <w:r w:rsidRPr="00CF70F6">
              <w:rPr>
                <w:b/>
                <w:sz w:val="18"/>
                <w:szCs w:val="18"/>
              </w:rPr>
              <w:t>&lt;0.1</w:t>
            </w:r>
          </w:p>
        </w:tc>
        <w:tc>
          <w:tcPr>
            <w:tcW w:w="507" w:type="pct"/>
            <w:tcBorders>
              <w:top w:val="single" w:sz="6" w:space="0" w:color="auto"/>
            </w:tcBorders>
            <w:vAlign w:val="bottom"/>
          </w:tcPr>
          <w:p w:rsidR="0077181A" w:rsidRPr="00DB22D2" w:rsidRDefault="0077181A" w:rsidP="008B5474">
            <w:pPr>
              <w:pStyle w:val="TableBodyText"/>
              <w:rPr>
                <w:b/>
                <w:sz w:val="18"/>
                <w:szCs w:val="18"/>
              </w:rPr>
            </w:pPr>
            <w:r>
              <w:rPr>
                <w:b/>
                <w:sz w:val="18"/>
                <w:szCs w:val="18"/>
              </w:rPr>
              <w:t>&lt;</w:t>
            </w:r>
            <w:r w:rsidRPr="00DB22D2">
              <w:rPr>
                <w:b/>
                <w:sz w:val="18"/>
                <w:szCs w:val="18"/>
              </w:rPr>
              <w:t>0.1</w:t>
            </w:r>
          </w:p>
        </w:tc>
        <w:tc>
          <w:tcPr>
            <w:tcW w:w="507" w:type="pct"/>
            <w:tcBorders>
              <w:top w:val="single" w:sz="6" w:space="0" w:color="auto"/>
            </w:tcBorders>
            <w:vAlign w:val="bottom"/>
          </w:tcPr>
          <w:p w:rsidR="0077181A" w:rsidRPr="00DB22D2" w:rsidRDefault="0077181A" w:rsidP="008B5474">
            <w:pPr>
              <w:pStyle w:val="TableBodyText"/>
              <w:rPr>
                <w:b/>
                <w:sz w:val="18"/>
                <w:szCs w:val="18"/>
              </w:rPr>
            </w:pPr>
            <w:r>
              <w:rPr>
                <w:b/>
                <w:sz w:val="18"/>
                <w:szCs w:val="18"/>
              </w:rPr>
              <w:t>&lt;</w:t>
            </w:r>
            <w:r w:rsidRPr="00DB22D2">
              <w:rPr>
                <w:b/>
                <w:sz w:val="18"/>
                <w:szCs w:val="18"/>
              </w:rPr>
              <w:t>0.1</w:t>
            </w:r>
          </w:p>
        </w:tc>
        <w:tc>
          <w:tcPr>
            <w:tcW w:w="505" w:type="pct"/>
            <w:tcBorders>
              <w:top w:val="single" w:sz="6" w:space="0" w:color="auto"/>
            </w:tcBorders>
            <w:vAlign w:val="bottom"/>
          </w:tcPr>
          <w:p w:rsidR="0077181A" w:rsidRPr="00DB22D2" w:rsidRDefault="0077181A" w:rsidP="008B5474">
            <w:pPr>
              <w:pStyle w:val="TableBodyText"/>
              <w:rPr>
                <w:b/>
                <w:sz w:val="18"/>
                <w:szCs w:val="18"/>
              </w:rPr>
            </w:pPr>
            <w:r w:rsidRPr="00DB22D2">
              <w:rPr>
                <w:b/>
                <w:sz w:val="18"/>
                <w:szCs w:val="18"/>
              </w:rPr>
              <w:t>0.1</w:t>
            </w:r>
          </w:p>
        </w:tc>
      </w:tr>
      <w:tr w:rsidR="0077181A" w:rsidRPr="006C5A80" w:rsidTr="008B5474">
        <w:tc>
          <w:tcPr>
            <w:tcW w:w="1960" w:type="pct"/>
            <w:vAlign w:val="bottom"/>
          </w:tcPr>
          <w:p w:rsidR="0077181A" w:rsidRPr="00390699" w:rsidRDefault="0077181A" w:rsidP="008B5474">
            <w:pPr>
              <w:pStyle w:val="TableBodyText"/>
              <w:jc w:val="left"/>
              <w:rPr>
                <w:sz w:val="18"/>
                <w:szCs w:val="18"/>
              </w:rPr>
            </w:pPr>
            <w:r w:rsidRPr="00390699">
              <w:rPr>
                <w:sz w:val="18"/>
                <w:szCs w:val="18"/>
              </w:rPr>
              <w:t>Horticulture and fruit growing</w:t>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5" w:type="pct"/>
            <w:vAlign w:val="bottom"/>
          </w:tcPr>
          <w:p w:rsidR="0077181A" w:rsidRPr="00DB22D2" w:rsidRDefault="0077181A" w:rsidP="008B5474">
            <w:pPr>
              <w:pStyle w:val="TableBodyText"/>
              <w:rPr>
                <w:sz w:val="18"/>
                <w:szCs w:val="18"/>
              </w:rPr>
            </w:pPr>
            <w:r>
              <w:rPr>
                <w:sz w:val="18"/>
                <w:szCs w:val="18"/>
              </w:rPr>
              <w:t>&lt;</w:t>
            </w:r>
            <w:r w:rsidRPr="00DB22D2">
              <w:rPr>
                <w:sz w:val="18"/>
                <w:szCs w:val="18"/>
              </w:rPr>
              <w:t>0.1</w:t>
            </w:r>
          </w:p>
        </w:tc>
      </w:tr>
      <w:tr w:rsidR="0077181A" w:rsidRPr="006C5A80" w:rsidTr="008B5474">
        <w:tc>
          <w:tcPr>
            <w:tcW w:w="1960" w:type="pct"/>
            <w:vAlign w:val="bottom"/>
          </w:tcPr>
          <w:p w:rsidR="0077181A" w:rsidRPr="00390699" w:rsidRDefault="0077181A" w:rsidP="008B5474">
            <w:pPr>
              <w:pStyle w:val="TableBodyText"/>
              <w:jc w:val="left"/>
              <w:rPr>
                <w:sz w:val="18"/>
                <w:szCs w:val="18"/>
              </w:rPr>
            </w:pPr>
            <w:r w:rsidRPr="00390699">
              <w:rPr>
                <w:sz w:val="18"/>
                <w:szCs w:val="18"/>
              </w:rPr>
              <w:t>Sheep, beef cattle and grain farming</w:t>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c>
          <w:tcPr>
            <w:tcW w:w="505" w:type="pct"/>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r>
      <w:tr w:rsidR="0077181A" w:rsidRPr="006C5A80" w:rsidTr="008B5474">
        <w:tc>
          <w:tcPr>
            <w:tcW w:w="1960" w:type="pct"/>
            <w:vAlign w:val="bottom"/>
          </w:tcPr>
          <w:p w:rsidR="0077181A" w:rsidRPr="00390699" w:rsidRDefault="0077181A" w:rsidP="008B5474">
            <w:pPr>
              <w:pStyle w:val="TableBodyText"/>
              <w:jc w:val="left"/>
              <w:rPr>
                <w:sz w:val="18"/>
                <w:szCs w:val="18"/>
              </w:rPr>
            </w:pPr>
            <w:r w:rsidRPr="00390699">
              <w:rPr>
                <w:sz w:val="18"/>
                <w:szCs w:val="18"/>
              </w:rPr>
              <w:t>Other livestock farming</w:t>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c>
          <w:tcPr>
            <w:tcW w:w="507" w:type="pct"/>
            <w:shd w:val="clear" w:color="auto" w:fill="auto"/>
            <w:vAlign w:val="bottom"/>
          </w:tcPr>
          <w:p w:rsidR="0077181A" w:rsidRPr="00DB22D2" w:rsidRDefault="0077181A" w:rsidP="008B5474">
            <w:pPr>
              <w:pStyle w:val="TableBodyText"/>
              <w:rPr>
                <w:sz w:val="18"/>
                <w:szCs w:val="18"/>
              </w:rPr>
            </w:pPr>
            <w:r w:rsidRPr="00DB22D2">
              <w:rPr>
                <w:sz w:val="18"/>
                <w:szCs w:val="18"/>
              </w:rPr>
              <w:noBreakHyphen/>
            </w:r>
          </w:p>
        </w:tc>
        <w:tc>
          <w:tcPr>
            <w:tcW w:w="505" w:type="pct"/>
            <w:shd w:val="clear" w:color="auto" w:fill="auto"/>
            <w:vAlign w:val="bottom"/>
          </w:tcPr>
          <w:p w:rsidR="0077181A" w:rsidRPr="00DB22D2" w:rsidRDefault="0077181A" w:rsidP="008B5474">
            <w:pPr>
              <w:pStyle w:val="TableBodyText"/>
              <w:rPr>
                <w:sz w:val="18"/>
                <w:szCs w:val="18"/>
              </w:rPr>
            </w:pPr>
            <w:r w:rsidRPr="00DB22D2">
              <w:rPr>
                <w:sz w:val="18"/>
                <w:szCs w:val="18"/>
              </w:rPr>
              <w:noBreakHyphen/>
            </w:r>
          </w:p>
        </w:tc>
      </w:tr>
      <w:tr w:rsidR="0077181A" w:rsidRPr="006C5A80" w:rsidTr="008B5474">
        <w:tc>
          <w:tcPr>
            <w:tcW w:w="1960" w:type="pct"/>
            <w:vAlign w:val="bottom"/>
          </w:tcPr>
          <w:p w:rsidR="0077181A" w:rsidRPr="00390699" w:rsidRDefault="0077181A" w:rsidP="008B5474">
            <w:pPr>
              <w:pStyle w:val="TableBodyText"/>
              <w:jc w:val="left"/>
              <w:rPr>
                <w:sz w:val="18"/>
                <w:szCs w:val="18"/>
              </w:rPr>
            </w:pPr>
            <w:r w:rsidRPr="00390699">
              <w:rPr>
                <w:sz w:val="18"/>
                <w:szCs w:val="18"/>
              </w:rPr>
              <w:t>Aquaculture and fishing</w:t>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c>
          <w:tcPr>
            <w:tcW w:w="507" w:type="pct"/>
            <w:shd w:val="clear" w:color="auto" w:fill="auto"/>
            <w:vAlign w:val="bottom"/>
          </w:tcPr>
          <w:p w:rsidR="0077181A" w:rsidRPr="00DB22D2" w:rsidRDefault="0077181A" w:rsidP="008B5474">
            <w:pPr>
              <w:pStyle w:val="TableBodyText"/>
              <w:rPr>
                <w:sz w:val="18"/>
                <w:szCs w:val="18"/>
              </w:rPr>
            </w:pPr>
            <w:r w:rsidRPr="00DB22D2">
              <w:rPr>
                <w:sz w:val="18"/>
                <w:szCs w:val="18"/>
              </w:rPr>
              <w:noBreakHyphen/>
            </w:r>
          </w:p>
        </w:tc>
        <w:tc>
          <w:tcPr>
            <w:tcW w:w="505" w:type="pct"/>
            <w:shd w:val="clear" w:color="auto" w:fill="auto"/>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r>
      <w:tr w:rsidR="0077181A" w:rsidRPr="006C5A80" w:rsidTr="008B5474">
        <w:tc>
          <w:tcPr>
            <w:tcW w:w="1960" w:type="pct"/>
            <w:vAlign w:val="bottom"/>
          </w:tcPr>
          <w:p w:rsidR="0077181A" w:rsidRPr="00390699" w:rsidRDefault="0077181A" w:rsidP="008B5474">
            <w:pPr>
              <w:pStyle w:val="TableBodyText"/>
              <w:jc w:val="left"/>
              <w:rPr>
                <w:sz w:val="18"/>
                <w:szCs w:val="18"/>
              </w:rPr>
            </w:pPr>
            <w:r w:rsidRPr="00390699">
              <w:rPr>
                <w:sz w:val="18"/>
                <w:szCs w:val="18"/>
              </w:rPr>
              <w:t>Primary production support services</w:t>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shd w:val="clear" w:color="auto" w:fill="auto"/>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c>
          <w:tcPr>
            <w:tcW w:w="505" w:type="pct"/>
            <w:shd w:val="clear" w:color="auto" w:fill="auto"/>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r>
      <w:tr w:rsidR="0077181A" w:rsidRPr="006C5A80" w:rsidTr="008B5474">
        <w:tc>
          <w:tcPr>
            <w:tcW w:w="1960" w:type="pct"/>
            <w:vAlign w:val="bottom"/>
          </w:tcPr>
          <w:p w:rsidR="0077181A" w:rsidRPr="00CE21C1" w:rsidRDefault="0077181A" w:rsidP="008B5474">
            <w:pPr>
              <w:pStyle w:val="TableBodyText"/>
              <w:jc w:val="left"/>
              <w:rPr>
                <w:b/>
                <w:sz w:val="18"/>
                <w:szCs w:val="18"/>
              </w:rPr>
            </w:pPr>
            <w:r w:rsidRPr="00CE21C1">
              <w:rPr>
                <w:b/>
                <w:sz w:val="18"/>
                <w:szCs w:val="18"/>
              </w:rPr>
              <w:t>Mining</w:t>
            </w:r>
          </w:p>
        </w:tc>
        <w:tc>
          <w:tcPr>
            <w:tcW w:w="507" w:type="pct"/>
            <w:vAlign w:val="bottom"/>
          </w:tcPr>
          <w:p w:rsidR="0077181A" w:rsidRPr="00DB22D2" w:rsidRDefault="0077181A" w:rsidP="008B5474">
            <w:pPr>
              <w:pStyle w:val="TableBodyText"/>
              <w:rPr>
                <w:b/>
                <w:sz w:val="18"/>
                <w:szCs w:val="18"/>
              </w:rPr>
            </w:pPr>
            <w:r w:rsidRPr="00DB22D2">
              <w:rPr>
                <w:b/>
                <w:sz w:val="18"/>
                <w:szCs w:val="18"/>
              </w:rPr>
              <w:noBreakHyphen/>
            </w:r>
          </w:p>
        </w:tc>
        <w:tc>
          <w:tcPr>
            <w:tcW w:w="507" w:type="pct"/>
            <w:vAlign w:val="bottom"/>
          </w:tcPr>
          <w:p w:rsidR="0077181A" w:rsidRPr="00DB22D2" w:rsidRDefault="0077181A" w:rsidP="008B5474">
            <w:pPr>
              <w:pStyle w:val="TableBodyText"/>
              <w:rPr>
                <w:b/>
                <w:sz w:val="18"/>
                <w:szCs w:val="18"/>
              </w:rPr>
            </w:pPr>
            <w:r w:rsidRPr="00EF458C">
              <w:rPr>
                <w:b/>
                <w:sz w:val="18"/>
                <w:szCs w:val="18"/>
              </w:rPr>
              <w:t>&lt;0.1</w:t>
            </w:r>
          </w:p>
        </w:tc>
        <w:tc>
          <w:tcPr>
            <w:tcW w:w="507" w:type="pct"/>
            <w:vAlign w:val="bottom"/>
          </w:tcPr>
          <w:p w:rsidR="0077181A" w:rsidRPr="00DB22D2" w:rsidRDefault="0077181A" w:rsidP="008B5474">
            <w:pPr>
              <w:pStyle w:val="TableBodyText"/>
              <w:rPr>
                <w:b/>
                <w:sz w:val="18"/>
                <w:szCs w:val="18"/>
              </w:rPr>
            </w:pPr>
            <w:r w:rsidRPr="00EF458C">
              <w:rPr>
                <w:b/>
                <w:sz w:val="18"/>
                <w:szCs w:val="18"/>
              </w:rPr>
              <w:t>&lt;0.1</w:t>
            </w:r>
          </w:p>
        </w:tc>
        <w:tc>
          <w:tcPr>
            <w:tcW w:w="507" w:type="pct"/>
            <w:vAlign w:val="bottom"/>
          </w:tcPr>
          <w:p w:rsidR="0077181A" w:rsidRPr="00DB22D2" w:rsidRDefault="0077181A" w:rsidP="008B5474">
            <w:pPr>
              <w:pStyle w:val="TableBodyText"/>
              <w:rPr>
                <w:b/>
                <w:sz w:val="18"/>
                <w:szCs w:val="18"/>
              </w:rPr>
            </w:pPr>
            <w:r w:rsidRPr="00DB22D2">
              <w:rPr>
                <w:b/>
                <w:sz w:val="18"/>
                <w:szCs w:val="18"/>
              </w:rPr>
              <w:t>0.2</w:t>
            </w:r>
          </w:p>
        </w:tc>
        <w:tc>
          <w:tcPr>
            <w:tcW w:w="507" w:type="pct"/>
            <w:shd w:val="clear" w:color="auto" w:fill="auto"/>
            <w:vAlign w:val="bottom"/>
          </w:tcPr>
          <w:p w:rsidR="0077181A" w:rsidRPr="00DB22D2" w:rsidRDefault="0077181A" w:rsidP="008B5474">
            <w:pPr>
              <w:pStyle w:val="TableBodyText"/>
              <w:rPr>
                <w:b/>
                <w:sz w:val="18"/>
                <w:szCs w:val="18"/>
              </w:rPr>
            </w:pPr>
            <w:r w:rsidRPr="00DB22D2">
              <w:rPr>
                <w:b/>
                <w:sz w:val="18"/>
                <w:szCs w:val="18"/>
              </w:rPr>
              <w:t>0.2</w:t>
            </w:r>
          </w:p>
        </w:tc>
        <w:tc>
          <w:tcPr>
            <w:tcW w:w="505" w:type="pct"/>
            <w:shd w:val="clear" w:color="auto" w:fill="auto"/>
            <w:vAlign w:val="bottom"/>
          </w:tcPr>
          <w:p w:rsidR="0077181A" w:rsidRPr="00DB22D2" w:rsidRDefault="0077181A" w:rsidP="008B5474">
            <w:pPr>
              <w:pStyle w:val="TableBodyText"/>
              <w:rPr>
                <w:b/>
                <w:sz w:val="18"/>
                <w:szCs w:val="18"/>
              </w:rPr>
            </w:pPr>
            <w:r w:rsidRPr="00DB22D2">
              <w:rPr>
                <w:b/>
                <w:sz w:val="18"/>
                <w:szCs w:val="18"/>
              </w:rPr>
              <w:t>0.1</w:t>
            </w:r>
          </w:p>
        </w:tc>
      </w:tr>
      <w:tr w:rsidR="0077181A" w:rsidRPr="006C5A80" w:rsidTr="008B5474">
        <w:tc>
          <w:tcPr>
            <w:tcW w:w="1960" w:type="pct"/>
            <w:vAlign w:val="bottom"/>
          </w:tcPr>
          <w:p w:rsidR="0077181A" w:rsidRPr="00390699" w:rsidRDefault="0077181A" w:rsidP="008B5474">
            <w:pPr>
              <w:pStyle w:val="TableBodyText"/>
              <w:jc w:val="left"/>
              <w:rPr>
                <w:b/>
                <w:sz w:val="18"/>
                <w:szCs w:val="18"/>
              </w:rPr>
            </w:pPr>
            <w:r w:rsidRPr="00390699">
              <w:rPr>
                <w:b/>
                <w:sz w:val="18"/>
                <w:szCs w:val="18"/>
              </w:rPr>
              <w:t>Manufacturing</w:t>
            </w:r>
          </w:p>
        </w:tc>
        <w:tc>
          <w:tcPr>
            <w:tcW w:w="507" w:type="pct"/>
            <w:vAlign w:val="bottom"/>
          </w:tcPr>
          <w:p w:rsidR="0077181A" w:rsidRPr="00DB22D2" w:rsidRDefault="0077181A" w:rsidP="008B5474">
            <w:pPr>
              <w:pStyle w:val="TableBodyText"/>
              <w:rPr>
                <w:b/>
                <w:sz w:val="18"/>
                <w:szCs w:val="18"/>
              </w:rPr>
            </w:pPr>
            <w:r w:rsidRPr="00DB22D2">
              <w:rPr>
                <w:b/>
                <w:sz w:val="18"/>
                <w:szCs w:val="18"/>
              </w:rPr>
              <w:noBreakHyphen/>
            </w:r>
          </w:p>
        </w:tc>
        <w:tc>
          <w:tcPr>
            <w:tcW w:w="507" w:type="pct"/>
            <w:vAlign w:val="bottom"/>
          </w:tcPr>
          <w:p w:rsidR="0077181A" w:rsidRPr="00DB22D2" w:rsidRDefault="0077181A" w:rsidP="008B5474">
            <w:pPr>
              <w:pStyle w:val="TableBodyText"/>
              <w:rPr>
                <w:b/>
                <w:sz w:val="18"/>
                <w:szCs w:val="18"/>
              </w:rPr>
            </w:pPr>
            <w:r w:rsidRPr="00DB22D2">
              <w:rPr>
                <w:b/>
                <w:sz w:val="18"/>
                <w:szCs w:val="18"/>
              </w:rPr>
              <w:t>1.0</w:t>
            </w:r>
          </w:p>
        </w:tc>
        <w:tc>
          <w:tcPr>
            <w:tcW w:w="507" w:type="pct"/>
            <w:vAlign w:val="bottom"/>
          </w:tcPr>
          <w:p w:rsidR="0077181A" w:rsidRPr="00DB22D2" w:rsidRDefault="0077181A" w:rsidP="008B5474">
            <w:pPr>
              <w:pStyle w:val="TableBodyText"/>
              <w:rPr>
                <w:b/>
                <w:sz w:val="18"/>
                <w:szCs w:val="18"/>
              </w:rPr>
            </w:pPr>
            <w:r w:rsidRPr="00DB22D2">
              <w:rPr>
                <w:b/>
                <w:sz w:val="18"/>
                <w:szCs w:val="18"/>
              </w:rPr>
              <w:t>1.0</w:t>
            </w:r>
          </w:p>
        </w:tc>
        <w:tc>
          <w:tcPr>
            <w:tcW w:w="507" w:type="pct"/>
            <w:vAlign w:val="bottom"/>
          </w:tcPr>
          <w:p w:rsidR="0077181A" w:rsidRPr="00DB22D2" w:rsidRDefault="0077181A" w:rsidP="008B5474">
            <w:pPr>
              <w:pStyle w:val="TableBodyText"/>
              <w:rPr>
                <w:b/>
                <w:sz w:val="18"/>
                <w:szCs w:val="18"/>
              </w:rPr>
            </w:pPr>
            <w:r w:rsidRPr="00DB22D2">
              <w:rPr>
                <w:b/>
                <w:sz w:val="18"/>
                <w:szCs w:val="18"/>
              </w:rPr>
              <w:t>14.8</w:t>
            </w:r>
          </w:p>
        </w:tc>
        <w:tc>
          <w:tcPr>
            <w:tcW w:w="507" w:type="pct"/>
            <w:shd w:val="clear" w:color="auto" w:fill="auto"/>
            <w:vAlign w:val="bottom"/>
          </w:tcPr>
          <w:p w:rsidR="0077181A" w:rsidRPr="00DB22D2" w:rsidRDefault="0077181A" w:rsidP="008B5474">
            <w:pPr>
              <w:pStyle w:val="TableBodyText"/>
              <w:rPr>
                <w:b/>
                <w:sz w:val="18"/>
                <w:szCs w:val="18"/>
              </w:rPr>
            </w:pPr>
            <w:r w:rsidRPr="00DB22D2">
              <w:rPr>
                <w:b/>
                <w:sz w:val="18"/>
                <w:szCs w:val="18"/>
              </w:rPr>
              <w:t>15.2</w:t>
            </w:r>
          </w:p>
        </w:tc>
        <w:tc>
          <w:tcPr>
            <w:tcW w:w="505" w:type="pct"/>
            <w:shd w:val="clear" w:color="auto" w:fill="auto"/>
            <w:vAlign w:val="bottom"/>
          </w:tcPr>
          <w:p w:rsidR="0077181A" w:rsidRPr="00DB22D2" w:rsidRDefault="0077181A" w:rsidP="008B5474">
            <w:pPr>
              <w:pStyle w:val="TableBodyText"/>
              <w:rPr>
                <w:b/>
                <w:sz w:val="18"/>
                <w:szCs w:val="18"/>
              </w:rPr>
            </w:pPr>
            <w:r w:rsidRPr="00DB22D2">
              <w:rPr>
                <w:b/>
                <w:sz w:val="18"/>
                <w:szCs w:val="18"/>
              </w:rPr>
              <w:t>5.2</w:t>
            </w:r>
          </w:p>
        </w:tc>
      </w:tr>
      <w:tr w:rsidR="0077181A" w:rsidRPr="006C5A80" w:rsidTr="008B5474">
        <w:tc>
          <w:tcPr>
            <w:tcW w:w="1960" w:type="pct"/>
            <w:vAlign w:val="bottom"/>
          </w:tcPr>
          <w:p w:rsidR="0077181A" w:rsidRPr="00390699" w:rsidRDefault="0077181A" w:rsidP="008B5474">
            <w:pPr>
              <w:pStyle w:val="TableBodyText"/>
              <w:jc w:val="left"/>
              <w:rPr>
                <w:sz w:val="18"/>
                <w:szCs w:val="18"/>
              </w:rPr>
            </w:pPr>
            <w:r w:rsidRPr="00390699">
              <w:rPr>
                <w:sz w:val="18"/>
                <w:szCs w:val="18"/>
              </w:rPr>
              <w:t>Food, beverages and tobacco</w:t>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sidRPr="00DB22D2">
              <w:rPr>
                <w:sz w:val="18"/>
                <w:szCs w:val="18"/>
              </w:rPr>
              <w:t>0.2</w:t>
            </w:r>
          </w:p>
        </w:tc>
        <w:tc>
          <w:tcPr>
            <w:tcW w:w="507" w:type="pct"/>
            <w:vAlign w:val="bottom"/>
          </w:tcPr>
          <w:p w:rsidR="0077181A" w:rsidRPr="00DB22D2" w:rsidRDefault="0077181A" w:rsidP="008B5474">
            <w:pPr>
              <w:pStyle w:val="TableBodyText"/>
              <w:rPr>
                <w:sz w:val="18"/>
                <w:szCs w:val="18"/>
              </w:rPr>
            </w:pPr>
            <w:r w:rsidRPr="00DB22D2">
              <w:rPr>
                <w:sz w:val="18"/>
                <w:szCs w:val="18"/>
              </w:rPr>
              <w:t>0.2</w:t>
            </w:r>
          </w:p>
        </w:tc>
        <w:tc>
          <w:tcPr>
            <w:tcW w:w="507" w:type="pct"/>
            <w:vAlign w:val="bottom"/>
          </w:tcPr>
          <w:p w:rsidR="0077181A" w:rsidRPr="00DB22D2" w:rsidRDefault="0077181A" w:rsidP="008B5474">
            <w:pPr>
              <w:pStyle w:val="TableBodyText"/>
              <w:rPr>
                <w:sz w:val="18"/>
                <w:szCs w:val="18"/>
              </w:rPr>
            </w:pPr>
            <w:r w:rsidRPr="00DB22D2">
              <w:rPr>
                <w:sz w:val="18"/>
                <w:szCs w:val="18"/>
              </w:rPr>
              <w:t>0.6</w:t>
            </w:r>
          </w:p>
        </w:tc>
        <w:tc>
          <w:tcPr>
            <w:tcW w:w="507" w:type="pct"/>
            <w:shd w:val="clear" w:color="auto" w:fill="auto"/>
            <w:vAlign w:val="bottom"/>
          </w:tcPr>
          <w:p w:rsidR="0077181A" w:rsidRPr="00DB22D2" w:rsidRDefault="0077181A" w:rsidP="008B5474">
            <w:pPr>
              <w:pStyle w:val="TableBodyText"/>
              <w:rPr>
                <w:sz w:val="18"/>
                <w:szCs w:val="18"/>
              </w:rPr>
            </w:pPr>
            <w:r w:rsidRPr="00DB22D2">
              <w:rPr>
                <w:sz w:val="18"/>
                <w:szCs w:val="18"/>
              </w:rPr>
              <w:t>0.9</w:t>
            </w:r>
          </w:p>
        </w:tc>
        <w:tc>
          <w:tcPr>
            <w:tcW w:w="505" w:type="pct"/>
            <w:shd w:val="clear" w:color="auto" w:fill="auto"/>
            <w:vAlign w:val="bottom"/>
          </w:tcPr>
          <w:p w:rsidR="0077181A" w:rsidRPr="00DB22D2" w:rsidRDefault="0077181A" w:rsidP="008B5474">
            <w:pPr>
              <w:pStyle w:val="TableBodyText"/>
              <w:rPr>
                <w:sz w:val="18"/>
                <w:szCs w:val="18"/>
              </w:rPr>
            </w:pPr>
            <w:r w:rsidRPr="00DB22D2">
              <w:rPr>
                <w:sz w:val="18"/>
                <w:szCs w:val="18"/>
              </w:rPr>
              <w:t>0.8</w:t>
            </w:r>
          </w:p>
        </w:tc>
      </w:tr>
      <w:tr w:rsidR="0077181A" w:rsidRPr="006C5A80" w:rsidTr="008B5474">
        <w:tc>
          <w:tcPr>
            <w:tcW w:w="1960" w:type="pct"/>
            <w:vAlign w:val="bottom"/>
          </w:tcPr>
          <w:p w:rsidR="0077181A" w:rsidRPr="00390699" w:rsidRDefault="0077181A" w:rsidP="008B5474">
            <w:pPr>
              <w:pStyle w:val="TableBodyText"/>
              <w:jc w:val="left"/>
              <w:rPr>
                <w:sz w:val="18"/>
                <w:szCs w:val="18"/>
              </w:rPr>
            </w:pPr>
            <w:r w:rsidRPr="00390699">
              <w:rPr>
                <w:sz w:val="18"/>
                <w:szCs w:val="18"/>
              </w:rPr>
              <w:t>Textile, leather, clothing and footwear</w:t>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Pr>
                <w:sz w:val="18"/>
                <w:szCs w:val="18"/>
              </w:rPr>
              <w:t>&lt;</w:t>
            </w:r>
            <w:r w:rsidRPr="00DB22D2">
              <w:rPr>
                <w:sz w:val="18"/>
                <w:szCs w:val="18"/>
              </w:rPr>
              <w:t>0.1</w:t>
            </w:r>
          </w:p>
        </w:tc>
        <w:tc>
          <w:tcPr>
            <w:tcW w:w="507" w:type="pct"/>
            <w:vAlign w:val="bottom"/>
          </w:tcPr>
          <w:p w:rsidR="0077181A" w:rsidRPr="00DB22D2" w:rsidRDefault="0077181A" w:rsidP="008B5474">
            <w:pPr>
              <w:pStyle w:val="TableBodyText"/>
              <w:rPr>
                <w:sz w:val="18"/>
                <w:szCs w:val="18"/>
              </w:rPr>
            </w:pPr>
            <w:r>
              <w:rPr>
                <w:sz w:val="18"/>
                <w:szCs w:val="18"/>
              </w:rPr>
              <w:t>&lt;</w:t>
            </w:r>
            <w:r w:rsidRPr="00DB22D2">
              <w:rPr>
                <w:sz w:val="18"/>
                <w:szCs w:val="18"/>
              </w:rPr>
              <w:t>0.1</w:t>
            </w:r>
          </w:p>
        </w:tc>
        <w:tc>
          <w:tcPr>
            <w:tcW w:w="507" w:type="pct"/>
            <w:vAlign w:val="bottom"/>
          </w:tcPr>
          <w:p w:rsidR="0077181A" w:rsidRPr="00DB22D2" w:rsidRDefault="0077181A" w:rsidP="008B5474">
            <w:pPr>
              <w:pStyle w:val="TableBodyText"/>
              <w:rPr>
                <w:sz w:val="18"/>
                <w:szCs w:val="18"/>
              </w:rPr>
            </w:pPr>
            <w:r w:rsidRPr="00DB22D2">
              <w:rPr>
                <w:sz w:val="18"/>
                <w:szCs w:val="18"/>
              </w:rPr>
              <w:t>0.2</w:t>
            </w:r>
          </w:p>
        </w:tc>
        <w:tc>
          <w:tcPr>
            <w:tcW w:w="507" w:type="pct"/>
            <w:shd w:val="clear" w:color="auto" w:fill="auto"/>
            <w:vAlign w:val="bottom"/>
          </w:tcPr>
          <w:p w:rsidR="0077181A" w:rsidRPr="00DB22D2" w:rsidRDefault="0077181A" w:rsidP="008B5474">
            <w:pPr>
              <w:pStyle w:val="TableBodyText"/>
              <w:rPr>
                <w:sz w:val="18"/>
                <w:szCs w:val="18"/>
              </w:rPr>
            </w:pPr>
            <w:r w:rsidRPr="00DB22D2">
              <w:rPr>
                <w:sz w:val="18"/>
                <w:szCs w:val="18"/>
              </w:rPr>
              <w:t>0.4</w:t>
            </w:r>
          </w:p>
        </w:tc>
        <w:tc>
          <w:tcPr>
            <w:tcW w:w="505" w:type="pct"/>
            <w:shd w:val="clear" w:color="auto" w:fill="auto"/>
            <w:vAlign w:val="bottom"/>
          </w:tcPr>
          <w:p w:rsidR="0077181A" w:rsidRPr="00DB22D2" w:rsidRDefault="0077181A" w:rsidP="008B5474">
            <w:pPr>
              <w:pStyle w:val="TableBodyText"/>
              <w:rPr>
                <w:sz w:val="18"/>
                <w:szCs w:val="18"/>
              </w:rPr>
            </w:pPr>
            <w:r w:rsidRPr="00DB22D2">
              <w:rPr>
                <w:sz w:val="18"/>
                <w:szCs w:val="18"/>
              </w:rPr>
              <w:t>0.4</w:t>
            </w:r>
          </w:p>
        </w:tc>
      </w:tr>
      <w:tr w:rsidR="0077181A" w:rsidRPr="006C5A80" w:rsidTr="008B5474">
        <w:tc>
          <w:tcPr>
            <w:tcW w:w="1960" w:type="pct"/>
            <w:vAlign w:val="bottom"/>
          </w:tcPr>
          <w:p w:rsidR="0077181A" w:rsidRPr="00390699" w:rsidRDefault="0077181A" w:rsidP="008B5474">
            <w:pPr>
              <w:pStyle w:val="TableBodyText"/>
              <w:jc w:val="left"/>
              <w:rPr>
                <w:sz w:val="18"/>
                <w:szCs w:val="18"/>
              </w:rPr>
            </w:pPr>
            <w:r w:rsidRPr="00390699">
              <w:rPr>
                <w:sz w:val="18"/>
                <w:szCs w:val="18"/>
              </w:rPr>
              <w:t>Wood and paper products</w:t>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77181A" w:rsidRPr="00DB22D2" w:rsidRDefault="0077181A" w:rsidP="008B5474">
            <w:pPr>
              <w:pStyle w:val="TableBodyText"/>
              <w:rPr>
                <w:sz w:val="18"/>
                <w:szCs w:val="18"/>
              </w:rPr>
            </w:pPr>
            <w:r w:rsidRPr="00DB22D2">
              <w:rPr>
                <w:sz w:val="18"/>
                <w:szCs w:val="18"/>
              </w:rPr>
              <w:t>0.2</w:t>
            </w:r>
          </w:p>
        </w:tc>
        <w:tc>
          <w:tcPr>
            <w:tcW w:w="507" w:type="pct"/>
            <w:shd w:val="clear" w:color="auto" w:fill="auto"/>
            <w:vAlign w:val="bottom"/>
          </w:tcPr>
          <w:p w:rsidR="0077181A" w:rsidRPr="00DB22D2" w:rsidRDefault="0077181A" w:rsidP="008B5474">
            <w:pPr>
              <w:pStyle w:val="TableBodyText"/>
              <w:rPr>
                <w:sz w:val="18"/>
                <w:szCs w:val="18"/>
              </w:rPr>
            </w:pPr>
            <w:r w:rsidRPr="00DB22D2">
              <w:rPr>
                <w:sz w:val="18"/>
                <w:szCs w:val="18"/>
              </w:rPr>
              <w:t>0.5</w:t>
            </w:r>
          </w:p>
        </w:tc>
        <w:tc>
          <w:tcPr>
            <w:tcW w:w="505" w:type="pct"/>
            <w:shd w:val="clear" w:color="auto" w:fill="auto"/>
            <w:vAlign w:val="bottom"/>
          </w:tcPr>
          <w:p w:rsidR="0077181A" w:rsidRPr="00DB22D2" w:rsidRDefault="0077181A" w:rsidP="008B5474">
            <w:pPr>
              <w:pStyle w:val="TableBodyText"/>
              <w:rPr>
                <w:sz w:val="18"/>
                <w:szCs w:val="18"/>
              </w:rPr>
            </w:pPr>
            <w:r w:rsidRPr="00DB22D2">
              <w:rPr>
                <w:sz w:val="18"/>
                <w:szCs w:val="18"/>
              </w:rPr>
              <w:t>0.4</w:t>
            </w:r>
          </w:p>
        </w:tc>
      </w:tr>
      <w:tr w:rsidR="0077181A" w:rsidRPr="006C5A80" w:rsidTr="008B5474">
        <w:tc>
          <w:tcPr>
            <w:tcW w:w="1960" w:type="pct"/>
            <w:vAlign w:val="bottom"/>
          </w:tcPr>
          <w:p w:rsidR="0077181A" w:rsidRPr="00390699" w:rsidRDefault="0077181A" w:rsidP="008B5474">
            <w:pPr>
              <w:pStyle w:val="TableBodyText"/>
              <w:jc w:val="left"/>
              <w:rPr>
                <w:sz w:val="18"/>
                <w:szCs w:val="18"/>
              </w:rPr>
            </w:pPr>
            <w:r w:rsidRPr="00390699">
              <w:rPr>
                <w:sz w:val="18"/>
                <w:szCs w:val="18"/>
              </w:rPr>
              <w:t>Printing and recorded media</w:t>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77181A" w:rsidRPr="00DB22D2" w:rsidRDefault="0077181A" w:rsidP="008B5474">
            <w:pPr>
              <w:pStyle w:val="TableBodyText"/>
              <w:rPr>
                <w:sz w:val="18"/>
                <w:szCs w:val="18"/>
              </w:rPr>
            </w:pPr>
            <w:r w:rsidRPr="00DB22D2">
              <w:rPr>
                <w:sz w:val="18"/>
                <w:szCs w:val="18"/>
              </w:rPr>
              <w:t>0.2</w:t>
            </w:r>
          </w:p>
        </w:tc>
        <w:tc>
          <w:tcPr>
            <w:tcW w:w="507" w:type="pct"/>
            <w:shd w:val="clear" w:color="auto" w:fill="auto"/>
            <w:vAlign w:val="bottom"/>
          </w:tcPr>
          <w:p w:rsidR="0077181A" w:rsidRPr="00DB22D2" w:rsidRDefault="0077181A" w:rsidP="008B5474">
            <w:pPr>
              <w:pStyle w:val="TableBodyText"/>
              <w:rPr>
                <w:sz w:val="18"/>
                <w:szCs w:val="18"/>
              </w:rPr>
            </w:pPr>
            <w:r w:rsidRPr="00DB22D2">
              <w:rPr>
                <w:sz w:val="18"/>
                <w:szCs w:val="18"/>
              </w:rPr>
              <w:t>0.2</w:t>
            </w:r>
          </w:p>
        </w:tc>
        <w:tc>
          <w:tcPr>
            <w:tcW w:w="505" w:type="pct"/>
            <w:shd w:val="clear" w:color="auto" w:fill="auto"/>
            <w:vAlign w:val="bottom"/>
          </w:tcPr>
          <w:p w:rsidR="0077181A" w:rsidRPr="00DB22D2" w:rsidRDefault="0077181A" w:rsidP="008B5474">
            <w:pPr>
              <w:pStyle w:val="TableBodyText"/>
              <w:rPr>
                <w:sz w:val="18"/>
                <w:szCs w:val="18"/>
              </w:rPr>
            </w:pPr>
            <w:r w:rsidRPr="00DB22D2">
              <w:rPr>
                <w:sz w:val="18"/>
                <w:szCs w:val="18"/>
              </w:rPr>
              <w:t>0.2</w:t>
            </w:r>
          </w:p>
        </w:tc>
      </w:tr>
      <w:tr w:rsidR="0077181A" w:rsidRPr="006C5A80" w:rsidTr="008B5474">
        <w:tc>
          <w:tcPr>
            <w:tcW w:w="1960" w:type="pct"/>
            <w:vAlign w:val="bottom"/>
          </w:tcPr>
          <w:p w:rsidR="0077181A" w:rsidRPr="00390699" w:rsidRDefault="0077181A" w:rsidP="008B5474">
            <w:pPr>
              <w:pStyle w:val="TableBodyText"/>
              <w:jc w:val="left"/>
              <w:rPr>
                <w:sz w:val="18"/>
                <w:szCs w:val="18"/>
              </w:rPr>
            </w:pPr>
            <w:r w:rsidRPr="00390699">
              <w:rPr>
                <w:sz w:val="18"/>
                <w:szCs w:val="18"/>
              </w:rPr>
              <w:t>Petroleum, coal, chemical and rubber products</w:t>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77181A" w:rsidRPr="00DB22D2" w:rsidRDefault="0077181A" w:rsidP="008B5474">
            <w:pPr>
              <w:pStyle w:val="TableBodyText"/>
              <w:rPr>
                <w:sz w:val="18"/>
                <w:szCs w:val="18"/>
              </w:rPr>
            </w:pPr>
            <w:r w:rsidRPr="00DB22D2">
              <w:rPr>
                <w:sz w:val="18"/>
                <w:szCs w:val="18"/>
              </w:rPr>
              <w:t>0.5</w:t>
            </w:r>
          </w:p>
        </w:tc>
        <w:tc>
          <w:tcPr>
            <w:tcW w:w="507" w:type="pct"/>
            <w:shd w:val="clear" w:color="auto" w:fill="auto"/>
            <w:vAlign w:val="bottom"/>
          </w:tcPr>
          <w:p w:rsidR="0077181A" w:rsidRPr="00DB22D2" w:rsidRDefault="0077181A" w:rsidP="008B5474">
            <w:pPr>
              <w:pStyle w:val="TableBodyText"/>
              <w:rPr>
                <w:sz w:val="18"/>
                <w:szCs w:val="18"/>
              </w:rPr>
            </w:pPr>
            <w:r w:rsidRPr="00DB22D2">
              <w:rPr>
                <w:sz w:val="18"/>
                <w:szCs w:val="18"/>
              </w:rPr>
              <w:t>0.9</w:t>
            </w:r>
          </w:p>
        </w:tc>
        <w:tc>
          <w:tcPr>
            <w:tcW w:w="505" w:type="pct"/>
            <w:shd w:val="clear" w:color="auto" w:fill="auto"/>
            <w:vAlign w:val="bottom"/>
          </w:tcPr>
          <w:p w:rsidR="0077181A" w:rsidRPr="00DB22D2" w:rsidRDefault="0077181A" w:rsidP="008B5474">
            <w:pPr>
              <w:pStyle w:val="TableBodyText"/>
              <w:rPr>
                <w:sz w:val="18"/>
                <w:szCs w:val="18"/>
              </w:rPr>
            </w:pPr>
            <w:r w:rsidRPr="00DB22D2">
              <w:rPr>
                <w:sz w:val="18"/>
                <w:szCs w:val="18"/>
              </w:rPr>
              <w:t>0.6</w:t>
            </w:r>
          </w:p>
        </w:tc>
      </w:tr>
      <w:tr w:rsidR="0077181A" w:rsidRPr="006C5A80" w:rsidTr="008B5474">
        <w:tc>
          <w:tcPr>
            <w:tcW w:w="1960" w:type="pct"/>
            <w:vAlign w:val="bottom"/>
          </w:tcPr>
          <w:p w:rsidR="0077181A" w:rsidRPr="00390699" w:rsidRDefault="0077181A" w:rsidP="0028109E">
            <w:pPr>
              <w:pStyle w:val="TableBodyText"/>
              <w:jc w:val="left"/>
              <w:rPr>
                <w:sz w:val="18"/>
                <w:szCs w:val="18"/>
              </w:rPr>
            </w:pPr>
            <w:r w:rsidRPr="00390699">
              <w:rPr>
                <w:sz w:val="18"/>
                <w:szCs w:val="18"/>
              </w:rPr>
              <w:t>Non-</w:t>
            </w:r>
            <w:r w:rsidR="0028109E">
              <w:rPr>
                <w:sz w:val="18"/>
                <w:szCs w:val="18"/>
              </w:rPr>
              <w:t>m</w:t>
            </w:r>
            <w:r w:rsidR="0028109E" w:rsidRPr="00390699">
              <w:rPr>
                <w:sz w:val="18"/>
                <w:szCs w:val="18"/>
              </w:rPr>
              <w:t xml:space="preserve">etallic </w:t>
            </w:r>
            <w:r w:rsidRPr="00390699">
              <w:rPr>
                <w:sz w:val="18"/>
                <w:szCs w:val="18"/>
              </w:rPr>
              <w:t>mineral products</w:t>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77181A" w:rsidRPr="00DB22D2" w:rsidRDefault="0077181A" w:rsidP="008B5474">
            <w:pPr>
              <w:pStyle w:val="TableBodyText"/>
              <w:rPr>
                <w:sz w:val="18"/>
                <w:szCs w:val="18"/>
              </w:rPr>
            </w:pPr>
            <w:r w:rsidRPr="00DB22D2">
              <w:rPr>
                <w:sz w:val="18"/>
                <w:szCs w:val="18"/>
              </w:rPr>
              <w:t>0.1</w:t>
            </w:r>
          </w:p>
        </w:tc>
        <w:tc>
          <w:tcPr>
            <w:tcW w:w="507" w:type="pct"/>
            <w:shd w:val="clear" w:color="auto" w:fill="auto"/>
            <w:vAlign w:val="bottom"/>
          </w:tcPr>
          <w:p w:rsidR="0077181A" w:rsidRPr="00DB22D2" w:rsidRDefault="0077181A" w:rsidP="008B5474">
            <w:pPr>
              <w:pStyle w:val="TableBodyText"/>
              <w:rPr>
                <w:sz w:val="18"/>
                <w:szCs w:val="18"/>
              </w:rPr>
            </w:pPr>
            <w:r w:rsidRPr="00DB22D2">
              <w:rPr>
                <w:sz w:val="18"/>
                <w:szCs w:val="18"/>
              </w:rPr>
              <w:t>0.1</w:t>
            </w:r>
          </w:p>
        </w:tc>
        <w:tc>
          <w:tcPr>
            <w:tcW w:w="505" w:type="pct"/>
            <w:shd w:val="clear" w:color="auto" w:fill="auto"/>
            <w:vAlign w:val="bottom"/>
          </w:tcPr>
          <w:p w:rsidR="0077181A" w:rsidRPr="00DB22D2" w:rsidRDefault="0077181A" w:rsidP="008B5474">
            <w:pPr>
              <w:pStyle w:val="TableBodyText"/>
              <w:rPr>
                <w:sz w:val="18"/>
                <w:szCs w:val="18"/>
              </w:rPr>
            </w:pPr>
            <w:r>
              <w:rPr>
                <w:sz w:val="18"/>
                <w:szCs w:val="18"/>
              </w:rPr>
              <w:t>&lt;</w:t>
            </w:r>
            <w:r w:rsidRPr="00DB22D2">
              <w:rPr>
                <w:sz w:val="18"/>
                <w:szCs w:val="18"/>
              </w:rPr>
              <w:t>0.1</w:t>
            </w:r>
          </w:p>
        </w:tc>
      </w:tr>
      <w:tr w:rsidR="0077181A" w:rsidRPr="006C5A80" w:rsidTr="008B5474">
        <w:tc>
          <w:tcPr>
            <w:tcW w:w="1960" w:type="pct"/>
            <w:vAlign w:val="bottom"/>
          </w:tcPr>
          <w:p w:rsidR="0077181A" w:rsidRPr="00390699" w:rsidRDefault="0077181A" w:rsidP="008B5474">
            <w:pPr>
              <w:pStyle w:val="TableBodyText"/>
              <w:jc w:val="left"/>
              <w:rPr>
                <w:sz w:val="18"/>
                <w:szCs w:val="18"/>
              </w:rPr>
            </w:pPr>
            <w:r w:rsidRPr="00390699">
              <w:rPr>
                <w:sz w:val="18"/>
                <w:szCs w:val="18"/>
              </w:rPr>
              <w:t>Metal and fabricated metal products</w:t>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sidRPr="00DB22D2">
              <w:rPr>
                <w:sz w:val="18"/>
                <w:szCs w:val="18"/>
              </w:rPr>
              <w:t>0.2</w:t>
            </w:r>
          </w:p>
        </w:tc>
        <w:tc>
          <w:tcPr>
            <w:tcW w:w="507" w:type="pct"/>
            <w:vAlign w:val="bottom"/>
          </w:tcPr>
          <w:p w:rsidR="0077181A" w:rsidRPr="00DB22D2" w:rsidRDefault="0077181A" w:rsidP="008B5474">
            <w:pPr>
              <w:pStyle w:val="TableBodyText"/>
              <w:rPr>
                <w:sz w:val="18"/>
                <w:szCs w:val="18"/>
              </w:rPr>
            </w:pPr>
            <w:r w:rsidRPr="00DB22D2">
              <w:rPr>
                <w:sz w:val="18"/>
                <w:szCs w:val="18"/>
              </w:rPr>
              <w:t>0.2</w:t>
            </w:r>
          </w:p>
        </w:tc>
        <w:tc>
          <w:tcPr>
            <w:tcW w:w="507" w:type="pct"/>
            <w:vAlign w:val="bottom"/>
          </w:tcPr>
          <w:p w:rsidR="0077181A" w:rsidRPr="00DB22D2" w:rsidRDefault="0077181A" w:rsidP="008B5474">
            <w:pPr>
              <w:pStyle w:val="TableBodyText"/>
              <w:rPr>
                <w:sz w:val="18"/>
                <w:szCs w:val="18"/>
              </w:rPr>
            </w:pPr>
            <w:r w:rsidRPr="00DB22D2">
              <w:rPr>
                <w:sz w:val="18"/>
                <w:szCs w:val="18"/>
              </w:rPr>
              <w:t>0.9</w:t>
            </w:r>
          </w:p>
        </w:tc>
        <w:tc>
          <w:tcPr>
            <w:tcW w:w="507" w:type="pct"/>
            <w:shd w:val="clear" w:color="auto" w:fill="auto"/>
            <w:vAlign w:val="bottom"/>
          </w:tcPr>
          <w:p w:rsidR="0077181A" w:rsidRPr="00DB22D2" w:rsidRDefault="0077181A" w:rsidP="008B5474">
            <w:pPr>
              <w:pStyle w:val="TableBodyText"/>
              <w:rPr>
                <w:sz w:val="18"/>
                <w:szCs w:val="18"/>
              </w:rPr>
            </w:pPr>
            <w:r w:rsidRPr="00DB22D2">
              <w:rPr>
                <w:sz w:val="18"/>
                <w:szCs w:val="18"/>
              </w:rPr>
              <w:t>1.3</w:t>
            </w:r>
          </w:p>
        </w:tc>
        <w:tc>
          <w:tcPr>
            <w:tcW w:w="505" w:type="pct"/>
            <w:shd w:val="clear" w:color="auto" w:fill="auto"/>
            <w:vAlign w:val="bottom"/>
          </w:tcPr>
          <w:p w:rsidR="0077181A" w:rsidRPr="00DB22D2" w:rsidRDefault="0077181A" w:rsidP="008B5474">
            <w:pPr>
              <w:pStyle w:val="TableBodyText"/>
              <w:rPr>
                <w:sz w:val="18"/>
                <w:szCs w:val="18"/>
              </w:rPr>
            </w:pPr>
            <w:r w:rsidRPr="00DB22D2">
              <w:rPr>
                <w:sz w:val="18"/>
                <w:szCs w:val="18"/>
              </w:rPr>
              <w:t>0.9</w:t>
            </w:r>
          </w:p>
        </w:tc>
      </w:tr>
      <w:tr w:rsidR="0077181A" w:rsidRPr="006C5A80" w:rsidTr="008B5474">
        <w:tc>
          <w:tcPr>
            <w:tcW w:w="1960" w:type="pct"/>
            <w:vAlign w:val="bottom"/>
          </w:tcPr>
          <w:p w:rsidR="0077181A" w:rsidRPr="00390699" w:rsidRDefault="0077181A" w:rsidP="008B5474">
            <w:pPr>
              <w:pStyle w:val="TableBodyText"/>
              <w:jc w:val="left"/>
              <w:rPr>
                <w:sz w:val="18"/>
                <w:szCs w:val="18"/>
              </w:rPr>
            </w:pPr>
            <w:r>
              <w:rPr>
                <w:sz w:val="18"/>
                <w:szCs w:val="18"/>
              </w:rPr>
              <w:t>Motor vehicles and parts</w:t>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77181A" w:rsidRPr="00DB22D2" w:rsidRDefault="0077181A" w:rsidP="008B5474">
            <w:pPr>
              <w:pStyle w:val="TableBodyText"/>
              <w:rPr>
                <w:sz w:val="18"/>
                <w:szCs w:val="18"/>
              </w:rPr>
            </w:pPr>
            <w:r w:rsidRPr="00DB22D2">
              <w:rPr>
                <w:sz w:val="18"/>
                <w:szCs w:val="18"/>
              </w:rPr>
              <w:t>0.2</w:t>
            </w:r>
          </w:p>
        </w:tc>
        <w:tc>
          <w:tcPr>
            <w:tcW w:w="507" w:type="pct"/>
            <w:shd w:val="clear" w:color="auto" w:fill="auto"/>
            <w:vAlign w:val="bottom"/>
          </w:tcPr>
          <w:p w:rsidR="0077181A" w:rsidRPr="00DB22D2" w:rsidRDefault="0077181A" w:rsidP="008B5474">
            <w:pPr>
              <w:pStyle w:val="TableBodyText"/>
              <w:rPr>
                <w:sz w:val="18"/>
                <w:szCs w:val="18"/>
              </w:rPr>
            </w:pPr>
            <w:r w:rsidRPr="00DB22D2">
              <w:rPr>
                <w:sz w:val="18"/>
                <w:szCs w:val="18"/>
              </w:rPr>
              <w:noBreakHyphen/>
            </w:r>
          </w:p>
        </w:tc>
        <w:tc>
          <w:tcPr>
            <w:tcW w:w="505" w:type="pct"/>
            <w:shd w:val="clear" w:color="auto" w:fill="auto"/>
            <w:vAlign w:val="bottom"/>
          </w:tcPr>
          <w:p w:rsidR="0077181A" w:rsidRPr="00DB22D2" w:rsidRDefault="0077181A" w:rsidP="008B5474">
            <w:pPr>
              <w:pStyle w:val="TableBodyText"/>
              <w:rPr>
                <w:sz w:val="18"/>
                <w:szCs w:val="18"/>
              </w:rPr>
            </w:pPr>
            <w:r w:rsidRPr="00DB22D2">
              <w:rPr>
                <w:sz w:val="18"/>
                <w:szCs w:val="18"/>
              </w:rPr>
              <w:t>0.2</w:t>
            </w:r>
          </w:p>
        </w:tc>
      </w:tr>
      <w:tr w:rsidR="0077181A" w:rsidRPr="006C5A80" w:rsidTr="008B5474">
        <w:tc>
          <w:tcPr>
            <w:tcW w:w="1960" w:type="pct"/>
            <w:vAlign w:val="bottom"/>
          </w:tcPr>
          <w:p w:rsidR="0077181A" w:rsidRPr="00390699" w:rsidRDefault="0077181A" w:rsidP="008B5474">
            <w:pPr>
              <w:pStyle w:val="TableBodyText"/>
              <w:jc w:val="left"/>
              <w:rPr>
                <w:sz w:val="18"/>
                <w:szCs w:val="18"/>
              </w:rPr>
            </w:pPr>
            <w:r w:rsidRPr="00390699">
              <w:rPr>
                <w:sz w:val="18"/>
                <w:szCs w:val="18"/>
              </w:rPr>
              <w:t>Other transport equipment</w:t>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77181A" w:rsidRPr="00DB22D2" w:rsidRDefault="0077181A" w:rsidP="008B5474">
            <w:pPr>
              <w:pStyle w:val="TableBodyText"/>
              <w:rPr>
                <w:sz w:val="18"/>
                <w:szCs w:val="18"/>
              </w:rPr>
            </w:pPr>
            <w:r>
              <w:rPr>
                <w:sz w:val="18"/>
                <w:szCs w:val="18"/>
              </w:rPr>
              <w:t>&lt;</w:t>
            </w:r>
            <w:r w:rsidRPr="00DB22D2">
              <w:rPr>
                <w:sz w:val="18"/>
                <w:szCs w:val="18"/>
              </w:rPr>
              <w:t>0.1</w:t>
            </w:r>
          </w:p>
        </w:tc>
        <w:tc>
          <w:tcPr>
            <w:tcW w:w="507" w:type="pct"/>
            <w:shd w:val="clear" w:color="auto" w:fill="auto"/>
            <w:vAlign w:val="bottom"/>
          </w:tcPr>
          <w:p w:rsidR="0077181A" w:rsidRPr="00DB22D2" w:rsidRDefault="0077181A" w:rsidP="008B5474">
            <w:pPr>
              <w:pStyle w:val="TableBodyText"/>
              <w:rPr>
                <w:sz w:val="18"/>
                <w:szCs w:val="18"/>
              </w:rPr>
            </w:pPr>
            <w:r w:rsidRPr="00DB22D2">
              <w:rPr>
                <w:sz w:val="18"/>
                <w:szCs w:val="18"/>
              </w:rPr>
              <w:t>0.4</w:t>
            </w:r>
          </w:p>
        </w:tc>
        <w:tc>
          <w:tcPr>
            <w:tcW w:w="505" w:type="pct"/>
            <w:shd w:val="clear" w:color="auto" w:fill="auto"/>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r>
      <w:tr w:rsidR="0077181A" w:rsidRPr="006C5A80" w:rsidTr="008B5474">
        <w:tc>
          <w:tcPr>
            <w:tcW w:w="1960" w:type="pct"/>
            <w:vAlign w:val="bottom"/>
          </w:tcPr>
          <w:p w:rsidR="0077181A" w:rsidRPr="00390699" w:rsidRDefault="0077181A" w:rsidP="008B5474">
            <w:pPr>
              <w:pStyle w:val="TableBodyText"/>
              <w:jc w:val="left"/>
              <w:rPr>
                <w:sz w:val="18"/>
                <w:szCs w:val="18"/>
              </w:rPr>
            </w:pPr>
            <w:r w:rsidRPr="00390699">
              <w:rPr>
                <w:sz w:val="18"/>
                <w:szCs w:val="18"/>
              </w:rPr>
              <w:t>Machinery and equipment manufacturing</w:t>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sidRPr="00DB22D2">
              <w:rPr>
                <w:sz w:val="18"/>
                <w:szCs w:val="18"/>
              </w:rPr>
              <w:t>0.2</w:t>
            </w:r>
          </w:p>
        </w:tc>
        <w:tc>
          <w:tcPr>
            <w:tcW w:w="507" w:type="pct"/>
            <w:vAlign w:val="bottom"/>
          </w:tcPr>
          <w:p w:rsidR="0077181A" w:rsidRPr="00DB22D2" w:rsidRDefault="0077181A" w:rsidP="008B5474">
            <w:pPr>
              <w:pStyle w:val="TableBodyText"/>
              <w:rPr>
                <w:sz w:val="18"/>
                <w:szCs w:val="18"/>
              </w:rPr>
            </w:pPr>
            <w:r w:rsidRPr="00DB22D2">
              <w:rPr>
                <w:sz w:val="18"/>
                <w:szCs w:val="18"/>
              </w:rPr>
              <w:t>0.2</w:t>
            </w:r>
          </w:p>
        </w:tc>
        <w:tc>
          <w:tcPr>
            <w:tcW w:w="507" w:type="pct"/>
            <w:vAlign w:val="bottom"/>
          </w:tcPr>
          <w:p w:rsidR="0077181A" w:rsidRPr="00DB22D2" w:rsidRDefault="0077181A" w:rsidP="008B5474">
            <w:pPr>
              <w:pStyle w:val="TableBodyText"/>
              <w:rPr>
                <w:sz w:val="18"/>
                <w:szCs w:val="18"/>
              </w:rPr>
            </w:pPr>
            <w:r w:rsidRPr="00DB22D2">
              <w:rPr>
                <w:sz w:val="18"/>
                <w:szCs w:val="18"/>
              </w:rPr>
              <w:t>1.0</w:t>
            </w:r>
          </w:p>
        </w:tc>
        <w:tc>
          <w:tcPr>
            <w:tcW w:w="507" w:type="pct"/>
            <w:shd w:val="clear" w:color="auto" w:fill="auto"/>
            <w:vAlign w:val="bottom"/>
          </w:tcPr>
          <w:p w:rsidR="0077181A" w:rsidRPr="00DB22D2" w:rsidRDefault="0077181A" w:rsidP="008B5474">
            <w:pPr>
              <w:pStyle w:val="TableBodyText"/>
              <w:rPr>
                <w:sz w:val="18"/>
                <w:szCs w:val="18"/>
              </w:rPr>
            </w:pPr>
            <w:r w:rsidRPr="00DB22D2">
              <w:rPr>
                <w:sz w:val="18"/>
                <w:szCs w:val="18"/>
              </w:rPr>
              <w:t>1.1</w:t>
            </w:r>
          </w:p>
        </w:tc>
        <w:tc>
          <w:tcPr>
            <w:tcW w:w="505" w:type="pct"/>
            <w:shd w:val="clear" w:color="auto" w:fill="auto"/>
            <w:vAlign w:val="bottom"/>
          </w:tcPr>
          <w:p w:rsidR="0077181A" w:rsidRPr="00DB22D2" w:rsidRDefault="0077181A" w:rsidP="008B5474">
            <w:pPr>
              <w:pStyle w:val="TableBodyText"/>
              <w:rPr>
                <w:sz w:val="18"/>
                <w:szCs w:val="18"/>
              </w:rPr>
            </w:pPr>
            <w:r w:rsidRPr="00DB22D2">
              <w:rPr>
                <w:sz w:val="18"/>
                <w:szCs w:val="18"/>
              </w:rPr>
              <w:t>1.1</w:t>
            </w:r>
          </w:p>
        </w:tc>
      </w:tr>
      <w:tr w:rsidR="0077181A" w:rsidRPr="006C5A80" w:rsidTr="008B5474">
        <w:tc>
          <w:tcPr>
            <w:tcW w:w="1960" w:type="pct"/>
            <w:vAlign w:val="bottom"/>
          </w:tcPr>
          <w:p w:rsidR="0077181A" w:rsidRPr="00390699" w:rsidRDefault="0077181A" w:rsidP="008B5474">
            <w:pPr>
              <w:pStyle w:val="TableBodyText"/>
              <w:jc w:val="left"/>
              <w:rPr>
                <w:sz w:val="18"/>
                <w:szCs w:val="18"/>
              </w:rPr>
            </w:pPr>
            <w:r w:rsidRPr="00390699">
              <w:rPr>
                <w:sz w:val="18"/>
                <w:szCs w:val="18"/>
              </w:rPr>
              <w:t>Furniture and other manufacturing</w:t>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sidRPr="00DB22D2">
              <w:rPr>
                <w:sz w:val="18"/>
                <w:szCs w:val="18"/>
              </w:rPr>
              <w:t>0.2</w:t>
            </w:r>
          </w:p>
        </w:tc>
        <w:tc>
          <w:tcPr>
            <w:tcW w:w="507" w:type="pct"/>
            <w:vAlign w:val="bottom"/>
          </w:tcPr>
          <w:p w:rsidR="0077181A" w:rsidRPr="00DB22D2" w:rsidRDefault="0077181A" w:rsidP="008B5474">
            <w:pPr>
              <w:pStyle w:val="TableBodyText"/>
              <w:rPr>
                <w:sz w:val="18"/>
                <w:szCs w:val="18"/>
              </w:rPr>
            </w:pPr>
            <w:r w:rsidRPr="00DB22D2">
              <w:rPr>
                <w:sz w:val="18"/>
                <w:szCs w:val="18"/>
              </w:rPr>
              <w:t>0.2</w:t>
            </w:r>
          </w:p>
        </w:tc>
        <w:tc>
          <w:tcPr>
            <w:tcW w:w="507" w:type="pct"/>
            <w:vAlign w:val="bottom"/>
          </w:tcPr>
          <w:p w:rsidR="0077181A" w:rsidRPr="00DB22D2" w:rsidRDefault="0077181A" w:rsidP="008B5474">
            <w:pPr>
              <w:pStyle w:val="TableBodyText"/>
              <w:rPr>
                <w:sz w:val="18"/>
                <w:szCs w:val="18"/>
              </w:rPr>
            </w:pPr>
            <w:r w:rsidRPr="00DB22D2">
              <w:rPr>
                <w:sz w:val="18"/>
                <w:szCs w:val="18"/>
              </w:rPr>
              <w:t>0.4</w:t>
            </w:r>
          </w:p>
        </w:tc>
        <w:tc>
          <w:tcPr>
            <w:tcW w:w="507" w:type="pct"/>
            <w:shd w:val="clear" w:color="auto" w:fill="auto"/>
            <w:vAlign w:val="bottom"/>
          </w:tcPr>
          <w:p w:rsidR="0077181A" w:rsidRPr="00DB22D2" w:rsidRDefault="0077181A" w:rsidP="008B5474">
            <w:pPr>
              <w:pStyle w:val="TableBodyText"/>
              <w:rPr>
                <w:sz w:val="18"/>
                <w:szCs w:val="18"/>
              </w:rPr>
            </w:pPr>
            <w:r w:rsidRPr="00DB22D2">
              <w:rPr>
                <w:sz w:val="18"/>
                <w:szCs w:val="18"/>
              </w:rPr>
              <w:t>0.3</w:t>
            </w:r>
          </w:p>
        </w:tc>
        <w:tc>
          <w:tcPr>
            <w:tcW w:w="505" w:type="pct"/>
            <w:shd w:val="clear" w:color="auto" w:fill="auto"/>
            <w:vAlign w:val="bottom"/>
          </w:tcPr>
          <w:p w:rsidR="0077181A" w:rsidRPr="00DB22D2" w:rsidRDefault="0077181A" w:rsidP="008B5474">
            <w:pPr>
              <w:pStyle w:val="TableBodyText"/>
              <w:rPr>
                <w:sz w:val="18"/>
                <w:szCs w:val="18"/>
              </w:rPr>
            </w:pPr>
            <w:r w:rsidRPr="00DB22D2">
              <w:rPr>
                <w:sz w:val="18"/>
                <w:szCs w:val="18"/>
              </w:rPr>
              <w:t>0.3</w:t>
            </w:r>
          </w:p>
        </w:tc>
      </w:tr>
      <w:tr w:rsidR="0077181A" w:rsidRPr="006C5A80" w:rsidTr="008B5474">
        <w:tc>
          <w:tcPr>
            <w:tcW w:w="1960" w:type="pct"/>
            <w:vAlign w:val="bottom"/>
          </w:tcPr>
          <w:p w:rsidR="0077181A" w:rsidRPr="00390699" w:rsidRDefault="0077181A" w:rsidP="008B5474">
            <w:pPr>
              <w:pStyle w:val="TableBodyText"/>
              <w:jc w:val="left"/>
              <w:rPr>
                <w:sz w:val="18"/>
                <w:szCs w:val="18"/>
              </w:rPr>
            </w:pPr>
            <w:r>
              <w:rPr>
                <w:sz w:val="18"/>
                <w:szCs w:val="18"/>
              </w:rPr>
              <w:t>Unallocated manufacturing</w:t>
            </w:r>
            <w:r w:rsidRPr="00390699">
              <w:rPr>
                <w:rStyle w:val="NoteLabel"/>
                <w:szCs w:val="18"/>
              </w:rPr>
              <w:t>a</w:t>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sidRPr="00DB22D2">
              <w:rPr>
                <w:sz w:val="18"/>
                <w:szCs w:val="18"/>
              </w:rPr>
              <w:t>10.6</w:t>
            </w:r>
          </w:p>
        </w:tc>
        <w:tc>
          <w:tcPr>
            <w:tcW w:w="507" w:type="pct"/>
            <w:shd w:val="clear" w:color="auto" w:fill="auto"/>
            <w:vAlign w:val="bottom"/>
          </w:tcPr>
          <w:p w:rsidR="0077181A" w:rsidRPr="00DB22D2" w:rsidRDefault="0077181A" w:rsidP="008B5474">
            <w:pPr>
              <w:pStyle w:val="TableBodyText"/>
              <w:rPr>
                <w:sz w:val="18"/>
                <w:szCs w:val="18"/>
              </w:rPr>
            </w:pPr>
            <w:r w:rsidRPr="00DB22D2">
              <w:rPr>
                <w:sz w:val="18"/>
                <w:szCs w:val="18"/>
              </w:rPr>
              <w:t>9.2</w:t>
            </w:r>
          </w:p>
        </w:tc>
        <w:tc>
          <w:tcPr>
            <w:tcW w:w="505" w:type="pct"/>
            <w:shd w:val="clear" w:color="auto" w:fill="auto"/>
            <w:vAlign w:val="bottom"/>
          </w:tcPr>
          <w:p w:rsidR="0077181A" w:rsidRPr="00DB22D2" w:rsidRDefault="0077181A" w:rsidP="008B5474">
            <w:pPr>
              <w:pStyle w:val="TableBodyText"/>
              <w:rPr>
                <w:sz w:val="18"/>
                <w:szCs w:val="18"/>
              </w:rPr>
            </w:pPr>
            <w:r w:rsidRPr="00DB22D2">
              <w:rPr>
                <w:sz w:val="18"/>
                <w:szCs w:val="18"/>
              </w:rPr>
              <w:t>0.1</w:t>
            </w:r>
          </w:p>
        </w:tc>
      </w:tr>
      <w:tr w:rsidR="0077181A" w:rsidRPr="006C5A80" w:rsidTr="008B5474">
        <w:tc>
          <w:tcPr>
            <w:tcW w:w="1960" w:type="pct"/>
            <w:vAlign w:val="bottom"/>
          </w:tcPr>
          <w:p w:rsidR="0077181A" w:rsidRPr="00390699" w:rsidRDefault="0077181A" w:rsidP="008B5474">
            <w:pPr>
              <w:pStyle w:val="TableBodyText"/>
              <w:jc w:val="left"/>
              <w:rPr>
                <w:b/>
                <w:sz w:val="18"/>
                <w:szCs w:val="18"/>
              </w:rPr>
            </w:pPr>
            <w:r w:rsidRPr="00390699">
              <w:rPr>
                <w:b/>
                <w:sz w:val="18"/>
                <w:szCs w:val="18"/>
              </w:rPr>
              <w:t>Services</w:t>
            </w:r>
          </w:p>
        </w:tc>
        <w:tc>
          <w:tcPr>
            <w:tcW w:w="507" w:type="pct"/>
            <w:vAlign w:val="bottom"/>
          </w:tcPr>
          <w:p w:rsidR="0077181A" w:rsidRPr="00DB22D2" w:rsidRDefault="0077181A" w:rsidP="008B5474">
            <w:pPr>
              <w:pStyle w:val="TableBodyText"/>
              <w:rPr>
                <w:b/>
                <w:sz w:val="18"/>
                <w:szCs w:val="18"/>
              </w:rPr>
            </w:pPr>
            <w:r w:rsidRPr="00DB22D2">
              <w:rPr>
                <w:b/>
                <w:sz w:val="18"/>
                <w:szCs w:val="18"/>
              </w:rPr>
              <w:noBreakHyphen/>
            </w:r>
          </w:p>
        </w:tc>
        <w:tc>
          <w:tcPr>
            <w:tcW w:w="507" w:type="pct"/>
            <w:vAlign w:val="bottom"/>
          </w:tcPr>
          <w:p w:rsidR="0077181A" w:rsidRPr="00DB22D2" w:rsidRDefault="0077181A" w:rsidP="008B5474">
            <w:pPr>
              <w:pStyle w:val="TableBodyText"/>
              <w:rPr>
                <w:b/>
                <w:sz w:val="18"/>
                <w:szCs w:val="18"/>
              </w:rPr>
            </w:pPr>
            <w:r w:rsidRPr="00DB22D2">
              <w:rPr>
                <w:b/>
                <w:sz w:val="18"/>
                <w:szCs w:val="18"/>
              </w:rPr>
              <w:t>4.0</w:t>
            </w:r>
          </w:p>
        </w:tc>
        <w:tc>
          <w:tcPr>
            <w:tcW w:w="507" w:type="pct"/>
            <w:vAlign w:val="bottom"/>
          </w:tcPr>
          <w:p w:rsidR="0077181A" w:rsidRPr="00DB22D2" w:rsidRDefault="0077181A" w:rsidP="008B5474">
            <w:pPr>
              <w:pStyle w:val="TableBodyText"/>
              <w:rPr>
                <w:b/>
                <w:sz w:val="18"/>
                <w:szCs w:val="18"/>
              </w:rPr>
            </w:pPr>
            <w:r w:rsidRPr="00DB22D2">
              <w:rPr>
                <w:b/>
                <w:sz w:val="18"/>
                <w:szCs w:val="18"/>
              </w:rPr>
              <w:t>4.0</w:t>
            </w:r>
          </w:p>
        </w:tc>
        <w:tc>
          <w:tcPr>
            <w:tcW w:w="507" w:type="pct"/>
            <w:vAlign w:val="bottom"/>
          </w:tcPr>
          <w:p w:rsidR="0077181A" w:rsidRPr="00DB22D2" w:rsidRDefault="0077181A" w:rsidP="008B5474">
            <w:pPr>
              <w:pStyle w:val="TableBodyText"/>
              <w:rPr>
                <w:b/>
                <w:sz w:val="18"/>
                <w:szCs w:val="18"/>
              </w:rPr>
            </w:pPr>
            <w:r w:rsidRPr="00DB22D2">
              <w:rPr>
                <w:b/>
                <w:sz w:val="18"/>
                <w:szCs w:val="18"/>
              </w:rPr>
              <w:t>5.0</w:t>
            </w:r>
          </w:p>
        </w:tc>
        <w:tc>
          <w:tcPr>
            <w:tcW w:w="507" w:type="pct"/>
            <w:shd w:val="clear" w:color="auto" w:fill="auto"/>
            <w:vAlign w:val="bottom"/>
          </w:tcPr>
          <w:p w:rsidR="0077181A" w:rsidRPr="00DB22D2" w:rsidRDefault="0077181A" w:rsidP="008B5474">
            <w:pPr>
              <w:pStyle w:val="TableBodyText"/>
              <w:rPr>
                <w:b/>
                <w:sz w:val="18"/>
                <w:szCs w:val="18"/>
              </w:rPr>
            </w:pPr>
            <w:r w:rsidRPr="00DB22D2">
              <w:rPr>
                <w:b/>
                <w:sz w:val="18"/>
                <w:szCs w:val="18"/>
              </w:rPr>
              <w:t>6.7</w:t>
            </w:r>
          </w:p>
        </w:tc>
        <w:tc>
          <w:tcPr>
            <w:tcW w:w="505" w:type="pct"/>
            <w:shd w:val="clear" w:color="auto" w:fill="auto"/>
            <w:vAlign w:val="bottom"/>
          </w:tcPr>
          <w:p w:rsidR="0077181A" w:rsidRPr="00DB22D2" w:rsidRDefault="0077181A" w:rsidP="008B5474">
            <w:pPr>
              <w:pStyle w:val="TableBodyText"/>
              <w:rPr>
                <w:b/>
                <w:sz w:val="18"/>
                <w:szCs w:val="18"/>
              </w:rPr>
            </w:pPr>
            <w:r w:rsidRPr="00DB22D2">
              <w:rPr>
                <w:b/>
                <w:sz w:val="18"/>
                <w:szCs w:val="18"/>
              </w:rPr>
              <w:t>20.7</w:t>
            </w:r>
          </w:p>
        </w:tc>
      </w:tr>
      <w:tr w:rsidR="0077181A" w:rsidRPr="006C5A80" w:rsidTr="008B5474">
        <w:tc>
          <w:tcPr>
            <w:tcW w:w="1960" w:type="pct"/>
            <w:vAlign w:val="bottom"/>
          </w:tcPr>
          <w:p w:rsidR="0077181A" w:rsidRPr="00390699" w:rsidRDefault="0077181A" w:rsidP="008B5474">
            <w:pPr>
              <w:pStyle w:val="TableBodyText"/>
              <w:jc w:val="left"/>
              <w:rPr>
                <w:sz w:val="18"/>
                <w:szCs w:val="18"/>
              </w:rPr>
            </w:pPr>
            <w:r w:rsidRPr="00390699">
              <w:rPr>
                <w:sz w:val="18"/>
                <w:szCs w:val="18"/>
              </w:rPr>
              <w:t>Electricity, gas, water and waste services</w:t>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77181A" w:rsidRPr="00DB22D2" w:rsidRDefault="0077181A" w:rsidP="008B5474">
            <w:pPr>
              <w:pStyle w:val="TableBodyText"/>
              <w:rPr>
                <w:sz w:val="18"/>
                <w:szCs w:val="18"/>
              </w:rPr>
            </w:pPr>
            <w:r>
              <w:rPr>
                <w:sz w:val="18"/>
                <w:szCs w:val="18"/>
              </w:rPr>
              <w:t>&lt;</w:t>
            </w:r>
            <w:r w:rsidRPr="00DB22D2">
              <w:rPr>
                <w:sz w:val="18"/>
                <w:szCs w:val="18"/>
              </w:rPr>
              <w:t>0.1</w:t>
            </w:r>
          </w:p>
        </w:tc>
        <w:tc>
          <w:tcPr>
            <w:tcW w:w="507" w:type="pct"/>
            <w:shd w:val="clear" w:color="auto" w:fill="auto"/>
            <w:vAlign w:val="bottom"/>
          </w:tcPr>
          <w:p w:rsidR="0077181A" w:rsidRPr="00DB22D2" w:rsidRDefault="0077181A" w:rsidP="008B5474">
            <w:pPr>
              <w:pStyle w:val="TableBodyText"/>
              <w:rPr>
                <w:sz w:val="18"/>
                <w:szCs w:val="18"/>
              </w:rPr>
            </w:pPr>
            <w:r w:rsidRPr="00DB22D2">
              <w:rPr>
                <w:sz w:val="18"/>
                <w:szCs w:val="18"/>
              </w:rPr>
              <w:t>0.2</w:t>
            </w:r>
          </w:p>
        </w:tc>
        <w:tc>
          <w:tcPr>
            <w:tcW w:w="505" w:type="pct"/>
            <w:shd w:val="clear" w:color="auto" w:fill="auto"/>
            <w:vAlign w:val="bottom"/>
          </w:tcPr>
          <w:p w:rsidR="0077181A" w:rsidRPr="00DB22D2" w:rsidRDefault="0077181A" w:rsidP="008B5474">
            <w:pPr>
              <w:pStyle w:val="TableBodyText"/>
              <w:rPr>
                <w:sz w:val="18"/>
                <w:szCs w:val="18"/>
              </w:rPr>
            </w:pPr>
            <w:r w:rsidRPr="00DB22D2">
              <w:rPr>
                <w:sz w:val="18"/>
                <w:szCs w:val="18"/>
              </w:rPr>
              <w:t>0.3</w:t>
            </w:r>
          </w:p>
        </w:tc>
      </w:tr>
      <w:tr w:rsidR="0077181A" w:rsidRPr="006C5A80" w:rsidTr="008B5474">
        <w:tc>
          <w:tcPr>
            <w:tcW w:w="1960" w:type="pct"/>
            <w:vAlign w:val="bottom"/>
          </w:tcPr>
          <w:p w:rsidR="0077181A" w:rsidRPr="00390699" w:rsidRDefault="0077181A" w:rsidP="008B5474">
            <w:pPr>
              <w:pStyle w:val="TableBodyText"/>
              <w:jc w:val="left"/>
              <w:rPr>
                <w:sz w:val="18"/>
                <w:szCs w:val="18"/>
              </w:rPr>
            </w:pPr>
            <w:r w:rsidRPr="00390699">
              <w:rPr>
                <w:sz w:val="18"/>
                <w:szCs w:val="18"/>
              </w:rPr>
              <w:t>Construction</w:t>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77181A" w:rsidRPr="00DB22D2" w:rsidRDefault="0077181A" w:rsidP="008B5474">
            <w:pPr>
              <w:pStyle w:val="TableBodyText"/>
              <w:rPr>
                <w:sz w:val="18"/>
                <w:szCs w:val="18"/>
              </w:rPr>
            </w:pPr>
            <w:r w:rsidRPr="00DB22D2">
              <w:rPr>
                <w:sz w:val="18"/>
                <w:szCs w:val="18"/>
              </w:rPr>
              <w:t>0.2</w:t>
            </w:r>
          </w:p>
        </w:tc>
        <w:tc>
          <w:tcPr>
            <w:tcW w:w="507" w:type="pct"/>
            <w:shd w:val="clear" w:color="auto" w:fill="auto"/>
            <w:vAlign w:val="bottom"/>
          </w:tcPr>
          <w:p w:rsidR="0077181A" w:rsidRPr="00DB22D2" w:rsidRDefault="0077181A" w:rsidP="008B5474">
            <w:pPr>
              <w:pStyle w:val="TableBodyText"/>
              <w:rPr>
                <w:sz w:val="18"/>
                <w:szCs w:val="18"/>
              </w:rPr>
            </w:pPr>
            <w:r w:rsidRPr="00DB22D2">
              <w:rPr>
                <w:sz w:val="18"/>
                <w:szCs w:val="18"/>
              </w:rPr>
              <w:t>0.3</w:t>
            </w:r>
          </w:p>
        </w:tc>
        <w:tc>
          <w:tcPr>
            <w:tcW w:w="505" w:type="pct"/>
            <w:shd w:val="clear" w:color="auto" w:fill="auto"/>
            <w:vAlign w:val="bottom"/>
          </w:tcPr>
          <w:p w:rsidR="0077181A" w:rsidRPr="00DB22D2" w:rsidRDefault="0077181A" w:rsidP="008B5474">
            <w:pPr>
              <w:pStyle w:val="TableBodyText"/>
              <w:rPr>
                <w:sz w:val="18"/>
                <w:szCs w:val="18"/>
              </w:rPr>
            </w:pPr>
            <w:r w:rsidRPr="00DB22D2">
              <w:rPr>
                <w:sz w:val="18"/>
                <w:szCs w:val="18"/>
              </w:rPr>
              <w:t>0.5</w:t>
            </w:r>
          </w:p>
        </w:tc>
      </w:tr>
      <w:tr w:rsidR="0077181A" w:rsidRPr="006C5A80" w:rsidTr="008B5474">
        <w:tc>
          <w:tcPr>
            <w:tcW w:w="1960" w:type="pct"/>
            <w:vAlign w:val="bottom"/>
          </w:tcPr>
          <w:p w:rsidR="0077181A" w:rsidRPr="00390699" w:rsidRDefault="0077181A" w:rsidP="008B5474">
            <w:pPr>
              <w:pStyle w:val="TableBodyText"/>
              <w:jc w:val="left"/>
              <w:rPr>
                <w:sz w:val="18"/>
                <w:szCs w:val="18"/>
              </w:rPr>
            </w:pPr>
            <w:r w:rsidRPr="00390699">
              <w:rPr>
                <w:sz w:val="18"/>
                <w:szCs w:val="18"/>
              </w:rPr>
              <w:t>Wholesale trade</w:t>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77181A" w:rsidRPr="00DB22D2" w:rsidRDefault="0077181A" w:rsidP="008B5474">
            <w:pPr>
              <w:pStyle w:val="TableBodyText"/>
              <w:rPr>
                <w:sz w:val="18"/>
                <w:szCs w:val="18"/>
              </w:rPr>
            </w:pPr>
            <w:r w:rsidRPr="00DB22D2">
              <w:rPr>
                <w:sz w:val="18"/>
                <w:szCs w:val="18"/>
              </w:rPr>
              <w:t>0.1</w:t>
            </w:r>
          </w:p>
        </w:tc>
        <w:tc>
          <w:tcPr>
            <w:tcW w:w="507" w:type="pct"/>
            <w:shd w:val="clear" w:color="auto" w:fill="auto"/>
            <w:vAlign w:val="bottom"/>
          </w:tcPr>
          <w:p w:rsidR="0077181A" w:rsidRPr="00DB22D2" w:rsidRDefault="0077181A" w:rsidP="008B5474">
            <w:pPr>
              <w:pStyle w:val="TableBodyText"/>
              <w:rPr>
                <w:sz w:val="18"/>
                <w:szCs w:val="18"/>
              </w:rPr>
            </w:pPr>
            <w:r w:rsidRPr="00DB22D2">
              <w:rPr>
                <w:sz w:val="18"/>
                <w:szCs w:val="18"/>
              </w:rPr>
              <w:t>0.3</w:t>
            </w:r>
          </w:p>
        </w:tc>
        <w:tc>
          <w:tcPr>
            <w:tcW w:w="505" w:type="pct"/>
            <w:shd w:val="clear" w:color="auto" w:fill="auto"/>
            <w:vAlign w:val="bottom"/>
          </w:tcPr>
          <w:p w:rsidR="0077181A" w:rsidRPr="00DB22D2" w:rsidRDefault="0077181A" w:rsidP="008B5474">
            <w:pPr>
              <w:pStyle w:val="TableBodyText"/>
              <w:rPr>
                <w:sz w:val="18"/>
                <w:szCs w:val="18"/>
              </w:rPr>
            </w:pPr>
            <w:r w:rsidRPr="00DB22D2">
              <w:rPr>
                <w:sz w:val="18"/>
                <w:szCs w:val="18"/>
              </w:rPr>
              <w:t>0.3</w:t>
            </w:r>
          </w:p>
        </w:tc>
      </w:tr>
      <w:tr w:rsidR="0077181A" w:rsidRPr="006C5A80" w:rsidTr="008B5474">
        <w:tc>
          <w:tcPr>
            <w:tcW w:w="1960" w:type="pct"/>
            <w:vAlign w:val="bottom"/>
          </w:tcPr>
          <w:p w:rsidR="0077181A" w:rsidRPr="00390699" w:rsidRDefault="0077181A" w:rsidP="008B5474">
            <w:pPr>
              <w:pStyle w:val="TableBodyText"/>
              <w:jc w:val="left"/>
              <w:rPr>
                <w:sz w:val="18"/>
                <w:szCs w:val="18"/>
              </w:rPr>
            </w:pPr>
            <w:r w:rsidRPr="00390699">
              <w:rPr>
                <w:sz w:val="18"/>
                <w:szCs w:val="18"/>
              </w:rPr>
              <w:t>Retail trade</w:t>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c>
          <w:tcPr>
            <w:tcW w:w="507" w:type="pct"/>
            <w:shd w:val="clear" w:color="auto" w:fill="auto"/>
            <w:vAlign w:val="bottom"/>
          </w:tcPr>
          <w:p w:rsidR="0077181A" w:rsidRPr="00DB22D2" w:rsidRDefault="0077181A" w:rsidP="008B5474">
            <w:pPr>
              <w:pStyle w:val="TableBodyText"/>
              <w:rPr>
                <w:sz w:val="18"/>
                <w:szCs w:val="18"/>
              </w:rPr>
            </w:pPr>
            <w:r w:rsidRPr="00DB22D2">
              <w:rPr>
                <w:sz w:val="18"/>
                <w:szCs w:val="18"/>
              </w:rPr>
              <w:t>0.1</w:t>
            </w:r>
          </w:p>
        </w:tc>
        <w:tc>
          <w:tcPr>
            <w:tcW w:w="505" w:type="pct"/>
            <w:shd w:val="clear" w:color="auto" w:fill="auto"/>
            <w:vAlign w:val="bottom"/>
          </w:tcPr>
          <w:p w:rsidR="0077181A" w:rsidRPr="00DB22D2" w:rsidRDefault="0077181A" w:rsidP="008B5474">
            <w:pPr>
              <w:pStyle w:val="TableBodyText"/>
              <w:rPr>
                <w:sz w:val="18"/>
                <w:szCs w:val="18"/>
              </w:rPr>
            </w:pPr>
            <w:r w:rsidRPr="00DB22D2">
              <w:rPr>
                <w:sz w:val="18"/>
                <w:szCs w:val="18"/>
              </w:rPr>
              <w:t>0.2</w:t>
            </w:r>
          </w:p>
        </w:tc>
      </w:tr>
      <w:tr w:rsidR="0077181A" w:rsidRPr="006C5A80" w:rsidTr="008B5474">
        <w:tc>
          <w:tcPr>
            <w:tcW w:w="1960" w:type="pct"/>
            <w:vAlign w:val="bottom"/>
          </w:tcPr>
          <w:p w:rsidR="0077181A" w:rsidRPr="00390699" w:rsidRDefault="0077181A" w:rsidP="008B5474">
            <w:pPr>
              <w:pStyle w:val="TableBodyText"/>
              <w:jc w:val="left"/>
              <w:rPr>
                <w:sz w:val="18"/>
                <w:szCs w:val="18"/>
              </w:rPr>
            </w:pPr>
            <w:r w:rsidRPr="00390699">
              <w:rPr>
                <w:sz w:val="18"/>
                <w:szCs w:val="18"/>
              </w:rPr>
              <w:t>Accommodation and food services</w:t>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c>
          <w:tcPr>
            <w:tcW w:w="507" w:type="pct"/>
            <w:shd w:val="clear" w:color="auto" w:fill="auto"/>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c>
          <w:tcPr>
            <w:tcW w:w="505" w:type="pct"/>
            <w:shd w:val="clear" w:color="auto" w:fill="auto"/>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r>
      <w:tr w:rsidR="0077181A" w:rsidRPr="006C5A80" w:rsidTr="008B5474">
        <w:tc>
          <w:tcPr>
            <w:tcW w:w="1960" w:type="pct"/>
            <w:vAlign w:val="bottom"/>
          </w:tcPr>
          <w:p w:rsidR="0077181A" w:rsidRPr="00390699" w:rsidRDefault="0077181A" w:rsidP="008B5474">
            <w:pPr>
              <w:pStyle w:val="TableBodyText"/>
              <w:jc w:val="left"/>
              <w:rPr>
                <w:sz w:val="18"/>
                <w:szCs w:val="18"/>
              </w:rPr>
            </w:pPr>
            <w:r w:rsidRPr="00390699">
              <w:rPr>
                <w:sz w:val="18"/>
                <w:szCs w:val="18"/>
              </w:rPr>
              <w:t>Transport, postal and warehousing</w:t>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c>
          <w:tcPr>
            <w:tcW w:w="507" w:type="pct"/>
            <w:shd w:val="clear" w:color="auto" w:fill="auto"/>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c>
          <w:tcPr>
            <w:tcW w:w="505" w:type="pct"/>
            <w:shd w:val="clear" w:color="auto" w:fill="auto"/>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r>
      <w:tr w:rsidR="0077181A" w:rsidRPr="006C5A80" w:rsidTr="008B5474">
        <w:tc>
          <w:tcPr>
            <w:tcW w:w="1960" w:type="pct"/>
            <w:vAlign w:val="bottom"/>
          </w:tcPr>
          <w:p w:rsidR="0077181A" w:rsidRPr="00390699" w:rsidRDefault="0077181A" w:rsidP="008B5474">
            <w:pPr>
              <w:pStyle w:val="TableBodyText"/>
              <w:jc w:val="left"/>
              <w:rPr>
                <w:sz w:val="18"/>
                <w:szCs w:val="18"/>
              </w:rPr>
            </w:pPr>
            <w:r w:rsidRPr="00390699">
              <w:rPr>
                <w:sz w:val="18"/>
                <w:szCs w:val="18"/>
              </w:rPr>
              <w:t>Information, media and telecommunications</w:t>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77181A" w:rsidRPr="00DB22D2" w:rsidRDefault="0077181A" w:rsidP="008B5474">
            <w:pPr>
              <w:pStyle w:val="TableBodyText"/>
              <w:rPr>
                <w:sz w:val="18"/>
                <w:szCs w:val="18"/>
              </w:rPr>
            </w:pPr>
            <w:r w:rsidRPr="00DB22D2">
              <w:rPr>
                <w:sz w:val="18"/>
                <w:szCs w:val="18"/>
              </w:rPr>
              <w:t>0.1</w:t>
            </w:r>
          </w:p>
        </w:tc>
        <w:tc>
          <w:tcPr>
            <w:tcW w:w="507" w:type="pct"/>
            <w:shd w:val="clear" w:color="auto" w:fill="auto"/>
            <w:vAlign w:val="bottom"/>
          </w:tcPr>
          <w:p w:rsidR="0077181A" w:rsidRPr="00DB22D2" w:rsidRDefault="0077181A" w:rsidP="008B5474">
            <w:pPr>
              <w:pStyle w:val="TableBodyText"/>
              <w:rPr>
                <w:sz w:val="18"/>
                <w:szCs w:val="18"/>
              </w:rPr>
            </w:pPr>
            <w:r w:rsidRPr="00DB22D2">
              <w:rPr>
                <w:sz w:val="18"/>
                <w:szCs w:val="18"/>
              </w:rPr>
              <w:t>0.1</w:t>
            </w:r>
          </w:p>
        </w:tc>
        <w:tc>
          <w:tcPr>
            <w:tcW w:w="505" w:type="pct"/>
            <w:shd w:val="clear" w:color="auto" w:fill="auto"/>
            <w:vAlign w:val="bottom"/>
          </w:tcPr>
          <w:p w:rsidR="0077181A" w:rsidRPr="00DB22D2" w:rsidRDefault="0077181A" w:rsidP="008B5474">
            <w:pPr>
              <w:pStyle w:val="TableBodyText"/>
              <w:rPr>
                <w:sz w:val="18"/>
                <w:szCs w:val="18"/>
              </w:rPr>
            </w:pPr>
            <w:r w:rsidRPr="00DB22D2">
              <w:rPr>
                <w:sz w:val="18"/>
                <w:szCs w:val="18"/>
              </w:rPr>
              <w:t>0.1</w:t>
            </w:r>
          </w:p>
        </w:tc>
      </w:tr>
      <w:tr w:rsidR="0077181A" w:rsidRPr="006C5A80" w:rsidTr="008B5474">
        <w:tc>
          <w:tcPr>
            <w:tcW w:w="1960" w:type="pct"/>
            <w:vAlign w:val="bottom"/>
          </w:tcPr>
          <w:p w:rsidR="0077181A" w:rsidRPr="00390699" w:rsidRDefault="0077181A" w:rsidP="008B5474">
            <w:pPr>
              <w:pStyle w:val="TableBodyText"/>
              <w:jc w:val="left"/>
              <w:rPr>
                <w:sz w:val="18"/>
                <w:szCs w:val="18"/>
              </w:rPr>
            </w:pPr>
            <w:r w:rsidRPr="00390699">
              <w:rPr>
                <w:sz w:val="18"/>
                <w:szCs w:val="18"/>
              </w:rPr>
              <w:t>Financial and insurance services</w:t>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c>
          <w:tcPr>
            <w:tcW w:w="507" w:type="pct"/>
            <w:shd w:val="clear" w:color="auto" w:fill="auto"/>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c>
          <w:tcPr>
            <w:tcW w:w="505" w:type="pct"/>
            <w:shd w:val="clear" w:color="auto" w:fill="auto"/>
            <w:vAlign w:val="bottom"/>
          </w:tcPr>
          <w:p w:rsidR="0077181A" w:rsidRPr="00DB22D2" w:rsidRDefault="0077181A" w:rsidP="008B5474">
            <w:pPr>
              <w:pStyle w:val="TableBodyText"/>
              <w:rPr>
                <w:sz w:val="18"/>
                <w:szCs w:val="18"/>
              </w:rPr>
            </w:pPr>
            <w:r w:rsidRPr="00DB22D2">
              <w:rPr>
                <w:sz w:val="18"/>
                <w:szCs w:val="18"/>
              </w:rPr>
              <w:noBreakHyphen/>
            </w:r>
          </w:p>
        </w:tc>
      </w:tr>
      <w:tr w:rsidR="0077181A" w:rsidRPr="006C5A80" w:rsidTr="008B5474">
        <w:tc>
          <w:tcPr>
            <w:tcW w:w="1960" w:type="pct"/>
            <w:vAlign w:val="bottom"/>
          </w:tcPr>
          <w:p w:rsidR="0077181A" w:rsidRPr="00390699" w:rsidRDefault="0077181A" w:rsidP="008B5474">
            <w:pPr>
              <w:pStyle w:val="TableBodyText"/>
              <w:jc w:val="left"/>
              <w:rPr>
                <w:sz w:val="18"/>
                <w:szCs w:val="18"/>
              </w:rPr>
            </w:pPr>
            <w:r w:rsidRPr="00390699">
              <w:rPr>
                <w:sz w:val="18"/>
                <w:szCs w:val="18"/>
              </w:rPr>
              <w:t>Property, professional and administrative services</w:t>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sidRPr="00DB22D2">
              <w:rPr>
                <w:sz w:val="18"/>
                <w:szCs w:val="18"/>
              </w:rPr>
              <w:t>2.8</w:t>
            </w:r>
          </w:p>
        </w:tc>
        <w:tc>
          <w:tcPr>
            <w:tcW w:w="507" w:type="pct"/>
            <w:vAlign w:val="bottom"/>
          </w:tcPr>
          <w:p w:rsidR="0077181A" w:rsidRPr="00DB22D2" w:rsidRDefault="0077181A" w:rsidP="008B5474">
            <w:pPr>
              <w:pStyle w:val="TableBodyText"/>
              <w:rPr>
                <w:sz w:val="18"/>
                <w:szCs w:val="18"/>
              </w:rPr>
            </w:pPr>
            <w:r w:rsidRPr="00DB22D2">
              <w:rPr>
                <w:sz w:val="18"/>
                <w:szCs w:val="18"/>
              </w:rPr>
              <w:t>2.8</w:t>
            </w:r>
          </w:p>
        </w:tc>
        <w:tc>
          <w:tcPr>
            <w:tcW w:w="507" w:type="pct"/>
            <w:vAlign w:val="bottom"/>
          </w:tcPr>
          <w:p w:rsidR="0077181A" w:rsidRPr="00DB22D2" w:rsidRDefault="0077181A" w:rsidP="008B5474">
            <w:pPr>
              <w:pStyle w:val="TableBodyText"/>
              <w:rPr>
                <w:sz w:val="18"/>
                <w:szCs w:val="18"/>
              </w:rPr>
            </w:pPr>
            <w:r w:rsidRPr="00DB22D2">
              <w:rPr>
                <w:sz w:val="18"/>
                <w:szCs w:val="18"/>
              </w:rPr>
              <w:t>1.4</w:t>
            </w:r>
          </w:p>
        </w:tc>
        <w:tc>
          <w:tcPr>
            <w:tcW w:w="507" w:type="pct"/>
            <w:shd w:val="clear" w:color="auto" w:fill="auto"/>
            <w:vAlign w:val="bottom"/>
          </w:tcPr>
          <w:p w:rsidR="0077181A" w:rsidRPr="00DB22D2" w:rsidRDefault="0077181A" w:rsidP="008B5474">
            <w:pPr>
              <w:pStyle w:val="TableBodyText"/>
              <w:rPr>
                <w:sz w:val="18"/>
                <w:szCs w:val="18"/>
              </w:rPr>
            </w:pPr>
            <w:r w:rsidRPr="00DB22D2">
              <w:rPr>
                <w:sz w:val="18"/>
                <w:szCs w:val="18"/>
              </w:rPr>
              <w:t>2.6</w:t>
            </w:r>
          </w:p>
        </w:tc>
        <w:tc>
          <w:tcPr>
            <w:tcW w:w="505" w:type="pct"/>
            <w:shd w:val="clear" w:color="auto" w:fill="auto"/>
            <w:vAlign w:val="bottom"/>
          </w:tcPr>
          <w:p w:rsidR="0077181A" w:rsidRPr="00DB22D2" w:rsidRDefault="0077181A" w:rsidP="008B5474">
            <w:pPr>
              <w:pStyle w:val="TableBodyText"/>
              <w:rPr>
                <w:sz w:val="18"/>
                <w:szCs w:val="18"/>
              </w:rPr>
            </w:pPr>
            <w:r w:rsidRPr="00DB22D2">
              <w:rPr>
                <w:sz w:val="18"/>
                <w:szCs w:val="18"/>
              </w:rPr>
              <w:t>3.7</w:t>
            </w:r>
          </w:p>
        </w:tc>
      </w:tr>
      <w:tr w:rsidR="0077181A" w:rsidRPr="006C5A80" w:rsidTr="008B5474">
        <w:tc>
          <w:tcPr>
            <w:tcW w:w="1960" w:type="pct"/>
            <w:vAlign w:val="bottom"/>
          </w:tcPr>
          <w:p w:rsidR="0077181A" w:rsidRPr="00390699" w:rsidRDefault="0077181A" w:rsidP="008B5474">
            <w:pPr>
              <w:pStyle w:val="TableBodyText"/>
              <w:jc w:val="left"/>
              <w:rPr>
                <w:sz w:val="18"/>
                <w:szCs w:val="18"/>
              </w:rPr>
            </w:pPr>
            <w:r w:rsidRPr="00390699">
              <w:rPr>
                <w:sz w:val="18"/>
                <w:szCs w:val="18"/>
              </w:rPr>
              <w:t>Public administration and safety</w:t>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sidRPr="00DB22D2">
              <w:rPr>
                <w:sz w:val="18"/>
                <w:szCs w:val="18"/>
              </w:rPr>
              <w:t>0.2</w:t>
            </w:r>
          </w:p>
        </w:tc>
        <w:tc>
          <w:tcPr>
            <w:tcW w:w="507" w:type="pct"/>
            <w:vAlign w:val="bottom"/>
          </w:tcPr>
          <w:p w:rsidR="0077181A" w:rsidRPr="00DB22D2" w:rsidRDefault="0077181A" w:rsidP="008B5474">
            <w:pPr>
              <w:pStyle w:val="TableBodyText"/>
              <w:rPr>
                <w:sz w:val="18"/>
                <w:szCs w:val="18"/>
              </w:rPr>
            </w:pPr>
            <w:r w:rsidRPr="00DB22D2">
              <w:rPr>
                <w:sz w:val="18"/>
                <w:szCs w:val="18"/>
              </w:rPr>
              <w:t>0.2</w:t>
            </w:r>
          </w:p>
        </w:tc>
        <w:tc>
          <w:tcPr>
            <w:tcW w:w="507" w:type="pct"/>
            <w:vAlign w:val="bottom"/>
          </w:tcPr>
          <w:p w:rsidR="0077181A" w:rsidRPr="00DB22D2" w:rsidRDefault="0077181A" w:rsidP="008B5474">
            <w:pPr>
              <w:pStyle w:val="TableBodyText"/>
              <w:rPr>
                <w:sz w:val="18"/>
                <w:szCs w:val="18"/>
              </w:rPr>
            </w:pPr>
            <w:r w:rsidRPr="00DB22D2">
              <w:rPr>
                <w:sz w:val="18"/>
                <w:szCs w:val="18"/>
              </w:rPr>
              <w:t>0.7</w:t>
            </w:r>
          </w:p>
        </w:tc>
        <w:tc>
          <w:tcPr>
            <w:tcW w:w="507" w:type="pct"/>
            <w:shd w:val="clear" w:color="auto" w:fill="auto"/>
            <w:vAlign w:val="bottom"/>
          </w:tcPr>
          <w:p w:rsidR="0077181A" w:rsidRPr="00DB22D2" w:rsidRDefault="0077181A" w:rsidP="008B5474">
            <w:pPr>
              <w:pStyle w:val="TableBodyText"/>
              <w:rPr>
                <w:sz w:val="18"/>
                <w:szCs w:val="18"/>
              </w:rPr>
            </w:pPr>
            <w:r w:rsidRPr="00DB22D2">
              <w:rPr>
                <w:sz w:val="18"/>
                <w:szCs w:val="18"/>
              </w:rPr>
              <w:t>0.2</w:t>
            </w:r>
          </w:p>
        </w:tc>
        <w:tc>
          <w:tcPr>
            <w:tcW w:w="505" w:type="pct"/>
            <w:shd w:val="clear" w:color="auto" w:fill="auto"/>
            <w:vAlign w:val="bottom"/>
          </w:tcPr>
          <w:p w:rsidR="0077181A" w:rsidRPr="00DB22D2" w:rsidRDefault="0077181A" w:rsidP="008B5474">
            <w:pPr>
              <w:pStyle w:val="TableBodyText"/>
              <w:rPr>
                <w:sz w:val="18"/>
                <w:szCs w:val="18"/>
              </w:rPr>
            </w:pPr>
            <w:r w:rsidRPr="00DB22D2">
              <w:rPr>
                <w:sz w:val="18"/>
                <w:szCs w:val="18"/>
              </w:rPr>
              <w:t>0.8</w:t>
            </w:r>
          </w:p>
        </w:tc>
      </w:tr>
      <w:tr w:rsidR="0077181A" w:rsidRPr="006C5A80" w:rsidTr="008B5474">
        <w:tc>
          <w:tcPr>
            <w:tcW w:w="1960" w:type="pct"/>
            <w:vAlign w:val="bottom"/>
          </w:tcPr>
          <w:p w:rsidR="0077181A" w:rsidRPr="00390699" w:rsidRDefault="0077181A" w:rsidP="008B5474">
            <w:pPr>
              <w:pStyle w:val="TableBodyText"/>
              <w:jc w:val="left"/>
              <w:rPr>
                <w:sz w:val="18"/>
                <w:szCs w:val="18"/>
              </w:rPr>
            </w:pPr>
            <w:r w:rsidRPr="00390699">
              <w:rPr>
                <w:sz w:val="18"/>
                <w:szCs w:val="18"/>
              </w:rPr>
              <w:t>Education and training</w:t>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sidRPr="00DB22D2">
              <w:rPr>
                <w:sz w:val="18"/>
                <w:szCs w:val="18"/>
              </w:rPr>
              <w:t>0.7</w:t>
            </w:r>
          </w:p>
        </w:tc>
        <w:tc>
          <w:tcPr>
            <w:tcW w:w="507" w:type="pct"/>
            <w:vAlign w:val="bottom"/>
          </w:tcPr>
          <w:p w:rsidR="0077181A" w:rsidRPr="00DB22D2" w:rsidRDefault="0077181A" w:rsidP="008B5474">
            <w:pPr>
              <w:pStyle w:val="TableBodyText"/>
              <w:rPr>
                <w:sz w:val="18"/>
                <w:szCs w:val="18"/>
              </w:rPr>
            </w:pPr>
            <w:r w:rsidRPr="00DB22D2">
              <w:rPr>
                <w:sz w:val="18"/>
                <w:szCs w:val="18"/>
              </w:rPr>
              <w:t>0.7</w:t>
            </w:r>
          </w:p>
        </w:tc>
        <w:tc>
          <w:tcPr>
            <w:tcW w:w="507" w:type="pct"/>
            <w:vAlign w:val="bottom"/>
          </w:tcPr>
          <w:p w:rsidR="0077181A" w:rsidRPr="00DB22D2" w:rsidRDefault="0077181A" w:rsidP="008B5474">
            <w:pPr>
              <w:pStyle w:val="TableBodyText"/>
              <w:rPr>
                <w:sz w:val="18"/>
                <w:szCs w:val="18"/>
              </w:rPr>
            </w:pPr>
            <w:r w:rsidRPr="00DB22D2">
              <w:rPr>
                <w:sz w:val="18"/>
                <w:szCs w:val="18"/>
              </w:rPr>
              <w:t>1.7</w:t>
            </w:r>
          </w:p>
        </w:tc>
        <w:tc>
          <w:tcPr>
            <w:tcW w:w="507" w:type="pct"/>
            <w:shd w:val="clear" w:color="auto" w:fill="auto"/>
            <w:vAlign w:val="bottom"/>
          </w:tcPr>
          <w:p w:rsidR="0077181A" w:rsidRPr="00DB22D2" w:rsidRDefault="0077181A" w:rsidP="008B5474">
            <w:pPr>
              <w:pStyle w:val="TableBodyText"/>
              <w:rPr>
                <w:sz w:val="18"/>
                <w:szCs w:val="18"/>
              </w:rPr>
            </w:pPr>
            <w:r w:rsidRPr="00DB22D2">
              <w:rPr>
                <w:sz w:val="18"/>
                <w:szCs w:val="18"/>
              </w:rPr>
              <w:t>1.1</w:t>
            </w:r>
          </w:p>
        </w:tc>
        <w:tc>
          <w:tcPr>
            <w:tcW w:w="505" w:type="pct"/>
            <w:shd w:val="clear" w:color="auto" w:fill="auto"/>
            <w:vAlign w:val="bottom"/>
          </w:tcPr>
          <w:p w:rsidR="0077181A" w:rsidRPr="00DB22D2" w:rsidRDefault="0077181A" w:rsidP="008B5474">
            <w:pPr>
              <w:pStyle w:val="TableBodyText"/>
              <w:rPr>
                <w:sz w:val="18"/>
                <w:szCs w:val="18"/>
              </w:rPr>
            </w:pPr>
            <w:r w:rsidRPr="00DB22D2">
              <w:rPr>
                <w:sz w:val="18"/>
                <w:szCs w:val="18"/>
              </w:rPr>
              <w:t>2.6</w:t>
            </w:r>
          </w:p>
        </w:tc>
      </w:tr>
      <w:tr w:rsidR="0077181A" w:rsidRPr="006C5A80" w:rsidTr="008B5474">
        <w:tc>
          <w:tcPr>
            <w:tcW w:w="1960" w:type="pct"/>
            <w:vAlign w:val="bottom"/>
          </w:tcPr>
          <w:p w:rsidR="0077181A" w:rsidRPr="00390699" w:rsidRDefault="0077181A" w:rsidP="008B5474">
            <w:pPr>
              <w:pStyle w:val="TableBodyText"/>
              <w:jc w:val="left"/>
              <w:rPr>
                <w:sz w:val="18"/>
                <w:szCs w:val="18"/>
              </w:rPr>
            </w:pPr>
            <w:r w:rsidRPr="00390699">
              <w:rPr>
                <w:sz w:val="18"/>
                <w:szCs w:val="18"/>
              </w:rPr>
              <w:t>Health care and social assistance</w:t>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c>
          <w:tcPr>
            <w:tcW w:w="507" w:type="pct"/>
            <w:shd w:val="clear" w:color="auto" w:fill="auto"/>
            <w:vAlign w:val="bottom"/>
          </w:tcPr>
          <w:p w:rsidR="0077181A" w:rsidRPr="00DB22D2" w:rsidRDefault="0077181A" w:rsidP="008B5474">
            <w:pPr>
              <w:pStyle w:val="TableBodyText"/>
              <w:rPr>
                <w:sz w:val="18"/>
                <w:szCs w:val="18"/>
              </w:rPr>
            </w:pPr>
            <w:r w:rsidRPr="00DB22D2">
              <w:rPr>
                <w:sz w:val="18"/>
                <w:szCs w:val="18"/>
              </w:rPr>
              <w:noBreakHyphen/>
            </w:r>
          </w:p>
        </w:tc>
        <w:tc>
          <w:tcPr>
            <w:tcW w:w="505" w:type="pct"/>
            <w:shd w:val="clear" w:color="auto" w:fill="auto"/>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r>
      <w:tr w:rsidR="0077181A" w:rsidRPr="006C5A80" w:rsidTr="008B5474">
        <w:tc>
          <w:tcPr>
            <w:tcW w:w="1960" w:type="pct"/>
            <w:vAlign w:val="bottom"/>
          </w:tcPr>
          <w:p w:rsidR="0077181A" w:rsidRPr="00390699" w:rsidRDefault="0077181A" w:rsidP="008B5474">
            <w:pPr>
              <w:pStyle w:val="TableBodyText"/>
              <w:jc w:val="left"/>
              <w:rPr>
                <w:sz w:val="18"/>
                <w:szCs w:val="18"/>
              </w:rPr>
            </w:pPr>
            <w:r w:rsidRPr="00390699">
              <w:rPr>
                <w:sz w:val="18"/>
                <w:szCs w:val="18"/>
              </w:rPr>
              <w:t>Arts and recreation services</w:t>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c>
          <w:tcPr>
            <w:tcW w:w="507" w:type="pct"/>
            <w:shd w:val="clear" w:color="auto" w:fill="auto"/>
            <w:vAlign w:val="bottom"/>
          </w:tcPr>
          <w:p w:rsidR="0077181A" w:rsidRPr="00DB22D2" w:rsidRDefault="0077181A" w:rsidP="008B5474">
            <w:pPr>
              <w:pStyle w:val="TableBodyText"/>
              <w:rPr>
                <w:sz w:val="18"/>
                <w:szCs w:val="18"/>
              </w:rPr>
            </w:pPr>
            <w:r>
              <w:rPr>
                <w:sz w:val="18"/>
                <w:szCs w:val="18"/>
              </w:rPr>
              <w:t>&lt;</w:t>
            </w:r>
            <w:r w:rsidRPr="00DB22D2">
              <w:rPr>
                <w:sz w:val="18"/>
                <w:szCs w:val="18"/>
              </w:rPr>
              <w:t>0.1</w:t>
            </w:r>
          </w:p>
        </w:tc>
        <w:tc>
          <w:tcPr>
            <w:tcW w:w="505" w:type="pct"/>
            <w:shd w:val="clear" w:color="auto" w:fill="auto"/>
            <w:vAlign w:val="bottom"/>
          </w:tcPr>
          <w:p w:rsidR="0077181A" w:rsidRPr="00DB22D2" w:rsidRDefault="0077181A" w:rsidP="008B5474">
            <w:pPr>
              <w:pStyle w:val="TableBodyText"/>
              <w:rPr>
                <w:sz w:val="18"/>
                <w:szCs w:val="18"/>
              </w:rPr>
            </w:pPr>
            <w:r>
              <w:rPr>
                <w:sz w:val="18"/>
                <w:szCs w:val="18"/>
              </w:rPr>
              <w:t>&lt;</w:t>
            </w:r>
            <w:r w:rsidRPr="00DB22D2">
              <w:rPr>
                <w:sz w:val="18"/>
                <w:szCs w:val="18"/>
              </w:rPr>
              <w:t>0.1</w:t>
            </w:r>
          </w:p>
        </w:tc>
      </w:tr>
      <w:tr w:rsidR="0077181A" w:rsidRPr="006C5A80" w:rsidTr="008B5474">
        <w:tc>
          <w:tcPr>
            <w:tcW w:w="1960" w:type="pct"/>
            <w:vAlign w:val="bottom"/>
          </w:tcPr>
          <w:p w:rsidR="0077181A" w:rsidRPr="00390699" w:rsidRDefault="0077181A" w:rsidP="008B5474">
            <w:pPr>
              <w:pStyle w:val="TableBodyText"/>
              <w:jc w:val="left"/>
              <w:rPr>
                <w:sz w:val="18"/>
                <w:szCs w:val="18"/>
              </w:rPr>
            </w:pPr>
            <w:r w:rsidRPr="00390699">
              <w:rPr>
                <w:sz w:val="18"/>
                <w:szCs w:val="18"/>
              </w:rPr>
              <w:t>Other services</w:t>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sidRPr="00DB22D2">
              <w:rPr>
                <w:sz w:val="18"/>
                <w:szCs w:val="18"/>
              </w:rPr>
              <w:t>0.5</w:t>
            </w:r>
          </w:p>
        </w:tc>
        <w:tc>
          <w:tcPr>
            <w:tcW w:w="507" w:type="pct"/>
            <w:shd w:val="clear" w:color="auto" w:fill="auto"/>
            <w:vAlign w:val="bottom"/>
          </w:tcPr>
          <w:p w:rsidR="0077181A" w:rsidRPr="00DB22D2" w:rsidRDefault="0077181A" w:rsidP="008B5474">
            <w:pPr>
              <w:pStyle w:val="TableBodyText"/>
              <w:rPr>
                <w:sz w:val="18"/>
                <w:szCs w:val="18"/>
              </w:rPr>
            </w:pPr>
            <w:r w:rsidRPr="00DB22D2">
              <w:rPr>
                <w:sz w:val="18"/>
                <w:szCs w:val="18"/>
              </w:rPr>
              <w:t>1.6</w:t>
            </w:r>
          </w:p>
        </w:tc>
        <w:tc>
          <w:tcPr>
            <w:tcW w:w="505" w:type="pct"/>
            <w:shd w:val="clear" w:color="auto" w:fill="auto"/>
            <w:vAlign w:val="bottom"/>
          </w:tcPr>
          <w:p w:rsidR="0077181A" w:rsidRPr="00DB22D2" w:rsidRDefault="0077181A" w:rsidP="008B5474">
            <w:pPr>
              <w:pStyle w:val="TableBodyText"/>
              <w:rPr>
                <w:sz w:val="18"/>
                <w:szCs w:val="18"/>
              </w:rPr>
            </w:pPr>
            <w:r w:rsidRPr="00DB22D2">
              <w:rPr>
                <w:sz w:val="18"/>
                <w:szCs w:val="18"/>
              </w:rPr>
              <w:t>12.1</w:t>
            </w:r>
          </w:p>
        </w:tc>
      </w:tr>
      <w:tr w:rsidR="0077181A" w:rsidRPr="006C5A80" w:rsidTr="008B5474">
        <w:tc>
          <w:tcPr>
            <w:tcW w:w="1960" w:type="pct"/>
            <w:vAlign w:val="bottom"/>
          </w:tcPr>
          <w:p w:rsidR="0077181A" w:rsidRPr="00390699" w:rsidRDefault="0077181A" w:rsidP="008B5474">
            <w:pPr>
              <w:pStyle w:val="TableBodyText"/>
              <w:jc w:val="left"/>
              <w:rPr>
                <w:sz w:val="18"/>
                <w:szCs w:val="18"/>
              </w:rPr>
            </w:pPr>
            <w:r>
              <w:rPr>
                <w:sz w:val="18"/>
                <w:szCs w:val="18"/>
              </w:rPr>
              <w:t>Unallocated services</w:t>
            </w:r>
            <w:r w:rsidRPr="00390699">
              <w:rPr>
                <w:rStyle w:val="NoteLabel"/>
                <w:szCs w:val="18"/>
              </w:rPr>
              <w:t>a</w:t>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shd w:val="clear" w:color="auto" w:fill="auto"/>
            <w:vAlign w:val="bottom"/>
          </w:tcPr>
          <w:p w:rsidR="0077181A" w:rsidRPr="00DB22D2" w:rsidRDefault="0077181A" w:rsidP="008B5474">
            <w:pPr>
              <w:pStyle w:val="TableBodyText"/>
              <w:rPr>
                <w:sz w:val="18"/>
                <w:szCs w:val="18"/>
              </w:rPr>
            </w:pPr>
            <w:r>
              <w:rPr>
                <w:sz w:val="18"/>
                <w:szCs w:val="18"/>
              </w:rPr>
              <w:t>&lt;</w:t>
            </w:r>
            <w:r w:rsidRPr="00E17EEF">
              <w:rPr>
                <w:sz w:val="18"/>
                <w:szCs w:val="18"/>
              </w:rPr>
              <w:t>0.</w:t>
            </w:r>
            <w:r>
              <w:rPr>
                <w:sz w:val="18"/>
                <w:szCs w:val="18"/>
              </w:rPr>
              <w:t>1</w:t>
            </w:r>
          </w:p>
        </w:tc>
        <w:tc>
          <w:tcPr>
            <w:tcW w:w="505" w:type="pct"/>
            <w:shd w:val="clear" w:color="auto" w:fill="auto"/>
            <w:vAlign w:val="bottom"/>
          </w:tcPr>
          <w:p w:rsidR="0077181A" w:rsidRPr="00DB22D2" w:rsidRDefault="0077181A" w:rsidP="008B5474">
            <w:pPr>
              <w:pStyle w:val="TableBodyText"/>
              <w:rPr>
                <w:sz w:val="18"/>
                <w:szCs w:val="18"/>
              </w:rPr>
            </w:pPr>
            <w:r w:rsidRPr="00DB22D2">
              <w:rPr>
                <w:sz w:val="18"/>
                <w:szCs w:val="18"/>
              </w:rPr>
              <w:noBreakHyphen/>
            </w:r>
          </w:p>
        </w:tc>
      </w:tr>
      <w:tr w:rsidR="0077181A" w:rsidRPr="006C5A80" w:rsidTr="008B5474">
        <w:tc>
          <w:tcPr>
            <w:tcW w:w="1960" w:type="pct"/>
            <w:vAlign w:val="bottom"/>
          </w:tcPr>
          <w:p w:rsidR="0077181A" w:rsidRPr="00390699" w:rsidRDefault="0077181A" w:rsidP="008B5474">
            <w:pPr>
              <w:pStyle w:val="TableBodyText"/>
              <w:jc w:val="left"/>
              <w:rPr>
                <w:sz w:val="18"/>
                <w:szCs w:val="18"/>
              </w:rPr>
            </w:pPr>
            <w:r w:rsidRPr="00390699">
              <w:rPr>
                <w:sz w:val="18"/>
                <w:szCs w:val="18"/>
              </w:rPr>
              <w:t>Unallocated other</w:t>
            </w:r>
            <w:r w:rsidRPr="00390699">
              <w:rPr>
                <w:rStyle w:val="NoteLabel"/>
                <w:szCs w:val="18"/>
              </w:rPr>
              <w:t>a</w:t>
            </w:r>
          </w:p>
        </w:tc>
        <w:tc>
          <w:tcPr>
            <w:tcW w:w="507" w:type="pct"/>
            <w:vAlign w:val="bottom"/>
          </w:tcPr>
          <w:p w:rsidR="0077181A" w:rsidRPr="00DB22D2" w:rsidRDefault="0077181A" w:rsidP="008B5474">
            <w:pPr>
              <w:pStyle w:val="TableBodyText"/>
              <w:rPr>
                <w:sz w:val="18"/>
                <w:szCs w:val="18"/>
              </w:rPr>
            </w:pPr>
            <w:r w:rsidRPr="00DB22D2">
              <w:rPr>
                <w:sz w:val="18"/>
                <w:szCs w:val="18"/>
              </w:rPr>
              <w:noBreakHyphen/>
            </w:r>
          </w:p>
        </w:tc>
        <w:tc>
          <w:tcPr>
            <w:tcW w:w="507" w:type="pct"/>
            <w:vAlign w:val="bottom"/>
          </w:tcPr>
          <w:p w:rsidR="0077181A" w:rsidRPr="00DB22D2" w:rsidRDefault="0077181A" w:rsidP="008B5474">
            <w:pPr>
              <w:pStyle w:val="TableBodyText"/>
              <w:rPr>
                <w:sz w:val="18"/>
                <w:szCs w:val="18"/>
              </w:rPr>
            </w:pPr>
            <w:r w:rsidRPr="00DB22D2">
              <w:rPr>
                <w:sz w:val="18"/>
                <w:szCs w:val="18"/>
              </w:rPr>
              <w:t>0.3</w:t>
            </w:r>
          </w:p>
        </w:tc>
        <w:tc>
          <w:tcPr>
            <w:tcW w:w="507" w:type="pct"/>
            <w:vAlign w:val="bottom"/>
          </w:tcPr>
          <w:p w:rsidR="0077181A" w:rsidRPr="00DB22D2" w:rsidRDefault="0077181A" w:rsidP="008B5474">
            <w:pPr>
              <w:pStyle w:val="TableBodyText"/>
              <w:rPr>
                <w:sz w:val="18"/>
                <w:szCs w:val="18"/>
              </w:rPr>
            </w:pPr>
            <w:r w:rsidRPr="00DB22D2">
              <w:rPr>
                <w:sz w:val="18"/>
                <w:szCs w:val="18"/>
              </w:rPr>
              <w:t>0.3</w:t>
            </w:r>
          </w:p>
        </w:tc>
        <w:tc>
          <w:tcPr>
            <w:tcW w:w="507" w:type="pct"/>
            <w:vAlign w:val="bottom"/>
          </w:tcPr>
          <w:p w:rsidR="0077181A" w:rsidRPr="00DB22D2" w:rsidRDefault="0077181A" w:rsidP="008B5474">
            <w:pPr>
              <w:pStyle w:val="TableBodyText"/>
              <w:rPr>
                <w:sz w:val="18"/>
                <w:szCs w:val="18"/>
              </w:rPr>
            </w:pPr>
            <w:r w:rsidRPr="00DB22D2">
              <w:rPr>
                <w:sz w:val="18"/>
                <w:szCs w:val="18"/>
              </w:rPr>
              <w:t>1.4</w:t>
            </w:r>
          </w:p>
        </w:tc>
        <w:tc>
          <w:tcPr>
            <w:tcW w:w="507" w:type="pct"/>
            <w:shd w:val="clear" w:color="auto" w:fill="auto"/>
            <w:vAlign w:val="bottom"/>
          </w:tcPr>
          <w:p w:rsidR="0077181A" w:rsidRPr="00DB22D2" w:rsidRDefault="0077181A" w:rsidP="008B5474">
            <w:pPr>
              <w:pStyle w:val="TableBodyText"/>
              <w:rPr>
                <w:sz w:val="18"/>
                <w:szCs w:val="18"/>
              </w:rPr>
            </w:pPr>
            <w:r w:rsidRPr="00DB22D2">
              <w:rPr>
                <w:sz w:val="18"/>
                <w:szCs w:val="18"/>
              </w:rPr>
              <w:t>3.9</w:t>
            </w:r>
          </w:p>
        </w:tc>
        <w:tc>
          <w:tcPr>
            <w:tcW w:w="505" w:type="pct"/>
            <w:shd w:val="clear" w:color="auto" w:fill="auto"/>
            <w:vAlign w:val="bottom"/>
          </w:tcPr>
          <w:p w:rsidR="0077181A" w:rsidRPr="00DB22D2" w:rsidRDefault="0077181A" w:rsidP="008B5474">
            <w:pPr>
              <w:pStyle w:val="TableBodyText"/>
              <w:rPr>
                <w:sz w:val="18"/>
                <w:szCs w:val="18"/>
              </w:rPr>
            </w:pPr>
            <w:r w:rsidRPr="00DB22D2">
              <w:rPr>
                <w:sz w:val="18"/>
                <w:szCs w:val="18"/>
              </w:rPr>
              <w:noBreakHyphen/>
            </w:r>
          </w:p>
        </w:tc>
      </w:tr>
      <w:tr w:rsidR="0077181A" w:rsidRPr="006C5A80" w:rsidTr="008B5474">
        <w:tc>
          <w:tcPr>
            <w:tcW w:w="1960" w:type="pct"/>
            <w:tcBorders>
              <w:bottom w:val="single" w:sz="4" w:space="0" w:color="auto"/>
            </w:tcBorders>
            <w:vAlign w:val="bottom"/>
          </w:tcPr>
          <w:p w:rsidR="0077181A" w:rsidRPr="00390699" w:rsidRDefault="0077181A" w:rsidP="008B5474">
            <w:pPr>
              <w:pStyle w:val="TableBodyText"/>
              <w:jc w:val="left"/>
              <w:rPr>
                <w:b/>
                <w:bCs/>
                <w:sz w:val="18"/>
                <w:szCs w:val="18"/>
              </w:rPr>
            </w:pPr>
            <w:r w:rsidRPr="00390699">
              <w:rPr>
                <w:b/>
                <w:bCs/>
                <w:sz w:val="18"/>
                <w:szCs w:val="18"/>
              </w:rPr>
              <w:t>Total</w:t>
            </w:r>
          </w:p>
        </w:tc>
        <w:tc>
          <w:tcPr>
            <w:tcW w:w="507" w:type="pct"/>
            <w:tcBorders>
              <w:bottom w:val="single" w:sz="4" w:space="0" w:color="auto"/>
            </w:tcBorders>
            <w:vAlign w:val="bottom"/>
          </w:tcPr>
          <w:p w:rsidR="0077181A" w:rsidRPr="00DB22D2" w:rsidRDefault="0077181A" w:rsidP="008B5474">
            <w:pPr>
              <w:pStyle w:val="TableBodyText"/>
              <w:rPr>
                <w:b/>
                <w:sz w:val="18"/>
                <w:szCs w:val="18"/>
              </w:rPr>
            </w:pPr>
            <w:r w:rsidRPr="00DB22D2">
              <w:rPr>
                <w:b/>
                <w:sz w:val="18"/>
                <w:szCs w:val="18"/>
              </w:rPr>
              <w:noBreakHyphen/>
            </w:r>
          </w:p>
        </w:tc>
        <w:tc>
          <w:tcPr>
            <w:tcW w:w="507" w:type="pct"/>
            <w:tcBorders>
              <w:bottom w:val="single" w:sz="4" w:space="0" w:color="auto"/>
            </w:tcBorders>
            <w:vAlign w:val="bottom"/>
          </w:tcPr>
          <w:p w:rsidR="0077181A" w:rsidRPr="00DB22D2" w:rsidRDefault="0077181A" w:rsidP="008B5474">
            <w:pPr>
              <w:pStyle w:val="TableBodyText"/>
              <w:rPr>
                <w:b/>
                <w:sz w:val="18"/>
                <w:szCs w:val="18"/>
              </w:rPr>
            </w:pPr>
            <w:r w:rsidRPr="00DB22D2">
              <w:rPr>
                <w:b/>
                <w:sz w:val="18"/>
                <w:szCs w:val="18"/>
              </w:rPr>
              <w:t>10.3</w:t>
            </w:r>
          </w:p>
        </w:tc>
        <w:tc>
          <w:tcPr>
            <w:tcW w:w="507" w:type="pct"/>
            <w:tcBorders>
              <w:bottom w:val="single" w:sz="4" w:space="0" w:color="auto"/>
            </w:tcBorders>
            <w:vAlign w:val="bottom"/>
          </w:tcPr>
          <w:p w:rsidR="0077181A" w:rsidRPr="00DB22D2" w:rsidRDefault="0077181A" w:rsidP="008B5474">
            <w:pPr>
              <w:pStyle w:val="TableBodyText"/>
              <w:rPr>
                <w:b/>
                <w:sz w:val="18"/>
                <w:szCs w:val="18"/>
              </w:rPr>
            </w:pPr>
            <w:r w:rsidRPr="00DB22D2">
              <w:rPr>
                <w:b/>
                <w:sz w:val="18"/>
                <w:szCs w:val="18"/>
              </w:rPr>
              <w:t>10.3</w:t>
            </w:r>
          </w:p>
        </w:tc>
        <w:tc>
          <w:tcPr>
            <w:tcW w:w="507" w:type="pct"/>
            <w:tcBorders>
              <w:bottom w:val="single" w:sz="4" w:space="0" w:color="auto"/>
            </w:tcBorders>
            <w:vAlign w:val="bottom"/>
          </w:tcPr>
          <w:p w:rsidR="0077181A" w:rsidRPr="00DB22D2" w:rsidRDefault="0077181A" w:rsidP="008B5474">
            <w:pPr>
              <w:pStyle w:val="TableBodyText"/>
              <w:rPr>
                <w:b/>
                <w:sz w:val="18"/>
                <w:szCs w:val="18"/>
              </w:rPr>
            </w:pPr>
            <w:r w:rsidRPr="00DB22D2">
              <w:rPr>
                <w:b/>
                <w:sz w:val="18"/>
                <w:szCs w:val="18"/>
              </w:rPr>
              <w:t>41.3</w:t>
            </w:r>
          </w:p>
        </w:tc>
        <w:tc>
          <w:tcPr>
            <w:tcW w:w="507" w:type="pct"/>
            <w:tcBorders>
              <w:bottom w:val="single" w:sz="4" w:space="0" w:color="auto"/>
            </w:tcBorders>
            <w:shd w:val="clear" w:color="auto" w:fill="auto"/>
            <w:vAlign w:val="bottom"/>
          </w:tcPr>
          <w:p w:rsidR="0077181A" w:rsidRPr="00DB22D2" w:rsidRDefault="0077181A" w:rsidP="008B5474">
            <w:pPr>
              <w:pStyle w:val="TableBodyText"/>
              <w:rPr>
                <w:b/>
                <w:sz w:val="18"/>
                <w:szCs w:val="18"/>
              </w:rPr>
            </w:pPr>
            <w:r w:rsidRPr="00DB22D2">
              <w:rPr>
                <w:b/>
                <w:sz w:val="18"/>
                <w:szCs w:val="18"/>
              </w:rPr>
              <w:t>48.1</w:t>
            </w:r>
          </w:p>
        </w:tc>
        <w:tc>
          <w:tcPr>
            <w:tcW w:w="505" w:type="pct"/>
            <w:tcBorders>
              <w:bottom w:val="single" w:sz="4" w:space="0" w:color="auto"/>
            </w:tcBorders>
            <w:shd w:val="clear" w:color="auto" w:fill="auto"/>
            <w:vAlign w:val="bottom"/>
          </w:tcPr>
          <w:p w:rsidR="0077181A" w:rsidRPr="00DB22D2" w:rsidRDefault="0077181A" w:rsidP="008B5474">
            <w:pPr>
              <w:pStyle w:val="TableBodyText"/>
              <w:rPr>
                <w:b/>
                <w:sz w:val="18"/>
                <w:szCs w:val="18"/>
              </w:rPr>
            </w:pPr>
            <w:r w:rsidRPr="00DB22D2">
              <w:rPr>
                <w:b/>
                <w:sz w:val="18"/>
                <w:szCs w:val="18"/>
              </w:rPr>
              <w:t>51.9</w:t>
            </w:r>
          </w:p>
        </w:tc>
      </w:tr>
    </w:tbl>
    <w:p w:rsidR="0077181A" w:rsidRDefault="0077181A" w:rsidP="0077181A">
      <w:pPr>
        <w:pStyle w:val="Note"/>
      </w:pPr>
      <w:r>
        <w:t xml:space="preserve">– Nil. </w:t>
      </w:r>
      <w:r w:rsidRPr="008E77FE">
        <w:rPr>
          <w:rStyle w:val="NoteLabel"/>
        </w:rPr>
        <w:t>a</w:t>
      </w:r>
      <w:r>
        <w:t xml:space="preserve"> Unallocated includes general programs where details of beneficiaries are unknown.</w:t>
      </w:r>
    </w:p>
    <w:p w:rsidR="0077181A" w:rsidRPr="008E77FE" w:rsidRDefault="0077181A" w:rsidP="0077181A">
      <w:pPr>
        <w:pStyle w:val="Source"/>
      </w:pPr>
      <w:r>
        <w:rPr>
          <w:i/>
        </w:rPr>
        <w:t>Sources</w:t>
      </w:r>
      <w:r>
        <w:t xml:space="preserve">: </w:t>
      </w:r>
      <w:r w:rsidRPr="00EF17F4">
        <w:t xml:space="preserve">Commission estimates based on </w:t>
      </w:r>
      <w:r>
        <w:t>DIISR Annual Report 2009</w:t>
      </w:r>
      <w:r>
        <w:noBreakHyphen/>
        <w:t>10; DIISR Portfolio Budget Statements 2008</w:t>
      </w:r>
      <w:r>
        <w:noBreakHyphen/>
        <w:t>09; and detailed DIISR data by ANZSIC industry.</w:t>
      </w:r>
    </w:p>
    <w:p w:rsidR="00BF3276" w:rsidRDefault="00FA09C3" w:rsidP="00BF3276">
      <w:pPr>
        <w:pStyle w:val="Heading2"/>
      </w:pPr>
      <w:r>
        <w:lastRenderedPageBreak/>
        <w:t>A.</w:t>
      </w:r>
      <w:r>
        <w:rPr>
          <w:noProof/>
        </w:rPr>
        <w:t>49</w:t>
      </w:r>
      <w:r w:rsidR="00BF3276">
        <w:tab/>
        <w:t>National Low Emissions Coal Initiative</w:t>
      </w:r>
    </w:p>
    <w:p w:rsidR="00BF3276" w:rsidRDefault="00BF3276" w:rsidP="00BF3276">
      <w:pPr>
        <w:pStyle w:val="BodyText"/>
      </w:pPr>
      <w:r>
        <w:t xml:space="preserve">The </w:t>
      </w:r>
      <w:r w:rsidRPr="00CB4071">
        <w:t xml:space="preserve">National Low Emissions Coal </w:t>
      </w:r>
      <w:r>
        <w:t xml:space="preserve">Initiative </w:t>
      </w:r>
      <w:r w:rsidRPr="000D6029">
        <w:t>aims to accelerate the development and deployment of low</w:t>
      </w:r>
      <w:r>
        <w:t xml:space="preserve"> </w:t>
      </w:r>
      <w:r w:rsidRPr="000D6029">
        <w:t xml:space="preserve">emissions coal technologies </w:t>
      </w:r>
      <w:r>
        <w:t xml:space="preserve">and carbon dioxide transport and storage infrastructure </w:t>
      </w:r>
      <w:r w:rsidRPr="000D6029">
        <w:t>in Australia</w:t>
      </w:r>
      <w:r>
        <w:t>,</w:t>
      </w:r>
      <w:r w:rsidRPr="000D6029">
        <w:t xml:space="preserve"> through funding research and development, carbon storage exploration and mapping, domestic medium-scale demonstration projects and the Australia–China Joint Coordination Group on Clean Coal Technology. The Initiative encourages cooperation between the Australian Government, state governments and industry on low-emissions coal research and demonstration projects </w:t>
      </w:r>
      <w:r w:rsidRPr="009C1EC7">
        <w:t>(</w:t>
      </w:r>
      <w:r w:rsidRPr="002D4BCB">
        <w:t>DRET 2012</w:t>
      </w:r>
      <w:r w:rsidRPr="009C1EC7">
        <w:t>)</w:t>
      </w:r>
      <w:r w:rsidRPr="000D6029">
        <w:t>.</w:t>
      </w:r>
      <w:r>
        <w:t xml:space="preserve"> In doing so, it aims to enable </w:t>
      </w:r>
      <w:r w:rsidRPr="00C671FD">
        <w:t>major cuts in greenhouse gas emissions from coal usage to be</w:t>
      </w:r>
      <w:r>
        <w:t xml:space="preserve"> made over time while</w:t>
      </w:r>
      <w:r w:rsidRPr="00C671FD">
        <w:t xml:space="preserve"> enhancing energy security and maintaining the contribution of coal to Australia’s economic growth</w:t>
      </w:r>
      <w:r>
        <w:t xml:space="preserve"> </w:t>
      </w:r>
      <w:r w:rsidRPr="009C1EC7">
        <w:t>(</w:t>
      </w:r>
      <w:r w:rsidRPr="002D4BCB">
        <w:t>DRET 2013a</w:t>
      </w:r>
      <w:r>
        <w:t>).</w:t>
      </w:r>
    </w:p>
    <w:p w:rsidR="00BF3276" w:rsidRDefault="00BF3276" w:rsidP="00BF3276">
      <w:pPr>
        <w:pStyle w:val="BodyText"/>
      </w:pPr>
      <w:r>
        <w:t xml:space="preserve">The Commission has included the funding as assistance to the </w:t>
      </w:r>
      <w:r w:rsidRPr="003A64A2">
        <w:rPr>
          <w:i/>
        </w:rPr>
        <w:t>Mining</w:t>
      </w:r>
      <w:r>
        <w:t xml:space="preserve"> industry grouping in the Commission’s ANZSIC-based classification (table A.4</w:t>
      </w:r>
      <w:r w:rsidR="00C75068">
        <w:t>9</w:t>
      </w:r>
      <w:r>
        <w:t>).</w:t>
      </w:r>
    </w:p>
    <w:p w:rsidR="00BF3276" w:rsidRDefault="00BF3276" w:rsidP="00BF3276">
      <w:pPr>
        <w:pStyle w:val="TableTitle"/>
      </w:pPr>
      <w:r>
        <w:rPr>
          <w:b w:val="0"/>
        </w:rPr>
        <w:t xml:space="preserve">Table </w:t>
      </w:r>
      <w:r w:rsidR="00FA09C3">
        <w:rPr>
          <w:b w:val="0"/>
        </w:rPr>
        <w:t>A.</w:t>
      </w:r>
      <w:r w:rsidR="00FA09C3">
        <w:rPr>
          <w:b w:val="0"/>
          <w:noProof/>
        </w:rPr>
        <w:t>49</w:t>
      </w:r>
      <w:r>
        <w:tab/>
        <w:t>Allocation of National Low Emissions Coal Ini</w:t>
      </w:r>
      <w:r w:rsidR="00481DE5">
        <w:t>ti</w:t>
      </w:r>
      <w:r>
        <w:t>ative</w:t>
      </w:r>
      <w:r w:rsidR="0013131E" w:rsidRPr="0013131E">
        <w:t xml:space="preserve"> to industry</w:t>
      </w:r>
      <w:r>
        <w:t>, 2006</w:t>
      </w:r>
      <w:r>
        <w:noBreakHyphen/>
        <w:t>07 to 2011</w:t>
      </w:r>
      <w:r>
        <w:noBreakHyphen/>
        <w:t>12</w:t>
      </w:r>
    </w:p>
    <w:p w:rsidR="00BF3276" w:rsidRDefault="00BF3276" w:rsidP="00BF3276">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BF3276" w:rsidRPr="00AF699A" w:rsidTr="008B5474">
        <w:tc>
          <w:tcPr>
            <w:tcW w:w="1960" w:type="pct"/>
            <w:tcBorders>
              <w:top w:val="single" w:sz="6" w:space="0" w:color="auto"/>
              <w:bottom w:val="single" w:sz="6" w:space="0" w:color="auto"/>
            </w:tcBorders>
          </w:tcPr>
          <w:p w:rsidR="00BF3276" w:rsidRPr="00AF699A" w:rsidRDefault="00BF3276" w:rsidP="008B547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BF3276" w:rsidRPr="00AF699A" w:rsidRDefault="00BF3276" w:rsidP="008B547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BF3276" w:rsidRPr="00AF699A" w:rsidRDefault="00BF3276" w:rsidP="008B547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BF3276" w:rsidRPr="00AF699A" w:rsidRDefault="00BF3276" w:rsidP="008B547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BF3276" w:rsidRPr="00AF699A" w:rsidRDefault="00BF3276" w:rsidP="008B547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BF3276" w:rsidRPr="00AF699A" w:rsidRDefault="00BF3276" w:rsidP="008B5474">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BF3276" w:rsidRPr="00AF699A" w:rsidRDefault="00BF3276" w:rsidP="008B5474">
            <w:pPr>
              <w:pStyle w:val="TableColumnHeading"/>
              <w:ind w:right="28"/>
              <w:rPr>
                <w:rFonts w:cs="Arial"/>
                <w:sz w:val="18"/>
                <w:szCs w:val="18"/>
              </w:rPr>
            </w:pPr>
            <w:r w:rsidRPr="00AF699A">
              <w:rPr>
                <w:rFonts w:cs="Arial"/>
                <w:sz w:val="18"/>
                <w:szCs w:val="18"/>
              </w:rPr>
              <w:t>2011-12</w:t>
            </w:r>
          </w:p>
        </w:tc>
      </w:tr>
      <w:tr w:rsidR="00BF3276" w:rsidRPr="006C5A80" w:rsidTr="008B5474">
        <w:tc>
          <w:tcPr>
            <w:tcW w:w="1960" w:type="pct"/>
            <w:tcBorders>
              <w:bottom w:val="single" w:sz="4" w:space="0" w:color="auto"/>
            </w:tcBorders>
            <w:vAlign w:val="bottom"/>
          </w:tcPr>
          <w:p w:rsidR="00BF3276" w:rsidRPr="00C944BA" w:rsidRDefault="00BF3276" w:rsidP="008B5474">
            <w:pPr>
              <w:pStyle w:val="TableBodyText"/>
              <w:jc w:val="left"/>
            </w:pPr>
            <w:r>
              <w:t>Mining</w:t>
            </w:r>
          </w:p>
        </w:tc>
        <w:tc>
          <w:tcPr>
            <w:tcW w:w="507" w:type="pct"/>
            <w:tcBorders>
              <w:bottom w:val="single" w:sz="4" w:space="0" w:color="auto"/>
            </w:tcBorders>
            <w:vAlign w:val="bottom"/>
          </w:tcPr>
          <w:p w:rsidR="00BF3276" w:rsidRDefault="00BF3276" w:rsidP="008B5474">
            <w:pPr>
              <w:pStyle w:val="TableBodyText"/>
            </w:pPr>
            <w:r>
              <w:noBreakHyphen/>
            </w:r>
          </w:p>
        </w:tc>
        <w:tc>
          <w:tcPr>
            <w:tcW w:w="507" w:type="pct"/>
            <w:tcBorders>
              <w:bottom w:val="single" w:sz="4" w:space="0" w:color="auto"/>
            </w:tcBorders>
            <w:vAlign w:val="bottom"/>
          </w:tcPr>
          <w:p w:rsidR="00BF3276" w:rsidRDefault="00BF3276" w:rsidP="008B5474">
            <w:pPr>
              <w:pStyle w:val="TableBodyText"/>
            </w:pPr>
            <w:r>
              <w:noBreakHyphen/>
            </w:r>
          </w:p>
        </w:tc>
        <w:tc>
          <w:tcPr>
            <w:tcW w:w="507" w:type="pct"/>
            <w:tcBorders>
              <w:bottom w:val="single" w:sz="4" w:space="0" w:color="auto"/>
            </w:tcBorders>
            <w:vAlign w:val="bottom"/>
          </w:tcPr>
          <w:p w:rsidR="00BF3276" w:rsidRDefault="00BF3276" w:rsidP="008B5474">
            <w:pPr>
              <w:pStyle w:val="TableBodyText"/>
            </w:pPr>
            <w:r>
              <w:t>8.7</w:t>
            </w:r>
          </w:p>
        </w:tc>
        <w:tc>
          <w:tcPr>
            <w:tcW w:w="507" w:type="pct"/>
            <w:tcBorders>
              <w:bottom w:val="single" w:sz="4" w:space="0" w:color="auto"/>
            </w:tcBorders>
            <w:vAlign w:val="bottom"/>
          </w:tcPr>
          <w:p w:rsidR="00BF3276" w:rsidRDefault="00BF3276" w:rsidP="008B5474">
            <w:pPr>
              <w:pStyle w:val="TableBodyText"/>
            </w:pPr>
            <w:r>
              <w:t>32.3</w:t>
            </w:r>
          </w:p>
        </w:tc>
        <w:tc>
          <w:tcPr>
            <w:tcW w:w="507" w:type="pct"/>
            <w:tcBorders>
              <w:bottom w:val="single" w:sz="4" w:space="0" w:color="auto"/>
            </w:tcBorders>
            <w:shd w:val="clear" w:color="auto" w:fill="auto"/>
            <w:vAlign w:val="bottom"/>
          </w:tcPr>
          <w:p w:rsidR="00BF3276" w:rsidRDefault="00BF3276" w:rsidP="008B5474">
            <w:pPr>
              <w:pStyle w:val="TableBodyText"/>
            </w:pPr>
            <w:r>
              <w:t>47.6</w:t>
            </w:r>
          </w:p>
        </w:tc>
        <w:tc>
          <w:tcPr>
            <w:tcW w:w="505" w:type="pct"/>
            <w:tcBorders>
              <w:bottom w:val="single" w:sz="4" w:space="0" w:color="auto"/>
            </w:tcBorders>
            <w:shd w:val="clear" w:color="auto" w:fill="auto"/>
            <w:vAlign w:val="bottom"/>
          </w:tcPr>
          <w:p w:rsidR="00BF3276" w:rsidRDefault="00BF3276" w:rsidP="008B5474">
            <w:pPr>
              <w:pStyle w:val="TableBodyText"/>
            </w:pPr>
            <w:r>
              <w:t>25.6</w:t>
            </w:r>
          </w:p>
        </w:tc>
      </w:tr>
    </w:tbl>
    <w:p w:rsidR="00BF3276" w:rsidRPr="00F60026" w:rsidRDefault="00BF3276" w:rsidP="00BF3276">
      <w:pPr>
        <w:pStyle w:val="Source"/>
        <w:spacing w:after="0"/>
        <w:rPr>
          <w:i/>
        </w:rPr>
      </w:pPr>
      <w:r w:rsidRPr="00A2379F">
        <w:noBreakHyphen/>
        <w:t xml:space="preserve"> </w:t>
      </w:r>
      <w:r>
        <w:t>Nil</w:t>
      </w:r>
      <w:r w:rsidRPr="00A2379F">
        <w:t>.</w:t>
      </w:r>
    </w:p>
    <w:p w:rsidR="00BF3276" w:rsidRDefault="00BF3276" w:rsidP="00BF3276">
      <w:pPr>
        <w:pStyle w:val="Source"/>
      </w:pPr>
      <w:r>
        <w:rPr>
          <w:i/>
        </w:rPr>
        <w:t>Source</w:t>
      </w:r>
      <w:r>
        <w:t>: Commission estimates based on Department of Resources, Energy and Tourism Annual Report 2011</w:t>
      </w:r>
      <w:r>
        <w:noBreakHyphen/>
        <w:t>12 (and earlier years).</w:t>
      </w:r>
    </w:p>
    <w:p w:rsidR="00016DEF" w:rsidRDefault="00FA09C3" w:rsidP="00016DEF">
      <w:pPr>
        <w:pStyle w:val="Heading2"/>
      </w:pPr>
      <w:r>
        <w:t>A.</w:t>
      </w:r>
      <w:r>
        <w:rPr>
          <w:noProof/>
        </w:rPr>
        <w:t>50</w:t>
      </w:r>
      <w:r w:rsidR="00016DEF">
        <w:tab/>
        <w:t xml:space="preserve">ICT Centre of Excellence </w:t>
      </w:r>
      <w:r w:rsidR="003E3A63">
        <w:t xml:space="preserve">Program </w:t>
      </w:r>
      <w:r w:rsidR="00016DEF">
        <w:t>– National ICT Australia (NICTA)</w:t>
      </w:r>
    </w:p>
    <w:p w:rsidR="00016DEF" w:rsidRDefault="00016DEF" w:rsidP="00016DEF">
      <w:pPr>
        <w:pStyle w:val="BodyText"/>
      </w:pPr>
      <w:r>
        <w:t>Established in 2002, National Information and Communication Technologies Australia (NICTA) is Australia’s largest government funded national institution dedicated to ICT research, research training and commercialisation</w:t>
      </w:r>
      <w:r w:rsidR="003E3A63">
        <w:t>.</w:t>
      </w:r>
      <w:r>
        <w:t xml:space="preserve"> </w:t>
      </w:r>
      <w:r w:rsidR="003E3A63">
        <w:t xml:space="preserve">It </w:t>
      </w:r>
      <w:r>
        <w:t>collaborates with private sector research organisations, major companies, small to medium size enterprises (SMEs) and public sector agencies (</w:t>
      </w:r>
      <w:r w:rsidRPr="002D4BCB">
        <w:t>Department of Communications 2013a</w:t>
      </w:r>
      <w:r>
        <w:t>).</w:t>
      </w:r>
      <w:r w:rsidR="003E3A63">
        <w:t xml:space="preserve"> NICTA is funded through the ICT Centre of Excellence Program.</w:t>
      </w:r>
    </w:p>
    <w:p w:rsidR="00016DEF" w:rsidRDefault="00016DEF" w:rsidP="00016DEF">
      <w:pPr>
        <w:pStyle w:val="BodyText"/>
      </w:pPr>
      <w:r>
        <w:t xml:space="preserve">For </w:t>
      </w:r>
      <w:r w:rsidRPr="00DA1EE6">
        <w:rPr>
          <w:i/>
        </w:rPr>
        <w:t>Trade &amp; Assistance Review 2011</w:t>
      </w:r>
      <w:r>
        <w:rPr>
          <w:i/>
        </w:rPr>
        <w:noBreakHyphen/>
      </w:r>
      <w:r w:rsidRPr="00DA1EE6">
        <w:rPr>
          <w:i/>
        </w:rPr>
        <w:t>12</w:t>
      </w:r>
      <w:r>
        <w:t xml:space="preserve">, the ICT Centre of Excellence </w:t>
      </w:r>
      <w:r w:rsidR="003E3A63">
        <w:t xml:space="preserve">Program </w:t>
      </w:r>
      <w:r>
        <w:t xml:space="preserve">has been allocated to the </w:t>
      </w:r>
      <w:r w:rsidRPr="00E853B6">
        <w:rPr>
          <w:i/>
        </w:rPr>
        <w:t>Information media and telecommunications</w:t>
      </w:r>
      <w:r>
        <w:t xml:space="preserve"> industry grouping in the Commission’s ANZSIC-based classification (table A.</w:t>
      </w:r>
      <w:r w:rsidR="00C75068">
        <w:t>50</w:t>
      </w:r>
      <w:r>
        <w:t>).</w:t>
      </w:r>
    </w:p>
    <w:p w:rsidR="00016DEF" w:rsidRDefault="00016DEF" w:rsidP="00016DEF">
      <w:pPr>
        <w:pStyle w:val="TableTitle"/>
      </w:pPr>
      <w:r>
        <w:rPr>
          <w:b w:val="0"/>
        </w:rPr>
        <w:lastRenderedPageBreak/>
        <w:t xml:space="preserve">Table </w:t>
      </w:r>
      <w:r w:rsidR="00FA09C3">
        <w:rPr>
          <w:b w:val="0"/>
        </w:rPr>
        <w:t>A.</w:t>
      </w:r>
      <w:r w:rsidR="00FA09C3">
        <w:rPr>
          <w:b w:val="0"/>
          <w:noProof/>
        </w:rPr>
        <w:t>50</w:t>
      </w:r>
      <w:r>
        <w:tab/>
        <w:t>Allocation of ICT Centre of Excellence</w:t>
      </w:r>
      <w:r w:rsidR="0013131E">
        <w:t xml:space="preserve"> </w:t>
      </w:r>
      <w:r w:rsidR="006C79D8">
        <w:t xml:space="preserve">Program </w:t>
      </w:r>
      <w:r w:rsidR="0013131E">
        <w:t xml:space="preserve">– National ICT Australia </w:t>
      </w:r>
      <w:r w:rsidR="0013131E" w:rsidRPr="0013131E">
        <w:t>to industry</w:t>
      </w:r>
      <w:r>
        <w:t>, 2006</w:t>
      </w:r>
      <w:r>
        <w:noBreakHyphen/>
        <w:t>07 to 2011</w:t>
      </w:r>
      <w:r>
        <w:noBreakHyphen/>
        <w:t>12</w:t>
      </w:r>
    </w:p>
    <w:p w:rsidR="00016DEF" w:rsidRDefault="00016DEF" w:rsidP="00016DEF">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016DEF" w:rsidRPr="00AF699A" w:rsidTr="008B5474">
        <w:tc>
          <w:tcPr>
            <w:tcW w:w="1960" w:type="pct"/>
            <w:tcBorders>
              <w:top w:val="single" w:sz="6" w:space="0" w:color="auto"/>
              <w:bottom w:val="single" w:sz="6" w:space="0" w:color="auto"/>
            </w:tcBorders>
          </w:tcPr>
          <w:p w:rsidR="00016DEF" w:rsidRPr="00AF699A" w:rsidRDefault="00016DEF" w:rsidP="008B547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016DEF" w:rsidRPr="00AF699A" w:rsidRDefault="00016DEF" w:rsidP="008B547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016DEF" w:rsidRPr="00AF699A" w:rsidRDefault="00016DEF" w:rsidP="008B547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016DEF" w:rsidRPr="00AF699A" w:rsidRDefault="00016DEF" w:rsidP="008B547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016DEF" w:rsidRPr="00AF699A" w:rsidRDefault="00016DEF" w:rsidP="008B547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016DEF" w:rsidRPr="00AF699A" w:rsidRDefault="00016DEF" w:rsidP="008B5474">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016DEF" w:rsidRPr="00AF699A" w:rsidRDefault="00016DEF" w:rsidP="008B5474">
            <w:pPr>
              <w:pStyle w:val="TableColumnHeading"/>
              <w:ind w:right="28"/>
              <w:rPr>
                <w:rFonts w:cs="Arial"/>
                <w:sz w:val="18"/>
                <w:szCs w:val="18"/>
              </w:rPr>
            </w:pPr>
            <w:r w:rsidRPr="00AF699A">
              <w:rPr>
                <w:rFonts w:cs="Arial"/>
                <w:sz w:val="18"/>
                <w:szCs w:val="18"/>
              </w:rPr>
              <w:t>2011-12</w:t>
            </w:r>
          </w:p>
        </w:tc>
      </w:tr>
      <w:tr w:rsidR="00016DEF" w:rsidRPr="006C5A80" w:rsidTr="008B5474">
        <w:tc>
          <w:tcPr>
            <w:tcW w:w="1960" w:type="pct"/>
            <w:tcBorders>
              <w:bottom w:val="single" w:sz="4" w:space="0" w:color="auto"/>
            </w:tcBorders>
            <w:vAlign w:val="bottom"/>
          </w:tcPr>
          <w:p w:rsidR="00016DEF" w:rsidRPr="00C944BA" w:rsidRDefault="00016DEF" w:rsidP="008B5474">
            <w:pPr>
              <w:pStyle w:val="TableBodyText"/>
              <w:jc w:val="left"/>
            </w:pPr>
            <w:r>
              <w:t>Information media and telecommunications</w:t>
            </w:r>
          </w:p>
        </w:tc>
        <w:tc>
          <w:tcPr>
            <w:tcW w:w="507" w:type="pct"/>
            <w:tcBorders>
              <w:bottom w:val="single" w:sz="4" w:space="0" w:color="auto"/>
            </w:tcBorders>
            <w:vAlign w:val="bottom"/>
          </w:tcPr>
          <w:p w:rsidR="00016DEF" w:rsidRDefault="00016DEF" w:rsidP="008B5474">
            <w:pPr>
              <w:pStyle w:val="TableBodyText"/>
            </w:pPr>
            <w:r>
              <w:t>24.0</w:t>
            </w:r>
          </w:p>
        </w:tc>
        <w:tc>
          <w:tcPr>
            <w:tcW w:w="507" w:type="pct"/>
            <w:tcBorders>
              <w:bottom w:val="single" w:sz="4" w:space="0" w:color="auto"/>
            </w:tcBorders>
            <w:vAlign w:val="bottom"/>
          </w:tcPr>
          <w:p w:rsidR="00016DEF" w:rsidRDefault="00016DEF" w:rsidP="008B5474">
            <w:pPr>
              <w:pStyle w:val="TableBodyText"/>
            </w:pPr>
            <w:r>
              <w:t>26.8</w:t>
            </w:r>
          </w:p>
        </w:tc>
        <w:tc>
          <w:tcPr>
            <w:tcW w:w="507" w:type="pct"/>
            <w:tcBorders>
              <w:bottom w:val="single" w:sz="4" w:space="0" w:color="auto"/>
            </w:tcBorders>
            <w:vAlign w:val="bottom"/>
          </w:tcPr>
          <w:p w:rsidR="00016DEF" w:rsidRDefault="00016DEF" w:rsidP="008B5474">
            <w:pPr>
              <w:pStyle w:val="TableBodyText"/>
            </w:pPr>
            <w:r>
              <w:t>27.3</w:t>
            </w:r>
          </w:p>
        </w:tc>
        <w:tc>
          <w:tcPr>
            <w:tcW w:w="507" w:type="pct"/>
            <w:tcBorders>
              <w:bottom w:val="single" w:sz="4" w:space="0" w:color="auto"/>
            </w:tcBorders>
            <w:vAlign w:val="bottom"/>
          </w:tcPr>
          <w:p w:rsidR="00016DEF" w:rsidRDefault="00016DEF" w:rsidP="008B5474">
            <w:pPr>
              <w:pStyle w:val="TableBodyText"/>
            </w:pPr>
            <w:r>
              <w:t>25.4</w:t>
            </w:r>
          </w:p>
        </w:tc>
        <w:tc>
          <w:tcPr>
            <w:tcW w:w="507" w:type="pct"/>
            <w:tcBorders>
              <w:bottom w:val="single" w:sz="4" w:space="0" w:color="auto"/>
            </w:tcBorders>
            <w:shd w:val="clear" w:color="auto" w:fill="auto"/>
            <w:vAlign w:val="bottom"/>
          </w:tcPr>
          <w:p w:rsidR="00016DEF" w:rsidRDefault="00016DEF" w:rsidP="008B5474">
            <w:pPr>
              <w:pStyle w:val="TableBodyText"/>
            </w:pPr>
            <w:r>
              <w:t>25.9</w:t>
            </w:r>
          </w:p>
        </w:tc>
        <w:tc>
          <w:tcPr>
            <w:tcW w:w="505" w:type="pct"/>
            <w:tcBorders>
              <w:bottom w:val="single" w:sz="4" w:space="0" w:color="auto"/>
            </w:tcBorders>
            <w:shd w:val="clear" w:color="auto" w:fill="auto"/>
            <w:vAlign w:val="bottom"/>
          </w:tcPr>
          <w:p w:rsidR="00016DEF" w:rsidRDefault="00016DEF" w:rsidP="008B5474">
            <w:pPr>
              <w:pStyle w:val="TableBodyText"/>
            </w:pPr>
            <w:r>
              <w:t>25.0</w:t>
            </w:r>
          </w:p>
        </w:tc>
      </w:tr>
    </w:tbl>
    <w:p w:rsidR="00016DEF" w:rsidRPr="008E77FE" w:rsidRDefault="00016DEF" w:rsidP="00016DEF">
      <w:pPr>
        <w:pStyle w:val="Source"/>
      </w:pPr>
      <w:r>
        <w:rPr>
          <w:i/>
        </w:rPr>
        <w:t>Source</w:t>
      </w:r>
      <w:r>
        <w:t>: Commission estimates based on Department of Broadband, Communications and the Digital Economy Annual Report 2011</w:t>
      </w:r>
      <w:r>
        <w:noBreakHyphen/>
        <w:t>12 (and earlier years).</w:t>
      </w:r>
    </w:p>
    <w:p w:rsidR="00016DEF" w:rsidRDefault="00FA09C3" w:rsidP="00016DEF">
      <w:pPr>
        <w:pStyle w:val="Heading2"/>
      </w:pPr>
      <w:r>
        <w:t>A.</w:t>
      </w:r>
      <w:r>
        <w:rPr>
          <w:noProof/>
        </w:rPr>
        <w:t>51</w:t>
      </w:r>
      <w:r w:rsidR="00016DEF">
        <w:tab/>
        <w:t>Tax deduction for conserving or conveying water</w:t>
      </w:r>
    </w:p>
    <w:p w:rsidR="00016DEF" w:rsidRDefault="00016DEF" w:rsidP="00016DEF">
      <w:pPr>
        <w:pStyle w:val="BodyText"/>
      </w:pPr>
      <w:r>
        <w:t>Capital expenditure on facilities for conserving or conveying water may be claimed as a tax deduction or a rebate over three years if incurred as part of carrying on a business of primary production. The deduction or rebate may be claimed for such things as dams, tanks, bores, wells, irrigation channels or similar improvements, pipes, pumps, water towers, and windmills (</w:t>
      </w:r>
      <w:r w:rsidRPr="002D4BCB">
        <w:t>Tax Expenditure Statement, Australian Government 2013, Item B 84</w:t>
      </w:r>
      <w:r>
        <w:t>).</w:t>
      </w:r>
    </w:p>
    <w:p w:rsidR="00016DEF" w:rsidRDefault="00016DEF" w:rsidP="00016DEF">
      <w:pPr>
        <w:pStyle w:val="BodyText"/>
      </w:pPr>
      <w:r>
        <w:t>The Commission has obtained information from the ATO detailing claim data for the concession by ANZSIC industry. The industry shares from the ATO claim data have been used to allocate Treasury estimates of total revenue forgone for the concession to the Commission’s ANZSIC-based industry groupings (table A.5</w:t>
      </w:r>
      <w:r w:rsidR="00C75068">
        <w:t>1</w:t>
      </w:r>
      <w:r>
        <w:t>).</w:t>
      </w:r>
    </w:p>
    <w:p w:rsidR="00016DEF" w:rsidRDefault="00016DEF" w:rsidP="00016DEF">
      <w:pPr>
        <w:pStyle w:val="TableTitle"/>
      </w:pPr>
      <w:r>
        <w:rPr>
          <w:b w:val="0"/>
        </w:rPr>
        <w:t xml:space="preserve">Table </w:t>
      </w:r>
      <w:r w:rsidR="00FA09C3">
        <w:rPr>
          <w:b w:val="0"/>
        </w:rPr>
        <w:t>A.</w:t>
      </w:r>
      <w:r w:rsidR="00FA09C3">
        <w:rPr>
          <w:b w:val="0"/>
          <w:noProof/>
        </w:rPr>
        <w:t>51</w:t>
      </w:r>
      <w:r>
        <w:tab/>
        <w:t xml:space="preserve">Allocation of Tax deduction for conserving or conveying water </w:t>
      </w:r>
      <w:r w:rsidR="0013131E" w:rsidRPr="0013131E">
        <w:t>to industry</w:t>
      </w:r>
      <w:r>
        <w:t>, 2006</w:t>
      </w:r>
      <w:r>
        <w:noBreakHyphen/>
        <w:t>07 to 2011</w:t>
      </w:r>
      <w:r>
        <w:noBreakHyphen/>
        <w:t>12</w:t>
      </w:r>
    </w:p>
    <w:p w:rsidR="00016DEF" w:rsidRDefault="00016DEF" w:rsidP="00016DEF">
      <w:pPr>
        <w:pStyle w:val="Subtitle"/>
      </w:pPr>
      <w:r>
        <w:t>$ million (nominal)</w:t>
      </w:r>
    </w:p>
    <w:tbl>
      <w:tblPr>
        <w:tblW w:w="5000" w:type="pct"/>
        <w:tblCellMar>
          <w:left w:w="0" w:type="dxa"/>
          <w:right w:w="0" w:type="dxa"/>
        </w:tblCellMar>
        <w:tblLook w:val="0000" w:firstRow="0" w:lastRow="0" w:firstColumn="0" w:lastColumn="0" w:noHBand="0" w:noVBand="0"/>
      </w:tblPr>
      <w:tblGrid>
        <w:gridCol w:w="3421"/>
        <w:gridCol w:w="1030"/>
        <w:gridCol w:w="870"/>
        <w:gridCol w:w="870"/>
        <w:gridCol w:w="870"/>
        <w:gridCol w:w="870"/>
        <w:gridCol w:w="858"/>
      </w:tblGrid>
      <w:tr w:rsidR="00016DEF" w:rsidRPr="00D0483B" w:rsidTr="008B5474">
        <w:trPr>
          <w:trHeight w:val="227"/>
        </w:trPr>
        <w:tc>
          <w:tcPr>
            <w:tcW w:w="1946" w:type="pct"/>
            <w:tcBorders>
              <w:top w:val="single" w:sz="6" w:space="0" w:color="auto"/>
              <w:bottom w:val="single" w:sz="6" w:space="0" w:color="auto"/>
            </w:tcBorders>
          </w:tcPr>
          <w:p w:rsidR="00016DEF" w:rsidRPr="00D0483B" w:rsidRDefault="00016DEF" w:rsidP="008B5474">
            <w:pPr>
              <w:pStyle w:val="TableColumnHeading"/>
              <w:jc w:val="left"/>
              <w:rPr>
                <w:sz w:val="18"/>
                <w:szCs w:val="18"/>
              </w:rPr>
            </w:pPr>
            <w:r w:rsidRPr="00D0483B">
              <w:rPr>
                <w:sz w:val="18"/>
                <w:szCs w:val="18"/>
              </w:rPr>
              <w:t>Industry grouping</w:t>
            </w:r>
          </w:p>
        </w:tc>
        <w:tc>
          <w:tcPr>
            <w:tcW w:w="586" w:type="pct"/>
            <w:tcBorders>
              <w:top w:val="single" w:sz="6" w:space="0" w:color="auto"/>
              <w:bottom w:val="single" w:sz="6" w:space="0" w:color="auto"/>
            </w:tcBorders>
          </w:tcPr>
          <w:p w:rsidR="00016DEF" w:rsidRPr="00D0483B" w:rsidRDefault="00016DEF" w:rsidP="008B5474">
            <w:pPr>
              <w:pStyle w:val="TableColumnHeading"/>
              <w:ind w:right="28"/>
              <w:rPr>
                <w:sz w:val="18"/>
                <w:szCs w:val="18"/>
              </w:rPr>
            </w:pPr>
            <w:r w:rsidRPr="00D0483B">
              <w:rPr>
                <w:sz w:val="18"/>
                <w:szCs w:val="18"/>
              </w:rPr>
              <w:t>2006-07</w:t>
            </w:r>
          </w:p>
        </w:tc>
        <w:tc>
          <w:tcPr>
            <w:tcW w:w="495" w:type="pct"/>
            <w:tcBorders>
              <w:top w:val="single" w:sz="6" w:space="0" w:color="auto"/>
              <w:bottom w:val="single" w:sz="6" w:space="0" w:color="auto"/>
            </w:tcBorders>
          </w:tcPr>
          <w:p w:rsidR="00016DEF" w:rsidRPr="00D0483B" w:rsidRDefault="00016DEF" w:rsidP="008B5474">
            <w:pPr>
              <w:pStyle w:val="TableColumnHeading"/>
              <w:ind w:right="28"/>
              <w:rPr>
                <w:sz w:val="18"/>
                <w:szCs w:val="18"/>
              </w:rPr>
            </w:pPr>
            <w:r w:rsidRPr="00D0483B">
              <w:rPr>
                <w:sz w:val="18"/>
                <w:szCs w:val="18"/>
              </w:rPr>
              <w:t>2007-08</w:t>
            </w:r>
          </w:p>
        </w:tc>
        <w:tc>
          <w:tcPr>
            <w:tcW w:w="495" w:type="pct"/>
            <w:tcBorders>
              <w:top w:val="single" w:sz="6" w:space="0" w:color="auto"/>
              <w:bottom w:val="single" w:sz="6" w:space="0" w:color="auto"/>
            </w:tcBorders>
          </w:tcPr>
          <w:p w:rsidR="00016DEF" w:rsidRPr="00D0483B" w:rsidRDefault="00016DEF" w:rsidP="008B5474">
            <w:pPr>
              <w:pStyle w:val="TableColumnHeading"/>
              <w:ind w:right="28"/>
              <w:rPr>
                <w:sz w:val="18"/>
                <w:szCs w:val="18"/>
              </w:rPr>
            </w:pPr>
            <w:r w:rsidRPr="00D0483B">
              <w:rPr>
                <w:sz w:val="18"/>
                <w:szCs w:val="18"/>
              </w:rPr>
              <w:t>2008-09</w:t>
            </w:r>
          </w:p>
        </w:tc>
        <w:tc>
          <w:tcPr>
            <w:tcW w:w="495" w:type="pct"/>
            <w:tcBorders>
              <w:top w:val="single" w:sz="6" w:space="0" w:color="auto"/>
              <w:bottom w:val="single" w:sz="6" w:space="0" w:color="auto"/>
            </w:tcBorders>
            <w:shd w:val="clear" w:color="auto" w:fill="auto"/>
          </w:tcPr>
          <w:p w:rsidR="00016DEF" w:rsidRPr="00D0483B" w:rsidRDefault="00016DEF" w:rsidP="008B5474">
            <w:pPr>
              <w:pStyle w:val="TableColumnHeading"/>
              <w:ind w:right="28"/>
              <w:rPr>
                <w:sz w:val="18"/>
                <w:szCs w:val="18"/>
              </w:rPr>
            </w:pPr>
            <w:r w:rsidRPr="00D0483B">
              <w:rPr>
                <w:sz w:val="18"/>
                <w:szCs w:val="18"/>
              </w:rPr>
              <w:t>2009-10</w:t>
            </w:r>
          </w:p>
        </w:tc>
        <w:tc>
          <w:tcPr>
            <w:tcW w:w="495" w:type="pct"/>
            <w:tcBorders>
              <w:top w:val="single" w:sz="6" w:space="0" w:color="auto"/>
              <w:bottom w:val="single" w:sz="6" w:space="0" w:color="auto"/>
            </w:tcBorders>
            <w:shd w:val="clear" w:color="auto" w:fill="auto"/>
          </w:tcPr>
          <w:p w:rsidR="00016DEF" w:rsidRPr="00D0483B" w:rsidRDefault="00016DEF" w:rsidP="008B5474">
            <w:pPr>
              <w:pStyle w:val="TableColumnHeading"/>
              <w:ind w:right="28"/>
              <w:rPr>
                <w:sz w:val="18"/>
                <w:szCs w:val="18"/>
              </w:rPr>
            </w:pPr>
            <w:r w:rsidRPr="00D0483B">
              <w:rPr>
                <w:sz w:val="18"/>
                <w:szCs w:val="18"/>
              </w:rPr>
              <w:t>2010-11</w:t>
            </w:r>
          </w:p>
        </w:tc>
        <w:tc>
          <w:tcPr>
            <w:tcW w:w="488" w:type="pct"/>
            <w:tcBorders>
              <w:top w:val="single" w:sz="6" w:space="0" w:color="auto"/>
              <w:bottom w:val="single" w:sz="6" w:space="0" w:color="auto"/>
            </w:tcBorders>
            <w:shd w:val="clear" w:color="auto" w:fill="auto"/>
          </w:tcPr>
          <w:p w:rsidR="00016DEF" w:rsidRPr="00D0483B" w:rsidRDefault="00016DEF" w:rsidP="008B5474">
            <w:pPr>
              <w:pStyle w:val="TableColumnHeading"/>
              <w:ind w:right="28"/>
              <w:rPr>
                <w:sz w:val="18"/>
                <w:szCs w:val="18"/>
              </w:rPr>
            </w:pPr>
            <w:r w:rsidRPr="00D0483B">
              <w:rPr>
                <w:sz w:val="18"/>
                <w:szCs w:val="18"/>
              </w:rPr>
              <w:t>2011-12</w:t>
            </w:r>
          </w:p>
        </w:tc>
      </w:tr>
      <w:tr w:rsidR="00016DEF" w:rsidTr="008B5474">
        <w:trPr>
          <w:trHeight w:val="227"/>
        </w:trPr>
        <w:tc>
          <w:tcPr>
            <w:tcW w:w="1946" w:type="pct"/>
            <w:tcBorders>
              <w:top w:val="single" w:sz="6" w:space="0" w:color="auto"/>
            </w:tcBorders>
            <w:vAlign w:val="bottom"/>
          </w:tcPr>
          <w:p w:rsidR="00016DEF" w:rsidRPr="00DC145C" w:rsidRDefault="00016DEF" w:rsidP="008B5474">
            <w:pPr>
              <w:pStyle w:val="TableBodyText"/>
              <w:jc w:val="left"/>
              <w:rPr>
                <w:b/>
                <w:sz w:val="18"/>
                <w:szCs w:val="18"/>
              </w:rPr>
            </w:pPr>
            <w:r w:rsidRPr="00DC145C">
              <w:rPr>
                <w:b/>
                <w:sz w:val="18"/>
                <w:szCs w:val="18"/>
              </w:rPr>
              <w:t>Primary production</w:t>
            </w:r>
          </w:p>
        </w:tc>
        <w:tc>
          <w:tcPr>
            <w:tcW w:w="586" w:type="pct"/>
            <w:tcBorders>
              <w:top w:val="single" w:sz="6" w:space="0" w:color="auto"/>
            </w:tcBorders>
            <w:vAlign w:val="bottom"/>
          </w:tcPr>
          <w:p w:rsidR="00016DEF" w:rsidRPr="00B3733A" w:rsidRDefault="00016DEF" w:rsidP="008B5474">
            <w:pPr>
              <w:pStyle w:val="TableBodyText"/>
              <w:rPr>
                <w:b/>
                <w:sz w:val="18"/>
                <w:szCs w:val="18"/>
              </w:rPr>
            </w:pPr>
            <w:r w:rsidRPr="00B3733A">
              <w:rPr>
                <w:b/>
                <w:sz w:val="18"/>
                <w:szCs w:val="18"/>
              </w:rPr>
              <w:t>30.0</w:t>
            </w:r>
          </w:p>
        </w:tc>
        <w:tc>
          <w:tcPr>
            <w:tcW w:w="495" w:type="pct"/>
            <w:tcBorders>
              <w:top w:val="single" w:sz="6" w:space="0" w:color="auto"/>
            </w:tcBorders>
            <w:vAlign w:val="bottom"/>
          </w:tcPr>
          <w:p w:rsidR="00016DEF" w:rsidRPr="00B3733A" w:rsidRDefault="00016DEF" w:rsidP="008B5474">
            <w:pPr>
              <w:pStyle w:val="TableBodyText"/>
              <w:rPr>
                <w:b/>
                <w:sz w:val="18"/>
                <w:szCs w:val="18"/>
              </w:rPr>
            </w:pPr>
            <w:r w:rsidRPr="00B3733A">
              <w:rPr>
                <w:b/>
                <w:sz w:val="18"/>
                <w:szCs w:val="18"/>
              </w:rPr>
              <w:t>20.0</w:t>
            </w:r>
          </w:p>
        </w:tc>
        <w:tc>
          <w:tcPr>
            <w:tcW w:w="495" w:type="pct"/>
            <w:tcBorders>
              <w:top w:val="single" w:sz="6" w:space="0" w:color="auto"/>
            </w:tcBorders>
            <w:vAlign w:val="bottom"/>
          </w:tcPr>
          <w:p w:rsidR="00016DEF" w:rsidRPr="00B3733A" w:rsidRDefault="00016DEF" w:rsidP="008B5474">
            <w:pPr>
              <w:pStyle w:val="TableBodyText"/>
              <w:rPr>
                <w:b/>
                <w:sz w:val="18"/>
                <w:szCs w:val="18"/>
              </w:rPr>
            </w:pPr>
            <w:r w:rsidRPr="00B3733A">
              <w:rPr>
                <w:b/>
                <w:sz w:val="18"/>
                <w:szCs w:val="18"/>
              </w:rPr>
              <w:t>20.0</w:t>
            </w:r>
          </w:p>
        </w:tc>
        <w:tc>
          <w:tcPr>
            <w:tcW w:w="495" w:type="pct"/>
            <w:tcBorders>
              <w:top w:val="single" w:sz="6" w:space="0" w:color="auto"/>
            </w:tcBorders>
            <w:vAlign w:val="bottom"/>
          </w:tcPr>
          <w:p w:rsidR="00016DEF" w:rsidRPr="00B3733A" w:rsidRDefault="00016DEF" w:rsidP="008B5474">
            <w:pPr>
              <w:pStyle w:val="TableBodyText"/>
              <w:rPr>
                <w:b/>
                <w:sz w:val="18"/>
                <w:szCs w:val="18"/>
              </w:rPr>
            </w:pPr>
            <w:r w:rsidRPr="00B3733A">
              <w:rPr>
                <w:b/>
                <w:sz w:val="18"/>
                <w:szCs w:val="18"/>
              </w:rPr>
              <w:t>20.0</w:t>
            </w:r>
          </w:p>
        </w:tc>
        <w:tc>
          <w:tcPr>
            <w:tcW w:w="495" w:type="pct"/>
            <w:tcBorders>
              <w:top w:val="single" w:sz="6" w:space="0" w:color="auto"/>
            </w:tcBorders>
            <w:vAlign w:val="bottom"/>
          </w:tcPr>
          <w:p w:rsidR="00016DEF" w:rsidRPr="00B3733A" w:rsidRDefault="00016DEF" w:rsidP="008B5474">
            <w:pPr>
              <w:pStyle w:val="TableBodyText"/>
              <w:rPr>
                <w:b/>
                <w:sz w:val="18"/>
                <w:szCs w:val="18"/>
              </w:rPr>
            </w:pPr>
            <w:r w:rsidRPr="00B3733A">
              <w:rPr>
                <w:b/>
                <w:sz w:val="18"/>
                <w:szCs w:val="18"/>
              </w:rPr>
              <w:t>25.0</w:t>
            </w:r>
          </w:p>
        </w:tc>
        <w:tc>
          <w:tcPr>
            <w:tcW w:w="488" w:type="pct"/>
            <w:tcBorders>
              <w:top w:val="single" w:sz="6" w:space="0" w:color="auto"/>
            </w:tcBorders>
            <w:vAlign w:val="bottom"/>
          </w:tcPr>
          <w:p w:rsidR="00016DEF" w:rsidRPr="00B3733A" w:rsidRDefault="00016DEF" w:rsidP="008B5474">
            <w:pPr>
              <w:pStyle w:val="TableBodyText"/>
              <w:rPr>
                <w:b/>
                <w:sz w:val="18"/>
                <w:szCs w:val="18"/>
              </w:rPr>
            </w:pPr>
            <w:r w:rsidRPr="00B3733A">
              <w:rPr>
                <w:b/>
                <w:sz w:val="18"/>
                <w:szCs w:val="18"/>
              </w:rPr>
              <w:t>25.0</w:t>
            </w:r>
          </w:p>
        </w:tc>
      </w:tr>
      <w:tr w:rsidR="00016DEF" w:rsidTr="008B5474">
        <w:trPr>
          <w:trHeight w:val="227"/>
        </w:trPr>
        <w:tc>
          <w:tcPr>
            <w:tcW w:w="1946" w:type="pct"/>
            <w:vAlign w:val="bottom"/>
          </w:tcPr>
          <w:p w:rsidR="00016DEF" w:rsidRPr="007758AB" w:rsidRDefault="00016DEF" w:rsidP="008B5474">
            <w:pPr>
              <w:pStyle w:val="TableBodyText"/>
              <w:jc w:val="left"/>
              <w:rPr>
                <w:sz w:val="18"/>
                <w:szCs w:val="18"/>
              </w:rPr>
            </w:pPr>
            <w:r>
              <w:rPr>
                <w:sz w:val="18"/>
                <w:szCs w:val="18"/>
              </w:rPr>
              <w:t>Horticulture and fruit growing</w:t>
            </w:r>
          </w:p>
        </w:tc>
        <w:tc>
          <w:tcPr>
            <w:tcW w:w="586" w:type="pct"/>
            <w:vAlign w:val="bottom"/>
          </w:tcPr>
          <w:p w:rsidR="00016DEF" w:rsidRPr="00B3733A" w:rsidRDefault="00016DEF" w:rsidP="008B5474">
            <w:pPr>
              <w:pStyle w:val="TableBodyText"/>
              <w:rPr>
                <w:sz w:val="18"/>
                <w:szCs w:val="18"/>
              </w:rPr>
            </w:pPr>
            <w:r w:rsidRPr="00B3733A">
              <w:rPr>
                <w:sz w:val="18"/>
                <w:szCs w:val="18"/>
              </w:rPr>
              <w:t>3.8</w:t>
            </w:r>
          </w:p>
        </w:tc>
        <w:tc>
          <w:tcPr>
            <w:tcW w:w="495" w:type="pct"/>
            <w:vAlign w:val="bottom"/>
          </w:tcPr>
          <w:p w:rsidR="00016DEF" w:rsidRPr="00B3733A" w:rsidRDefault="00016DEF" w:rsidP="008B5474">
            <w:pPr>
              <w:pStyle w:val="TableBodyText"/>
              <w:rPr>
                <w:sz w:val="18"/>
                <w:szCs w:val="18"/>
              </w:rPr>
            </w:pPr>
            <w:r w:rsidRPr="00B3733A">
              <w:rPr>
                <w:sz w:val="18"/>
                <w:szCs w:val="18"/>
              </w:rPr>
              <w:t>2.0</w:t>
            </w:r>
          </w:p>
        </w:tc>
        <w:tc>
          <w:tcPr>
            <w:tcW w:w="495" w:type="pct"/>
            <w:vAlign w:val="bottom"/>
          </w:tcPr>
          <w:p w:rsidR="00016DEF" w:rsidRPr="00B3733A" w:rsidRDefault="00016DEF" w:rsidP="008B5474">
            <w:pPr>
              <w:pStyle w:val="TableBodyText"/>
              <w:rPr>
                <w:sz w:val="18"/>
                <w:szCs w:val="18"/>
              </w:rPr>
            </w:pPr>
            <w:r w:rsidRPr="00B3733A">
              <w:rPr>
                <w:sz w:val="18"/>
                <w:szCs w:val="18"/>
              </w:rPr>
              <w:t>2.0</w:t>
            </w:r>
          </w:p>
        </w:tc>
        <w:tc>
          <w:tcPr>
            <w:tcW w:w="495" w:type="pct"/>
            <w:vAlign w:val="bottom"/>
          </w:tcPr>
          <w:p w:rsidR="00016DEF" w:rsidRPr="00B3733A" w:rsidRDefault="00016DEF" w:rsidP="008B5474">
            <w:pPr>
              <w:pStyle w:val="TableBodyText"/>
              <w:rPr>
                <w:sz w:val="18"/>
                <w:szCs w:val="18"/>
              </w:rPr>
            </w:pPr>
            <w:r w:rsidRPr="00B3733A">
              <w:rPr>
                <w:sz w:val="18"/>
                <w:szCs w:val="18"/>
              </w:rPr>
              <w:t>3.7</w:t>
            </w:r>
          </w:p>
        </w:tc>
        <w:tc>
          <w:tcPr>
            <w:tcW w:w="495" w:type="pct"/>
            <w:vAlign w:val="bottom"/>
          </w:tcPr>
          <w:p w:rsidR="00016DEF" w:rsidRPr="00B3733A" w:rsidRDefault="00016DEF" w:rsidP="008B5474">
            <w:pPr>
              <w:pStyle w:val="TableBodyText"/>
              <w:rPr>
                <w:sz w:val="18"/>
                <w:szCs w:val="18"/>
              </w:rPr>
            </w:pPr>
            <w:r w:rsidRPr="00B3733A">
              <w:rPr>
                <w:sz w:val="18"/>
                <w:szCs w:val="18"/>
              </w:rPr>
              <w:t>4.7</w:t>
            </w:r>
          </w:p>
        </w:tc>
        <w:tc>
          <w:tcPr>
            <w:tcW w:w="488" w:type="pct"/>
            <w:vAlign w:val="bottom"/>
          </w:tcPr>
          <w:p w:rsidR="00016DEF" w:rsidRPr="00B3733A" w:rsidRDefault="00016DEF" w:rsidP="008B5474">
            <w:pPr>
              <w:pStyle w:val="TableBodyText"/>
              <w:rPr>
                <w:sz w:val="18"/>
                <w:szCs w:val="18"/>
              </w:rPr>
            </w:pPr>
            <w:r w:rsidRPr="00B3733A">
              <w:rPr>
                <w:sz w:val="18"/>
                <w:szCs w:val="18"/>
              </w:rPr>
              <w:t>4.7</w:t>
            </w:r>
          </w:p>
        </w:tc>
      </w:tr>
      <w:tr w:rsidR="00016DEF" w:rsidTr="008B5474">
        <w:trPr>
          <w:trHeight w:val="227"/>
        </w:trPr>
        <w:tc>
          <w:tcPr>
            <w:tcW w:w="1946" w:type="pct"/>
            <w:vAlign w:val="bottom"/>
          </w:tcPr>
          <w:p w:rsidR="00016DEF" w:rsidRPr="007758AB" w:rsidRDefault="00016DEF" w:rsidP="008B5474">
            <w:pPr>
              <w:pStyle w:val="TableBodyText"/>
              <w:jc w:val="left"/>
              <w:rPr>
                <w:sz w:val="18"/>
                <w:szCs w:val="18"/>
              </w:rPr>
            </w:pPr>
            <w:r w:rsidRPr="007758AB">
              <w:rPr>
                <w:sz w:val="18"/>
                <w:szCs w:val="18"/>
              </w:rPr>
              <w:t>Sheep, beef cattle and grain farming</w:t>
            </w:r>
          </w:p>
        </w:tc>
        <w:tc>
          <w:tcPr>
            <w:tcW w:w="586" w:type="pct"/>
            <w:vAlign w:val="bottom"/>
          </w:tcPr>
          <w:p w:rsidR="00016DEF" w:rsidRPr="00B3733A" w:rsidRDefault="00016DEF" w:rsidP="008B5474">
            <w:pPr>
              <w:pStyle w:val="TableBodyText"/>
              <w:rPr>
                <w:sz w:val="18"/>
                <w:szCs w:val="18"/>
              </w:rPr>
            </w:pPr>
            <w:r w:rsidRPr="00B3733A">
              <w:rPr>
                <w:sz w:val="18"/>
                <w:szCs w:val="18"/>
              </w:rPr>
              <w:t>16.7</w:t>
            </w:r>
          </w:p>
        </w:tc>
        <w:tc>
          <w:tcPr>
            <w:tcW w:w="495" w:type="pct"/>
            <w:vAlign w:val="bottom"/>
          </w:tcPr>
          <w:p w:rsidR="00016DEF" w:rsidRPr="00B3733A" w:rsidRDefault="00016DEF" w:rsidP="008B5474">
            <w:pPr>
              <w:pStyle w:val="TableBodyText"/>
              <w:rPr>
                <w:sz w:val="18"/>
                <w:szCs w:val="18"/>
              </w:rPr>
            </w:pPr>
            <w:r w:rsidRPr="00B3733A">
              <w:rPr>
                <w:sz w:val="18"/>
                <w:szCs w:val="18"/>
              </w:rPr>
              <w:t>13.3</w:t>
            </w:r>
          </w:p>
        </w:tc>
        <w:tc>
          <w:tcPr>
            <w:tcW w:w="495" w:type="pct"/>
            <w:vAlign w:val="bottom"/>
          </w:tcPr>
          <w:p w:rsidR="00016DEF" w:rsidRPr="00B3733A" w:rsidRDefault="00016DEF" w:rsidP="008B5474">
            <w:pPr>
              <w:pStyle w:val="TableBodyText"/>
              <w:rPr>
                <w:sz w:val="18"/>
                <w:szCs w:val="18"/>
              </w:rPr>
            </w:pPr>
            <w:r w:rsidRPr="00B3733A">
              <w:rPr>
                <w:sz w:val="18"/>
                <w:szCs w:val="18"/>
              </w:rPr>
              <w:t>13.3</w:t>
            </w:r>
          </w:p>
        </w:tc>
        <w:tc>
          <w:tcPr>
            <w:tcW w:w="495" w:type="pct"/>
            <w:vAlign w:val="bottom"/>
          </w:tcPr>
          <w:p w:rsidR="00016DEF" w:rsidRPr="00B3733A" w:rsidRDefault="00016DEF" w:rsidP="008B5474">
            <w:pPr>
              <w:pStyle w:val="TableBodyText"/>
              <w:rPr>
                <w:sz w:val="18"/>
                <w:szCs w:val="18"/>
              </w:rPr>
            </w:pPr>
            <w:r w:rsidRPr="00B3733A">
              <w:rPr>
                <w:sz w:val="18"/>
                <w:szCs w:val="18"/>
              </w:rPr>
              <w:t>11.4</w:t>
            </w:r>
          </w:p>
        </w:tc>
        <w:tc>
          <w:tcPr>
            <w:tcW w:w="495" w:type="pct"/>
            <w:vAlign w:val="bottom"/>
          </w:tcPr>
          <w:p w:rsidR="00016DEF" w:rsidRPr="00B3733A" w:rsidRDefault="00016DEF" w:rsidP="008B5474">
            <w:pPr>
              <w:pStyle w:val="TableBodyText"/>
              <w:rPr>
                <w:sz w:val="18"/>
                <w:szCs w:val="18"/>
              </w:rPr>
            </w:pPr>
            <w:r w:rsidRPr="00B3733A">
              <w:rPr>
                <w:sz w:val="18"/>
                <w:szCs w:val="18"/>
              </w:rPr>
              <w:t>14.3</w:t>
            </w:r>
          </w:p>
        </w:tc>
        <w:tc>
          <w:tcPr>
            <w:tcW w:w="488" w:type="pct"/>
            <w:vAlign w:val="bottom"/>
          </w:tcPr>
          <w:p w:rsidR="00016DEF" w:rsidRPr="00B3733A" w:rsidRDefault="00016DEF" w:rsidP="008B5474">
            <w:pPr>
              <w:pStyle w:val="TableBodyText"/>
              <w:rPr>
                <w:sz w:val="18"/>
                <w:szCs w:val="18"/>
              </w:rPr>
            </w:pPr>
            <w:r w:rsidRPr="00B3733A">
              <w:rPr>
                <w:sz w:val="18"/>
                <w:szCs w:val="18"/>
              </w:rPr>
              <w:t>14.3</w:t>
            </w:r>
          </w:p>
        </w:tc>
      </w:tr>
      <w:tr w:rsidR="00016DEF" w:rsidTr="008B5474">
        <w:trPr>
          <w:trHeight w:val="227"/>
        </w:trPr>
        <w:tc>
          <w:tcPr>
            <w:tcW w:w="1946" w:type="pct"/>
            <w:vAlign w:val="bottom"/>
          </w:tcPr>
          <w:p w:rsidR="00016DEF" w:rsidRPr="007758AB" w:rsidRDefault="00016DEF" w:rsidP="008B5474">
            <w:pPr>
              <w:pStyle w:val="TableBodyText"/>
              <w:jc w:val="left"/>
              <w:rPr>
                <w:sz w:val="18"/>
                <w:szCs w:val="18"/>
              </w:rPr>
            </w:pPr>
            <w:r w:rsidRPr="007758AB">
              <w:rPr>
                <w:sz w:val="18"/>
                <w:szCs w:val="18"/>
              </w:rPr>
              <w:t>Other crop growing</w:t>
            </w:r>
          </w:p>
        </w:tc>
        <w:tc>
          <w:tcPr>
            <w:tcW w:w="586" w:type="pct"/>
            <w:vAlign w:val="bottom"/>
          </w:tcPr>
          <w:p w:rsidR="00016DEF" w:rsidRPr="00B3733A" w:rsidRDefault="00016DEF" w:rsidP="008B5474">
            <w:pPr>
              <w:pStyle w:val="TableBodyText"/>
              <w:rPr>
                <w:sz w:val="18"/>
                <w:szCs w:val="18"/>
              </w:rPr>
            </w:pPr>
            <w:r w:rsidRPr="00B3733A">
              <w:rPr>
                <w:sz w:val="18"/>
                <w:szCs w:val="18"/>
              </w:rPr>
              <w:t>5.0</w:t>
            </w:r>
          </w:p>
        </w:tc>
        <w:tc>
          <w:tcPr>
            <w:tcW w:w="495" w:type="pct"/>
            <w:vAlign w:val="bottom"/>
          </w:tcPr>
          <w:p w:rsidR="00016DEF" w:rsidRPr="00B3733A" w:rsidRDefault="00016DEF" w:rsidP="008B5474">
            <w:pPr>
              <w:pStyle w:val="TableBodyText"/>
              <w:rPr>
                <w:sz w:val="18"/>
                <w:szCs w:val="18"/>
              </w:rPr>
            </w:pPr>
            <w:r w:rsidRPr="00B3733A">
              <w:rPr>
                <w:sz w:val="18"/>
                <w:szCs w:val="18"/>
              </w:rPr>
              <w:t>1.8</w:t>
            </w:r>
          </w:p>
        </w:tc>
        <w:tc>
          <w:tcPr>
            <w:tcW w:w="495" w:type="pct"/>
            <w:vAlign w:val="bottom"/>
          </w:tcPr>
          <w:p w:rsidR="00016DEF" w:rsidRPr="00B3733A" w:rsidRDefault="00016DEF" w:rsidP="008B5474">
            <w:pPr>
              <w:pStyle w:val="TableBodyText"/>
              <w:rPr>
                <w:sz w:val="18"/>
                <w:szCs w:val="18"/>
              </w:rPr>
            </w:pPr>
            <w:r w:rsidRPr="00B3733A">
              <w:rPr>
                <w:sz w:val="18"/>
                <w:szCs w:val="18"/>
              </w:rPr>
              <w:t>1.8</w:t>
            </w:r>
          </w:p>
        </w:tc>
        <w:tc>
          <w:tcPr>
            <w:tcW w:w="495" w:type="pct"/>
            <w:shd w:val="clear" w:color="auto" w:fill="auto"/>
            <w:vAlign w:val="bottom"/>
          </w:tcPr>
          <w:p w:rsidR="00016DEF" w:rsidRPr="00B3733A" w:rsidRDefault="00016DEF" w:rsidP="008B5474">
            <w:pPr>
              <w:pStyle w:val="TableBodyText"/>
              <w:rPr>
                <w:sz w:val="18"/>
                <w:szCs w:val="18"/>
              </w:rPr>
            </w:pPr>
            <w:r w:rsidRPr="00B3733A">
              <w:rPr>
                <w:sz w:val="18"/>
                <w:szCs w:val="18"/>
              </w:rPr>
              <w:t>1.5</w:t>
            </w:r>
          </w:p>
        </w:tc>
        <w:tc>
          <w:tcPr>
            <w:tcW w:w="495" w:type="pct"/>
            <w:shd w:val="clear" w:color="auto" w:fill="auto"/>
            <w:vAlign w:val="bottom"/>
          </w:tcPr>
          <w:p w:rsidR="00016DEF" w:rsidRPr="00B3733A" w:rsidRDefault="00016DEF" w:rsidP="008B5474">
            <w:pPr>
              <w:pStyle w:val="TableBodyText"/>
              <w:rPr>
                <w:sz w:val="18"/>
                <w:szCs w:val="18"/>
              </w:rPr>
            </w:pPr>
            <w:r w:rsidRPr="00B3733A">
              <w:rPr>
                <w:sz w:val="18"/>
                <w:szCs w:val="18"/>
              </w:rPr>
              <w:t>1.8</w:t>
            </w:r>
          </w:p>
        </w:tc>
        <w:tc>
          <w:tcPr>
            <w:tcW w:w="488" w:type="pct"/>
            <w:shd w:val="clear" w:color="auto" w:fill="auto"/>
            <w:vAlign w:val="bottom"/>
          </w:tcPr>
          <w:p w:rsidR="00016DEF" w:rsidRPr="00B3733A" w:rsidRDefault="00016DEF" w:rsidP="008B5474">
            <w:pPr>
              <w:pStyle w:val="TableBodyText"/>
              <w:rPr>
                <w:sz w:val="18"/>
                <w:szCs w:val="18"/>
              </w:rPr>
            </w:pPr>
            <w:r w:rsidRPr="00B3733A">
              <w:rPr>
                <w:sz w:val="18"/>
                <w:szCs w:val="18"/>
              </w:rPr>
              <w:t>1.8</w:t>
            </w:r>
          </w:p>
        </w:tc>
      </w:tr>
      <w:tr w:rsidR="00016DEF" w:rsidTr="008B5474">
        <w:trPr>
          <w:trHeight w:val="227"/>
        </w:trPr>
        <w:tc>
          <w:tcPr>
            <w:tcW w:w="1946" w:type="pct"/>
            <w:vAlign w:val="bottom"/>
          </w:tcPr>
          <w:p w:rsidR="00016DEF" w:rsidRPr="007758AB" w:rsidRDefault="00016DEF" w:rsidP="008B5474">
            <w:pPr>
              <w:pStyle w:val="TableBodyText"/>
              <w:jc w:val="left"/>
              <w:rPr>
                <w:sz w:val="18"/>
                <w:szCs w:val="18"/>
              </w:rPr>
            </w:pPr>
            <w:r>
              <w:rPr>
                <w:sz w:val="18"/>
                <w:szCs w:val="18"/>
              </w:rPr>
              <w:t>Dairy cattle farming</w:t>
            </w:r>
          </w:p>
        </w:tc>
        <w:tc>
          <w:tcPr>
            <w:tcW w:w="586" w:type="pct"/>
            <w:vAlign w:val="bottom"/>
          </w:tcPr>
          <w:p w:rsidR="00016DEF" w:rsidRPr="00B3733A" w:rsidRDefault="00016DEF" w:rsidP="008B5474">
            <w:pPr>
              <w:pStyle w:val="TableBodyText"/>
              <w:rPr>
                <w:sz w:val="18"/>
                <w:szCs w:val="18"/>
              </w:rPr>
            </w:pPr>
            <w:r w:rsidRPr="00B3733A">
              <w:rPr>
                <w:sz w:val="18"/>
                <w:szCs w:val="18"/>
              </w:rPr>
              <w:t>1.8</w:t>
            </w:r>
          </w:p>
        </w:tc>
        <w:tc>
          <w:tcPr>
            <w:tcW w:w="495" w:type="pct"/>
            <w:vAlign w:val="bottom"/>
          </w:tcPr>
          <w:p w:rsidR="00016DEF" w:rsidRPr="00B3733A" w:rsidRDefault="00016DEF" w:rsidP="008B5474">
            <w:pPr>
              <w:pStyle w:val="TableBodyText"/>
              <w:rPr>
                <w:sz w:val="18"/>
                <w:szCs w:val="18"/>
              </w:rPr>
            </w:pPr>
            <w:r w:rsidRPr="00B3733A">
              <w:rPr>
                <w:sz w:val="18"/>
                <w:szCs w:val="18"/>
              </w:rPr>
              <w:t>1.3</w:t>
            </w:r>
          </w:p>
        </w:tc>
        <w:tc>
          <w:tcPr>
            <w:tcW w:w="495" w:type="pct"/>
            <w:vAlign w:val="bottom"/>
          </w:tcPr>
          <w:p w:rsidR="00016DEF" w:rsidRPr="00B3733A" w:rsidRDefault="00016DEF" w:rsidP="008B5474">
            <w:pPr>
              <w:pStyle w:val="TableBodyText"/>
              <w:rPr>
                <w:sz w:val="18"/>
                <w:szCs w:val="18"/>
              </w:rPr>
            </w:pPr>
            <w:r w:rsidRPr="00B3733A">
              <w:rPr>
                <w:sz w:val="18"/>
                <w:szCs w:val="18"/>
              </w:rPr>
              <w:t>1.3</w:t>
            </w:r>
          </w:p>
        </w:tc>
        <w:tc>
          <w:tcPr>
            <w:tcW w:w="495" w:type="pct"/>
            <w:shd w:val="clear" w:color="auto" w:fill="auto"/>
            <w:vAlign w:val="bottom"/>
          </w:tcPr>
          <w:p w:rsidR="00016DEF" w:rsidRPr="00B3733A" w:rsidRDefault="00016DEF" w:rsidP="008B5474">
            <w:pPr>
              <w:pStyle w:val="TableBodyText"/>
              <w:rPr>
                <w:sz w:val="18"/>
                <w:szCs w:val="18"/>
              </w:rPr>
            </w:pPr>
            <w:r w:rsidRPr="00B3733A">
              <w:rPr>
                <w:sz w:val="18"/>
                <w:szCs w:val="18"/>
              </w:rPr>
              <w:t>1.5</w:t>
            </w:r>
          </w:p>
        </w:tc>
        <w:tc>
          <w:tcPr>
            <w:tcW w:w="495" w:type="pct"/>
            <w:shd w:val="clear" w:color="auto" w:fill="auto"/>
            <w:vAlign w:val="bottom"/>
          </w:tcPr>
          <w:p w:rsidR="00016DEF" w:rsidRPr="00B3733A" w:rsidRDefault="00016DEF" w:rsidP="008B5474">
            <w:pPr>
              <w:pStyle w:val="TableBodyText"/>
              <w:rPr>
                <w:sz w:val="18"/>
                <w:szCs w:val="18"/>
              </w:rPr>
            </w:pPr>
            <w:r w:rsidRPr="00B3733A">
              <w:rPr>
                <w:sz w:val="18"/>
                <w:szCs w:val="18"/>
              </w:rPr>
              <w:t>1.8</w:t>
            </w:r>
          </w:p>
        </w:tc>
        <w:tc>
          <w:tcPr>
            <w:tcW w:w="488" w:type="pct"/>
            <w:shd w:val="clear" w:color="auto" w:fill="auto"/>
            <w:vAlign w:val="bottom"/>
          </w:tcPr>
          <w:p w:rsidR="00016DEF" w:rsidRPr="00B3733A" w:rsidRDefault="00016DEF" w:rsidP="008B5474">
            <w:pPr>
              <w:pStyle w:val="TableBodyText"/>
              <w:rPr>
                <w:sz w:val="18"/>
                <w:szCs w:val="18"/>
              </w:rPr>
            </w:pPr>
            <w:r w:rsidRPr="00B3733A">
              <w:rPr>
                <w:sz w:val="18"/>
                <w:szCs w:val="18"/>
              </w:rPr>
              <w:t>1.8</w:t>
            </w:r>
          </w:p>
        </w:tc>
      </w:tr>
      <w:tr w:rsidR="00016DEF" w:rsidTr="008B5474">
        <w:trPr>
          <w:trHeight w:val="227"/>
        </w:trPr>
        <w:tc>
          <w:tcPr>
            <w:tcW w:w="1946" w:type="pct"/>
            <w:vAlign w:val="bottom"/>
          </w:tcPr>
          <w:p w:rsidR="00016DEF" w:rsidRPr="007758AB" w:rsidRDefault="00016DEF" w:rsidP="008B5474">
            <w:pPr>
              <w:pStyle w:val="TableBodyText"/>
              <w:jc w:val="left"/>
              <w:rPr>
                <w:sz w:val="18"/>
                <w:szCs w:val="18"/>
              </w:rPr>
            </w:pPr>
            <w:r>
              <w:rPr>
                <w:sz w:val="18"/>
                <w:szCs w:val="18"/>
              </w:rPr>
              <w:t>Other livestock farming</w:t>
            </w:r>
          </w:p>
        </w:tc>
        <w:tc>
          <w:tcPr>
            <w:tcW w:w="586" w:type="pct"/>
            <w:vAlign w:val="bottom"/>
          </w:tcPr>
          <w:p w:rsidR="00016DEF" w:rsidRPr="00B3733A" w:rsidRDefault="00016DEF" w:rsidP="008B5474">
            <w:pPr>
              <w:pStyle w:val="TableBodyText"/>
              <w:rPr>
                <w:sz w:val="18"/>
                <w:szCs w:val="18"/>
              </w:rPr>
            </w:pPr>
            <w:r w:rsidRPr="00B3733A">
              <w:rPr>
                <w:sz w:val="18"/>
                <w:szCs w:val="18"/>
              </w:rPr>
              <w:t>0.9</w:t>
            </w:r>
          </w:p>
        </w:tc>
        <w:tc>
          <w:tcPr>
            <w:tcW w:w="495" w:type="pct"/>
            <w:vAlign w:val="bottom"/>
          </w:tcPr>
          <w:p w:rsidR="00016DEF" w:rsidRPr="00B3733A" w:rsidRDefault="00016DEF" w:rsidP="008B5474">
            <w:pPr>
              <w:pStyle w:val="TableBodyText"/>
              <w:rPr>
                <w:sz w:val="18"/>
                <w:szCs w:val="18"/>
              </w:rPr>
            </w:pPr>
            <w:r w:rsidRPr="00B3733A">
              <w:rPr>
                <w:sz w:val="18"/>
                <w:szCs w:val="18"/>
              </w:rPr>
              <w:t>1.1</w:t>
            </w:r>
          </w:p>
        </w:tc>
        <w:tc>
          <w:tcPr>
            <w:tcW w:w="495" w:type="pct"/>
            <w:vAlign w:val="bottom"/>
          </w:tcPr>
          <w:p w:rsidR="00016DEF" w:rsidRPr="00B3733A" w:rsidRDefault="00016DEF" w:rsidP="008B5474">
            <w:pPr>
              <w:pStyle w:val="TableBodyText"/>
              <w:rPr>
                <w:sz w:val="18"/>
                <w:szCs w:val="18"/>
              </w:rPr>
            </w:pPr>
            <w:r w:rsidRPr="00B3733A">
              <w:rPr>
                <w:sz w:val="18"/>
                <w:szCs w:val="18"/>
              </w:rPr>
              <w:t>1.1</w:t>
            </w:r>
          </w:p>
        </w:tc>
        <w:tc>
          <w:tcPr>
            <w:tcW w:w="495" w:type="pct"/>
            <w:shd w:val="clear" w:color="auto" w:fill="auto"/>
            <w:vAlign w:val="bottom"/>
          </w:tcPr>
          <w:p w:rsidR="00016DEF" w:rsidRPr="00B3733A" w:rsidRDefault="00016DEF" w:rsidP="008B5474">
            <w:pPr>
              <w:pStyle w:val="TableBodyText"/>
              <w:rPr>
                <w:sz w:val="18"/>
                <w:szCs w:val="18"/>
              </w:rPr>
            </w:pPr>
            <w:r w:rsidRPr="00B3733A">
              <w:rPr>
                <w:sz w:val="18"/>
                <w:szCs w:val="18"/>
              </w:rPr>
              <w:t>1.6</w:t>
            </w:r>
          </w:p>
        </w:tc>
        <w:tc>
          <w:tcPr>
            <w:tcW w:w="495" w:type="pct"/>
            <w:shd w:val="clear" w:color="auto" w:fill="auto"/>
            <w:vAlign w:val="bottom"/>
          </w:tcPr>
          <w:p w:rsidR="00016DEF" w:rsidRPr="00B3733A" w:rsidRDefault="00016DEF" w:rsidP="008B5474">
            <w:pPr>
              <w:pStyle w:val="TableBodyText"/>
              <w:rPr>
                <w:sz w:val="18"/>
                <w:szCs w:val="18"/>
              </w:rPr>
            </w:pPr>
            <w:r w:rsidRPr="00B3733A">
              <w:rPr>
                <w:sz w:val="18"/>
                <w:szCs w:val="18"/>
              </w:rPr>
              <w:t>2.0</w:t>
            </w:r>
          </w:p>
        </w:tc>
        <w:tc>
          <w:tcPr>
            <w:tcW w:w="488" w:type="pct"/>
            <w:shd w:val="clear" w:color="auto" w:fill="auto"/>
            <w:vAlign w:val="bottom"/>
          </w:tcPr>
          <w:p w:rsidR="00016DEF" w:rsidRPr="00B3733A" w:rsidRDefault="00016DEF" w:rsidP="008B5474">
            <w:pPr>
              <w:pStyle w:val="TableBodyText"/>
              <w:rPr>
                <w:sz w:val="18"/>
                <w:szCs w:val="18"/>
              </w:rPr>
            </w:pPr>
            <w:r w:rsidRPr="00B3733A">
              <w:rPr>
                <w:sz w:val="18"/>
                <w:szCs w:val="18"/>
              </w:rPr>
              <w:t>2.0</w:t>
            </w:r>
          </w:p>
        </w:tc>
      </w:tr>
      <w:tr w:rsidR="00016DEF" w:rsidTr="008B5474">
        <w:trPr>
          <w:trHeight w:val="227"/>
        </w:trPr>
        <w:tc>
          <w:tcPr>
            <w:tcW w:w="1946" w:type="pct"/>
            <w:vAlign w:val="bottom"/>
          </w:tcPr>
          <w:p w:rsidR="00016DEF" w:rsidRPr="007758AB" w:rsidRDefault="00016DEF" w:rsidP="008B5474">
            <w:pPr>
              <w:pStyle w:val="TableBodyText"/>
              <w:jc w:val="left"/>
              <w:rPr>
                <w:sz w:val="18"/>
                <w:szCs w:val="18"/>
              </w:rPr>
            </w:pPr>
            <w:r>
              <w:rPr>
                <w:sz w:val="18"/>
                <w:szCs w:val="18"/>
              </w:rPr>
              <w:t>Aquaculture and fishing</w:t>
            </w:r>
          </w:p>
        </w:tc>
        <w:tc>
          <w:tcPr>
            <w:tcW w:w="586" w:type="pct"/>
            <w:vAlign w:val="bottom"/>
          </w:tcPr>
          <w:p w:rsidR="00016DEF" w:rsidRPr="00B3733A" w:rsidRDefault="00016DEF" w:rsidP="008B5474">
            <w:pPr>
              <w:pStyle w:val="TableBodyText"/>
              <w:rPr>
                <w:sz w:val="18"/>
                <w:szCs w:val="18"/>
              </w:rPr>
            </w:pPr>
            <w:r>
              <w:rPr>
                <w:sz w:val="18"/>
                <w:szCs w:val="18"/>
              </w:rPr>
              <w:noBreakHyphen/>
            </w:r>
          </w:p>
        </w:tc>
        <w:tc>
          <w:tcPr>
            <w:tcW w:w="495" w:type="pct"/>
            <w:vAlign w:val="bottom"/>
          </w:tcPr>
          <w:p w:rsidR="00016DEF" w:rsidRPr="00B3733A" w:rsidRDefault="00016DEF" w:rsidP="008B5474">
            <w:pPr>
              <w:pStyle w:val="TableBodyText"/>
              <w:rPr>
                <w:sz w:val="18"/>
                <w:szCs w:val="18"/>
              </w:rPr>
            </w:pPr>
            <w:r>
              <w:rPr>
                <w:sz w:val="18"/>
                <w:szCs w:val="18"/>
              </w:rPr>
              <w:noBreakHyphen/>
            </w:r>
          </w:p>
        </w:tc>
        <w:tc>
          <w:tcPr>
            <w:tcW w:w="495" w:type="pct"/>
            <w:vAlign w:val="bottom"/>
          </w:tcPr>
          <w:p w:rsidR="00016DEF" w:rsidRPr="00B3733A" w:rsidRDefault="00016DEF" w:rsidP="008B5474">
            <w:pPr>
              <w:pStyle w:val="TableBodyText"/>
              <w:rPr>
                <w:sz w:val="18"/>
                <w:szCs w:val="18"/>
              </w:rPr>
            </w:pPr>
            <w:r>
              <w:rPr>
                <w:sz w:val="18"/>
                <w:szCs w:val="18"/>
              </w:rPr>
              <w:noBreakHyphen/>
            </w:r>
          </w:p>
        </w:tc>
        <w:tc>
          <w:tcPr>
            <w:tcW w:w="495" w:type="pct"/>
            <w:shd w:val="clear" w:color="auto" w:fill="auto"/>
            <w:vAlign w:val="bottom"/>
          </w:tcPr>
          <w:p w:rsidR="00016DEF" w:rsidRPr="00B3733A" w:rsidRDefault="00016DEF" w:rsidP="008B5474">
            <w:pPr>
              <w:pStyle w:val="TableBodyText"/>
              <w:rPr>
                <w:sz w:val="18"/>
                <w:szCs w:val="18"/>
              </w:rPr>
            </w:pPr>
            <w:r>
              <w:rPr>
                <w:sz w:val="18"/>
                <w:szCs w:val="18"/>
              </w:rPr>
              <w:t>&lt;</w:t>
            </w:r>
            <w:r w:rsidRPr="00E17EEF">
              <w:rPr>
                <w:sz w:val="18"/>
                <w:szCs w:val="18"/>
              </w:rPr>
              <w:t>0.</w:t>
            </w:r>
            <w:r>
              <w:rPr>
                <w:sz w:val="18"/>
                <w:szCs w:val="18"/>
              </w:rPr>
              <w:t>1</w:t>
            </w:r>
          </w:p>
        </w:tc>
        <w:tc>
          <w:tcPr>
            <w:tcW w:w="495" w:type="pct"/>
            <w:shd w:val="clear" w:color="auto" w:fill="auto"/>
            <w:vAlign w:val="bottom"/>
          </w:tcPr>
          <w:p w:rsidR="00016DEF" w:rsidRPr="00B3733A" w:rsidRDefault="00016DEF" w:rsidP="008B5474">
            <w:pPr>
              <w:pStyle w:val="TableBodyText"/>
              <w:rPr>
                <w:sz w:val="18"/>
                <w:szCs w:val="18"/>
              </w:rPr>
            </w:pPr>
            <w:r>
              <w:rPr>
                <w:sz w:val="18"/>
                <w:szCs w:val="18"/>
              </w:rPr>
              <w:t>&lt;</w:t>
            </w:r>
            <w:r w:rsidRPr="00E17EEF">
              <w:rPr>
                <w:sz w:val="18"/>
                <w:szCs w:val="18"/>
              </w:rPr>
              <w:t>0.</w:t>
            </w:r>
            <w:r>
              <w:rPr>
                <w:sz w:val="18"/>
                <w:szCs w:val="18"/>
              </w:rPr>
              <w:t>1</w:t>
            </w:r>
          </w:p>
        </w:tc>
        <w:tc>
          <w:tcPr>
            <w:tcW w:w="488" w:type="pct"/>
            <w:shd w:val="clear" w:color="auto" w:fill="auto"/>
            <w:vAlign w:val="bottom"/>
          </w:tcPr>
          <w:p w:rsidR="00016DEF" w:rsidRPr="00B3733A" w:rsidRDefault="00016DEF" w:rsidP="008B5474">
            <w:pPr>
              <w:pStyle w:val="TableBodyText"/>
              <w:rPr>
                <w:sz w:val="18"/>
                <w:szCs w:val="18"/>
              </w:rPr>
            </w:pPr>
            <w:r>
              <w:rPr>
                <w:sz w:val="18"/>
                <w:szCs w:val="18"/>
              </w:rPr>
              <w:t>&lt;</w:t>
            </w:r>
            <w:r w:rsidRPr="00E17EEF">
              <w:rPr>
                <w:sz w:val="18"/>
                <w:szCs w:val="18"/>
              </w:rPr>
              <w:t>0.</w:t>
            </w:r>
            <w:r>
              <w:rPr>
                <w:sz w:val="18"/>
                <w:szCs w:val="18"/>
              </w:rPr>
              <w:t>1</w:t>
            </w:r>
          </w:p>
        </w:tc>
      </w:tr>
      <w:tr w:rsidR="00016DEF" w:rsidTr="008B5474">
        <w:trPr>
          <w:trHeight w:val="227"/>
        </w:trPr>
        <w:tc>
          <w:tcPr>
            <w:tcW w:w="1946" w:type="pct"/>
            <w:vAlign w:val="bottom"/>
          </w:tcPr>
          <w:p w:rsidR="00016DEF" w:rsidRPr="007758AB" w:rsidRDefault="00016DEF" w:rsidP="008B5474">
            <w:pPr>
              <w:pStyle w:val="TableBodyText"/>
              <w:jc w:val="left"/>
              <w:rPr>
                <w:sz w:val="18"/>
                <w:szCs w:val="18"/>
              </w:rPr>
            </w:pPr>
            <w:r w:rsidRPr="007758AB">
              <w:rPr>
                <w:sz w:val="18"/>
                <w:szCs w:val="18"/>
              </w:rPr>
              <w:t>Forestry and logging</w:t>
            </w:r>
          </w:p>
        </w:tc>
        <w:tc>
          <w:tcPr>
            <w:tcW w:w="586" w:type="pct"/>
            <w:vAlign w:val="bottom"/>
          </w:tcPr>
          <w:p w:rsidR="00016DEF" w:rsidRPr="00B3733A" w:rsidRDefault="00016DEF" w:rsidP="008B5474">
            <w:pPr>
              <w:pStyle w:val="TableBodyText"/>
              <w:rPr>
                <w:sz w:val="18"/>
                <w:szCs w:val="18"/>
              </w:rPr>
            </w:pPr>
            <w:r w:rsidRPr="00B3733A">
              <w:rPr>
                <w:sz w:val="18"/>
                <w:szCs w:val="18"/>
              </w:rPr>
              <w:t>0.4</w:t>
            </w:r>
          </w:p>
        </w:tc>
        <w:tc>
          <w:tcPr>
            <w:tcW w:w="495" w:type="pct"/>
            <w:vAlign w:val="bottom"/>
          </w:tcPr>
          <w:p w:rsidR="00016DEF" w:rsidRPr="00B3733A" w:rsidRDefault="00016DEF" w:rsidP="008B5474">
            <w:pPr>
              <w:pStyle w:val="TableBodyText"/>
              <w:rPr>
                <w:sz w:val="18"/>
                <w:szCs w:val="18"/>
              </w:rPr>
            </w:pPr>
            <w:r w:rsidRPr="00B3733A">
              <w:rPr>
                <w:sz w:val="18"/>
                <w:szCs w:val="18"/>
              </w:rPr>
              <w:t>0.1</w:t>
            </w:r>
          </w:p>
        </w:tc>
        <w:tc>
          <w:tcPr>
            <w:tcW w:w="495" w:type="pct"/>
            <w:vAlign w:val="bottom"/>
          </w:tcPr>
          <w:p w:rsidR="00016DEF" w:rsidRPr="00B3733A" w:rsidRDefault="00016DEF" w:rsidP="008B5474">
            <w:pPr>
              <w:pStyle w:val="TableBodyText"/>
              <w:rPr>
                <w:sz w:val="18"/>
                <w:szCs w:val="18"/>
              </w:rPr>
            </w:pPr>
            <w:r w:rsidRPr="00B3733A">
              <w:rPr>
                <w:sz w:val="18"/>
                <w:szCs w:val="18"/>
              </w:rPr>
              <w:t>0.1</w:t>
            </w:r>
          </w:p>
        </w:tc>
        <w:tc>
          <w:tcPr>
            <w:tcW w:w="495" w:type="pct"/>
            <w:shd w:val="clear" w:color="auto" w:fill="auto"/>
            <w:vAlign w:val="bottom"/>
          </w:tcPr>
          <w:p w:rsidR="00016DEF" w:rsidRPr="00B3733A" w:rsidRDefault="00016DEF" w:rsidP="008B5474">
            <w:pPr>
              <w:pStyle w:val="TableBodyText"/>
              <w:rPr>
                <w:sz w:val="18"/>
                <w:szCs w:val="18"/>
              </w:rPr>
            </w:pPr>
            <w:r w:rsidRPr="00B3733A">
              <w:rPr>
                <w:sz w:val="18"/>
                <w:szCs w:val="18"/>
              </w:rPr>
              <w:t>0.1</w:t>
            </w:r>
          </w:p>
        </w:tc>
        <w:tc>
          <w:tcPr>
            <w:tcW w:w="495" w:type="pct"/>
            <w:shd w:val="clear" w:color="auto" w:fill="auto"/>
            <w:vAlign w:val="bottom"/>
          </w:tcPr>
          <w:p w:rsidR="00016DEF" w:rsidRPr="00B3733A" w:rsidRDefault="00016DEF" w:rsidP="008B5474">
            <w:pPr>
              <w:pStyle w:val="TableBodyText"/>
              <w:rPr>
                <w:sz w:val="18"/>
                <w:szCs w:val="18"/>
              </w:rPr>
            </w:pPr>
            <w:r w:rsidRPr="00B3733A">
              <w:rPr>
                <w:sz w:val="18"/>
                <w:szCs w:val="18"/>
              </w:rPr>
              <w:t>0.2</w:t>
            </w:r>
          </w:p>
        </w:tc>
        <w:tc>
          <w:tcPr>
            <w:tcW w:w="488" w:type="pct"/>
            <w:shd w:val="clear" w:color="auto" w:fill="auto"/>
            <w:vAlign w:val="bottom"/>
          </w:tcPr>
          <w:p w:rsidR="00016DEF" w:rsidRPr="00B3733A" w:rsidRDefault="00016DEF" w:rsidP="008B5474">
            <w:pPr>
              <w:pStyle w:val="TableBodyText"/>
              <w:rPr>
                <w:sz w:val="18"/>
                <w:szCs w:val="18"/>
              </w:rPr>
            </w:pPr>
            <w:r w:rsidRPr="00B3733A">
              <w:rPr>
                <w:sz w:val="18"/>
                <w:szCs w:val="18"/>
              </w:rPr>
              <w:t>0.2</w:t>
            </w:r>
          </w:p>
        </w:tc>
      </w:tr>
      <w:tr w:rsidR="00016DEF" w:rsidTr="008B5474">
        <w:trPr>
          <w:trHeight w:val="227"/>
        </w:trPr>
        <w:tc>
          <w:tcPr>
            <w:tcW w:w="1946" w:type="pct"/>
            <w:vAlign w:val="bottom"/>
          </w:tcPr>
          <w:p w:rsidR="00016DEF" w:rsidRPr="007758AB" w:rsidRDefault="00016DEF" w:rsidP="008B5474">
            <w:pPr>
              <w:pStyle w:val="TableBodyText"/>
              <w:jc w:val="left"/>
              <w:rPr>
                <w:sz w:val="18"/>
                <w:szCs w:val="18"/>
              </w:rPr>
            </w:pPr>
            <w:r>
              <w:rPr>
                <w:sz w:val="18"/>
                <w:szCs w:val="18"/>
              </w:rPr>
              <w:t>Primary production support services</w:t>
            </w:r>
          </w:p>
        </w:tc>
        <w:tc>
          <w:tcPr>
            <w:tcW w:w="586" w:type="pct"/>
            <w:vAlign w:val="bottom"/>
          </w:tcPr>
          <w:p w:rsidR="00016DEF" w:rsidRPr="00B3733A" w:rsidRDefault="00016DEF" w:rsidP="008B5474">
            <w:pPr>
              <w:pStyle w:val="TableBodyText"/>
              <w:rPr>
                <w:sz w:val="18"/>
                <w:szCs w:val="18"/>
              </w:rPr>
            </w:pPr>
            <w:r w:rsidRPr="00B3733A">
              <w:rPr>
                <w:sz w:val="18"/>
                <w:szCs w:val="18"/>
              </w:rPr>
              <w:t>1.4</w:t>
            </w:r>
          </w:p>
        </w:tc>
        <w:tc>
          <w:tcPr>
            <w:tcW w:w="495" w:type="pct"/>
            <w:vAlign w:val="bottom"/>
          </w:tcPr>
          <w:p w:rsidR="00016DEF" w:rsidRPr="00B3733A" w:rsidRDefault="00016DEF" w:rsidP="008B5474">
            <w:pPr>
              <w:pStyle w:val="TableBodyText"/>
              <w:rPr>
                <w:sz w:val="18"/>
                <w:szCs w:val="18"/>
              </w:rPr>
            </w:pPr>
            <w:r w:rsidRPr="00B3733A">
              <w:rPr>
                <w:sz w:val="18"/>
                <w:szCs w:val="18"/>
              </w:rPr>
              <w:t>0.3</w:t>
            </w:r>
          </w:p>
        </w:tc>
        <w:tc>
          <w:tcPr>
            <w:tcW w:w="495" w:type="pct"/>
            <w:vAlign w:val="bottom"/>
          </w:tcPr>
          <w:p w:rsidR="00016DEF" w:rsidRPr="00B3733A" w:rsidRDefault="00016DEF" w:rsidP="008B5474">
            <w:pPr>
              <w:pStyle w:val="TableBodyText"/>
              <w:rPr>
                <w:sz w:val="18"/>
                <w:szCs w:val="18"/>
              </w:rPr>
            </w:pPr>
            <w:r w:rsidRPr="00B3733A">
              <w:rPr>
                <w:sz w:val="18"/>
                <w:szCs w:val="18"/>
              </w:rPr>
              <w:t>0.3</w:t>
            </w:r>
          </w:p>
        </w:tc>
        <w:tc>
          <w:tcPr>
            <w:tcW w:w="495" w:type="pct"/>
            <w:shd w:val="clear" w:color="auto" w:fill="auto"/>
            <w:vAlign w:val="bottom"/>
          </w:tcPr>
          <w:p w:rsidR="00016DEF" w:rsidRPr="00B3733A" w:rsidRDefault="00016DEF" w:rsidP="008B5474">
            <w:pPr>
              <w:pStyle w:val="TableBodyText"/>
              <w:rPr>
                <w:sz w:val="18"/>
                <w:szCs w:val="18"/>
              </w:rPr>
            </w:pPr>
            <w:r w:rsidRPr="00B3733A">
              <w:rPr>
                <w:sz w:val="18"/>
                <w:szCs w:val="18"/>
              </w:rPr>
              <w:t>0.1</w:t>
            </w:r>
          </w:p>
        </w:tc>
        <w:tc>
          <w:tcPr>
            <w:tcW w:w="495" w:type="pct"/>
            <w:shd w:val="clear" w:color="auto" w:fill="auto"/>
            <w:vAlign w:val="bottom"/>
          </w:tcPr>
          <w:p w:rsidR="00016DEF" w:rsidRPr="00B3733A" w:rsidRDefault="00016DEF" w:rsidP="008B5474">
            <w:pPr>
              <w:pStyle w:val="TableBodyText"/>
              <w:rPr>
                <w:sz w:val="18"/>
                <w:szCs w:val="18"/>
              </w:rPr>
            </w:pPr>
            <w:r w:rsidRPr="00B3733A">
              <w:rPr>
                <w:sz w:val="18"/>
                <w:szCs w:val="18"/>
              </w:rPr>
              <w:t>0.2</w:t>
            </w:r>
          </w:p>
        </w:tc>
        <w:tc>
          <w:tcPr>
            <w:tcW w:w="488" w:type="pct"/>
            <w:shd w:val="clear" w:color="auto" w:fill="auto"/>
            <w:vAlign w:val="bottom"/>
          </w:tcPr>
          <w:p w:rsidR="00016DEF" w:rsidRPr="00B3733A" w:rsidRDefault="00016DEF" w:rsidP="008B5474">
            <w:pPr>
              <w:pStyle w:val="TableBodyText"/>
              <w:rPr>
                <w:sz w:val="18"/>
                <w:szCs w:val="18"/>
              </w:rPr>
            </w:pPr>
            <w:r w:rsidRPr="00B3733A">
              <w:rPr>
                <w:sz w:val="18"/>
                <w:szCs w:val="18"/>
              </w:rPr>
              <w:t>0.2</w:t>
            </w:r>
          </w:p>
        </w:tc>
      </w:tr>
      <w:tr w:rsidR="00016DEF" w:rsidTr="008B5474">
        <w:trPr>
          <w:trHeight w:val="227"/>
        </w:trPr>
        <w:tc>
          <w:tcPr>
            <w:tcW w:w="1946" w:type="pct"/>
            <w:tcBorders>
              <w:bottom w:val="single" w:sz="4" w:space="0" w:color="auto"/>
            </w:tcBorders>
            <w:vAlign w:val="bottom"/>
          </w:tcPr>
          <w:p w:rsidR="00016DEF" w:rsidRPr="007758AB" w:rsidRDefault="00016DEF" w:rsidP="008B5474">
            <w:pPr>
              <w:pStyle w:val="TableBodyText"/>
              <w:jc w:val="left"/>
              <w:rPr>
                <w:b/>
                <w:bCs/>
                <w:sz w:val="18"/>
                <w:szCs w:val="18"/>
              </w:rPr>
            </w:pPr>
            <w:r w:rsidRPr="007758AB">
              <w:rPr>
                <w:b/>
                <w:bCs/>
                <w:sz w:val="18"/>
                <w:szCs w:val="18"/>
              </w:rPr>
              <w:t>Total</w:t>
            </w:r>
          </w:p>
        </w:tc>
        <w:tc>
          <w:tcPr>
            <w:tcW w:w="586" w:type="pct"/>
            <w:tcBorders>
              <w:bottom w:val="single" w:sz="4" w:space="0" w:color="auto"/>
            </w:tcBorders>
            <w:vAlign w:val="bottom"/>
          </w:tcPr>
          <w:p w:rsidR="00016DEF" w:rsidRPr="00B3733A" w:rsidRDefault="00016DEF" w:rsidP="008B5474">
            <w:pPr>
              <w:pStyle w:val="TableBodyText"/>
              <w:rPr>
                <w:b/>
                <w:sz w:val="18"/>
                <w:szCs w:val="18"/>
              </w:rPr>
            </w:pPr>
            <w:r w:rsidRPr="00B3733A">
              <w:rPr>
                <w:b/>
                <w:sz w:val="18"/>
                <w:szCs w:val="18"/>
              </w:rPr>
              <w:t>30.0</w:t>
            </w:r>
          </w:p>
        </w:tc>
        <w:tc>
          <w:tcPr>
            <w:tcW w:w="495" w:type="pct"/>
            <w:tcBorders>
              <w:bottom w:val="single" w:sz="4" w:space="0" w:color="auto"/>
            </w:tcBorders>
            <w:vAlign w:val="bottom"/>
          </w:tcPr>
          <w:p w:rsidR="00016DEF" w:rsidRPr="00B3733A" w:rsidRDefault="00016DEF" w:rsidP="008B5474">
            <w:pPr>
              <w:pStyle w:val="TableBodyText"/>
              <w:rPr>
                <w:b/>
                <w:sz w:val="18"/>
                <w:szCs w:val="18"/>
              </w:rPr>
            </w:pPr>
            <w:r w:rsidRPr="00B3733A">
              <w:rPr>
                <w:b/>
                <w:sz w:val="18"/>
                <w:szCs w:val="18"/>
              </w:rPr>
              <w:t>20.0</w:t>
            </w:r>
          </w:p>
        </w:tc>
        <w:tc>
          <w:tcPr>
            <w:tcW w:w="495" w:type="pct"/>
            <w:tcBorders>
              <w:bottom w:val="single" w:sz="4" w:space="0" w:color="auto"/>
            </w:tcBorders>
            <w:vAlign w:val="bottom"/>
          </w:tcPr>
          <w:p w:rsidR="00016DEF" w:rsidRPr="00B3733A" w:rsidRDefault="00016DEF" w:rsidP="008B5474">
            <w:pPr>
              <w:pStyle w:val="TableBodyText"/>
              <w:rPr>
                <w:b/>
                <w:sz w:val="18"/>
                <w:szCs w:val="18"/>
              </w:rPr>
            </w:pPr>
            <w:r w:rsidRPr="00B3733A">
              <w:rPr>
                <w:b/>
                <w:sz w:val="18"/>
                <w:szCs w:val="18"/>
              </w:rPr>
              <w:t>20.0</w:t>
            </w:r>
          </w:p>
        </w:tc>
        <w:tc>
          <w:tcPr>
            <w:tcW w:w="495" w:type="pct"/>
            <w:tcBorders>
              <w:bottom w:val="single" w:sz="4" w:space="0" w:color="auto"/>
            </w:tcBorders>
            <w:shd w:val="clear" w:color="auto" w:fill="auto"/>
            <w:vAlign w:val="bottom"/>
          </w:tcPr>
          <w:p w:rsidR="00016DEF" w:rsidRPr="00B3733A" w:rsidRDefault="00016DEF" w:rsidP="008B5474">
            <w:pPr>
              <w:pStyle w:val="TableBodyText"/>
              <w:rPr>
                <w:b/>
                <w:sz w:val="18"/>
                <w:szCs w:val="18"/>
              </w:rPr>
            </w:pPr>
            <w:r w:rsidRPr="00B3733A">
              <w:rPr>
                <w:b/>
                <w:sz w:val="18"/>
                <w:szCs w:val="18"/>
              </w:rPr>
              <w:t>20.0</w:t>
            </w:r>
          </w:p>
        </w:tc>
        <w:tc>
          <w:tcPr>
            <w:tcW w:w="495" w:type="pct"/>
            <w:tcBorders>
              <w:bottom w:val="single" w:sz="4" w:space="0" w:color="auto"/>
            </w:tcBorders>
            <w:shd w:val="clear" w:color="auto" w:fill="auto"/>
            <w:vAlign w:val="bottom"/>
          </w:tcPr>
          <w:p w:rsidR="00016DEF" w:rsidRPr="00B3733A" w:rsidRDefault="00016DEF" w:rsidP="008B5474">
            <w:pPr>
              <w:pStyle w:val="TableBodyText"/>
              <w:rPr>
                <w:b/>
                <w:sz w:val="18"/>
                <w:szCs w:val="18"/>
              </w:rPr>
            </w:pPr>
            <w:r w:rsidRPr="00B3733A">
              <w:rPr>
                <w:b/>
                <w:sz w:val="18"/>
                <w:szCs w:val="18"/>
              </w:rPr>
              <w:t>25.0</w:t>
            </w:r>
          </w:p>
        </w:tc>
        <w:tc>
          <w:tcPr>
            <w:tcW w:w="488" w:type="pct"/>
            <w:tcBorders>
              <w:bottom w:val="single" w:sz="4" w:space="0" w:color="auto"/>
            </w:tcBorders>
            <w:shd w:val="clear" w:color="auto" w:fill="auto"/>
            <w:vAlign w:val="bottom"/>
          </w:tcPr>
          <w:p w:rsidR="00016DEF" w:rsidRPr="00B3733A" w:rsidRDefault="00016DEF" w:rsidP="008B5474">
            <w:pPr>
              <w:pStyle w:val="TableBodyText"/>
              <w:rPr>
                <w:b/>
                <w:sz w:val="18"/>
                <w:szCs w:val="18"/>
              </w:rPr>
            </w:pPr>
            <w:r w:rsidRPr="00B3733A">
              <w:rPr>
                <w:b/>
                <w:sz w:val="18"/>
                <w:szCs w:val="18"/>
              </w:rPr>
              <w:t>25.0</w:t>
            </w:r>
          </w:p>
        </w:tc>
      </w:tr>
    </w:tbl>
    <w:p w:rsidR="00016DEF" w:rsidRDefault="00016DEF" w:rsidP="00016DEF">
      <w:pPr>
        <w:pStyle w:val="Source"/>
        <w:spacing w:after="0"/>
        <w:rPr>
          <w:i/>
        </w:rPr>
      </w:pPr>
      <w:r w:rsidRPr="00A2379F">
        <w:noBreakHyphen/>
        <w:t xml:space="preserve"> </w:t>
      </w:r>
      <w:r>
        <w:t>Nil</w:t>
      </w:r>
      <w:r w:rsidRPr="00A2379F">
        <w:t>.</w:t>
      </w:r>
    </w:p>
    <w:p w:rsidR="00016DEF" w:rsidRPr="008E77FE" w:rsidRDefault="00016DEF" w:rsidP="00016DEF">
      <w:pPr>
        <w:pStyle w:val="Source"/>
      </w:pPr>
      <w:r>
        <w:rPr>
          <w:i/>
        </w:rPr>
        <w:t>Sources</w:t>
      </w:r>
      <w:r>
        <w:t xml:space="preserve">: </w:t>
      </w:r>
      <w:r w:rsidRPr="00AF6D67">
        <w:t xml:space="preserve">Commission estimates based on </w:t>
      </w:r>
      <w:r>
        <w:t>Tax Expenditure Statement 2012, Australian Government 2013</w:t>
      </w:r>
      <w:r w:rsidRPr="00AF6D67">
        <w:t>, p</w:t>
      </w:r>
      <w:r w:rsidR="00922E46" w:rsidRPr="00AF6D67">
        <w:t>.</w:t>
      </w:r>
      <w:r w:rsidR="00922E46">
        <w:t> </w:t>
      </w:r>
      <w:r>
        <w:t>106</w:t>
      </w:r>
      <w:r w:rsidRPr="00AF6D67">
        <w:t xml:space="preserve">, item </w:t>
      </w:r>
      <w:r>
        <w:t>B84</w:t>
      </w:r>
      <w:r w:rsidRPr="00AF6D67">
        <w:t>; Industry classification derived from detailed ATO data by ANZSIC industry.</w:t>
      </w:r>
    </w:p>
    <w:p w:rsidR="00FA7934" w:rsidRDefault="00FA09C3" w:rsidP="00FA7934">
      <w:pPr>
        <w:pStyle w:val="Heading2"/>
      </w:pPr>
      <w:r>
        <w:lastRenderedPageBreak/>
        <w:t>A.</w:t>
      </w:r>
      <w:r>
        <w:rPr>
          <w:noProof/>
        </w:rPr>
        <w:t>52</w:t>
      </w:r>
      <w:r w:rsidR="00FA7934">
        <w:tab/>
        <w:t>Australian Centre for Renewable Energy</w:t>
      </w:r>
    </w:p>
    <w:p w:rsidR="00FA7934" w:rsidRDefault="00FA7934" w:rsidP="00FA7934">
      <w:pPr>
        <w:pStyle w:val="BodyText"/>
      </w:pPr>
      <w:r>
        <w:t>Part of the</w:t>
      </w:r>
      <w:r w:rsidRPr="00550F38">
        <w:t xml:space="preserve"> Clean Energy Initiative (CEI)</w:t>
      </w:r>
      <w:r>
        <w:t>,</w:t>
      </w:r>
      <w:r w:rsidRPr="00550F38">
        <w:t xml:space="preserve"> </w:t>
      </w:r>
      <w:r>
        <w:t>t</w:t>
      </w:r>
      <w:r w:rsidRPr="00550F38">
        <w:t xml:space="preserve">he </w:t>
      </w:r>
      <w:r>
        <w:t xml:space="preserve">Australian Centre for Renewable Energy (ACRE) aims </w:t>
      </w:r>
      <w:r w:rsidRPr="00A80DBA">
        <w:t>to promote the development, commercialisation and deployment of renewable energy and enabling technologies and improve their competitiveness in Australia</w:t>
      </w:r>
      <w:r>
        <w:t xml:space="preserve"> </w:t>
      </w:r>
      <w:r w:rsidRPr="009C1EC7">
        <w:t>(</w:t>
      </w:r>
      <w:r w:rsidRPr="002D4BCB">
        <w:t>DRET 2013b</w:t>
      </w:r>
      <w:r w:rsidRPr="009C1EC7">
        <w:t>)</w:t>
      </w:r>
      <w:r>
        <w:t>.</w:t>
      </w:r>
    </w:p>
    <w:p w:rsidR="00FA7934" w:rsidRPr="0086376C" w:rsidRDefault="00FA7934" w:rsidP="0086376C">
      <w:pPr>
        <w:pStyle w:val="BodyText"/>
      </w:pPr>
      <w:r w:rsidRPr="0086376C">
        <w:t xml:space="preserve">Information on the industry incidence of the ACRE has not been readily available. Accordingly, the budget outlay has been classified to the </w:t>
      </w:r>
      <w:r w:rsidRPr="0086376C">
        <w:rPr>
          <w:i/>
        </w:rPr>
        <w:t>Unallocated other</w:t>
      </w:r>
      <w:r w:rsidRPr="0086376C">
        <w:t xml:space="preserve"> industry grouping in the Commission’s ANZSIC-based classification (table A.5</w:t>
      </w:r>
      <w:r w:rsidR="00C75068" w:rsidRPr="0086376C">
        <w:t>2</w:t>
      </w:r>
      <w:r w:rsidRPr="0086376C">
        <w:t>).</w:t>
      </w:r>
    </w:p>
    <w:p w:rsidR="00FA7934" w:rsidRDefault="00FA7934" w:rsidP="00FA7934">
      <w:pPr>
        <w:pStyle w:val="TableTitle"/>
      </w:pPr>
      <w:r>
        <w:rPr>
          <w:b w:val="0"/>
        </w:rPr>
        <w:t xml:space="preserve">Table </w:t>
      </w:r>
      <w:r w:rsidR="00FA09C3">
        <w:rPr>
          <w:b w:val="0"/>
        </w:rPr>
        <w:t>A.</w:t>
      </w:r>
      <w:r w:rsidR="00FA09C3">
        <w:rPr>
          <w:b w:val="0"/>
          <w:noProof/>
        </w:rPr>
        <w:t>52</w:t>
      </w:r>
      <w:r>
        <w:tab/>
        <w:t>Allocation of Australian Centre for Renewable Energy funding</w:t>
      </w:r>
      <w:r w:rsidR="0013131E" w:rsidRPr="0013131E">
        <w:t xml:space="preserve"> to industry</w:t>
      </w:r>
      <w:r>
        <w:t>, 2006</w:t>
      </w:r>
      <w:r>
        <w:noBreakHyphen/>
        <w:t>07 to 2011</w:t>
      </w:r>
      <w:r>
        <w:noBreakHyphen/>
        <w:t>12</w:t>
      </w:r>
    </w:p>
    <w:p w:rsidR="00FA7934" w:rsidRDefault="00FA7934" w:rsidP="00FA7934">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FA7934" w:rsidRPr="00AF699A" w:rsidTr="008B5474">
        <w:tc>
          <w:tcPr>
            <w:tcW w:w="1960" w:type="pct"/>
            <w:tcBorders>
              <w:top w:val="single" w:sz="6" w:space="0" w:color="auto"/>
              <w:bottom w:val="single" w:sz="6" w:space="0" w:color="auto"/>
            </w:tcBorders>
          </w:tcPr>
          <w:p w:rsidR="00FA7934" w:rsidRPr="00AF699A" w:rsidRDefault="00FA7934" w:rsidP="008B547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FA7934" w:rsidRPr="00AF699A" w:rsidRDefault="00FA7934" w:rsidP="008B547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FA7934" w:rsidRPr="00AF699A" w:rsidRDefault="00FA7934" w:rsidP="008B547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FA7934" w:rsidRPr="00AF699A" w:rsidRDefault="00FA7934" w:rsidP="008B547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FA7934" w:rsidRPr="00AF699A" w:rsidRDefault="00FA7934" w:rsidP="008B547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FA7934" w:rsidRPr="00AF699A" w:rsidRDefault="00FA7934" w:rsidP="008B5474">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FA7934" w:rsidRPr="00AF699A" w:rsidRDefault="00FA7934" w:rsidP="008B5474">
            <w:pPr>
              <w:pStyle w:val="TableColumnHeading"/>
              <w:ind w:right="28"/>
              <w:rPr>
                <w:rFonts w:cs="Arial"/>
                <w:sz w:val="18"/>
                <w:szCs w:val="18"/>
              </w:rPr>
            </w:pPr>
            <w:r w:rsidRPr="00AF699A">
              <w:rPr>
                <w:rFonts w:cs="Arial"/>
                <w:sz w:val="18"/>
                <w:szCs w:val="18"/>
              </w:rPr>
              <w:t>2011-12</w:t>
            </w:r>
          </w:p>
        </w:tc>
      </w:tr>
      <w:tr w:rsidR="00FA7934" w:rsidRPr="006C5A80" w:rsidTr="008B5474">
        <w:tc>
          <w:tcPr>
            <w:tcW w:w="1960" w:type="pct"/>
            <w:tcBorders>
              <w:bottom w:val="single" w:sz="4" w:space="0" w:color="auto"/>
            </w:tcBorders>
            <w:vAlign w:val="bottom"/>
          </w:tcPr>
          <w:p w:rsidR="00FA7934" w:rsidRPr="00C944BA" w:rsidRDefault="00FA7934" w:rsidP="008B5474">
            <w:pPr>
              <w:pStyle w:val="TableBodyText"/>
              <w:jc w:val="left"/>
            </w:pPr>
            <w:r>
              <w:t>Unallocated other</w:t>
            </w:r>
            <w:r w:rsidRPr="00C00D98">
              <w:rPr>
                <w:rStyle w:val="NoteLabel"/>
                <w:szCs w:val="18"/>
              </w:rPr>
              <w:t>a</w:t>
            </w:r>
          </w:p>
        </w:tc>
        <w:tc>
          <w:tcPr>
            <w:tcW w:w="507" w:type="pct"/>
            <w:tcBorders>
              <w:bottom w:val="single" w:sz="4" w:space="0" w:color="auto"/>
            </w:tcBorders>
            <w:vAlign w:val="bottom"/>
          </w:tcPr>
          <w:p w:rsidR="00FA7934" w:rsidRDefault="00FA7934" w:rsidP="008B5474">
            <w:pPr>
              <w:pStyle w:val="TableBodyText"/>
            </w:pPr>
            <w:r>
              <w:noBreakHyphen/>
            </w:r>
          </w:p>
        </w:tc>
        <w:tc>
          <w:tcPr>
            <w:tcW w:w="507" w:type="pct"/>
            <w:tcBorders>
              <w:bottom w:val="single" w:sz="4" w:space="0" w:color="auto"/>
            </w:tcBorders>
            <w:vAlign w:val="bottom"/>
          </w:tcPr>
          <w:p w:rsidR="00FA7934" w:rsidRDefault="00FA7934" w:rsidP="008B5474">
            <w:pPr>
              <w:pStyle w:val="TableBodyText"/>
            </w:pPr>
            <w:r>
              <w:noBreakHyphen/>
            </w:r>
          </w:p>
        </w:tc>
        <w:tc>
          <w:tcPr>
            <w:tcW w:w="507" w:type="pct"/>
            <w:tcBorders>
              <w:bottom w:val="single" w:sz="4" w:space="0" w:color="auto"/>
            </w:tcBorders>
            <w:vAlign w:val="bottom"/>
          </w:tcPr>
          <w:p w:rsidR="00FA7934" w:rsidRDefault="00FA7934" w:rsidP="008B5474">
            <w:pPr>
              <w:pStyle w:val="TableBodyText"/>
            </w:pPr>
            <w:r>
              <w:noBreakHyphen/>
            </w:r>
          </w:p>
        </w:tc>
        <w:tc>
          <w:tcPr>
            <w:tcW w:w="507" w:type="pct"/>
            <w:tcBorders>
              <w:bottom w:val="single" w:sz="4" w:space="0" w:color="auto"/>
            </w:tcBorders>
            <w:vAlign w:val="bottom"/>
          </w:tcPr>
          <w:p w:rsidR="00FA7934" w:rsidRDefault="00FA7934" w:rsidP="008B5474">
            <w:pPr>
              <w:pStyle w:val="TableBodyText"/>
            </w:pPr>
            <w:r>
              <w:t>15.5</w:t>
            </w:r>
          </w:p>
        </w:tc>
        <w:tc>
          <w:tcPr>
            <w:tcW w:w="507" w:type="pct"/>
            <w:tcBorders>
              <w:bottom w:val="single" w:sz="4" w:space="0" w:color="auto"/>
            </w:tcBorders>
            <w:shd w:val="clear" w:color="auto" w:fill="auto"/>
            <w:vAlign w:val="bottom"/>
          </w:tcPr>
          <w:p w:rsidR="00FA7934" w:rsidRDefault="00FA7934" w:rsidP="008B5474">
            <w:pPr>
              <w:pStyle w:val="TableBodyText"/>
            </w:pPr>
            <w:r>
              <w:t>14.4</w:t>
            </w:r>
          </w:p>
        </w:tc>
        <w:tc>
          <w:tcPr>
            <w:tcW w:w="505" w:type="pct"/>
            <w:tcBorders>
              <w:bottom w:val="single" w:sz="4" w:space="0" w:color="auto"/>
            </w:tcBorders>
            <w:shd w:val="clear" w:color="auto" w:fill="auto"/>
            <w:vAlign w:val="bottom"/>
          </w:tcPr>
          <w:p w:rsidR="00FA7934" w:rsidRDefault="00FA7934" w:rsidP="008B5474">
            <w:pPr>
              <w:pStyle w:val="TableBodyText"/>
            </w:pPr>
            <w:r>
              <w:t>23.8</w:t>
            </w:r>
          </w:p>
        </w:tc>
      </w:tr>
    </w:tbl>
    <w:p w:rsidR="00FA7934" w:rsidRPr="00F60026" w:rsidRDefault="00FA7934" w:rsidP="00FA7934">
      <w:pPr>
        <w:pStyle w:val="Source"/>
        <w:spacing w:after="0"/>
        <w:rPr>
          <w:i/>
        </w:rPr>
      </w:pPr>
      <w:r w:rsidRPr="00A2379F">
        <w:noBreakHyphen/>
        <w:t xml:space="preserve"> </w:t>
      </w:r>
      <w:r>
        <w:t>Nil</w:t>
      </w:r>
      <w:r w:rsidRPr="00A2379F">
        <w:t>.</w:t>
      </w:r>
      <w:r w:rsidRPr="00B1392F">
        <w:t xml:space="preserve"> </w:t>
      </w:r>
      <w:r w:rsidRPr="009B56F1">
        <w:rPr>
          <w:rStyle w:val="NoteLabel"/>
        </w:rPr>
        <w:t>a</w:t>
      </w:r>
      <w:r w:rsidRPr="009B56F1">
        <w:t xml:space="preserve"> Unallocated includes general programs where detai</w:t>
      </w:r>
      <w:r>
        <w:t>ls of beneficiaries are unknown.</w:t>
      </w:r>
    </w:p>
    <w:p w:rsidR="00FA7934" w:rsidRPr="00550F38" w:rsidRDefault="00FA7934" w:rsidP="00FA7934">
      <w:pPr>
        <w:pStyle w:val="Source"/>
      </w:pPr>
      <w:r>
        <w:rPr>
          <w:i/>
        </w:rPr>
        <w:t>Source</w:t>
      </w:r>
      <w:r>
        <w:t>: Commission estimates based on Department of Resources, Energy and Tourism Annual Report 2011</w:t>
      </w:r>
      <w:r>
        <w:noBreakHyphen/>
        <w:t>12 (and earlier years).</w:t>
      </w:r>
    </w:p>
    <w:p w:rsidR="001426AC" w:rsidRDefault="00FA09C3" w:rsidP="001426AC">
      <w:pPr>
        <w:pStyle w:val="Heading2"/>
      </w:pPr>
      <w:r>
        <w:t>A.</w:t>
      </w:r>
      <w:r>
        <w:rPr>
          <w:noProof/>
        </w:rPr>
        <w:t>53</w:t>
      </w:r>
      <w:r w:rsidR="001426AC">
        <w:tab/>
        <w:t>Clothing and Household Textile Building Innovative Capability Program</w:t>
      </w:r>
    </w:p>
    <w:p w:rsidR="001426AC" w:rsidRDefault="001426AC" w:rsidP="001426AC">
      <w:pPr>
        <w:pStyle w:val="BodyText"/>
      </w:pPr>
      <w:r w:rsidRPr="007809A1">
        <w:t>The Clothing and Household</w:t>
      </w:r>
      <w:r>
        <w:t xml:space="preserve"> Textile </w:t>
      </w:r>
      <w:r w:rsidRPr="007809A1">
        <w:t xml:space="preserve">Building Innovative </w:t>
      </w:r>
      <w:r>
        <w:t xml:space="preserve">Capability (BIC) scheme </w:t>
      </w:r>
      <w:r w:rsidRPr="007809A1">
        <w:t xml:space="preserve">replaced the </w:t>
      </w:r>
      <w:r w:rsidR="00C705B7">
        <w:t>Textile, Clothing and Footwear (</w:t>
      </w:r>
      <w:r w:rsidRPr="007809A1">
        <w:t>TCF</w:t>
      </w:r>
      <w:r w:rsidR="00C705B7">
        <w:t>)</w:t>
      </w:r>
      <w:r w:rsidRPr="007809A1">
        <w:t xml:space="preserve"> </w:t>
      </w:r>
      <w:r>
        <w:t>Strategic Investment Program (SIP) Post-2005</w:t>
      </w:r>
      <w:r w:rsidRPr="007809A1">
        <w:t xml:space="preserve"> scheme from the 2010</w:t>
      </w:r>
      <w:r>
        <w:noBreakHyphen/>
      </w:r>
      <w:r w:rsidRPr="007809A1">
        <w:t>11 program year</w:t>
      </w:r>
      <w:r>
        <w:t xml:space="preserve"> </w:t>
      </w:r>
      <w:r w:rsidRPr="0012599F">
        <w:t>(</w:t>
      </w:r>
      <w:r w:rsidRPr="002D4BCB">
        <w:t>AusIndustry 2013e</w:t>
      </w:r>
      <w:r>
        <w:t xml:space="preserve">). </w:t>
      </w:r>
      <w:r w:rsidRPr="007809A1">
        <w:t>The $112.5</w:t>
      </w:r>
      <w:r>
        <w:t> </w:t>
      </w:r>
      <w:r w:rsidRPr="007809A1">
        <w:t>million BIC scheme is aimed at fostering the development of a</w:t>
      </w:r>
      <w:r>
        <w:t>n</w:t>
      </w:r>
      <w:r w:rsidRPr="007809A1">
        <w:t xml:space="preserve"> internationally competitive clothing and household textile manufacturing and design industry in Australia, by providing incentives to promote innovation and associated investmen</w:t>
      </w:r>
      <w:r>
        <w:t>t.</w:t>
      </w:r>
    </w:p>
    <w:p w:rsidR="001426AC" w:rsidRDefault="001426AC" w:rsidP="001426AC">
      <w:pPr>
        <w:pStyle w:val="BodyText"/>
      </w:pPr>
      <w:r>
        <w:t xml:space="preserve">Program funding has been allocated to the </w:t>
      </w:r>
      <w:r w:rsidRPr="00AF6E2F">
        <w:rPr>
          <w:i/>
        </w:rPr>
        <w:t>Textile, leather, clothing and footwear</w:t>
      </w:r>
      <w:r>
        <w:t xml:space="preserve"> industry grouping in the Commission’s ANZSIC-based classification (</w:t>
      </w:r>
      <w:r w:rsidR="00160387">
        <w:t>table </w:t>
      </w:r>
      <w:r w:rsidR="00605FAE">
        <w:t>A.</w:t>
      </w:r>
      <w:r>
        <w:t>5</w:t>
      </w:r>
      <w:r w:rsidR="00C75068">
        <w:t>3</w:t>
      </w:r>
      <w:r>
        <w:t>).</w:t>
      </w:r>
    </w:p>
    <w:p w:rsidR="00CB2252" w:rsidRDefault="00CB2252" w:rsidP="00CB2252">
      <w:pPr>
        <w:pStyle w:val="BodyText"/>
      </w:pPr>
      <w:r>
        <w:br w:type="page"/>
      </w:r>
    </w:p>
    <w:p w:rsidR="001426AC" w:rsidRDefault="001426AC" w:rsidP="001426AC">
      <w:pPr>
        <w:pStyle w:val="TableTitle"/>
      </w:pPr>
      <w:r>
        <w:rPr>
          <w:b w:val="0"/>
        </w:rPr>
        <w:lastRenderedPageBreak/>
        <w:t xml:space="preserve">Table </w:t>
      </w:r>
      <w:r w:rsidR="00FA09C3">
        <w:rPr>
          <w:b w:val="0"/>
        </w:rPr>
        <w:t>A.</w:t>
      </w:r>
      <w:r w:rsidR="00FA09C3">
        <w:rPr>
          <w:b w:val="0"/>
          <w:noProof/>
        </w:rPr>
        <w:t>53</w:t>
      </w:r>
      <w:r>
        <w:tab/>
        <w:t>Allocation of Clothing and Household Textile Building Innovative Capability Program</w:t>
      </w:r>
      <w:r w:rsidR="0013131E" w:rsidRPr="0013131E">
        <w:t xml:space="preserve"> to industry</w:t>
      </w:r>
      <w:r>
        <w:t>, 2006</w:t>
      </w:r>
      <w:r>
        <w:noBreakHyphen/>
        <w:t>07 to 2011</w:t>
      </w:r>
      <w:r>
        <w:noBreakHyphen/>
        <w:t>12</w:t>
      </w:r>
    </w:p>
    <w:p w:rsidR="001426AC" w:rsidRDefault="001426AC" w:rsidP="001426AC">
      <w:pPr>
        <w:pStyle w:val="Subtitle"/>
      </w:pPr>
      <w:r>
        <w:t>$</w:t>
      </w:r>
      <w:r w:rsidR="00E436E5">
        <w:t xml:space="preserve"> </w:t>
      </w:r>
      <w:r>
        <w:t xml:space="preserve">million (nominal) </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1426AC" w:rsidRPr="00AF699A" w:rsidTr="008B5474">
        <w:trPr>
          <w:trHeight w:val="416"/>
        </w:trPr>
        <w:tc>
          <w:tcPr>
            <w:tcW w:w="1958" w:type="pct"/>
            <w:tcBorders>
              <w:top w:val="single" w:sz="6" w:space="0" w:color="auto"/>
              <w:bottom w:val="single" w:sz="6" w:space="0" w:color="auto"/>
            </w:tcBorders>
          </w:tcPr>
          <w:p w:rsidR="001426AC" w:rsidRPr="00AF699A" w:rsidRDefault="001426AC" w:rsidP="008B547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1426AC" w:rsidRPr="00AF699A" w:rsidRDefault="001426AC" w:rsidP="008B547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1426AC" w:rsidRPr="00AF699A" w:rsidRDefault="001426AC" w:rsidP="008B547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1426AC" w:rsidRPr="00AF699A" w:rsidRDefault="001426AC" w:rsidP="008B547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1426AC" w:rsidRPr="00AF699A" w:rsidRDefault="001426AC" w:rsidP="008B547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1426AC" w:rsidRPr="00AF699A" w:rsidRDefault="001426AC" w:rsidP="008B5474">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1426AC" w:rsidRPr="00AF699A" w:rsidRDefault="001426AC" w:rsidP="008B5474">
            <w:pPr>
              <w:pStyle w:val="TableColumnHeading"/>
              <w:ind w:right="28"/>
              <w:rPr>
                <w:rFonts w:cs="Arial"/>
                <w:sz w:val="18"/>
                <w:szCs w:val="18"/>
              </w:rPr>
            </w:pPr>
            <w:r w:rsidRPr="00AF699A">
              <w:rPr>
                <w:rFonts w:cs="Arial"/>
                <w:sz w:val="18"/>
                <w:szCs w:val="18"/>
              </w:rPr>
              <w:t>2011-12</w:t>
            </w:r>
          </w:p>
        </w:tc>
      </w:tr>
      <w:tr w:rsidR="001426AC" w:rsidRPr="006D748C" w:rsidTr="008B5474">
        <w:tc>
          <w:tcPr>
            <w:tcW w:w="1958" w:type="pct"/>
            <w:tcBorders>
              <w:bottom w:val="single" w:sz="4" w:space="0" w:color="auto"/>
            </w:tcBorders>
            <w:vAlign w:val="bottom"/>
          </w:tcPr>
          <w:p w:rsidR="001426AC" w:rsidRPr="006D748C" w:rsidRDefault="001426AC" w:rsidP="008B5474">
            <w:pPr>
              <w:pStyle w:val="TableBodyText"/>
              <w:jc w:val="left"/>
            </w:pPr>
            <w:r w:rsidRPr="006D748C">
              <w:t>Textile, leather, clothing and footwear</w:t>
            </w:r>
          </w:p>
        </w:tc>
        <w:tc>
          <w:tcPr>
            <w:tcW w:w="507" w:type="pct"/>
            <w:tcBorders>
              <w:bottom w:val="single" w:sz="4" w:space="0" w:color="auto"/>
            </w:tcBorders>
            <w:vAlign w:val="bottom"/>
          </w:tcPr>
          <w:p w:rsidR="001426AC" w:rsidRPr="006D748C" w:rsidRDefault="001426AC" w:rsidP="008B5474">
            <w:pPr>
              <w:pStyle w:val="TableBodyText"/>
            </w:pPr>
            <w:r>
              <w:noBreakHyphen/>
            </w:r>
          </w:p>
        </w:tc>
        <w:tc>
          <w:tcPr>
            <w:tcW w:w="507" w:type="pct"/>
            <w:tcBorders>
              <w:bottom w:val="single" w:sz="4" w:space="0" w:color="auto"/>
            </w:tcBorders>
            <w:vAlign w:val="bottom"/>
          </w:tcPr>
          <w:p w:rsidR="001426AC" w:rsidRPr="006D748C" w:rsidRDefault="001426AC" w:rsidP="008B5474">
            <w:pPr>
              <w:pStyle w:val="TableBodyText"/>
            </w:pPr>
            <w:r>
              <w:noBreakHyphen/>
            </w:r>
          </w:p>
        </w:tc>
        <w:tc>
          <w:tcPr>
            <w:tcW w:w="507" w:type="pct"/>
            <w:tcBorders>
              <w:bottom w:val="single" w:sz="4" w:space="0" w:color="auto"/>
            </w:tcBorders>
            <w:vAlign w:val="bottom"/>
          </w:tcPr>
          <w:p w:rsidR="001426AC" w:rsidRPr="006D748C" w:rsidRDefault="001426AC" w:rsidP="008B5474">
            <w:pPr>
              <w:pStyle w:val="TableBodyText"/>
            </w:pPr>
            <w:r>
              <w:noBreakHyphen/>
            </w:r>
          </w:p>
        </w:tc>
        <w:tc>
          <w:tcPr>
            <w:tcW w:w="507" w:type="pct"/>
            <w:tcBorders>
              <w:bottom w:val="single" w:sz="4" w:space="0" w:color="auto"/>
            </w:tcBorders>
            <w:vAlign w:val="bottom"/>
          </w:tcPr>
          <w:p w:rsidR="001426AC" w:rsidRPr="006D748C" w:rsidRDefault="001426AC" w:rsidP="008B5474">
            <w:pPr>
              <w:pStyle w:val="TableBodyText"/>
            </w:pPr>
            <w:r>
              <w:noBreakHyphen/>
            </w:r>
          </w:p>
        </w:tc>
        <w:tc>
          <w:tcPr>
            <w:tcW w:w="507" w:type="pct"/>
            <w:tcBorders>
              <w:bottom w:val="single" w:sz="4" w:space="0" w:color="auto"/>
            </w:tcBorders>
            <w:shd w:val="clear" w:color="auto" w:fill="auto"/>
            <w:vAlign w:val="bottom"/>
          </w:tcPr>
          <w:p w:rsidR="001426AC" w:rsidRPr="006D748C" w:rsidRDefault="006A7679" w:rsidP="006A7679">
            <w:pPr>
              <w:pStyle w:val="TableBodyText"/>
            </w:pPr>
            <w:r>
              <w:noBreakHyphen/>
            </w:r>
          </w:p>
        </w:tc>
        <w:tc>
          <w:tcPr>
            <w:tcW w:w="507" w:type="pct"/>
            <w:tcBorders>
              <w:bottom w:val="single" w:sz="4" w:space="0" w:color="auto"/>
            </w:tcBorders>
            <w:shd w:val="clear" w:color="auto" w:fill="auto"/>
            <w:vAlign w:val="bottom"/>
          </w:tcPr>
          <w:p w:rsidR="001426AC" w:rsidRPr="006D748C" w:rsidRDefault="006A7679" w:rsidP="008B5474">
            <w:pPr>
              <w:pStyle w:val="TableBodyText"/>
            </w:pPr>
            <w:r>
              <w:t>22.6</w:t>
            </w:r>
          </w:p>
        </w:tc>
      </w:tr>
    </w:tbl>
    <w:p w:rsidR="001426AC" w:rsidRDefault="001426AC" w:rsidP="001426AC">
      <w:pPr>
        <w:pStyle w:val="Note"/>
      </w:pPr>
      <w:r w:rsidRPr="00A2379F">
        <w:noBreakHyphen/>
        <w:t xml:space="preserve"> Nil</w:t>
      </w:r>
      <w:r>
        <w:t>.</w:t>
      </w:r>
    </w:p>
    <w:p w:rsidR="001426AC" w:rsidRPr="008E77FE" w:rsidRDefault="001426AC" w:rsidP="001426AC">
      <w:pPr>
        <w:pStyle w:val="Source"/>
      </w:pPr>
      <w:r>
        <w:rPr>
          <w:i/>
        </w:rPr>
        <w:t>Source</w:t>
      </w:r>
      <w:r>
        <w:t>: Commission estimates based on detailed DIISR data by ANZSIC industry.</w:t>
      </w:r>
    </w:p>
    <w:p w:rsidR="00D856C2" w:rsidRDefault="00FA09C3" w:rsidP="00D856C2">
      <w:pPr>
        <w:pStyle w:val="Heading2"/>
      </w:pPr>
      <w:r>
        <w:t>A.</w:t>
      </w:r>
      <w:r>
        <w:rPr>
          <w:noProof/>
        </w:rPr>
        <w:t>54</w:t>
      </w:r>
      <w:r w:rsidR="00D856C2">
        <w:tab/>
        <w:t>High Costs Claims Scheme</w:t>
      </w:r>
    </w:p>
    <w:p w:rsidR="00D856C2" w:rsidRDefault="00D856C2" w:rsidP="00D856C2">
      <w:pPr>
        <w:pStyle w:val="BodyText"/>
      </w:pPr>
      <w:r>
        <w:t>The High Costs Claims (HCC) scheme reimburses medical indemnity insurers for 50 per cent of the cost of insurance payouts, for claims over $300 000 and up to the limit of the practitioner’s cover</w:t>
      </w:r>
      <w:r w:rsidR="00E436E5">
        <w:t xml:space="preserve"> that are notified</w:t>
      </w:r>
      <w:r>
        <w:t xml:space="preserve"> on or after 1 January 2004. The scheme forms part of a broader package of medical indemnity arrangements introduced by the Australian Government in 2002 (</w:t>
      </w:r>
      <w:r w:rsidRPr="002D4BCB">
        <w:t>Department of Health 2013a</w:t>
      </w:r>
      <w:r>
        <w:t>).</w:t>
      </w:r>
    </w:p>
    <w:p w:rsidR="00D856C2" w:rsidRDefault="00D856C2" w:rsidP="00D856C2">
      <w:pPr>
        <w:pStyle w:val="BodyText"/>
      </w:pPr>
      <w:r>
        <w:t xml:space="preserve">The HCC scheme selectively benefits insurance activities and has been allocated to the </w:t>
      </w:r>
      <w:r w:rsidRPr="00FB76E6">
        <w:rPr>
          <w:i/>
        </w:rPr>
        <w:t xml:space="preserve">Financial </w:t>
      </w:r>
      <w:r>
        <w:rPr>
          <w:i/>
        </w:rPr>
        <w:t>and</w:t>
      </w:r>
      <w:r w:rsidRPr="00FB76E6">
        <w:rPr>
          <w:i/>
        </w:rPr>
        <w:t xml:space="preserve"> insurance services</w:t>
      </w:r>
      <w:r>
        <w:t xml:space="preserve"> industry grouping in the Commission’s ANZSIC-based classification (table A.</w:t>
      </w:r>
      <w:r w:rsidR="00C75068">
        <w:t>54</w:t>
      </w:r>
      <w:r>
        <w:t>).</w:t>
      </w:r>
    </w:p>
    <w:p w:rsidR="00D856C2" w:rsidRDefault="00D856C2" w:rsidP="00D856C2">
      <w:pPr>
        <w:pStyle w:val="TableTitle"/>
      </w:pPr>
      <w:r>
        <w:rPr>
          <w:b w:val="0"/>
        </w:rPr>
        <w:t xml:space="preserve">Table </w:t>
      </w:r>
      <w:r w:rsidR="00FA09C3">
        <w:rPr>
          <w:b w:val="0"/>
        </w:rPr>
        <w:t>A.</w:t>
      </w:r>
      <w:r w:rsidR="00FA09C3">
        <w:rPr>
          <w:b w:val="0"/>
          <w:noProof/>
        </w:rPr>
        <w:t>54</w:t>
      </w:r>
      <w:r>
        <w:tab/>
        <w:t>Allocation of High Costs Claims Scheme</w:t>
      </w:r>
      <w:r w:rsidR="0013131E" w:rsidRPr="0013131E">
        <w:t xml:space="preserve"> to industry</w:t>
      </w:r>
      <w:r>
        <w:t>, 2006</w:t>
      </w:r>
      <w:r>
        <w:noBreakHyphen/>
        <w:t>07 to 2011</w:t>
      </w:r>
      <w:r>
        <w:noBreakHyphen/>
        <w:t>12</w:t>
      </w:r>
    </w:p>
    <w:p w:rsidR="00D856C2" w:rsidRDefault="00D856C2" w:rsidP="00D856C2">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D856C2" w:rsidRPr="00AF699A" w:rsidTr="008B5474">
        <w:tc>
          <w:tcPr>
            <w:tcW w:w="1960" w:type="pct"/>
            <w:tcBorders>
              <w:top w:val="single" w:sz="6" w:space="0" w:color="auto"/>
              <w:bottom w:val="single" w:sz="6" w:space="0" w:color="auto"/>
            </w:tcBorders>
          </w:tcPr>
          <w:p w:rsidR="00D856C2" w:rsidRPr="00AF699A" w:rsidRDefault="00D856C2" w:rsidP="008B547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D856C2" w:rsidRPr="00AF699A" w:rsidRDefault="00D856C2" w:rsidP="008B547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D856C2" w:rsidRPr="00AF699A" w:rsidRDefault="00D856C2" w:rsidP="008B547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D856C2" w:rsidRPr="00AF699A" w:rsidRDefault="00D856C2" w:rsidP="008B547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D856C2" w:rsidRPr="00AF699A" w:rsidRDefault="00D856C2" w:rsidP="008B547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D856C2" w:rsidRPr="00AF699A" w:rsidRDefault="00D856C2" w:rsidP="008B5474">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D856C2" w:rsidRPr="00AF699A" w:rsidRDefault="00D856C2" w:rsidP="008B5474">
            <w:pPr>
              <w:pStyle w:val="TableColumnHeading"/>
              <w:ind w:right="28"/>
              <w:rPr>
                <w:rFonts w:cs="Arial"/>
                <w:sz w:val="18"/>
                <w:szCs w:val="18"/>
              </w:rPr>
            </w:pPr>
            <w:r w:rsidRPr="00AF699A">
              <w:rPr>
                <w:rFonts w:cs="Arial"/>
                <w:sz w:val="18"/>
                <w:szCs w:val="18"/>
              </w:rPr>
              <w:t>2011-12</w:t>
            </w:r>
          </w:p>
        </w:tc>
      </w:tr>
      <w:tr w:rsidR="00D856C2" w:rsidRPr="006C5A80" w:rsidTr="008B5474">
        <w:tc>
          <w:tcPr>
            <w:tcW w:w="1960" w:type="pct"/>
            <w:tcBorders>
              <w:bottom w:val="single" w:sz="4" w:space="0" w:color="auto"/>
            </w:tcBorders>
            <w:vAlign w:val="bottom"/>
          </w:tcPr>
          <w:p w:rsidR="00D856C2" w:rsidRPr="00C944BA" w:rsidRDefault="00D856C2" w:rsidP="008B5474">
            <w:pPr>
              <w:pStyle w:val="TableBodyText"/>
              <w:jc w:val="left"/>
            </w:pPr>
            <w:r>
              <w:t>Financial and insurance services</w:t>
            </w:r>
          </w:p>
        </w:tc>
        <w:tc>
          <w:tcPr>
            <w:tcW w:w="507" w:type="pct"/>
            <w:tcBorders>
              <w:bottom w:val="single" w:sz="4" w:space="0" w:color="auto"/>
            </w:tcBorders>
            <w:vAlign w:val="bottom"/>
          </w:tcPr>
          <w:p w:rsidR="00D856C2" w:rsidRDefault="00D856C2" w:rsidP="008B5474">
            <w:pPr>
              <w:pStyle w:val="TableBodyText"/>
            </w:pPr>
            <w:r>
              <w:t>8.8</w:t>
            </w:r>
          </w:p>
        </w:tc>
        <w:tc>
          <w:tcPr>
            <w:tcW w:w="507" w:type="pct"/>
            <w:tcBorders>
              <w:bottom w:val="single" w:sz="4" w:space="0" w:color="auto"/>
            </w:tcBorders>
            <w:vAlign w:val="bottom"/>
          </w:tcPr>
          <w:p w:rsidR="00D856C2" w:rsidRDefault="00D856C2" w:rsidP="008B5474">
            <w:pPr>
              <w:pStyle w:val="TableBodyText"/>
            </w:pPr>
            <w:r>
              <w:t>3.2</w:t>
            </w:r>
          </w:p>
        </w:tc>
        <w:tc>
          <w:tcPr>
            <w:tcW w:w="507" w:type="pct"/>
            <w:tcBorders>
              <w:bottom w:val="single" w:sz="4" w:space="0" w:color="auto"/>
            </w:tcBorders>
            <w:vAlign w:val="bottom"/>
          </w:tcPr>
          <w:p w:rsidR="00D856C2" w:rsidRDefault="00D856C2" w:rsidP="008B5474">
            <w:pPr>
              <w:pStyle w:val="TableBodyText"/>
            </w:pPr>
            <w:r>
              <w:t>19.5</w:t>
            </w:r>
          </w:p>
        </w:tc>
        <w:tc>
          <w:tcPr>
            <w:tcW w:w="507" w:type="pct"/>
            <w:tcBorders>
              <w:bottom w:val="single" w:sz="4" w:space="0" w:color="auto"/>
            </w:tcBorders>
            <w:vAlign w:val="bottom"/>
          </w:tcPr>
          <w:p w:rsidR="00D856C2" w:rsidRDefault="00D856C2" w:rsidP="008B5474">
            <w:pPr>
              <w:pStyle w:val="TableBodyText"/>
            </w:pPr>
            <w:r>
              <w:t>21.4</w:t>
            </w:r>
          </w:p>
        </w:tc>
        <w:tc>
          <w:tcPr>
            <w:tcW w:w="507" w:type="pct"/>
            <w:tcBorders>
              <w:bottom w:val="single" w:sz="4" w:space="0" w:color="auto"/>
            </w:tcBorders>
            <w:shd w:val="clear" w:color="auto" w:fill="auto"/>
            <w:vAlign w:val="bottom"/>
          </w:tcPr>
          <w:p w:rsidR="00D856C2" w:rsidRDefault="00D856C2" w:rsidP="008B5474">
            <w:pPr>
              <w:pStyle w:val="TableBodyText"/>
            </w:pPr>
            <w:r>
              <w:t>24.5</w:t>
            </w:r>
          </w:p>
        </w:tc>
        <w:tc>
          <w:tcPr>
            <w:tcW w:w="505" w:type="pct"/>
            <w:tcBorders>
              <w:bottom w:val="single" w:sz="4" w:space="0" w:color="auto"/>
            </w:tcBorders>
            <w:shd w:val="clear" w:color="auto" w:fill="auto"/>
            <w:vAlign w:val="bottom"/>
          </w:tcPr>
          <w:p w:rsidR="00D856C2" w:rsidRDefault="00D856C2" w:rsidP="008B5474">
            <w:pPr>
              <w:pStyle w:val="TableBodyText"/>
            </w:pPr>
            <w:r>
              <w:t>20.3</w:t>
            </w:r>
          </w:p>
        </w:tc>
      </w:tr>
    </w:tbl>
    <w:p w:rsidR="00D856C2" w:rsidRPr="008E77FE" w:rsidRDefault="00D856C2" w:rsidP="00D856C2">
      <w:pPr>
        <w:pStyle w:val="Source"/>
      </w:pPr>
      <w:r>
        <w:rPr>
          <w:i/>
        </w:rPr>
        <w:t>Source</w:t>
      </w:r>
      <w:r>
        <w:t>: Commission estimates based on Department of Human Services Annual Report 2011</w:t>
      </w:r>
      <w:r>
        <w:noBreakHyphen/>
        <w:t>12 and Medicare Annual Report 2010</w:t>
      </w:r>
      <w:r>
        <w:noBreakHyphen/>
        <w:t>11 (and earlier years).</w:t>
      </w:r>
    </w:p>
    <w:p w:rsidR="00D856C2" w:rsidRDefault="00FA09C3" w:rsidP="00D856C2">
      <w:pPr>
        <w:pStyle w:val="Heading2"/>
      </w:pPr>
      <w:r>
        <w:t>A.</w:t>
      </w:r>
      <w:r>
        <w:rPr>
          <w:noProof/>
        </w:rPr>
        <w:t>55</w:t>
      </w:r>
      <w:r w:rsidR="00D856C2">
        <w:tab/>
        <w:t>Temporary Assistance for Tasmanian Exporters</w:t>
      </w:r>
    </w:p>
    <w:p w:rsidR="00D856C2" w:rsidRDefault="00D856C2" w:rsidP="00D856C2">
      <w:pPr>
        <w:pStyle w:val="BodyText"/>
      </w:pPr>
      <w:r>
        <w:t>The Temporary Assistance for Tasmanian Exporters Program provides assistance to Tasmanian exporters to help them access international markets (</w:t>
      </w:r>
      <w:r w:rsidRPr="002D4BCB">
        <w:t>DIT 2012</w:t>
      </w:r>
      <w:r>
        <w:t>).</w:t>
      </w:r>
    </w:p>
    <w:p w:rsidR="00D856C2" w:rsidRPr="00E72464" w:rsidRDefault="00D856C2" w:rsidP="00D856C2">
      <w:pPr>
        <w:pStyle w:val="BodyText"/>
      </w:pPr>
      <w:r>
        <w:t>Of the $20 million in assistance provided by the Program in 2011</w:t>
      </w:r>
      <w:r>
        <w:noBreakHyphen/>
        <w:t xml:space="preserve">12, the Commission has allocated $14.2 million to various ANZSIC-based industry groupings using detailed Centrelink industry data for the Tasmanian Freight Equalisation Scheme. The remaining $5.8 million was for facilities provided by water and land transport businesses and has been allocated to the </w:t>
      </w:r>
      <w:r w:rsidRPr="00CA197F">
        <w:rPr>
          <w:i/>
        </w:rPr>
        <w:t xml:space="preserve">Transport, postal </w:t>
      </w:r>
      <w:r w:rsidRPr="00CA197F">
        <w:rPr>
          <w:i/>
        </w:rPr>
        <w:lastRenderedPageBreak/>
        <w:t>and warehousing services</w:t>
      </w:r>
      <w:r>
        <w:t xml:space="preserve"> industry grouping in the Commission’s ANZSIC-based classification </w:t>
      </w:r>
      <w:r w:rsidRPr="00E71E4F">
        <w:t>(table</w:t>
      </w:r>
      <w:r w:rsidR="00160387">
        <w:t> </w:t>
      </w:r>
      <w:r w:rsidRPr="00E71E4F">
        <w:t>A.</w:t>
      </w:r>
      <w:r>
        <w:t>5</w:t>
      </w:r>
      <w:r w:rsidR="00C75068">
        <w:t>5</w:t>
      </w:r>
      <w:r>
        <w:t>).</w:t>
      </w:r>
    </w:p>
    <w:p w:rsidR="00D856C2" w:rsidRDefault="00D856C2" w:rsidP="00D856C2">
      <w:pPr>
        <w:pStyle w:val="TableTitle"/>
      </w:pPr>
      <w:r>
        <w:rPr>
          <w:b w:val="0"/>
        </w:rPr>
        <w:t xml:space="preserve">Table </w:t>
      </w:r>
      <w:r w:rsidR="00FA09C3">
        <w:rPr>
          <w:b w:val="0"/>
        </w:rPr>
        <w:t>A.</w:t>
      </w:r>
      <w:r w:rsidR="00FA09C3">
        <w:rPr>
          <w:b w:val="0"/>
          <w:noProof/>
        </w:rPr>
        <w:t>55</w:t>
      </w:r>
      <w:r>
        <w:tab/>
        <w:t xml:space="preserve">Allocation of Temporary Assistance for Tasmanian Exporters </w:t>
      </w:r>
      <w:r w:rsidR="0013131E" w:rsidRPr="0013131E">
        <w:t>to industry</w:t>
      </w:r>
      <w:r>
        <w:t>, 2006</w:t>
      </w:r>
      <w:r>
        <w:noBreakHyphen/>
        <w:t>07 to 2011</w:t>
      </w:r>
      <w:r>
        <w:noBreakHyphen/>
        <w:t>12</w:t>
      </w:r>
    </w:p>
    <w:p w:rsidR="00D856C2" w:rsidRDefault="000E1A26" w:rsidP="00D856C2">
      <w:pPr>
        <w:pStyle w:val="Subtitle"/>
      </w:pPr>
      <w:r>
        <w:t>$ m</w:t>
      </w:r>
      <w:r w:rsidR="00D856C2">
        <w:t xml:space="preserve">illion (nominal) </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D856C2" w:rsidRPr="00AF699A" w:rsidTr="00D0483B">
        <w:trPr>
          <w:trHeight w:val="340"/>
        </w:trPr>
        <w:tc>
          <w:tcPr>
            <w:tcW w:w="1960" w:type="pct"/>
            <w:tcBorders>
              <w:top w:val="single" w:sz="6" w:space="0" w:color="auto"/>
              <w:bottom w:val="single" w:sz="6" w:space="0" w:color="auto"/>
            </w:tcBorders>
          </w:tcPr>
          <w:p w:rsidR="00D856C2" w:rsidRPr="00AF699A" w:rsidRDefault="00D856C2" w:rsidP="008B547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D856C2" w:rsidRPr="00AF699A" w:rsidRDefault="00D856C2" w:rsidP="008B547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D856C2" w:rsidRPr="00AF699A" w:rsidRDefault="00D856C2" w:rsidP="008B547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D856C2" w:rsidRPr="00AF699A" w:rsidRDefault="00D856C2" w:rsidP="008B547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D856C2" w:rsidRPr="00AF699A" w:rsidRDefault="00D856C2" w:rsidP="008B547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D856C2" w:rsidRPr="00AF699A" w:rsidRDefault="00D856C2" w:rsidP="008B5474">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D856C2" w:rsidRPr="00AF699A" w:rsidRDefault="00D856C2" w:rsidP="008B5474">
            <w:pPr>
              <w:pStyle w:val="TableColumnHeading"/>
              <w:ind w:right="28"/>
              <w:rPr>
                <w:rFonts w:cs="Arial"/>
                <w:sz w:val="18"/>
                <w:szCs w:val="18"/>
              </w:rPr>
            </w:pPr>
            <w:r w:rsidRPr="00AF699A">
              <w:rPr>
                <w:rFonts w:cs="Arial"/>
                <w:sz w:val="18"/>
                <w:szCs w:val="18"/>
              </w:rPr>
              <w:t>2011-12</w:t>
            </w:r>
          </w:p>
        </w:tc>
      </w:tr>
      <w:tr w:rsidR="00D856C2" w:rsidRPr="0086425C" w:rsidTr="008B5474">
        <w:tc>
          <w:tcPr>
            <w:tcW w:w="1960" w:type="pct"/>
            <w:vAlign w:val="bottom"/>
          </w:tcPr>
          <w:p w:rsidR="00D856C2" w:rsidRPr="00D04898" w:rsidRDefault="00D856C2" w:rsidP="008B5474">
            <w:pPr>
              <w:pStyle w:val="TableBodyText"/>
              <w:jc w:val="left"/>
              <w:rPr>
                <w:b/>
                <w:sz w:val="18"/>
                <w:szCs w:val="18"/>
              </w:rPr>
            </w:pPr>
            <w:r w:rsidRPr="00D04898">
              <w:rPr>
                <w:b/>
                <w:sz w:val="18"/>
                <w:szCs w:val="18"/>
              </w:rPr>
              <w:t>Primary production</w:t>
            </w:r>
          </w:p>
        </w:tc>
        <w:tc>
          <w:tcPr>
            <w:tcW w:w="507" w:type="pct"/>
            <w:vAlign w:val="bottom"/>
          </w:tcPr>
          <w:p w:rsidR="00D856C2" w:rsidRPr="00D04898" w:rsidRDefault="00D856C2" w:rsidP="008B5474">
            <w:pPr>
              <w:pStyle w:val="TableBodyText"/>
              <w:rPr>
                <w:b/>
                <w:sz w:val="18"/>
                <w:szCs w:val="18"/>
              </w:rPr>
            </w:pPr>
            <w:r w:rsidRPr="00D04898">
              <w:rPr>
                <w:b/>
                <w:sz w:val="18"/>
                <w:szCs w:val="18"/>
              </w:rPr>
              <w:noBreakHyphen/>
            </w:r>
          </w:p>
        </w:tc>
        <w:tc>
          <w:tcPr>
            <w:tcW w:w="507" w:type="pct"/>
            <w:vAlign w:val="bottom"/>
          </w:tcPr>
          <w:p w:rsidR="00D856C2" w:rsidRPr="00D04898" w:rsidRDefault="00D856C2" w:rsidP="008B5474">
            <w:pPr>
              <w:pStyle w:val="TableBodyText"/>
              <w:rPr>
                <w:b/>
                <w:sz w:val="18"/>
                <w:szCs w:val="18"/>
              </w:rPr>
            </w:pPr>
            <w:r w:rsidRPr="00D04898">
              <w:rPr>
                <w:b/>
                <w:sz w:val="18"/>
                <w:szCs w:val="18"/>
              </w:rPr>
              <w:noBreakHyphen/>
            </w:r>
          </w:p>
        </w:tc>
        <w:tc>
          <w:tcPr>
            <w:tcW w:w="507" w:type="pct"/>
            <w:vAlign w:val="bottom"/>
          </w:tcPr>
          <w:p w:rsidR="00D856C2" w:rsidRPr="00D04898" w:rsidRDefault="00D856C2" w:rsidP="008B5474">
            <w:pPr>
              <w:pStyle w:val="TableBodyText"/>
              <w:rPr>
                <w:b/>
                <w:sz w:val="18"/>
                <w:szCs w:val="18"/>
              </w:rPr>
            </w:pPr>
            <w:r w:rsidRPr="00D04898">
              <w:rPr>
                <w:b/>
                <w:sz w:val="18"/>
                <w:szCs w:val="18"/>
              </w:rPr>
              <w:noBreakHyphen/>
            </w:r>
          </w:p>
        </w:tc>
        <w:tc>
          <w:tcPr>
            <w:tcW w:w="507" w:type="pct"/>
            <w:vAlign w:val="bottom"/>
          </w:tcPr>
          <w:p w:rsidR="00D856C2" w:rsidRPr="00D04898" w:rsidRDefault="00D856C2" w:rsidP="008B5474">
            <w:pPr>
              <w:pStyle w:val="TableBodyText"/>
              <w:rPr>
                <w:b/>
                <w:sz w:val="18"/>
                <w:szCs w:val="18"/>
              </w:rPr>
            </w:pPr>
            <w:r w:rsidRPr="00D04898">
              <w:rPr>
                <w:b/>
                <w:sz w:val="18"/>
                <w:szCs w:val="18"/>
              </w:rPr>
              <w:noBreakHyphen/>
            </w:r>
          </w:p>
        </w:tc>
        <w:tc>
          <w:tcPr>
            <w:tcW w:w="507" w:type="pct"/>
            <w:shd w:val="clear" w:color="auto" w:fill="auto"/>
            <w:vAlign w:val="bottom"/>
          </w:tcPr>
          <w:p w:rsidR="00D856C2" w:rsidRPr="00D04898" w:rsidRDefault="00D856C2" w:rsidP="008B5474">
            <w:pPr>
              <w:pStyle w:val="TableBodyText"/>
              <w:rPr>
                <w:b/>
                <w:sz w:val="18"/>
                <w:szCs w:val="18"/>
              </w:rPr>
            </w:pPr>
            <w:r w:rsidRPr="00D04898">
              <w:rPr>
                <w:b/>
                <w:sz w:val="18"/>
                <w:szCs w:val="18"/>
              </w:rPr>
              <w:noBreakHyphen/>
            </w:r>
          </w:p>
        </w:tc>
        <w:tc>
          <w:tcPr>
            <w:tcW w:w="505" w:type="pct"/>
            <w:shd w:val="clear" w:color="auto" w:fill="auto"/>
            <w:vAlign w:val="bottom"/>
          </w:tcPr>
          <w:p w:rsidR="00D856C2" w:rsidRPr="00D04898" w:rsidRDefault="00D856C2" w:rsidP="008B5474">
            <w:pPr>
              <w:pStyle w:val="TableBodyText"/>
              <w:rPr>
                <w:b/>
                <w:sz w:val="18"/>
                <w:szCs w:val="18"/>
              </w:rPr>
            </w:pPr>
            <w:r w:rsidRPr="00D04898">
              <w:rPr>
                <w:b/>
                <w:sz w:val="18"/>
                <w:szCs w:val="18"/>
              </w:rPr>
              <w:t>3.2</w:t>
            </w:r>
          </w:p>
        </w:tc>
      </w:tr>
      <w:tr w:rsidR="00D856C2" w:rsidRPr="0086425C" w:rsidTr="008B5474">
        <w:tc>
          <w:tcPr>
            <w:tcW w:w="1960" w:type="pct"/>
            <w:vAlign w:val="bottom"/>
          </w:tcPr>
          <w:p w:rsidR="00D856C2" w:rsidRPr="00D04898" w:rsidRDefault="00D856C2" w:rsidP="008B5474">
            <w:pPr>
              <w:pStyle w:val="TableBodyText"/>
              <w:jc w:val="left"/>
              <w:rPr>
                <w:sz w:val="18"/>
                <w:szCs w:val="18"/>
              </w:rPr>
            </w:pPr>
            <w:r w:rsidRPr="00D04898">
              <w:rPr>
                <w:sz w:val="18"/>
                <w:szCs w:val="18"/>
              </w:rPr>
              <w:t>Sheep, beef cattle and grain farming</w:t>
            </w:r>
          </w:p>
        </w:tc>
        <w:tc>
          <w:tcPr>
            <w:tcW w:w="507" w:type="pct"/>
            <w:vAlign w:val="bottom"/>
          </w:tcPr>
          <w:p w:rsidR="00D856C2" w:rsidRPr="00D04898" w:rsidRDefault="00D856C2" w:rsidP="008B5474">
            <w:pPr>
              <w:pStyle w:val="TableBodyText"/>
              <w:rPr>
                <w:sz w:val="18"/>
                <w:szCs w:val="18"/>
              </w:rPr>
            </w:pPr>
            <w:r w:rsidRPr="00D04898">
              <w:rPr>
                <w:sz w:val="18"/>
                <w:szCs w:val="18"/>
              </w:rPr>
              <w:noBreakHyphen/>
            </w:r>
          </w:p>
        </w:tc>
        <w:tc>
          <w:tcPr>
            <w:tcW w:w="507" w:type="pct"/>
            <w:vAlign w:val="bottom"/>
          </w:tcPr>
          <w:p w:rsidR="00D856C2" w:rsidRPr="00D04898" w:rsidRDefault="00D856C2" w:rsidP="008B5474">
            <w:pPr>
              <w:pStyle w:val="TableBodyText"/>
              <w:rPr>
                <w:sz w:val="18"/>
                <w:szCs w:val="18"/>
              </w:rPr>
            </w:pPr>
            <w:r w:rsidRPr="00D04898">
              <w:rPr>
                <w:sz w:val="18"/>
                <w:szCs w:val="18"/>
              </w:rPr>
              <w:noBreakHyphen/>
            </w:r>
          </w:p>
        </w:tc>
        <w:tc>
          <w:tcPr>
            <w:tcW w:w="507" w:type="pct"/>
            <w:vAlign w:val="bottom"/>
          </w:tcPr>
          <w:p w:rsidR="00D856C2" w:rsidRPr="00D04898" w:rsidRDefault="00D856C2" w:rsidP="008B5474">
            <w:pPr>
              <w:pStyle w:val="TableBodyText"/>
              <w:rPr>
                <w:sz w:val="18"/>
                <w:szCs w:val="18"/>
              </w:rPr>
            </w:pPr>
            <w:r w:rsidRPr="00D04898">
              <w:rPr>
                <w:sz w:val="18"/>
                <w:szCs w:val="18"/>
              </w:rPr>
              <w:noBreakHyphen/>
            </w:r>
          </w:p>
        </w:tc>
        <w:tc>
          <w:tcPr>
            <w:tcW w:w="507" w:type="pct"/>
            <w:vAlign w:val="bottom"/>
          </w:tcPr>
          <w:p w:rsidR="00D856C2" w:rsidRPr="00D04898" w:rsidRDefault="00D856C2" w:rsidP="008B5474">
            <w:pPr>
              <w:pStyle w:val="TableBodyText"/>
              <w:rPr>
                <w:sz w:val="18"/>
                <w:szCs w:val="18"/>
              </w:rPr>
            </w:pPr>
            <w:r w:rsidRPr="00D04898">
              <w:rPr>
                <w:sz w:val="18"/>
                <w:szCs w:val="18"/>
              </w:rPr>
              <w:noBreakHyphen/>
            </w:r>
          </w:p>
        </w:tc>
        <w:tc>
          <w:tcPr>
            <w:tcW w:w="507" w:type="pct"/>
            <w:shd w:val="clear" w:color="auto" w:fill="auto"/>
            <w:vAlign w:val="bottom"/>
          </w:tcPr>
          <w:p w:rsidR="00D856C2" w:rsidRPr="00D04898" w:rsidRDefault="00D856C2" w:rsidP="008B5474">
            <w:pPr>
              <w:pStyle w:val="TableBodyText"/>
              <w:rPr>
                <w:sz w:val="18"/>
                <w:szCs w:val="18"/>
              </w:rPr>
            </w:pPr>
            <w:r w:rsidRPr="00D04898">
              <w:rPr>
                <w:sz w:val="18"/>
                <w:szCs w:val="18"/>
              </w:rPr>
              <w:noBreakHyphen/>
            </w:r>
          </w:p>
        </w:tc>
        <w:tc>
          <w:tcPr>
            <w:tcW w:w="505" w:type="pct"/>
            <w:shd w:val="clear" w:color="auto" w:fill="auto"/>
            <w:vAlign w:val="bottom"/>
          </w:tcPr>
          <w:p w:rsidR="00D856C2" w:rsidRPr="00D04898" w:rsidRDefault="00D856C2" w:rsidP="008B5474">
            <w:pPr>
              <w:pStyle w:val="TableBodyText"/>
              <w:rPr>
                <w:sz w:val="18"/>
                <w:szCs w:val="18"/>
              </w:rPr>
            </w:pPr>
            <w:r w:rsidRPr="00D04898">
              <w:rPr>
                <w:sz w:val="18"/>
                <w:szCs w:val="18"/>
              </w:rPr>
              <w:t>0.1</w:t>
            </w:r>
          </w:p>
        </w:tc>
      </w:tr>
      <w:tr w:rsidR="00D856C2" w:rsidRPr="0086425C" w:rsidTr="008B5474">
        <w:tc>
          <w:tcPr>
            <w:tcW w:w="1960" w:type="pct"/>
            <w:vAlign w:val="bottom"/>
          </w:tcPr>
          <w:p w:rsidR="00D856C2" w:rsidRPr="00D04898" w:rsidRDefault="00D856C2" w:rsidP="008B5474">
            <w:pPr>
              <w:pStyle w:val="TableBodyText"/>
              <w:jc w:val="left"/>
              <w:rPr>
                <w:sz w:val="18"/>
                <w:szCs w:val="18"/>
              </w:rPr>
            </w:pPr>
            <w:r w:rsidRPr="00D04898">
              <w:rPr>
                <w:sz w:val="18"/>
                <w:szCs w:val="18"/>
              </w:rPr>
              <w:t>Aquaculture and fishing</w:t>
            </w:r>
          </w:p>
        </w:tc>
        <w:tc>
          <w:tcPr>
            <w:tcW w:w="507" w:type="pct"/>
            <w:vAlign w:val="bottom"/>
          </w:tcPr>
          <w:p w:rsidR="00D856C2" w:rsidRPr="00D04898" w:rsidRDefault="00D856C2" w:rsidP="008B5474">
            <w:pPr>
              <w:pStyle w:val="TableBodyText"/>
              <w:rPr>
                <w:sz w:val="18"/>
                <w:szCs w:val="18"/>
              </w:rPr>
            </w:pPr>
            <w:r w:rsidRPr="00D04898">
              <w:rPr>
                <w:sz w:val="18"/>
                <w:szCs w:val="18"/>
              </w:rPr>
              <w:noBreakHyphen/>
            </w:r>
          </w:p>
        </w:tc>
        <w:tc>
          <w:tcPr>
            <w:tcW w:w="507" w:type="pct"/>
            <w:vAlign w:val="bottom"/>
          </w:tcPr>
          <w:p w:rsidR="00D856C2" w:rsidRPr="00D04898" w:rsidRDefault="00D856C2" w:rsidP="008B5474">
            <w:pPr>
              <w:pStyle w:val="TableBodyText"/>
              <w:rPr>
                <w:sz w:val="18"/>
                <w:szCs w:val="18"/>
              </w:rPr>
            </w:pPr>
            <w:r w:rsidRPr="00D04898">
              <w:rPr>
                <w:sz w:val="18"/>
                <w:szCs w:val="18"/>
              </w:rPr>
              <w:noBreakHyphen/>
            </w:r>
          </w:p>
        </w:tc>
        <w:tc>
          <w:tcPr>
            <w:tcW w:w="507" w:type="pct"/>
            <w:vAlign w:val="bottom"/>
          </w:tcPr>
          <w:p w:rsidR="00D856C2" w:rsidRPr="00D04898" w:rsidRDefault="00D856C2" w:rsidP="008B5474">
            <w:pPr>
              <w:pStyle w:val="TableBodyText"/>
              <w:rPr>
                <w:sz w:val="18"/>
                <w:szCs w:val="18"/>
              </w:rPr>
            </w:pPr>
            <w:r w:rsidRPr="00D04898">
              <w:rPr>
                <w:sz w:val="18"/>
                <w:szCs w:val="18"/>
              </w:rPr>
              <w:noBreakHyphen/>
            </w:r>
          </w:p>
        </w:tc>
        <w:tc>
          <w:tcPr>
            <w:tcW w:w="507" w:type="pct"/>
            <w:vAlign w:val="bottom"/>
          </w:tcPr>
          <w:p w:rsidR="00D856C2" w:rsidRPr="00D04898" w:rsidRDefault="00D856C2" w:rsidP="008B5474">
            <w:pPr>
              <w:pStyle w:val="TableBodyText"/>
              <w:rPr>
                <w:sz w:val="18"/>
                <w:szCs w:val="18"/>
              </w:rPr>
            </w:pPr>
            <w:r w:rsidRPr="00D04898">
              <w:rPr>
                <w:sz w:val="18"/>
                <w:szCs w:val="18"/>
              </w:rPr>
              <w:noBreakHyphen/>
            </w:r>
          </w:p>
        </w:tc>
        <w:tc>
          <w:tcPr>
            <w:tcW w:w="507" w:type="pct"/>
            <w:shd w:val="clear" w:color="auto" w:fill="auto"/>
            <w:vAlign w:val="bottom"/>
          </w:tcPr>
          <w:p w:rsidR="00D856C2" w:rsidRPr="00D04898" w:rsidRDefault="00D856C2" w:rsidP="008B5474">
            <w:pPr>
              <w:pStyle w:val="TableBodyText"/>
              <w:rPr>
                <w:sz w:val="18"/>
                <w:szCs w:val="18"/>
              </w:rPr>
            </w:pPr>
            <w:r w:rsidRPr="00D04898">
              <w:rPr>
                <w:sz w:val="18"/>
                <w:szCs w:val="18"/>
              </w:rPr>
              <w:noBreakHyphen/>
            </w:r>
          </w:p>
        </w:tc>
        <w:tc>
          <w:tcPr>
            <w:tcW w:w="505" w:type="pct"/>
            <w:shd w:val="clear" w:color="auto" w:fill="auto"/>
            <w:vAlign w:val="bottom"/>
          </w:tcPr>
          <w:p w:rsidR="00D856C2" w:rsidRPr="00D04898" w:rsidRDefault="00D856C2" w:rsidP="008B5474">
            <w:pPr>
              <w:pStyle w:val="TableBodyText"/>
              <w:rPr>
                <w:sz w:val="18"/>
                <w:szCs w:val="18"/>
              </w:rPr>
            </w:pPr>
            <w:r w:rsidRPr="00D04898">
              <w:rPr>
                <w:sz w:val="18"/>
                <w:szCs w:val="18"/>
              </w:rPr>
              <w:t>0.5</w:t>
            </w:r>
          </w:p>
        </w:tc>
      </w:tr>
      <w:tr w:rsidR="00D856C2" w:rsidRPr="0086425C" w:rsidTr="008B5474">
        <w:tc>
          <w:tcPr>
            <w:tcW w:w="1960" w:type="pct"/>
            <w:vAlign w:val="bottom"/>
          </w:tcPr>
          <w:p w:rsidR="00D856C2" w:rsidRPr="00D04898" w:rsidRDefault="00D856C2" w:rsidP="008B5474">
            <w:pPr>
              <w:pStyle w:val="TableBodyText"/>
              <w:jc w:val="left"/>
              <w:rPr>
                <w:sz w:val="18"/>
                <w:szCs w:val="18"/>
              </w:rPr>
            </w:pPr>
            <w:r w:rsidRPr="00D04898">
              <w:rPr>
                <w:sz w:val="18"/>
                <w:szCs w:val="18"/>
              </w:rPr>
              <w:t>Forestry and logging</w:t>
            </w:r>
          </w:p>
        </w:tc>
        <w:tc>
          <w:tcPr>
            <w:tcW w:w="507" w:type="pct"/>
            <w:vAlign w:val="bottom"/>
          </w:tcPr>
          <w:p w:rsidR="00D856C2" w:rsidRPr="00D04898" w:rsidRDefault="00D856C2" w:rsidP="008B5474">
            <w:pPr>
              <w:pStyle w:val="TableBodyText"/>
              <w:rPr>
                <w:sz w:val="18"/>
                <w:szCs w:val="18"/>
              </w:rPr>
            </w:pPr>
            <w:r w:rsidRPr="00D04898">
              <w:rPr>
                <w:sz w:val="18"/>
                <w:szCs w:val="18"/>
              </w:rPr>
              <w:noBreakHyphen/>
            </w:r>
          </w:p>
        </w:tc>
        <w:tc>
          <w:tcPr>
            <w:tcW w:w="507" w:type="pct"/>
            <w:vAlign w:val="bottom"/>
          </w:tcPr>
          <w:p w:rsidR="00D856C2" w:rsidRPr="00D04898" w:rsidRDefault="00D856C2" w:rsidP="008B5474">
            <w:pPr>
              <w:pStyle w:val="TableBodyText"/>
              <w:rPr>
                <w:sz w:val="18"/>
                <w:szCs w:val="18"/>
              </w:rPr>
            </w:pPr>
            <w:r w:rsidRPr="00D04898">
              <w:rPr>
                <w:sz w:val="18"/>
                <w:szCs w:val="18"/>
              </w:rPr>
              <w:noBreakHyphen/>
            </w:r>
          </w:p>
        </w:tc>
        <w:tc>
          <w:tcPr>
            <w:tcW w:w="507" w:type="pct"/>
            <w:vAlign w:val="bottom"/>
          </w:tcPr>
          <w:p w:rsidR="00D856C2" w:rsidRPr="00D04898" w:rsidRDefault="00D856C2" w:rsidP="008B5474">
            <w:pPr>
              <w:pStyle w:val="TableBodyText"/>
              <w:rPr>
                <w:sz w:val="18"/>
                <w:szCs w:val="18"/>
              </w:rPr>
            </w:pPr>
            <w:r w:rsidRPr="00D04898">
              <w:rPr>
                <w:sz w:val="18"/>
                <w:szCs w:val="18"/>
              </w:rPr>
              <w:noBreakHyphen/>
            </w:r>
          </w:p>
        </w:tc>
        <w:tc>
          <w:tcPr>
            <w:tcW w:w="507" w:type="pct"/>
            <w:vAlign w:val="bottom"/>
          </w:tcPr>
          <w:p w:rsidR="00D856C2" w:rsidRPr="00D04898" w:rsidRDefault="00D856C2" w:rsidP="008B5474">
            <w:pPr>
              <w:pStyle w:val="TableBodyText"/>
              <w:rPr>
                <w:sz w:val="18"/>
                <w:szCs w:val="18"/>
              </w:rPr>
            </w:pPr>
            <w:r w:rsidRPr="00D04898">
              <w:rPr>
                <w:sz w:val="18"/>
                <w:szCs w:val="18"/>
              </w:rPr>
              <w:noBreakHyphen/>
            </w:r>
          </w:p>
        </w:tc>
        <w:tc>
          <w:tcPr>
            <w:tcW w:w="507" w:type="pct"/>
            <w:shd w:val="clear" w:color="auto" w:fill="auto"/>
            <w:vAlign w:val="bottom"/>
          </w:tcPr>
          <w:p w:rsidR="00D856C2" w:rsidRPr="00D04898" w:rsidRDefault="00D856C2" w:rsidP="008B5474">
            <w:pPr>
              <w:pStyle w:val="TableBodyText"/>
              <w:rPr>
                <w:sz w:val="18"/>
                <w:szCs w:val="18"/>
              </w:rPr>
            </w:pPr>
            <w:r w:rsidRPr="00D04898">
              <w:rPr>
                <w:sz w:val="18"/>
                <w:szCs w:val="18"/>
              </w:rPr>
              <w:noBreakHyphen/>
            </w:r>
          </w:p>
        </w:tc>
        <w:tc>
          <w:tcPr>
            <w:tcW w:w="505" w:type="pct"/>
            <w:shd w:val="clear" w:color="auto" w:fill="auto"/>
            <w:vAlign w:val="bottom"/>
          </w:tcPr>
          <w:p w:rsidR="00D856C2" w:rsidRPr="00D04898" w:rsidRDefault="00D856C2" w:rsidP="008B5474">
            <w:pPr>
              <w:pStyle w:val="TableBodyText"/>
              <w:rPr>
                <w:sz w:val="18"/>
                <w:szCs w:val="18"/>
              </w:rPr>
            </w:pPr>
            <w:r w:rsidRPr="00D04898">
              <w:rPr>
                <w:sz w:val="18"/>
                <w:szCs w:val="18"/>
              </w:rPr>
              <w:t>0.5</w:t>
            </w:r>
          </w:p>
        </w:tc>
      </w:tr>
      <w:tr w:rsidR="00D856C2" w:rsidRPr="0086425C" w:rsidTr="008B5474">
        <w:tc>
          <w:tcPr>
            <w:tcW w:w="1960" w:type="pct"/>
            <w:vAlign w:val="bottom"/>
          </w:tcPr>
          <w:p w:rsidR="00D856C2" w:rsidRPr="00D04898" w:rsidRDefault="00D856C2" w:rsidP="008B5474">
            <w:pPr>
              <w:pStyle w:val="TableBodyText"/>
              <w:jc w:val="left"/>
              <w:rPr>
                <w:sz w:val="18"/>
                <w:szCs w:val="18"/>
              </w:rPr>
            </w:pPr>
            <w:r w:rsidRPr="00D04898">
              <w:rPr>
                <w:sz w:val="18"/>
                <w:szCs w:val="18"/>
              </w:rPr>
              <w:t>Unallocated primary production</w:t>
            </w:r>
            <w:r w:rsidRPr="00D04898">
              <w:rPr>
                <w:rStyle w:val="NoteLabel"/>
                <w:szCs w:val="18"/>
              </w:rPr>
              <w:t>a</w:t>
            </w:r>
          </w:p>
        </w:tc>
        <w:tc>
          <w:tcPr>
            <w:tcW w:w="507" w:type="pct"/>
            <w:vAlign w:val="bottom"/>
          </w:tcPr>
          <w:p w:rsidR="00D856C2" w:rsidRPr="00D04898" w:rsidRDefault="00D856C2" w:rsidP="008B5474">
            <w:pPr>
              <w:pStyle w:val="TableBodyText"/>
              <w:rPr>
                <w:sz w:val="18"/>
                <w:szCs w:val="18"/>
              </w:rPr>
            </w:pPr>
            <w:r w:rsidRPr="00D04898">
              <w:rPr>
                <w:sz w:val="18"/>
                <w:szCs w:val="18"/>
              </w:rPr>
              <w:noBreakHyphen/>
            </w:r>
          </w:p>
        </w:tc>
        <w:tc>
          <w:tcPr>
            <w:tcW w:w="507" w:type="pct"/>
            <w:vAlign w:val="bottom"/>
          </w:tcPr>
          <w:p w:rsidR="00D856C2" w:rsidRPr="00D04898" w:rsidRDefault="00D856C2" w:rsidP="008B5474">
            <w:pPr>
              <w:pStyle w:val="TableBodyText"/>
              <w:rPr>
                <w:sz w:val="18"/>
                <w:szCs w:val="18"/>
              </w:rPr>
            </w:pPr>
            <w:r w:rsidRPr="00D04898">
              <w:rPr>
                <w:sz w:val="18"/>
                <w:szCs w:val="18"/>
              </w:rPr>
              <w:noBreakHyphen/>
            </w:r>
          </w:p>
        </w:tc>
        <w:tc>
          <w:tcPr>
            <w:tcW w:w="507" w:type="pct"/>
            <w:vAlign w:val="bottom"/>
          </w:tcPr>
          <w:p w:rsidR="00D856C2" w:rsidRPr="00D04898" w:rsidRDefault="00D856C2" w:rsidP="008B5474">
            <w:pPr>
              <w:pStyle w:val="TableBodyText"/>
              <w:rPr>
                <w:sz w:val="18"/>
                <w:szCs w:val="18"/>
              </w:rPr>
            </w:pPr>
            <w:r w:rsidRPr="00D04898">
              <w:rPr>
                <w:sz w:val="18"/>
                <w:szCs w:val="18"/>
              </w:rPr>
              <w:noBreakHyphen/>
            </w:r>
          </w:p>
        </w:tc>
        <w:tc>
          <w:tcPr>
            <w:tcW w:w="507" w:type="pct"/>
            <w:vAlign w:val="bottom"/>
          </w:tcPr>
          <w:p w:rsidR="00D856C2" w:rsidRPr="00D04898" w:rsidRDefault="00D856C2" w:rsidP="008B5474">
            <w:pPr>
              <w:pStyle w:val="TableBodyText"/>
              <w:rPr>
                <w:sz w:val="18"/>
                <w:szCs w:val="18"/>
              </w:rPr>
            </w:pPr>
            <w:r w:rsidRPr="00D04898">
              <w:rPr>
                <w:sz w:val="18"/>
                <w:szCs w:val="18"/>
              </w:rPr>
              <w:noBreakHyphen/>
            </w:r>
          </w:p>
        </w:tc>
        <w:tc>
          <w:tcPr>
            <w:tcW w:w="507" w:type="pct"/>
            <w:shd w:val="clear" w:color="auto" w:fill="auto"/>
            <w:vAlign w:val="bottom"/>
          </w:tcPr>
          <w:p w:rsidR="00D856C2" w:rsidRPr="00D04898" w:rsidRDefault="00D856C2" w:rsidP="008B5474">
            <w:pPr>
              <w:pStyle w:val="TableBodyText"/>
              <w:rPr>
                <w:sz w:val="18"/>
                <w:szCs w:val="18"/>
              </w:rPr>
            </w:pPr>
            <w:r w:rsidRPr="00D04898">
              <w:rPr>
                <w:sz w:val="18"/>
                <w:szCs w:val="18"/>
              </w:rPr>
              <w:noBreakHyphen/>
            </w:r>
          </w:p>
        </w:tc>
        <w:tc>
          <w:tcPr>
            <w:tcW w:w="505" w:type="pct"/>
            <w:shd w:val="clear" w:color="auto" w:fill="auto"/>
            <w:vAlign w:val="bottom"/>
          </w:tcPr>
          <w:p w:rsidR="00D856C2" w:rsidRPr="00D04898" w:rsidRDefault="00D856C2" w:rsidP="008B5474">
            <w:pPr>
              <w:pStyle w:val="TableBodyText"/>
              <w:rPr>
                <w:sz w:val="18"/>
                <w:szCs w:val="18"/>
              </w:rPr>
            </w:pPr>
            <w:r w:rsidRPr="00D04898">
              <w:rPr>
                <w:sz w:val="18"/>
                <w:szCs w:val="18"/>
              </w:rPr>
              <w:t>2.0</w:t>
            </w:r>
          </w:p>
        </w:tc>
      </w:tr>
      <w:tr w:rsidR="00D856C2" w:rsidRPr="0086425C" w:rsidTr="008B5474">
        <w:tc>
          <w:tcPr>
            <w:tcW w:w="1960" w:type="pct"/>
            <w:vAlign w:val="bottom"/>
          </w:tcPr>
          <w:p w:rsidR="00D856C2" w:rsidRPr="00D04898" w:rsidRDefault="00D856C2" w:rsidP="008B5474">
            <w:pPr>
              <w:pStyle w:val="TableBodyText"/>
              <w:jc w:val="left"/>
              <w:rPr>
                <w:b/>
                <w:sz w:val="18"/>
                <w:szCs w:val="18"/>
              </w:rPr>
            </w:pPr>
            <w:r w:rsidRPr="00D04898">
              <w:rPr>
                <w:b/>
                <w:sz w:val="18"/>
                <w:szCs w:val="18"/>
              </w:rPr>
              <w:t>Mining</w:t>
            </w:r>
          </w:p>
        </w:tc>
        <w:tc>
          <w:tcPr>
            <w:tcW w:w="507" w:type="pct"/>
            <w:vAlign w:val="bottom"/>
          </w:tcPr>
          <w:p w:rsidR="00D856C2" w:rsidRPr="00D04898" w:rsidRDefault="00D856C2" w:rsidP="008B5474">
            <w:pPr>
              <w:pStyle w:val="TableBodyText"/>
              <w:rPr>
                <w:b/>
                <w:sz w:val="18"/>
                <w:szCs w:val="18"/>
              </w:rPr>
            </w:pPr>
            <w:r w:rsidRPr="00D04898">
              <w:rPr>
                <w:b/>
                <w:sz w:val="18"/>
                <w:szCs w:val="18"/>
              </w:rPr>
              <w:noBreakHyphen/>
            </w:r>
          </w:p>
        </w:tc>
        <w:tc>
          <w:tcPr>
            <w:tcW w:w="507" w:type="pct"/>
            <w:vAlign w:val="bottom"/>
          </w:tcPr>
          <w:p w:rsidR="00D856C2" w:rsidRPr="00D04898" w:rsidRDefault="00D856C2" w:rsidP="008B5474">
            <w:pPr>
              <w:pStyle w:val="TableBodyText"/>
              <w:rPr>
                <w:b/>
                <w:sz w:val="18"/>
                <w:szCs w:val="18"/>
              </w:rPr>
            </w:pPr>
            <w:r w:rsidRPr="00D04898">
              <w:rPr>
                <w:b/>
                <w:sz w:val="18"/>
                <w:szCs w:val="18"/>
              </w:rPr>
              <w:noBreakHyphen/>
            </w:r>
          </w:p>
        </w:tc>
        <w:tc>
          <w:tcPr>
            <w:tcW w:w="507" w:type="pct"/>
            <w:vAlign w:val="bottom"/>
          </w:tcPr>
          <w:p w:rsidR="00D856C2" w:rsidRPr="00D04898" w:rsidRDefault="00D856C2" w:rsidP="008B5474">
            <w:pPr>
              <w:pStyle w:val="TableBodyText"/>
              <w:rPr>
                <w:b/>
                <w:sz w:val="18"/>
                <w:szCs w:val="18"/>
              </w:rPr>
            </w:pPr>
            <w:r w:rsidRPr="00D04898">
              <w:rPr>
                <w:b/>
                <w:sz w:val="18"/>
                <w:szCs w:val="18"/>
              </w:rPr>
              <w:noBreakHyphen/>
            </w:r>
          </w:p>
        </w:tc>
        <w:tc>
          <w:tcPr>
            <w:tcW w:w="507" w:type="pct"/>
            <w:vAlign w:val="bottom"/>
          </w:tcPr>
          <w:p w:rsidR="00D856C2" w:rsidRPr="00D04898" w:rsidRDefault="00D856C2" w:rsidP="008B5474">
            <w:pPr>
              <w:pStyle w:val="TableBodyText"/>
              <w:rPr>
                <w:b/>
                <w:sz w:val="18"/>
                <w:szCs w:val="18"/>
              </w:rPr>
            </w:pPr>
            <w:r w:rsidRPr="00D04898">
              <w:rPr>
                <w:b/>
                <w:sz w:val="18"/>
                <w:szCs w:val="18"/>
              </w:rPr>
              <w:noBreakHyphen/>
            </w:r>
          </w:p>
        </w:tc>
        <w:tc>
          <w:tcPr>
            <w:tcW w:w="507" w:type="pct"/>
            <w:shd w:val="clear" w:color="auto" w:fill="auto"/>
            <w:vAlign w:val="bottom"/>
          </w:tcPr>
          <w:p w:rsidR="00D856C2" w:rsidRPr="00D04898" w:rsidRDefault="00D856C2" w:rsidP="008B5474">
            <w:pPr>
              <w:pStyle w:val="TableBodyText"/>
              <w:rPr>
                <w:b/>
                <w:sz w:val="18"/>
                <w:szCs w:val="18"/>
              </w:rPr>
            </w:pPr>
            <w:r w:rsidRPr="00D04898">
              <w:rPr>
                <w:b/>
                <w:sz w:val="18"/>
                <w:szCs w:val="18"/>
              </w:rPr>
              <w:noBreakHyphen/>
            </w:r>
          </w:p>
        </w:tc>
        <w:tc>
          <w:tcPr>
            <w:tcW w:w="505" w:type="pct"/>
            <w:shd w:val="clear" w:color="auto" w:fill="auto"/>
            <w:vAlign w:val="bottom"/>
          </w:tcPr>
          <w:p w:rsidR="00D856C2" w:rsidRPr="00D04898" w:rsidRDefault="00D856C2" w:rsidP="008B5474">
            <w:pPr>
              <w:pStyle w:val="TableBodyText"/>
              <w:rPr>
                <w:b/>
                <w:sz w:val="18"/>
                <w:szCs w:val="18"/>
              </w:rPr>
            </w:pPr>
            <w:r w:rsidRPr="00D04898">
              <w:rPr>
                <w:b/>
                <w:sz w:val="18"/>
                <w:szCs w:val="18"/>
              </w:rPr>
              <w:t>&lt;0.1</w:t>
            </w:r>
          </w:p>
        </w:tc>
      </w:tr>
      <w:tr w:rsidR="00D856C2" w:rsidRPr="0086425C" w:rsidTr="008B5474">
        <w:tc>
          <w:tcPr>
            <w:tcW w:w="1960" w:type="pct"/>
            <w:vAlign w:val="bottom"/>
          </w:tcPr>
          <w:p w:rsidR="00D856C2" w:rsidRPr="00D04898" w:rsidRDefault="00D856C2" w:rsidP="008B5474">
            <w:pPr>
              <w:pStyle w:val="TableBodyText"/>
              <w:jc w:val="left"/>
              <w:rPr>
                <w:b/>
                <w:sz w:val="18"/>
                <w:szCs w:val="18"/>
              </w:rPr>
            </w:pPr>
            <w:r w:rsidRPr="00D04898">
              <w:rPr>
                <w:b/>
                <w:sz w:val="18"/>
                <w:szCs w:val="18"/>
              </w:rPr>
              <w:t>Manufacturing</w:t>
            </w:r>
          </w:p>
        </w:tc>
        <w:tc>
          <w:tcPr>
            <w:tcW w:w="507" w:type="pct"/>
            <w:vAlign w:val="bottom"/>
          </w:tcPr>
          <w:p w:rsidR="00D856C2" w:rsidRPr="00D04898" w:rsidRDefault="00D856C2" w:rsidP="008B5474">
            <w:pPr>
              <w:pStyle w:val="TableBodyText"/>
              <w:rPr>
                <w:b/>
                <w:sz w:val="18"/>
                <w:szCs w:val="18"/>
              </w:rPr>
            </w:pPr>
            <w:r w:rsidRPr="00D04898">
              <w:rPr>
                <w:b/>
                <w:sz w:val="18"/>
                <w:szCs w:val="18"/>
              </w:rPr>
              <w:noBreakHyphen/>
            </w:r>
          </w:p>
        </w:tc>
        <w:tc>
          <w:tcPr>
            <w:tcW w:w="507" w:type="pct"/>
            <w:vAlign w:val="bottom"/>
          </w:tcPr>
          <w:p w:rsidR="00D856C2" w:rsidRPr="00D04898" w:rsidRDefault="00D856C2" w:rsidP="008B5474">
            <w:pPr>
              <w:pStyle w:val="TableBodyText"/>
              <w:rPr>
                <w:b/>
                <w:sz w:val="18"/>
                <w:szCs w:val="18"/>
              </w:rPr>
            </w:pPr>
            <w:r w:rsidRPr="00D04898">
              <w:rPr>
                <w:b/>
                <w:sz w:val="18"/>
                <w:szCs w:val="18"/>
              </w:rPr>
              <w:noBreakHyphen/>
            </w:r>
          </w:p>
        </w:tc>
        <w:tc>
          <w:tcPr>
            <w:tcW w:w="507" w:type="pct"/>
            <w:vAlign w:val="bottom"/>
          </w:tcPr>
          <w:p w:rsidR="00D856C2" w:rsidRPr="00D04898" w:rsidRDefault="00D856C2" w:rsidP="008B5474">
            <w:pPr>
              <w:pStyle w:val="TableBodyText"/>
              <w:rPr>
                <w:b/>
                <w:sz w:val="18"/>
                <w:szCs w:val="18"/>
              </w:rPr>
            </w:pPr>
            <w:r w:rsidRPr="00D04898">
              <w:rPr>
                <w:b/>
                <w:sz w:val="18"/>
                <w:szCs w:val="18"/>
              </w:rPr>
              <w:noBreakHyphen/>
            </w:r>
          </w:p>
        </w:tc>
        <w:tc>
          <w:tcPr>
            <w:tcW w:w="507" w:type="pct"/>
            <w:vAlign w:val="bottom"/>
          </w:tcPr>
          <w:p w:rsidR="00D856C2" w:rsidRPr="00D04898" w:rsidRDefault="00D856C2" w:rsidP="008B5474">
            <w:pPr>
              <w:pStyle w:val="TableBodyText"/>
              <w:rPr>
                <w:b/>
                <w:sz w:val="18"/>
                <w:szCs w:val="18"/>
              </w:rPr>
            </w:pPr>
            <w:r w:rsidRPr="00D04898">
              <w:rPr>
                <w:b/>
                <w:sz w:val="18"/>
                <w:szCs w:val="18"/>
              </w:rPr>
              <w:noBreakHyphen/>
            </w:r>
          </w:p>
        </w:tc>
        <w:tc>
          <w:tcPr>
            <w:tcW w:w="507" w:type="pct"/>
            <w:shd w:val="clear" w:color="auto" w:fill="auto"/>
            <w:vAlign w:val="bottom"/>
          </w:tcPr>
          <w:p w:rsidR="00D856C2" w:rsidRPr="00D04898" w:rsidRDefault="00D856C2" w:rsidP="008B5474">
            <w:pPr>
              <w:pStyle w:val="TableBodyText"/>
              <w:rPr>
                <w:b/>
                <w:sz w:val="18"/>
                <w:szCs w:val="18"/>
              </w:rPr>
            </w:pPr>
            <w:r w:rsidRPr="00D04898">
              <w:rPr>
                <w:b/>
                <w:sz w:val="18"/>
                <w:szCs w:val="18"/>
              </w:rPr>
              <w:noBreakHyphen/>
            </w:r>
          </w:p>
        </w:tc>
        <w:tc>
          <w:tcPr>
            <w:tcW w:w="505" w:type="pct"/>
            <w:shd w:val="clear" w:color="auto" w:fill="auto"/>
            <w:vAlign w:val="bottom"/>
          </w:tcPr>
          <w:p w:rsidR="00D856C2" w:rsidRPr="00D04898" w:rsidRDefault="00D856C2" w:rsidP="008B5474">
            <w:pPr>
              <w:pStyle w:val="TableBodyText"/>
              <w:rPr>
                <w:b/>
                <w:sz w:val="18"/>
                <w:szCs w:val="18"/>
              </w:rPr>
            </w:pPr>
            <w:r w:rsidRPr="00D04898">
              <w:rPr>
                <w:b/>
                <w:sz w:val="18"/>
                <w:szCs w:val="18"/>
              </w:rPr>
              <w:t>9.9</w:t>
            </w:r>
          </w:p>
        </w:tc>
      </w:tr>
      <w:tr w:rsidR="00D856C2" w:rsidRPr="0086425C" w:rsidTr="008B5474">
        <w:tc>
          <w:tcPr>
            <w:tcW w:w="1960" w:type="pct"/>
            <w:vAlign w:val="bottom"/>
          </w:tcPr>
          <w:p w:rsidR="00D856C2" w:rsidRPr="00D04898" w:rsidRDefault="00D856C2" w:rsidP="008B5474">
            <w:pPr>
              <w:pStyle w:val="TableBodyText"/>
              <w:jc w:val="left"/>
              <w:rPr>
                <w:sz w:val="18"/>
                <w:szCs w:val="18"/>
              </w:rPr>
            </w:pPr>
            <w:r w:rsidRPr="00D04898">
              <w:rPr>
                <w:sz w:val="18"/>
                <w:szCs w:val="18"/>
              </w:rPr>
              <w:t>Unallocated manufacturing</w:t>
            </w:r>
            <w:r w:rsidRPr="00D04898">
              <w:rPr>
                <w:rStyle w:val="NoteLabel"/>
                <w:szCs w:val="18"/>
              </w:rPr>
              <w:t>a</w:t>
            </w:r>
          </w:p>
        </w:tc>
        <w:tc>
          <w:tcPr>
            <w:tcW w:w="507" w:type="pct"/>
            <w:vAlign w:val="bottom"/>
          </w:tcPr>
          <w:p w:rsidR="00D856C2" w:rsidRPr="00D04898" w:rsidRDefault="00D856C2" w:rsidP="008B5474">
            <w:pPr>
              <w:pStyle w:val="TableBodyText"/>
              <w:rPr>
                <w:sz w:val="18"/>
                <w:szCs w:val="18"/>
              </w:rPr>
            </w:pPr>
            <w:r w:rsidRPr="00D04898">
              <w:rPr>
                <w:sz w:val="18"/>
                <w:szCs w:val="18"/>
              </w:rPr>
              <w:noBreakHyphen/>
            </w:r>
          </w:p>
        </w:tc>
        <w:tc>
          <w:tcPr>
            <w:tcW w:w="507" w:type="pct"/>
            <w:vAlign w:val="bottom"/>
          </w:tcPr>
          <w:p w:rsidR="00D856C2" w:rsidRPr="00D04898" w:rsidRDefault="00D856C2" w:rsidP="008B5474">
            <w:pPr>
              <w:pStyle w:val="TableBodyText"/>
              <w:rPr>
                <w:sz w:val="18"/>
                <w:szCs w:val="18"/>
              </w:rPr>
            </w:pPr>
            <w:r w:rsidRPr="00D04898">
              <w:rPr>
                <w:sz w:val="18"/>
                <w:szCs w:val="18"/>
              </w:rPr>
              <w:noBreakHyphen/>
            </w:r>
          </w:p>
        </w:tc>
        <w:tc>
          <w:tcPr>
            <w:tcW w:w="507" w:type="pct"/>
            <w:vAlign w:val="bottom"/>
          </w:tcPr>
          <w:p w:rsidR="00D856C2" w:rsidRPr="00D04898" w:rsidRDefault="00D856C2" w:rsidP="008B5474">
            <w:pPr>
              <w:pStyle w:val="TableBodyText"/>
              <w:rPr>
                <w:sz w:val="18"/>
                <w:szCs w:val="18"/>
              </w:rPr>
            </w:pPr>
            <w:r w:rsidRPr="00D04898">
              <w:rPr>
                <w:sz w:val="18"/>
                <w:szCs w:val="18"/>
              </w:rPr>
              <w:noBreakHyphen/>
            </w:r>
          </w:p>
        </w:tc>
        <w:tc>
          <w:tcPr>
            <w:tcW w:w="507" w:type="pct"/>
            <w:vAlign w:val="bottom"/>
          </w:tcPr>
          <w:p w:rsidR="00D856C2" w:rsidRPr="00D04898" w:rsidRDefault="00D856C2" w:rsidP="008B5474">
            <w:pPr>
              <w:pStyle w:val="TableBodyText"/>
              <w:rPr>
                <w:sz w:val="18"/>
                <w:szCs w:val="18"/>
              </w:rPr>
            </w:pPr>
            <w:r w:rsidRPr="00D04898">
              <w:rPr>
                <w:sz w:val="18"/>
                <w:szCs w:val="18"/>
              </w:rPr>
              <w:noBreakHyphen/>
            </w:r>
          </w:p>
        </w:tc>
        <w:tc>
          <w:tcPr>
            <w:tcW w:w="507" w:type="pct"/>
            <w:shd w:val="clear" w:color="auto" w:fill="auto"/>
            <w:vAlign w:val="bottom"/>
          </w:tcPr>
          <w:p w:rsidR="00D856C2" w:rsidRPr="00D04898" w:rsidRDefault="00D856C2" w:rsidP="008B5474">
            <w:pPr>
              <w:pStyle w:val="TableBodyText"/>
              <w:rPr>
                <w:sz w:val="18"/>
                <w:szCs w:val="18"/>
              </w:rPr>
            </w:pPr>
            <w:r w:rsidRPr="00D04898">
              <w:rPr>
                <w:sz w:val="18"/>
                <w:szCs w:val="18"/>
              </w:rPr>
              <w:noBreakHyphen/>
            </w:r>
          </w:p>
        </w:tc>
        <w:tc>
          <w:tcPr>
            <w:tcW w:w="505" w:type="pct"/>
            <w:shd w:val="clear" w:color="auto" w:fill="auto"/>
            <w:vAlign w:val="bottom"/>
          </w:tcPr>
          <w:p w:rsidR="00D856C2" w:rsidRPr="00D04898" w:rsidRDefault="00D856C2" w:rsidP="008B5474">
            <w:pPr>
              <w:pStyle w:val="TableBodyText"/>
              <w:rPr>
                <w:sz w:val="18"/>
                <w:szCs w:val="18"/>
              </w:rPr>
            </w:pPr>
            <w:r w:rsidRPr="00D04898">
              <w:rPr>
                <w:sz w:val="18"/>
                <w:szCs w:val="18"/>
              </w:rPr>
              <w:t>9.9</w:t>
            </w:r>
          </w:p>
        </w:tc>
      </w:tr>
      <w:tr w:rsidR="00D856C2" w:rsidRPr="0086425C" w:rsidTr="008B5474">
        <w:tc>
          <w:tcPr>
            <w:tcW w:w="1960" w:type="pct"/>
            <w:vAlign w:val="bottom"/>
          </w:tcPr>
          <w:p w:rsidR="00D856C2" w:rsidRPr="00D04898" w:rsidRDefault="00D856C2" w:rsidP="008B5474">
            <w:pPr>
              <w:pStyle w:val="TableBodyText"/>
              <w:jc w:val="left"/>
              <w:rPr>
                <w:b/>
                <w:sz w:val="18"/>
                <w:szCs w:val="18"/>
              </w:rPr>
            </w:pPr>
            <w:r w:rsidRPr="00D04898">
              <w:rPr>
                <w:b/>
                <w:sz w:val="18"/>
                <w:szCs w:val="18"/>
              </w:rPr>
              <w:t>Services</w:t>
            </w:r>
          </w:p>
        </w:tc>
        <w:tc>
          <w:tcPr>
            <w:tcW w:w="507" w:type="pct"/>
            <w:vAlign w:val="bottom"/>
          </w:tcPr>
          <w:p w:rsidR="00D856C2" w:rsidRPr="00D04898" w:rsidRDefault="00D856C2" w:rsidP="008B5474">
            <w:pPr>
              <w:pStyle w:val="TableBodyText"/>
              <w:rPr>
                <w:b/>
                <w:sz w:val="18"/>
                <w:szCs w:val="18"/>
              </w:rPr>
            </w:pPr>
            <w:r w:rsidRPr="00D04898">
              <w:rPr>
                <w:b/>
                <w:sz w:val="18"/>
                <w:szCs w:val="18"/>
              </w:rPr>
              <w:noBreakHyphen/>
            </w:r>
          </w:p>
        </w:tc>
        <w:tc>
          <w:tcPr>
            <w:tcW w:w="507" w:type="pct"/>
            <w:vAlign w:val="bottom"/>
          </w:tcPr>
          <w:p w:rsidR="00D856C2" w:rsidRPr="00D04898" w:rsidRDefault="00D856C2" w:rsidP="008B5474">
            <w:pPr>
              <w:pStyle w:val="TableBodyText"/>
              <w:rPr>
                <w:b/>
                <w:sz w:val="18"/>
                <w:szCs w:val="18"/>
              </w:rPr>
            </w:pPr>
            <w:r w:rsidRPr="00D04898">
              <w:rPr>
                <w:b/>
                <w:sz w:val="18"/>
                <w:szCs w:val="18"/>
              </w:rPr>
              <w:noBreakHyphen/>
            </w:r>
          </w:p>
        </w:tc>
        <w:tc>
          <w:tcPr>
            <w:tcW w:w="507" w:type="pct"/>
            <w:vAlign w:val="bottom"/>
          </w:tcPr>
          <w:p w:rsidR="00D856C2" w:rsidRPr="00D04898" w:rsidRDefault="00D856C2" w:rsidP="008B5474">
            <w:pPr>
              <w:pStyle w:val="TableBodyText"/>
              <w:rPr>
                <w:b/>
                <w:sz w:val="18"/>
                <w:szCs w:val="18"/>
              </w:rPr>
            </w:pPr>
            <w:r w:rsidRPr="00D04898">
              <w:rPr>
                <w:b/>
                <w:sz w:val="18"/>
                <w:szCs w:val="18"/>
              </w:rPr>
              <w:noBreakHyphen/>
            </w:r>
          </w:p>
        </w:tc>
        <w:tc>
          <w:tcPr>
            <w:tcW w:w="507" w:type="pct"/>
            <w:vAlign w:val="bottom"/>
          </w:tcPr>
          <w:p w:rsidR="00D856C2" w:rsidRPr="00D04898" w:rsidRDefault="00D856C2" w:rsidP="008B5474">
            <w:pPr>
              <w:pStyle w:val="TableBodyText"/>
              <w:rPr>
                <w:b/>
                <w:sz w:val="18"/>
                <w:szCs w:val="18"/>
              </w:rPr>
            </w:pPr>
            <w:r w:rsidRPr="00D04898">
              <w:rPr>
                <w:b/>
                <w:sz w:val="18"/>
                <w:szCs w:val="18"/>
              </w:rPr>
              <w:noBreakHyphen/>
            </w:r>
          </w:p>
        </w:tc>
        <w:tc>
          <w:tcPr>
            <w:tcW w:w="507" w:type="pct"/>
            <w:shd w:val="clear" w:color="auto" w:fill="auto"/>
            <w:vAlign w:val="bottom"/>
          </w:tcPr>
          <w:p w:rsidR="00D856C2" w:rsidRPr="00D04898" w:rsidRDefault="00D856C2" w:rsidP="008B5474">
            <w:pPr>
              <w:pStyle w:val="TableBodyText"/>
              <w:rPr>
                <w:b/>
                <w:sz w:val="18"/>
                <w:szCs w:val="18"/>
              </w:rPr>
            </w:pPr>
            <w:r w:rsidRPr="00D04898">
              <w:rPr>
                <w:b/>
                <w:sz w:val="18"/>
                <w:szCs w:val="18"/>
              </w:rPr>
              <w:noBreakHyphen/>
            </w:r>
          </w:p>
        </w:tc>
        <w:tc>
          <w:tcPr>
            <w:tcW w:w="505" w:type="pct"/>
            <w:shd w:val="clear" w:color="auto" w:fill="auto"/>
            <w:vAlign w:val="bottom"/>
          </w:tcPr>
          <w:p w:rsidR="00D856C2" w:rsidRPr="00D04898" w:rsidRDefault="00D856C2" w:rsidP="008B5474">
            <w:pPr>
              <w:pStyle w:val="TableBodyText"/>
              <w:rPr>
                <w:b/>
                <w:sz w:val="18"/>
                <w:szCs w:val="18"/>
              </w:rPr>
            </w:pPr>
            <w:r w:rsidRPr="00D04898">
              <w:rPr>
                <w:b/>
                <w:sz w:val="18"/>
                <w:szCs w:val="18"/>
              </w:rPr>
              <w:t>5.9</w:t>
            </w:r>
          </w:p>
        </w:tc>
      </w:tr>
      <w:tr w:rsidR="00D856C2" w:rsidRPr="0086425C" w:rsidTr="008B5474">
        <w:tc>
          <w:tcPr>
            <w:tcW w:w="1960" w:type="pct"/>
            <w:vAlign w:val="bottom"/>
          </w:tcPr>
          <w:p w:rsidR="00D856C2" w:rsidRPr="00D04898" w:rsidRDefault="00D856C2" w:rsidP="008B5474">
            <w:pPr>
              <w:pStyle w:val="TableBodyText"/>
              <w:jc w:val="left"/>
              <w:rPr>
                <w:sz w:val="18"/>
                <w:szCs w:val="18"/>
              </w:rPr>
            </w:pPr>
            <w:r w:rsidRPr="00D04898">
              <w:rPr>
                <w:sz w:val="18"/>
                <w:szCs w:val="18"/>
              </w:rPr>
              <w:t>Transport, postal and warehousing</w:t>
            </w:r>
          </w:p>
        </w:tc>
        <w:tc>
          <w:tcPr>
            <w:tcW w:w="507" w:type="pct"/>
            <w:vAlign w:val="bottom"/>
          </w:tcPr>
          <w:p w:rsidR="00D856C2" w:rsidRPr="00D04898" w:rsidRDefault="00D856C2" w:rsidP="008B5474">
            <w:pPr>
              <w:pStyle w:val="TableBodyText"/>
              <w:rPr>
                <w:sz w:val="18"/>
                <w:szCs w:val="18"/>
              </w:rPr>
            </w:pPr>
            <w:r w:rsidRPr="00D04898">
              <w:rPr>
                <w:sz w:val="18"/>
                <w:szCs w:val="18"/>
              </w:rPr>
              <w:noBreakHyphen/>
            </w:r>
          </w:p>
        </w:tc>
        <w:tc>
          <w:tcPr>
            <w:tcW w:w="507" w:type="pct"/>
            <w:vAlign w:val="bottom"/>
          </w:tcPr>
          <w:p w:rsidR="00D856C2" w:rsidRPr="00D04898" w:rsidRDefault="00D856C2" w:rsidP="008B5474">
            <w:pPr>
              <w:pStyle w:val="TableBodyText"/>
              <w:rPr>
                <w:sz w:val="18"/>
                <w:szCs w:val="18"/>
              </w:rPr>
            </w:pPr>
            <w:r w:rsidRPr="00D04898">
              <w:rPr>
                <w:sz w:val="18"/>
                <w:szCs w:val="18"/>
              </w:rPr>
              <w:noBreakHyphen/>
            </w:r>
          </w:p>
        </w:tc>
        <w:tc>
          <w:tcPr>
            <w:tcW w:w="507" w:type="pct"/>
            <w:vAlign w:val="bottom"/>
          </w:tcPr>
          <w:p w:rsidR="00D856C2" w:rsidRPr="00D04898" w:rsidRDefault="00D856C2" w:rsidP="008B5474">
            <w:pPr>
              <w:pStyle w:val="TableBodyText"/>
              <w:rPr>
                <w:sz w:val="18"/>
                <w:szCs w:val="18"/>
              </w:rPr>
            </w:pPr>
            <w:r w:rsidRPr="00D04898">
              <w:rPr>
                <w:sz w:val="18"/>
                <w:szCs w:val="18"/>
              </w:rPr>
              <w:noBreakHyphen/>
            </w:r>
          </w:p>
        </w:tc>
        <w:tc>
          <w:tcPr>
            <w:tcW w:w="507" w:type="pct"/>
            <w:vAlign w:val="bottom"/>
          </w:tcPr>
          <w:p w:rsidR="00D856C2" w:rsidRPr="00D04898" w:rsidRDefault="00D856C2" w:rsidP="008B5474">
            <w:pPr>
              <w:pStyle w:val="TableBodyText"/>
              <w:rPr>
                <w:sz w:val="18"/>
                <w:szCs w:val="18"/>
              </w:rPr>
            </w:pPr>
            <w:r w:rsidRPr="00D04898">
              <w:rPr>
                <w:sz w:val="18"/>
                <w:szCs w:val="18"/>
              </w:rPr>
              <w:noBreakHyphen/>
            </w:r>
          </w:p>
        </w:tc>
        <w:tc>
          <w:tcPr>
            <w:tcW w:w="507" w:type="pct"/>
            <w:shd w:val="clear" w:color="auto" w:fill="auto"/>
            <w:vAlign w:val="bottom"/>
          </w:tcPr>
          <w:p w:rsidR="00D856C2" w:rsidRPr="00D04898" w:rsidRDefault="00D856C2" w:rsidP="008B5474">
            <w:pPr>
              <w:pStyle w:val="TableBodyText"/>
              <w:rPr>
                <w:sz w:val="18"/>
                <w:szCs w:val="18"/>
              </w:rPr>
            </w:pPr>
            <w:r w:rsidRPr="00D04898">
              <w:rPr>
                <w:sz w:val="18"/>
                <w:szCs w:val="18"/>
              </w:rPr>
              <w:noBreakHyphen/>
            </w:r>
          </w:p>
        </w:tc>
        <w:tc>
          <w:tcPr>
            <w:tcW w:w="505" w:type="pct"/>
            <w:shd w:val="clear" w:color="auto" w:fill="auto"/>
            <w:vAlign w:val="bottom"/>
          </w:tcPr>
          <w:p w:rsidR="00D856C2" w:rsidRPr="00D04898" w:rsidRDefault="00D856C2" w:rsidP="008B5474">
            <w:pPr>
              <w:pStyle w:val="TableBodyText"/>
              <w:rPr>
                <w:sz w:val="18"/>
                <w:szCs w:val="18"/>
              </w:rPr>
            </w:pPr>
            <w:r w:rsidRPr="00D04898">
              <w:rPr>
                <w:sz w:val="18"/>
                <w:szCs w:val="18"/>
              </w:rPr>
              <w:t>5.9</w:t>
            </w:r>
          </w:p>
        </w:tc>
      </w:tr>
      <w:tr w:rsidR="00D856C2" w:rsidRPr="0086425C" w:rsidTr="008B5474">
        <w:tc>
          <w:tcPr>
            <w:tcW w:w="1960" w:type="pct"/>
            <w:vAlign w:val="bottom"/>
          </w:tcPr>
          <w:p w:rsidR="00D856C2" w:rsidRPr="00D04898" w:rsidRDefault="00D856C2" w:rsidP="008B5474">
            <w:pPr>
              <w:pStyle w:val="TableBodyText"/>
              <w:jc w:val="left"/>
              <w:rPr>
                <w:sz w:val="18"/>
                <w:szCs w:val="18"/>
              </w:rPr>
            </w:pPr>
            <w:r w:rsidRPr="00D04898">
              <w:rPr>
                <w:sz w:val="18"/>
                <w:szCs w:val="18"/>
              </w:rPr>
              <w:t>Education and training</w:t>
            </w:r>
          </w:p>
        </w:tc>
        <w:tc>
          <w:tcPr>
            <w:tcW w:w="507" w:type="pct"/>
            <w:vAlign w:val="bottom"/>
          </w:tcPr>
          <w:p w:rsidR="00D856C2" w:rsidRPr="00D04898" w:rsidRDefault="00D856C2" w:rsidP="008B5474">
            <w:pPr>
              <w:pStyle w:val="TableBodyText"/>
              <w:rPr>
                <w:sz w:val="18"/>
                <w:szCs w:val="18"/>
              </w:rPr>
            </w:pPr>
            <w:r w:rsidRPr="00D04898">
              <w:rPr>
                <w:sz w:val="18"/>
                <w:szCs w:val="18"/>
              </w:rPr>
              <w:noBreakHyphen/>
            </w:r>
          </w:p>
        </w:tc>
        <w:tc>
          <w:tcPr>
            <w:tcW w:w="507" w:type="pct"/>
            <w:vAlign w:val="bottom"/>
          </w:tcPr>
          <w:p w:rsidR="00D856C2" w:rsidRPr="00D04898" w:rsidRDefault="00D856C2" w:rsidP="008B5474">
            <w:pPr>
              <w:pStyle w:val="TableBodyText"/>
              <w:rPr>
                <w:sz w:val="18"/>
                <w:szCs w:val="18"/>
              </w:rPr>
            </w:pPr>
            <w:r w:rsidRPr="00D04898">
              <w:rPr>
                <w:sz w:val="18"/>
                <w:szCs w:val="18"/>
              </w:rPr>
              <w:noBreakHyphen/>
            </w:r>
          </w:p>
        </w:tc>
        <w:tc>
          <w:tcPr>
            <w:tcW w:w="507" w:type="pct"/>
            <w:vAlign w:val="bottom"/>
          </w:tcPr>
          <w:p w:rsidR="00D856C2" w:rsidRPr="00D04898" w:rsidRDefault="00D856C2" w:rsidP="008B5474">
            <w:pPr>
              <w:pStyle w:val="TableBodyText"/>
              <w:rPr>
                <w:sz w:val="18"/>
                <w:szCs w:val="18"/>
              </w:rPr>
            </w:pPr>
            <w:r w:rsidRPr="00D04898">
              <w:rPr>
                <w:sz w:val="18"/>
                <w:szCs w:val="18"/>
              </w:rPr>
              <w:noBreakHyphen/>
            </w:r>
          </w:p>
        </w:tc>
        <w:tc>
          <w:tcPr>
            <w:tcW w:w="507" w:type="pct"/>
            <w:vAlign w:val="bottom"/>
          </w:tcPr>
          <w:p w:rsidR="00D856C2" w:rsidRPr="00D04898" w:rsidRDefault="00D856C2" w:rsidP="008B5474">
            <w:pPr>
              <w:pStyle w:val="TableBodyText"/>
              <w:rPr>
                <w:sz w:val="18"/>
                <w:szCs w:val="18"/>
              </w:rPr>
            </w:pPr>
            <w:r w:rsidRPr="00D04898">
              <w:rPr>
                <w:sz w:val="18"/>
                <w:szCs w:val="18"/>
              </w:rPr>
              <w:noBreakHyphen/>
            </w:r>
          </w:p>
        </w:tc>
        <w:tc>
          <w:tcPr>
            <w:tcW w:w="507" w:type="pct"/>
            <w:shd w:val="clear" w:color="auto" w:fill="auto"/>
            <w:vAlign w:val="bottom"/>
          </w:tcPr>
          <w:p w:rsidR="00D856C2" w:rsidRPr="00D04898" w:rsidRDefault="00D856C2" w:rsidP="008B5474">
            <w:pPr>
              <w:pStyle w:val="TableBodyText"/>
              <w:rPr>
                <w:sz w:val="18"/>
                <w:szCs w:val="18"/>
              </w:rPr>
            </w:pPr>
            <w:r w:rsidRPr="00D04898">
              <w:rPr>
                <w:sz w:val="18"/>
                <w:szCs w:val="18"/>
              </w:rPr>
              <w:noBreakHyphen/>
            </w:r>
          </w:p>
        </w:tc>
        <w:tc>
          <w:tcPr>
            <w:tcW w:w="505" w:type="pct"/>
            <w:shd w:val="clear" w:color="auto" w:fill="auto"/>
            <w:vAlign w:val="bottom"/>
          </w:tcPr>
          <w:p w:rsidR="00D856C2" w:rsidRPr="00D04898" w:rsidRDefault="00D856C2" w:rsidP="008B5474">
            <w:pPr>
              <w:pStyle w:val="TableBodyText"/>
              <w:rPr>
                <w:sz w:val="18"/>
                <w:szCs w:val="18"/>
              </w:rPr>
            </w:pPr>
            <w:r w:rsidRPr="00D04898">
              <w:rPr>
                <w:sz w:val="18"/>
                <w:szCs w:val="18"/>
              </w:rPr>
              <w:t>&lt;0.1</w:t>
            </w:r>
          </w:p>
        </w:tc>
      </w:tr>
      <w:tr w:rsidR="00D856C2" w:rsidRPr="0086425C" w:rsidTr="008B5474">
        <w:tc>
          <w:tcPr>
            <w:tcW w:w="1960" w:type="pct"/>
            <w:vAlign w:val="bottom"/>
          </w:tcPr>
          <w:p w:rsidR="00D856C2" w:rsidRPr="00D04898" w:rsidRDefault="00D856C2" w:rsidP="008B5474">
            <w:pPr>
              <w:pStyle w:val="TableBodyText"/>
              <w:jc w:val="left"/>
              <w:rPr>
                <w:sz w:val="18"/>
                <w:szCs w:val="18"/>
              </w:rPr>
            </w:pPr>
            <w:r w:rsidRPr="00D04898">
              <w:rPr>
                <w:sz w:val="18"/>
                <w:szCs w:val="18"/>
              </w:rPr>
              <w:t>Arts and recreation services</w:t>
            </w:r>
          </w:p>
        </w:tc>
        <w:tc>
          <w:tcPr>
            <w:tcW w:w="507" w:type="pct"/>
            <w:vAlign w:val="bottom"/>
          </w:tcPr>
          <w:p w:rsidR="00D856C2" w:rsidRPr="00D04898" w:rsidRDefault="00D856C2" w:rsidP="008B5474">
            <w:pPr>
              <w:pStyle w:val="TableBodyText"/>
              <w:rPr>
                <w:sz w:val="18"/>
                <w:szCs w:val="18"/>
              </w:rPr>
            </w:pPr>
            <w:r w:rsidRPr="00D04898">
              <w:rPr>
                <w:sz w:val="18"/>
                <w:szCs w:val="18"/>
              </w:rPr>
              <w:noBreakHyphen/>
            </w:r>
          </w:p>
        </w:tc>
        <w:tc>
          <w:tcPr>
            <w:tcW w:w="507" w:type="pct"/>
            <w:vAlign w:val="bottom"/>
          </w:tcPr>
          <w:p w:rsidR="00D856C2" w:rsidRPr="00D04898" w:rsidRDefault="00D856C2" w:rsidP="008B5474">
            <w:pPr>
              <w:pStyle w:val="TableBodyText"/>
              <w:rPr>
                <w:sz w:val="18"/>
                <w:szCs w:val="18"/>
              </w:rPr>
            </w:pPr>
            <w:r w:rsidRPr="00D04898">
              <w:rPr>
                <w:sz w:val="18"/>
                <w:szCs w:val="18"/>
              </w:rPr>
              <w:noBreakHyphen/>
            </w:r>
          </w:p>
        </w:tc>
        <w:tc>
          <w:tcPr>
            <w:tcW w:w="507" w:type="pct"/>
            <w:vAlign w:val="bottom"/>
          </w:tcPr>
          <w:p w:rsidR="00D856C2" w:rsidRPr="00D04898" w:rsidRDefault="00D856C2" w:rsidP="008B5474">
            <w:pPr>
              <w:pStyle w:val="TableBodyText"/>
              <w:rPr>
                <w:sz w:val="18"/>
                <w:szCs w:val="18"/>
              </w:rPr>
            </w:pPr>
            <w:r w:rsidRPr="00D04898">
              <w:rPr>
                <w:sz w:val="18"/>
                <w:szCs w:val="18"/>
              </w:rPr>
              <w:noBreakHyphen/>
            </w:r>
          </w:p>
        </w:tc>
        <w:tc>
          <w:tcPr>
            <w:tcW w:w="507" w:type="pct"/>
            <w:vAlign w:val="bottom"/>
          </w:tcPr>
          <w:p w:rsidR="00D856C2" w:rsidRPr="00D04898" w:rsidRDefault="00D856C2" w:rsidP="008B5474">
            <w:pPr>
              <w:pStyle w:val="TableBodyText"/>
              <w:rPr>
                <w:sz w:val="18"/>
                <w:szCs w:val="18"/>
              </w:rPr>
            </w:pPr>
            <w:r w:rsidRPr="00D04898">
              <w:rPr>
                <w:sz w:val="18"/>
                <w:szCs w:val="18"/>
              </w:rPr>
              <w:noBreakHyphen/>
            </w:r>
          </w:p>
        </w:tc>
        <w:tc>
          <w:tcPr>
            <w:tcW w:w="507" w:type="pct"/>
            <w:shd w:val="clear" w:color="auto" w:fill="auto"/>
            <w:vAlign w:val="bottom"/>
          </w:tcPr>
          <w:p w:rsidR="00D856C2" w:rsidRPr="00D04898" w:rsidRDefault="00D856C2" w:rsidP="008B5474">
            <w:pPr>
              <w:pStyle w:val="TableBodyText"/>
              <w:rPr>
                <w:sz w:val="18"/>
                <w:szCs w:val="18"/>
              </w:rPr>
            </w:pPr>
            <w:r w:rsidRPr="00D04898">
              <w:rPr>
                <w:sz w:val="18"/>
                <w:szCs w:val="18"/>
              </w:rPr>
              <w:noBreakHyphen/>
            </w:r>
          </w:p>
        </w:tc>
        <w:tc>
          <w:tcPr>
            <w:tcW w:w="505" w:type="pct"/>
            <w:shd w:val="clear" w:color="auto" w:fill="auto"/>
            <w:vAlign w:val="bottom"/>
          </w:tcPr>
          <w:p w:rsidR="00D856C2" w:rsidRPr="00D04898" w:rsidRDefault="00D856C2" w:rsidP="008B5474">
            <w:pPr>
              <w:pStyle w:val="TableBodyText"/>
              <w:rPr>
                <w:sz w:val="18"/>
                <w:szCs w:val="18"/>
              </w:rPr>
            </w:pPr>
            <w:r w:rsidRPr="00D04898">
              <w:rPr>
                <w:sz w:val="18"/>
                <w:szCs w:val="18"/>
              </w:rPr>
              <w:t>&lt;0.1</w:t>
            </w:r>
          </w:p>
        </w:tc>
      </w:tr>
      <w:tr w:rsidR="00D856C2" w:rsidRPr="0086425C" w:rsidTr="008B5474">
        <w:tc>
          <w:tcPr>
            <w:tcW w:w="1960" w:type="pct"/>
            <w:vAlign w:val="bottom"/>
          </w:tcPr>
          <w:p w:rsidR="00D856C2" w:rsidRPr="00D04898" w:rsidRDefault="00D856C2" w:rsidP="008B5474">
            <w:pPr>
              <w:pStyle w:val="TableBodyText"/>
              <w:jc w:val="left"/>
              <w:rPr>
                <w:sz w:val="18"/>
                <w:szCs w:val="18"/>
              </w:rPr>
            </w:pPr>
            <w:r w:rsidRPr="00D04898">
              <w:rPr>
                <w:sz w:val="18"/>
                <w:szCs w:val="18"/>
              </w:rPr>
              <w:t>Unallocated other</w:t>
            </w:r>
            <w:r w:rsidRPr="00D04898">
              <w:rPr>
                <w:rStyle w:val="NoteLabel"/>
                <w:szCs w:val="18"/>
              </w:rPr>
              <w:t>a</w:t>
            </w:r>
          </w:p>
        </w:tc>
        <w:tc>
          <w:tcPr>
            <w:tcW w:w="507" w:type="pct"/>
            <w:vAlign w:val="bottom"/>
          </w:tcPr>
          <w:p w:rsidR="00D856C2" w:rsidRPr="00D04898" w:rsidRDefault="00D856C2" w:rsidP="008B5474">
            <w:pPr>
              <w:pStyle w:val="TableBodyText"/>
              <w:rPr>
                <w:sz w:val="18"/>
                <w:szCs w:val="18"/>
              </w:rPr>
            </w:pPr>
            <w:r w:rsidRPr="00D04898">
              <w:rPr>
                <w:sz w:val="18"/>
                <w:szCs w:val="18"/>
              </w:rPr>
              <w:noBreakHyphen/>
            </w:r>
          </w:p>
        </w:tc>
        <w:tc>
          <w:tcPr>
            <w:tcW w:w="507" w:type="pct"/>
            <w:vAlign w:val="bottom"/>
          </w:tcPr>
          <w:p w:rsidR="00D856C2" w:rsidRPr="00D04898" w:rsidRDefault="00D856C2" w:rsidP="008B5474">
            <w:pPr>
              <w:pStyle w:val="TableBodyText"/>
              <w:rPr>
                <w:sz w:val="18"/>
                <w:szCs w:val="18"/>
              </w:rPr>
            </w:pPr>
            <w:r w:rsidRPr="00D04898">
              <w:rPr>
                <w:sz w:val="18"/>
                <w:szCs w:val="18"/>
              </w:rPr>
              <w:noBreakHyphen/>
            </w:r>
          </w:p>
        </w:tc>
        <w:tc>
          <w:tcPr>
            <w:tcW w:w="507" w:type="pct"/>
            <w:vAlign w:val="bottom"/>
          </w:tcPr>
          <w:p w:rsidR="00D856C2" w:rsidRPr="00D04898" w:rsidRDefault="00D856C2" w:rsidP="008B5474">
            <w:pPr>
              <w:pStyle w:val="TableBodyText"/>
              <w:rPr>
                <w:sz w:val="18"/>
                <w:szCs w:val="18"/>
              </w:rPr>
            </w:pPr>
            <w:r w:rsidRPr="00D04898">
              <w:rPr>
                <w:sz w:val="18"/>
                <w:szCs w:val="18"/>
              </w:rPr>
              <w:noBreakHyphen/>
            </w:r>
          </w:p>
        </w:tc>
        <w:tc>
          <w:tcPr>
            <w:tcW w:w="507" w:type="pct"/>
            <w:vAlign w:val="bottom"/>
          </w:tcPr>
          <w:p w:rsidR="00D856C2" w:rsidRPr="00D04898" w:rsidRDefault="00D856C2" w:rsidP="008B5474">
            <w:pPr>
              <w:pStyle w:val="TableBodyText"/>
              <w:rPr>
                <w:sz w:val="18"/>
                <w:szCs w:val="18"/>
              </w:rPr>
            </w:pPr>
            <w:r w:rsidRPr="00D04898">
              <w:rPr>
                <w:sz w:val="18"/>
                <w:szCs w:val="18"/>
              </w:rPr>
              <w:noBreakHyphen/>
            </w:r>
          </w:p>
        </w:tc>
        <w:tc>
          <w:tcPr>
            <w:tcW w:w="507" w:type="pct"/>
            <w:shd w:val="clear" w:color="auto" w:fill="auto"/>
            <w:vAlign w:val="bottom"/>
          </w:tcPr>
          <w:p w:rsidR="00D856C2" w:rsidRPr="00D04898" w:rsidRDefault="00D856C2" w:rsidP="008B5474">
            <w:pPr>
              <w:pStyle w:val="TableBodyText"/>
              <w:rPr>
                <w:sz w:val="18"/>
                <w:szCs w:val="18"/>
              </w:rPr>
            </w:pPr>
            <w:r w:rsidRPr="00D04898">
              <w:rPr>
                <w:sz w:val="18"/>
                <w:szCs w:val="18"/>
              </w:rPr>
              <w:noBreakHyphen/>
            </w:r>
          </w:p>
        </w:tc>
        <w:tc>
          <w:tcPr>
            <w:tcW w:w="505" w:type="pct"/>
            <w:shd w:val="clear" w:color="auto" w:fill="auto"/>
            <w:vAlign w:val="bottom"/>
          </w:tcPr>
          <w:p w:rsidR="00D856C2" w:rsidRPr="00D04898" w:rsidRDefault="00D856C2" w:rsidP="008B5474">
            <w:pPr>
              <w:pStyle w:val="TableBodyText"/>
              <w:rPr>
                <w:sz w:val="18"/>
                <w:szCs w:val="18"/>
              </w:rPr>
            </w:pPr>
            <w:r w:rsidRPr="00D04898">
              <w:rPr>
                <w:sz w:val="18"/>
                <w:szCs w:val="18"/>
              </w:rPr>
              <w:t>0.9</w:t>
            </w:r>
          </w:p>
        </w:tc>
      </w:tr>
      <w:tr w:rsidR="00D856C2" w:rsidRPr="0086425C" w:rsidTr="008B5474">
        <w:tc>
          <w:tcPr>
            <w:tcW w:w="1960" w:type="pct"/>
            <w:tcBorders>
              <w:bottom w:val="single" w:sz="4" w:space="0" w:color="auto"/>
            </w:tcBorders>
            <w:vAlign w:val="bottom"/>
          </w:tcPr>
          <w:p w:rsidR="00D856C2" w:rsidRPr="00D04898" w:rsidRDefault="00D856C2" w:rsidP="008B5474">
            <w:pPr>
              <w:pStyle w:val="TableBodyText"/>
              <w:jc w:val="left"/>
              <w:rPr>
                <w:b/>
                <w:sz w:val="18"/>
                <w:szCs w:val="18"/>
              </w:rPr>
            </w:pPr>
            <w:r w:rsidRPr="00D04898">
              <w:rPr>
                <w:b/>
                <w:sz w:val="18"/>
                <w:szCs w:val="18"/>
              </w:rPr>
              <w:t>Total</w:t>
            </w:r>
          </w:p>
        </w:tc>
        <w:tc>
          <w:tcPr>
            <w:tcW w:w="507" w:type="pct"/>
            <w:tcBorders>
              <w:bottom w:val="single" w:sz="4" w:space="0" w:color="auto"/>
            </w:tcBorders>
            <w:vAlign w:val="bottom"/>
          </w:tcPr>
          <w:p w:rsidR="00D856C2" w:rsidRPr="00D04898" w:rsidRDefault="00D856C2" w:rsidP="008B5474">
            <w:pPr>
              <w:pStyle w:val="TableBodyText"/>
              <w:rPr>
                <w:b/>
                <w:sz w:val="18"/>
                <w:szCs w:val="18"/>
              </w:rPr>
            </w:pPr>
            <w:r w:rsidRPr="00D04898">
              <w:rPr>
                <w:b/>
                <w:sz w:val="18"/>
                <w:szCs w:val="18"/>
              </w:rPr>
              <w:noBreakHyphen/>
            </w:r>
          </w:p>
        </w:tc>
        <w:tc>
          <w:tcPr>
            <w:tcW w:w="507" w:type="pct"/>
            <w:tcBorders>
              <w:bottom w:val="single" w:sz="4" w:space="0" w:color="auto"/>
            </w:tcBorders>
            <w:vAlign w:val="bottom"/>
          </w:tcPr>
          <w:p w:rsidR="00D856C2" w:rsidRPr="00D04898" w:rsidRDefault="00D856C2" w:rsidP="008B5474">
            <w:pPr>
              <w:pStyle w:val="TableBodyText"/>
              <w:rPr>
                <w:b/>
                <w:sz w:val="18"/>
                <w:szCs w:val="18"/>
              </w:rPr>
            </w:pPr>
            <w:r w:rsidRPr="00D04898">
              <w:rPr>
                <w:b/>
                <w:sz w:val="18"/>
                <w:szCs w:val="18"/>
              </w:rPr>
              <w:noBreakHyphen/>
            </w:r>
          </w:p>
        </w:tc>
        <w:tc>
          <w:tcPr>
            <w:tcW w:w="507" w:type="pct"/>
            <w:tcBorders>
              <w:bottom w:val="single" w:sz="4" w:space="0" w:color="auto"/>
            </w:tcBorders>
            <w:vAlign w:val="bottom"/>
          </w:tcPr>
          <w:p w:rsidR="00D856C2" w:rsidRPr="00D04898" w:rsidRDefault="00D856C2" w:rsidP="008B5474">
            <w:pPr>
              <w:pStyle w:val="TableBodyText"/>
              <w:rPr>
                <w:b/>
                <w:sz w:val="18"/>
                <w:szCs w:val="18"/>
              </w:rPr>
            </w:pPr>
            <w:r w:rsidRPr="00D04898">
              <w:rPr>
                <w:b/>
                <w:sz w:val="18"/>
                <w:szCs w:val="18"/>
              </w:rPr>
              <w:noBreakHyphen/>
            </w:r>
          </w:p>
        </w:tc>
        <w:tc>
          <w:tcPr>
            <w:tcW w:w="507" w:type="pct"/>
            <w:tcBorders>
              <w:bottom w:val="single" w:sz="4" w:space="0" w:color="auto"/>
            </w:tcBorders>
            <w:vAlign w:val="bottom"/>
          </w:tcPr>
          <w:p w:rsidR="00D856C2" w:rsidRPr="00D04898" w:rsidRDefault="00D856C2" w:rsidP="008B5474">
            <w:pPr>
              <w:pStyle w:val="TableBodyText"/>
              <w:rPr>
                <w:b/>
                <w:sz w:val="18"/>
                <w:szCs w:val="18"/>
              </w:rPr>
            </w:pPr>
            <w:r w:rsidRPr="00D04898">
              <w:rPr>
                <w:b/>
                <w:sz w:val="18"/>
                <w:szCs w:val="18"/>
              </w:rPr>
              <w:noBreakHyphen/>
            </w:r>
          </w:p>
        </w:tc>
        <w:tc>
          <w:tcPr>
            <w:tcW w:w="507" w:type="pct"/>
            <w:tcBorders>
              <w:bottom w:val="single" w:sz="4" w:space="0" w:color="auto"/>
            </w:tcBorders>
            <w:shd w:val="clear" w:color="auto" w:fill="auto"/>
            <w:vAlign w:val="bottom"/>
          </w:tcPr>
          <w:p w:rsidR="00D856C2" w:rsidRPr="00D04898" w:rsidRDefault="00D856C2" w:rsidP="008B5474">
            <w:pPr>
              <w:pStyle w:val="TableBodyText"/>
              <w:rPr>
                <w:b/>
                <w:sz w:val="18"/>
                <w:szCs w:val="18"/>
              </w:rPr>
            </w:pPr>
            <w:r w:rsidRPr="00D04898">
              <w:rPr>
                <w:b/>
                <w:sz w:val="18"/>
                <w:szCs w:val="18"/>
              </w:rPr>
              <w:noBreakHyphen/>
            </w:r>
          </w:p>
        </w:tc>
        <w:tc>
          <w:tcPr>
            <w:tcW w:w="505" w:type="pct"/>
            <w:tcBorders>
              <w:bottom w:val="single" w:sz="4" w:space="0" w:color="auto"/>
            </w:tcBorders>
            <w:shd w:val="clear" w:color="auto" w:fill="auto"/>
            <w:vAlign w:val="bottom"/>
          </w:tcPr>
          <w:p w:rsidR="00D856C2" w:rsidRPr="00D04898" w:rsidRDefault="00D856C2" w:rsidP="008B5474">
            <w:pPr>
              <w:pStyle w:val="TableBodyText"/>
              <w:rPr>
                <w:b/>
                <w:sz w:val="18"/>
                <w:szCs w:val="18"/>
              </w:rPr>
            </w:pPr>
            <w:r w:rsidRPr="00D04898">
              <w:rPr>
                <w:b/>
                <w:sz w:val="18"/>
                <w:szCs w:val="18"/>
              </w:rPr>
              <w:t>20.0</w:t>
            </w:r>
          </w:p>
        </w:tc>
      </w:tr>
    </w:tbl>
    <w:p w:rsidR="00D856C2" w:rsidRDefault="00D856C2" w:rsidP="00D856C2">
      <w:pPr>
        <w:pStyle w:val="Note"/>
      </w:pPr>
      <w:r w:rsidRPr="00A2379F">
        <w:noBreakHyphen/>
        <w:t xml:space="preserve"> Nil</w:t>
      </w:r>
      <w:r>
        <w:t xml:space="preserve">. </w:t>
      </w:r>
      <w:r w:rsidRPr="008E77FE">
        <w:rPr>
          <w:rStyle w:val="NoteLabel"/>
        </w:rPr>
        <w:t>a</w:t>
      </w:r>
      <w:r>
        <w:t xml:space="preserve"> </w:t>
      </w:r>
      <w:r w:rsidRPr="009B56F1">
        <w:t>Unallocated includes general programs where detai</w:t>
      </w:r>
      <w:r>
        <w:t>ls of beneficiaries are unknown.</w:t>
      </w:r>
    </w:p>
    <w:p w:rsidR="00D856C2" w:rsidRPr="008E77FE" w:rsidRDefault="00D856C2" w:rsidP="00D856C2">
      <w:pPr>
        <w:pStyle w:val="Source"/>
      </w:pPr>
      <w:r>
        <w:rPr>
          <w:i/>
        </w:rPr>
        <w:t>Source</w:t>
      </w:r>
      <w:r>
        <w:t>: Commission estimates based on Department of Infrastructure and Transport Annual Report 2011</w:t>
      </w:r>
      <w:r>
        <w:noBreakHyphen/>
        <w:t>12.</w:t>
      </w:r>
    </w:p>
    <w:p w:rsidR="00737022" w:rsidRDefault="00FA09C3" w:rsidP="00737022">
      <w:pPr>
        <w:pStyle w:val="Heading2"/>
      </w:pPr>
      <w:r>
        <w:t>A.</w:t>
      </w:r>
      <w:r>
        <w:rPr>
          <w:noProof/>
        </w:rPr>
        <w:t>56</w:t>
      </w:r>
      <w:r w:rsidR="00737022">
        <w:tab/>
        <w:t>LPG Vehicle Scheme</w:t>
      </w:r>
    </w:p>
    <w:p w:rsidR="00737022" w:rsidRDefault="00737022" w:rsidP="00737022">
      <w:pPr>
        <w:pStyle w:val="BodyText"/>
      </w:pPr>
      <w:r>
        <w:t xml:space="preserve">Introduced in 2006, the LPG (Liquefied Petroleum Gas) </w:t>
      </w:r>
      <w:r w:rsidR="00E436E5">
        <w:t xml:space="preserve">Vehicle Scheme </w:t>
      </w:r>
      <w:r>
        <w:t>provides funding to support the conversion of private motor vehicles to use LPG. The scheme provides a grant, currently $1 000, for an approved and fitted LPG conversion of an existing registered motor vehicle. Grants of $2 000 are also available for the purchase of a new vehicle fitted with LPG prior to its first registration.</w:t>
      </w:r>
    </w:p>
    <w:p w:rsidR="00737022" w:rsidRDefault="00737022" w:rsidP="00737022">
      <w:pPr>
        <w:pStyle w:val="BodyText"/>
      </w:pPr>
      <w:r>
        <w:t xml:space="preserve">For </w:t>
      </w:r>
      <w:r w:rsidRPr="001D239C">
        <w:rPr>
          <w:i/>
        </w:rPr>
        <w:t>Trade &amp; Assistance Review 2011</w:t>
      </w:r>
      <w:r>
        <w:rPr>
          <w:i/>
        </w:rPr>
        <w:noBreakHyphen/>
      </w:r>
      <w:r w:rsidRPr="001D239C">
        <w:rPr>
          <w:i/>
        </w:rPr>
        <w:t>12</w:t>
      </w:r>
      <w:r>
        <w:t xml:space="preserve">, the LPG </w:t>
      </w:r>
      <w:r w:rsidR="00E436E5">
        <w:t xml:space="preserve">Vehicle Scheme </w:t>
      </w:r>
      <w:r>
        <w:t xml:space="preserve">has been allocated to motor vehicle services activity within the broader </w:t>
      </w:r>
      <w:r w:rsidRPr="001D239C">
        <w:rPr>
          <w:i/>
        </w:rPr>
        <w:t>Retail trade</w:t>
      </w:r>
      <w:r>
        <w:t xml:space="preserve"> industry grouping (table A.5</w:t>
      </w:r>
      <w:r w:rsidR="00C75068">
        <w:t>6</w:t>
      </w:r>
      <w:r>
        <w:t>).</w:t>
      </w:r>
    </w:p>
    <w:p w:rsidR="00737022" w:rsidRDefault="00737022" w:rsidP="00737022">
      <w:pPr>
        <w:pStyle w:val="TableTitle"/>
      </w:pPr>
      <w:r>
        <w:rPr>
          <w:b w:val="0"/>
        </w:rPr>
        <w:lastRenderedPageBreak/>
        <w:t xml:space="preserve">Table </w:t>
      </w:r>
      <w:r w:rsidR="00FA09C3">
        <w:rPr>
          <w:b w:val="0"/>
        </w:rPr>
        <w:t>A.</w:t>
      </w:r>
      <w:r w:rsidR="00FA09C3">
        <w:rPr>
          <w:b w:val="0"/>
          <w:noProof/>
        </w:rPr>
        <w:t>56</w:t>
      </w:r>
      <w:r>
        <w:tab/>
        <w:t>Allocation of LPG Vehicle Scheme</w:t>
      </w:r>
      <w:r w:rsidR="0013131E" w:rsidRPr="0013131E">
        <w:t xml:space="preserve"> to industry</w:t>
      </w:r>
      <w:r>
        <w:t>, 2006</w:t>
      </w:r>
      <w:r>
        <w:noBreakHyphen/>
        <w:t>07 to 2011</w:t>
      </w:r>
      <w:r>
        <w:noBreakHyphen/>
        <w:t>12</w:t>
      </w:r>
    </w:p>
    <w:p w:rsidR="00737022" w:rsidRDefault="00737022" w:rsidP="00737022">
      <w:pPr>
        <w:pStyle w:val="Subtitle"/>
      </w:pPr>
      <w:r>
        <w:t>$ million (nominal)</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737022" w:rsidRPr="00AF699A" w:rsidTr="008B5474">
        <w:tc>
          <w:tcPr>
            <w:tcW w:w="1958" w:type="pct"/>
            <w:tcBorders>
              <w:top w:val="single" w:sz="6" w:space="0" w:color="auto"/>
              <w:bottom w:val="single" w:sz="6" w:space="0" w:color="auto"/>
            </w:tcBorders>
          </w:tcPr>
          <w:p w:rsidR="00737022" w:rsidRPr="00AF699A" w:rsidRDefault="00737022" w:rsidP="008B547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737022" w:rsidRPr="00AF699A" w:rsidRDefault="00737022" w:rsidP="008B547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737022" w:rsidRPr="00AF699A" w:rsidRDefault="00737022" w:rsidP="008B547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737022" w:rsidRPr="00AF699A" w:rsidRDefault="00737022" w:rsidP="008B547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737022" w:rsidRPr="00AF699A" w:rsidRDefault="00737022" w:rsidP="008B547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737022" w:rsidRPr="00AF699A" w:rsidRDefault="00737022" w:rsidP="008B5474">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737022" w:rsidRPr="00AF699A" w:rsidRDefault="00737022" w:rsidP="008B5474">
            <w:pPr>
              <w:pStyle w:val="TableColumnHeading"/>
              <w:ind w:right="28"/>
              <w:rPr>
                <w:rFonts w:cs="Arial"/>
                <w:sz w:val="18"/>
                <w:szCs w:val="18"/>
              </w:rPr>
            </w:pPr>
            <w:r w:rsidRPr="00AF699A">
              <w:rPr>
                <w:rFonts w:cs="Arial"/>
                <w:sz w:val="18"/>
                <w:szCs w:val="18"/>
              </w:rPr>
              <w:t>2011-12</w:t>
            </w:r>
          </w:p>
        </w:tc>
      </w:tr>
      <w:tr w:rsidR="00737022" w:rsidRPr="006C5A80" w:rsidTr="008B5474">
        <w:tc>
          <w:tcPr>
            <w:tcW w:w="1958" w:type="pct"/>
            <w:tcBorders>
              <w:top w:val="single" w:sz="6" w:space="0" w:color="auto"/>
              <w:bottom w:val="single" w:sz="4" w:space="0" w:color="auto"/>
            </w:tcBorders>
            <w:vAlign w:val="bottom"/>
          </w:tcPr>
          <w:p w:rsidR="00737022" w:rsidRPr="00A676EB" w:rsidRDefault="00737022" w:rsidP="008B5474">
            <w:pPr>
              <w:pStyle w:val="TableBodyText"/>
              <w:jc w:val="left"/>
            </w:pPr>
            <w:r>
              <w:t>Retail trade</w:t>
            </w:r>
          </w:p>
        </w:tc>
        <w:tc>
          <w:tcPr>
            <w:tcW w:w="507" w:type="pct"/>
            <w:tcBorders>
              <w:top w:val="single" w:sz="6" w:space="0" w:color="auto"/>
              <w:bottom w:val="single" w:sz="4" w:space="0" w:color="auto"/>
            </w:tcBorders>
            <w:vAlign w:val="bottom"/>
          </w:tcPr>
          <w:p w:rsidR="00737022" w:rsidRPr="00A676EB" w:rsidRDefault="00737022" w:rsidP="008B5474">
            <w:pPr>
              <w:pStyle w:val="TableBodyText"/>
            </w:pPr>
            <w:r>
              <w:t>121.8</w:t>
            </w:r>
          </w:p>
        </w:tc>
        <w:tc>
          <w:tcPr>
            <w:tcW w:w="507" w:type="pct"/>
            <w:tcBorders>
              <w:top w:val="single" w:sz="6" w:space="0" w:color="auto"/>
              <w:bottom w:val="single" w:sz="4" w:space="0" w:color="auto"/>
            </w:tcBorders>
            <w:vAlign w:val="bottom"/>
          </w:tcPr>
          <w:p w:rsidR="00737022" w:rsidRPr="00A676EB" w:rsidRDefault="00737022" w:rsidP="008B5474">
            <w:pPr>
              <w:pStyle w:val="TableBodyText"/>
            </w:pPr>
            <w:r>
              <w:t>163.2</w:t>
            </w:r>
          </w:p>
        </w:tc>
        <w:tc>
          <w:tcPr>
            <w:tcW w:w="507" w:type="pct"/>
            <w:tcBorders>
              <w:top w:val="single" w:sz="6" w:space="0" w:color="auto"/>
              <w:bottom w:val="single" w:sz="4" w:space="0" w:color="auto"/>
            </w:tcBorders>
            <w:vAlign w:val="bottom"/>
          </w:tcPr>
          <w:p w:rsidR="00737022" w:rsidRPr="00A676EB" w:rsidRDefault="00737022" w:rsidP="008B5474">
            <w:pPr>
              <w:pStyle w:val="TableBodyText"/>
            </w:pPr>
            <w:r>
              <w:t>175.8</w:t>
            </w:r>
          </w:p>
        </w:tc>
        <w:tc>
          <w:tcPr>
            <w:tcW w:w="507" w:type="pct"/>
            <w:tcBorders>
              <w:top w:val="single" w:sz="6" w:space="0" w:color="auto"/>
              <w:bottom w:val="single" w:sz="4" w:space="0" w:color="auto"/>
            </w:tcBorders>
            <w:vAlign w:val="bottom"/>
          </w:tcPr>
          <w:p w:rsidR="00737022" w:rsidRPr="00A676EB" w:rsidRDefault="00737022" w:rsidP="008B5474">
            <w:pPr>
              <w:pStyle w:val="TableBodyText"/>
            </w:pPr>
            <w:r>
              <w:t>65.2</w:t>
            </w:r>
          </w:p>
        </w:tc>
        <w:tc>
          <w:tcPr>
            <w:tcW w:w="507" w:type="pct"/>
            <w:tcBorders>
              <w:top w:val="single" w:sz="6" w:space="0" w:color="auto"/>
              <w:bottom w:val="single" w:sz="4" w:space="0" w:color="auto"/>
            </w:tcBorders>
            <w:vAlign w:val="bottom"/>
          </w:tcPr>
          <w:p w:rsidR="00737022" w:rsidRPr="00A676EB" w:rsidRDefault="00737022" w:rsidP="008B5474">
            <w:pPr>
              <w:pStyle w:val="TableBodyText"/>
            </w:pPr>
            <w:r>
              <w:t>40.9</w:t>
            </w:r>
          </w:p>
        </w:tc>
        <w:tc>
          <w:tcPr>
            <w:tcW w:w="507" w:type="pct"/>
            <w:tcBorders>
              <w:top w:val="single" w:sz="6" w:space="0" w:color="auto"/>
              <w:bottom w:val="single" w:sz="4" w:space="0" w:color="auto"/>
            </w:tcBorders>
            <w:vAlign w:val="bottom"/>
          </w:tcPr>
          <w:p w:rsidR="00737022" w:rsidRPr="00A676EB" w:rsidRDefault="00737022" w:rsidP="008B5474">
            <w:pPr>
              <w:pStyle w:val="TableBodyText"/>
            </w:pPr>
            <w:r>
              <w:t>18.8</w:t>
            </w:r>
          </w:p>
        </w:tc>
      </w:tr>
    </w:tbl>
    <w:p w:rsidR="00737022" w:rsidRPr="008E77FE" w:rsidRDefault="00737022" w:rsidP="00737022">
      <w:pPr>
        <w:pStyle w:val="Source"/>
      </w:pPr>
      <w:r>
        <w:rPr>
          <w:i/>
        </w:rPr>
        <w:t>Source</w:t>
      </w:r>
      <w:r>
        <w:t>: Commission estimates based on detailed Department of Industry, Innovation, Science, Research and Tertiary Education (DIISRTE) data by ANZSIC industry.</w:t>
      </w:r>
    </w:p>
    <w:p w:rsidR="003B7509" w:rsidRDefault="00FA09C3" w:rsidP="003B7509">
      <w:pPr>
        <w:pStyle w:val="Heading2"/>
      </w:pPr>
      <w:r>
        <w:t>A.</w:t>
      </w:r>
      <w:r>
        <w:rPr>
          <w:noProof/>
        </w:rPr>
        <w:t>57</w:t>
      </w:r>
      <w:r w:rsidR="003B7509">
        <w:tab/>
        <w:t>Dairy Australia – Research and Development</w:t>
      </w:r>
    </w:p>
    <w:p w:rsidR="003B7509" w:rsidRDefault="003B7509" w:rsidP="003B7509">
      <w:pPr>
        <w:pStyle w:val="BodyText"/>
      </w:pPr>
      <w:r>
        <w:t>Dairy Australia is a national service company that operates on behalf of the Australian dairy industry and whose members are dairy farmers and industry bodies. Dairy Australia is jointly funded by an industry levy and matching Australian Government contributions (</w:t>
      </w:r>
      <w:r w:rsidRPr="002D4BCB">
        <w:t>Dairy Australia 2012</w:t>
      </w:r>
      <w:r>
        <w:t>).</w:t>
      </w:r>
    </w:p>
    <w:p w:rsidR="003B7509" w:rsidRDefault="003B7509" w:rsidP="003B7509">
      <w:pPr>
        <w:pStyle w:val="BodyText"/>
      </w:pPr>
      <w:r>
        <w:t>R&amp;D carried out by Dairy Australia selectively assists the dairy cattle farming industry and the Australian Government contribution has been allocated to this industry grouping in the Commission’s ANZSIC-based industry classification (table A.5</w:t>
      </w:r>
      <w:r w:rsidR="00C75068">
        <w:t>7</w:t>
      </w:r>
      <w:r>
        <w:t>).</w:t>
      </w:r>
    </w:p>
    <w:p w:rsidR="003B7509" w:rsidRDefault="003B7509" w:rsidP="003B7509">
      <w:pPr>
        <w:pStyle w:val="TableTitle"/>
      </w:pPr>
      <w:r>
        <w:rPr>
          <w:b w:val="0"/>
        </w:rPr>
        <w:t xml:space="preserve">Table </w:t>
      </w:r>
      <w:r w:rsidR="00FA09C3">
        <w:rPr>
          <w:b w:val="0"/>
        </w:rPr>
        <w:t>A.</w:t>
      </w:r>
      <w:r w:rsidR="00FA09C3">
        <w:rPr>
          <w:b w:val="0"/>
          <w:noProof/>
        </w:rPr>
        <w:t>57</w:t>
      </w:r>
      <w:r>
        <w:tab/>
        <w:t>Allocation of Dairy Australia – Research and Development</w:t>
      </w:r>
      <w:r w:rsidR="0013131E" w:rsidRPr="0013131E">
        <w:t xml:space="preserve"> to industry</w:t>
      </w:r>
      <w:r>
        <w:t>, 2006</w:t>
      </w:r>
      <w:r>
        <w:noBreakHyphen/>
        <w:t>07 to 2011</w:t>
      </w:r>
      <w:r>
        <w:noBreakHyphen/>
        <w:t>12</w:t>
      </w:r>
    </w:p>
    <w:p w:rsidR="003B7509" w:rsidRDefault="003B7509" w:rsidP="003B7509">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3B7509" w:rsidRPr="00AF699A" w:rsidTr="008B5474">
        <w:tc>
          <w:tcPr>
            <w:tcW w:w="1960" w:type="pct"/>
            <w:tcBorders>
              <w:top w:val="single" w:sz="6" w:space="0" w:color="auto"/>
              <w:bottom w:val="single" w:sz="6" w:space="0" w:color="auto"/>
            </w:tcBorders>
          </w:tcPr>
          <w:p w:rsidR="003B7509" w:rsidRPr="00AF699A" w:rsidRDefault="003B7509" w:rsidP="008B547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3B7509" w:rsidRPr="00AF699A" w:rsidRDefault="003B7509" w:rsidP="008B547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3B7509" w:rsidRPr="00AF699A" w:rsidRDefault="003B7509" w:rsidP="008B547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3B7509" w:rsidRPr="00AF699A" w:rsidRDefault="003B7509" w:rsidP="008B547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3B7509" w:rsidRPr="00AF699A" w:rsidRDefault="003B7509" w:rsidP="008B547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3B7509" w:rsidRPr="00AF699A" w:rsidRDefault="003B7509" w:rsidP="008B5474">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3B7509" w:rsidRPr="00AF699A" w:rsidRDefault="003B7509" w:rsidP="008B5474">
            <w:pPr>
              <w:pStyle w:val="TableColumnHeading"/>
              <w:ind w:right="28"/>
              <w:rPr>
                <w:rFonts w:cs="Arial"/>
                <w:sz w:val="18"/>
                <w:szCs w:val="18"/>
              </w:rPr>
            </w:pPr>
            <w:r w:rsidRPr="00AF699A">
              <w:rPr>
                <w:rFonts w:cs="Arial"/>
                <w:sz w:val="18"/>
                <w:szCs w:val="18"/>
              </w:rPr>
              <w:t>2011-12</w:t>
            </w:r>
          </w:p>
        </w:tc>
      </w:tr>
      <w:tr w:rsidR="003B7509" w:rsidRPr="006C5A80" w:rsidTr="008B5474">
        <w:tc>
          <w:tcPr>
            <w:tcW w:w="1960" w:type="pct"/>
            <w:tcBorders>
              <w:bottom w:val="single" w:sz="4" w:space="0" w:color="auto"/>
            </w:tcBorders>
            <w:vAlign w:val="bottom"/>
          </w:tcPr>
          <w:p w:rsidR="003B7509" w:rsidRPr="00C944BA" w:rsidRDefault="003B7509" w:rsidP="008B5474">
            <w:pPr>
              <w:pStyle w:val="TableBodyText"/>
              <w:jc w:val="left"/>
            </w:pPr>
            <w:r>
              <w:t>Dairy cattle farming</w:t>
            </w:r>
          </w:p>
        </w:tc>
        <w:tc>
          <w:tcPr>
            <w:tcW w:w="507" w:type="pct"/>
            <w:tcBorders>
              <w:bottom w:val="single" w:sz="4" w:space="0" w:color="auto"/>
            </w:tcBorders>
            <w:vAlign w:val="bottom"/>
          </w:tcPr>
          <w:p w:rsidR="003B7509" w:rsidRDefault="003B7509" w:rsidP="008B5474">
            <w:pPr>
              <w:pStyle w:val="TableBodyText"/>
            </w:pPr>
            <w:r>
              <w:t>16.0</w:t>
            </w:r>
          </w:p>
        </w:tc>
        <w:tc>
          <w:tcPr>
            <w:tcW w:w="507" w:type="pct"/>
            <w:tcBorders>
              <w:bottom w:val="single" w:sz="4" w:space="0" w:color="auto"/>
            </w:tcBorders>
            <w:vAlign w:val="bottom"/>
          </w:tcPr>
          <w:p w:rsidR="003B7509" w:rsidRDefault="003B7509" w:rsidP="008B5474">
            <w:pPr>
              <w:pStyle w:val="TableBodyText"/>
            </w:pPr>
            <w:r>
              <w:t>18.3</w:t>
            </w:r>
          </w:p>
        </w:tc>
        <w:tc>
          <w:tcPr>
            <w:tcW w:w="507" w:type="pct"/>
            <w:tcBorders>
              <w:bottom w:val="single" w:sz="4" w:space="0" w:color="auto"/>
            </w:tcBorders>
            <w:vAlign w:val="bottom"/>
          </w:tcPr>
          <w:p w:rsidR="003B7509" w:rsidRDefault="003B7509" w:rsidP="008B5474">
            <w:pPr>
              <w:pStyle w:val="TableBodyText"/>
            </w:pPr>
            <w:r>
              <w:t>19.2</w:t>
            </w:r>
          </w:p>
        </w:tc>
        <w:tc>
          <w:tcPr>
            <w:tcW w:w="507" w:type="pct"/>
            <w:tcBorders>
              <w:bottom w:val="single" w:sz="4" w:space="0" w:color="auto"/>
            </w:tcBorders>
            <w:vAlign w:val="bottom"/>
          </w:tcPr>
          <w:p w:rsidR="003B7509" w:rsidRDefault="003B7509" w:rsidP="008B5474">
            <w:pPr>
              <w:pStyle w:val="TableBodyText"/>
            </w:pPr>
            <w:r>
              <w:t>19.6</w:t>
            </w:r>
          </w:p>
        </w:tc>
        <w:tc>
          <w:tcPr>
            <w:tcW w:w="507" w:type="pct"/>
            <w:tcBorders>
              <w:bottom w:val="single" w:sz="4" w:space="0" w:color="auto"/>
            </w:tcBorders>
            <w:shd w:val="clear" w:color="auto" w:fill="auto"/>
            <w:vAlign w:val="bottom"/>
          </w:tcPr>
          <w:p w:rsidR="003B7509" w:rsidRDefault="003B7509" w:rsidP="008B5474">
            <w:pPr>
              <w:pStyle w:val="TableBodyText"/>
            </w:pPr>
            <w:r>
              <w:t>18.8</w:t>
            </w:r>
          </w:p>
        </w:tc>
        <w:tc>
          <w:tcPr>
            <w:tcW w:w="505" w:type="pct"/>
            <w:tcBorders>
              <w:bottom w:val="single" w:sz="4" w:space="0" w:color="auto"/>
            </w:tcBorders>
            <w:shd w:val="clear" w:color="auto" w:fill="auto"/>
            <w:vAlign w:val="bottom"/>
          </w:tcPr>
          <w:p w:rsidR="003B7509" w:rsidRDefault="003B7509" w:rsidP="008B5474">
            <w:pPr>
              <w:pStyle w:val="TableBodyText"/>
            </w:pPr>
            <w:r>
              <w:t>18.6</w:t>
            </w:r>
          </w:p>
        </w:tc>
      </w:tr>
    </w:tbl>
    <w:p w:rsidR="003B7509" w:rsidRPr="008E77FE" w:rsidRDefault="003B7509" w:rsidP="003B7509">
      <w:pPr>
        <w:pStyle w:val="Source"/>
      </w:pPr>
      <w:r>
        <w:rPr>
          <w:i/>
        </w:rPr>
        <w:t>Source</w:t>
      </w:r>
      <w:r>
        <w:t>: Commission estimates based on Dairy Australia Annual Report 2011</w:t>
      </w:r>
      <w:r>
        <w:noBreakHyphen/>
        <w:t>12 (and earlier years).</w:t>
      </w:r>
    </w:p>
    <w:p w:rsidR="001C4BBC" w:rsidRDefault="00FA09C3" w:rsidP="001C4BBC">
      <w:pPr>
        <w:pStyle w:val="Heading2"/>
      </w:pPr>
      <w:r>
        <w:t>A.</w:t>
      </w:r>
      <w:r>
        <w:rPr>
          <w:noProof/>
        </w:rPr>
        <w:t>58</w:t>
      </w:r>
      <w:r w:rsidR="001C4BBC">
        <w:tab/>
        <w:t>Automotive Industry Structural Adjustment Program</w:t>
      </w:r>
    </w:p>
    <w:p w:rsidR="001C4BBC" w:rsidRDefault="001C4BBC" w:rsidP="001C4BBC">
      <w:pPr>
        <w:pStyle w:val="BodyText"/>
      </w:pPr>
      <w:r>
        <w:t xml:space="preserve">Part of </w:t>
      </w:r>
      <w:r w:rsidR="00BA5E9F">
        <w:t xml:space="preserve">A </w:t>
      </w:r>
      <w:r>
        <w:t xml:space="preserve">New Car Plan for a Greener Future, the Automotive Industry Structural Adjustment Program (AISAP) aims to facilitate consolidation in the automotive components sector by helping firms with legal, relocation, merger and labour market adjustment costs </w:t>
      </w:r>
      <w:r w:rsidRPr="00053192">
        <w:t>(</w:t>
      </w:r>
      <w:r w:rsidRPr="002D4BCB">
        <w:t>Department of Industry 2013b</w:t>
      </w:r>
      <w:r>
        <w:t>).</w:t>
      </w:r>
    </w:p>
    <w:p w:rsidR="001C4BBC" w:rsidRDefault="001C4BBC" w:rsidP="001C4BBC">
      <w:pPr>
        <w:pStyle w:val="BodyText"/>
      </w:pPr>
      <w:r>
        <w:t xml:space="preserve">The program has been allocated to the </w:t>
      </w:r>
      <w:r w:rsidRPr="00DD7814">
        <w:rPr>
          <w:i/>
        </w:rPr>
        <w:t>Motor vehicles and parts</w:t>
      </w:r>
      <w:r>
        <w:t xml:space="preserve"> industry grouping in the Commission’s ANZSIC-based classification (table A.</w:t>
      </w:r>
      <w:r w:rsidR="00424F8A">
        <w:t>5</w:t>
      </w:r>
      <w:r w:rsidR="00C75068">
        <w:t>8</w:t>
      </w:r>
      <w:r>
        <w:t>).</w:t>
      </w:r>
    </w:p>
    <w:p w:rsidR="001C4BBC" w:rsidRDefault="001C4BBC" w:rsidP="001C4BBC">
      <w:pPr>
        <w:pStyle w:val="TableTitle"/>
      </w:pPr>
      <w:r>
        <w:rPr>
          <w:b w:val="0"/>
        </w:rPr>
        <w:lastRenderedPageBreak/>
        <w:t xml:space="preserve">Table </w:t>
      </w:r>
      <w:r w:rsidR="00FA09C3">
        <w:rPr>
          <w:b w:val="0"/>
        </w:rPr>
        <w:t>A.</w:t>
      </w:r>
      <w:r w:rsidR="00FA09C3">
        <w:rPr>
          <w:b w:val="0"/>
          <w:noProof/>
        </w:rPr>
        <w:t>58</w:t>
      </w:r>
      <w:r>
        <w:tab/>
        <w:t>Allocation of Automotive Industry Structural Adjustment Program</w:t>
      </w:r>
      <w:r w:rsidR="0013131E" w:rsidRPr="0013131E">
        <w:t xml:space="preserve"> to industry</w:t>
      </w:r>
      <w:r>
        <w:t>, 2006</w:t>
      </w:r>
      <w:r>
        <w:noBreakHyphen/>
        <w:t>07 to 2011</w:t>
      </w:r>
      <w:r>
        <w:noBreakHyphen/>
        <w:t>12</w:t>
      </w:r>
    </w:p>
    <w:p w:rsidR="001C4BBC" w:rsidRDefault="001C4BBC" w:rsidP="001C4BBC">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1C4BBC" w:rsidRPr="00AF699A" w:rsidTr="001B56F1">
        <w:tc>
          <w:tcPr>
            <w:tcW w:w="1960" w:type="pct"/>
            <w:tcBorders>
              <w:top w:val="single" w:sz="6" w:space="0" w:color="auto"/>
              <w:bottom w:val="single" w:sz="6" w:space="0" w:color="auto"/>
            </w:tcBorders>
          </w:tcPr>
          <w:p w:rsidR="001C4BBC" w:rsidRPr="00AF699A" w:rsidRDefault="001C4BBC"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1C4BBC" w:rsidRPr="00AF699A" w:rsidRDefault="001C4BBC"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1C4BBC" w:rsidRPr="00AF699A" w:rsidRDefault="001C4BBC"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1C4BBC" w:rsidRPr="00AF699A" w:rsidRDefault="001C4BBC"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1C4BBC" w:rsidRPr="00AF699A" w:rsidRDefault="001C4BBC"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1C4BBC" w:rsidRPr="00AF699A" w:rsidRDefault="001C4BBC"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1C4BBC" w:rsidRPr="00AF699A" w:rsidRDefault="001C4BBC" w:rsidP="001B56F1">
            <w:pPr>
              <w:pStyle w:val="TableColumnHeading"/>
              <w:ind w:right="28"/>
              <w:rPr>
                <w:rFonts w:cs="Arial"/>
                <w:sz w:val="18"/>
                <w:szCs w:val="18"/>
              </w:rPr>
            </w:pPr>
            <w:r w:rsidRPr="00AF699A">
              <w:rPr>
                <w:rFonts w:cs="Arial"/>
                <w:sz w:val="18"/>
                <w:szCs w:val="18"/>
              </w:rPr>
              <w:t>2011-12</w:t>
            </w:r>
          </w:p>
        </w:tc>
      </w:tr>
      <w:tr w:rsidR="001C4BBC" w:rsidRPr="006C5A80" w:rsidTr="001B56F1">
        <w:tc>
          <w:tcPr>
            <w:tcW w:w="1960" w:type="pct"/>
            <w:tcBorders>
              <w:bottom w:val="single" w:sz="4" w:space="0" w:color="auto"/>
            </w:tcBorders>
            <w:vAlign w:val="bottom"/>
          </w:tcPr>
          <w:p w:rsidR="001C4BBC" w:rsidRPr="00C944BA" w:rsidRDefault="001C4BBC" w:rsidP="001B56F1">
            <w:pPr>
              <w:pStyle w:val="TableBodyText"/>
              <w:jc w:val="left"/>
            </w:pPr>
            <w:r>
              <w:t>Motor vehicles and parts</w:t>
            </w:r>
          </w:p>
        </w:tc>
        <w:tc>
          <w:tcPr>
            <w:tcW w:w="507" w:type="pct"/>
            <w:tcBorders>
              <w:bottom w:val="single" w:sz="4" w:space="0" w:color="auto"/>
            </w:tcBorders>
            <w:vAlign w:val="bottom"/>
          </w:tcPr>
          <w:p w:rsidR="001C4BBC" w:rsidRDefault="001C4BBC" w:rsidP="001B56F1">
            <w:pPr>
              <w:pStyle w:val="TableBodyText"/>
            </w:pPr>
            <w:r>
              <w:noBreakHyphen/>
            </w:r>
          </w:p>
        </w:tc>
        <w:tc>
          <w:tcPr>
            <w:tcW w:w="507" w:type="pct"/>
            <w:tcBorders>
              <w:bottom w:val="single" w:sz="4" w:space="0" w:color="auto"/>
            </w:tcBorders>
            <w:vAlign w:val="bottom"/>
          </w:tcPr>
          <w:p w:rsidR="001C4BBC" w:rsidRDefault="001C4BBC" w:rsidP="001B56F1">
            <w:pPr>
              <w:pStyle w:val="TableBodyText"/>
            </w:pPr>
            <w:r>
              <w:noBreakHyphen/>
            </w:r>
          </w:p>
        </w:tc>
        <w:tc>
          <w:tcPr>
            <w:tcW w:w="507" w:type="pct"/>
            <w:tcBorders>
              <w:bottom w:val="single" w:sz="4" w:space="0" w:color="auto"/>
            </w:tcBorders>
            <w:vAlign w:val="bottom"/>
          </w:tcPr>
          <w:p w:rsidR="001C4BBC" w:rsidRDefault="001C4BBC" w:rsidP="001B56F1">
            <w:pPr>
              <w:pStyle w:val="TableBodyText"/>
            </w:pPr>
            <w:r>
              <w:t>7.9</w:t>
            </w:r>
          </w:p>
        </w:tc>
        <w:tc>
          <w:tcPr>
            <w:tcW w:w="507" w:type="pct"/>
            <w:tcBorders>
              <w:bottom w:val="single" w:sz="4" w:space="0" w:color="auto"/>
            </w:tcBorders>
            <w:vAlign w:val="bottom"/>
          </w:tcPr>
          <w:p w:rsidR="001C4BBC" w:rsidRDefault="001C4BBC" w:rsidP="001B56F1">
            <w:pPr>
              <w:pStyle w:val="TableBodyText"/>
            </w:pPr>
            <w:r>
              <w:t>18.1</w:t>
            </w:r>
          </w:p>
        </w:tc>
        <w:tc>
          <w:tcPr>
            <w:tcW w:w="507" w:type="pct"/>
            <w:tcBorders>
              <w:bottom w:val="single" w:sz="4" w:space="0" w:color="auto"/>
            </w:tcBorders>
            <w:shd w:val="clear" w:color="auto" w:fill="auto"/>
            <w:vAlign w:val="bottom"/>
          </w:tcPr>
          <w:p w:rsidR="001C4BBC" w:rsidRDefault="001C4BBC" w:rsidP="001B56F1">
            <w:pPr>
              <w:pStyle w:val="TableBodyText"/>
            </w:pPr>
            <w:r>
              <w:t>17.0</w:t>
            </w:r>
          </w:p>
        </w:tc>
        <w:tc>
          <w:tcPr>
            <w:tcW w:w="505" w:type="pct"/>
            <w:tcBorders>
              <w:bottom w:val="single" w:sz="4" w:space="0" w:color="auto"/>
            </w:tcBorders>
            <w:shd w:val="clear" w:color="auto" w:fill="auto"/>
            <w:vAlign w:val="bottom"/>
          </w:tcPr>
          <w:p w:rsidR="001C4BBC" w:rsidRDefault="001C4BBC" w:rsidP="001B56F1">
            <w:pPr>
              <w:pStyle w:val="TableBodyText"/>
            </w:pPr>
            <w:r>
              <w:t>16.8</w:t>
            </w:r>
          </w:p>
        </w:tc>
      </w:tr>
    </w:tbl>
    <w:p w:rsidR="001C4BBC" w:rsidRPr="00F60026" w:rsidRDefault="001C4BBC" w:rsidP="001C4BBC">
      <w:pPr>
        <w:pStyle w:val="Source"/>
        <w:spacing w:after="0"/>
        <w:rPr>
          <w:i/>
        </w:rPr>
      </w:pPr>
      <w:r w:rsidRPr="00A2379F">
        <w:noBreakHyphen/>
        <w:t xml:space="preserve"> </w:t>
      </w:r>
      <w:r>
        <w:t>Nil</w:t>
      </w:r>
      <w:r w:rsidRPr="00A2379F">
        <w:t>.</w:t>
      </w:r>
    </w:p>
    <w:p w:rsidR="001C4BBC" w:rsidRDefault="001C4BBC" w:rsidP="001C4BBC">
      <w:pPr>
        <w:pStyle w:val="Source"/>
      </w:pPr>
      <w:r>
        <w:rPr>
          <w:i/>
        </w:rPr>
        <w:t>Sources</w:t>
      </w:r>
      <w:r>
        <w:t>: Commission estimates based on DIISR Annual Report 2011</w:t>
      </w:r>
      <w:r>
        <w:noBreakHyphen/>
        <w:t xml:space="preserve">12 (and earlier years); and </w:t>
      </w:r>
      <w:r w:rsidRPr="002D4BCB">
        <w:t>DIISR Portfolio Budget Statements 2010</w:t>
      </w:r>
      <w:r w:rsidRPr="002D4BCB">
        <w:noBreakHyphen/>
        <w:t>11</w:t>
      </w:r>
      <w:r>
        <w:t>.</w:t>
      </w:r>
    </w:p>
    <w:p w:rsidR="00424F8A" w:rsidRDefault="00FA09C3" w:rsidP="00424F8A">
      <w:pPr>
        <w:pStyle w:val="Heading2"/>
      </w:pPr>
      <w:r>
        <w:t>A.</w:t>
      </w:r>
      <w:r>
        <w:rPr>
          <w:noProof/>
        </w:rPr>
        <w:t>59</w:t>
      </w:r>
      <w:r w:rsidR="00424F8A">
        <w:tab/>
        <w:t>Fisheries Research and Development Corporation</w:t>
      </w:r>
    </w:p>
    <w:p w:rsidR="00424F8A" w:rsidRDefault="00424F8A" w:rsidP="00424F8A">
      <w:pPr>
        <w:pStyle w:val="BodyText"/>
      </w:pPr>
      <w:r>
        <w:t xml:space="preserve">The Fisheries Research and Development Corporation (FRDC) is a statutory authority established in 1991 under the </w:t>
      </w:r>
      <w:r w:rsidRPr="0026021D">
        <w:rPr>
          <w:i/>
        </w:rPr>
        <w:t>Primary Industries and Energy Research and Development Act 1989</w:t>
      </w:r>
      <w:r>
        <w:t>. The FRDC funds research projects in the areas of resources sustainability, ecosystems protection, and industry development. The FRDC receives Australian Government funding equivalent to 0.5 per cent of industry gross value of production (GVP). In addition, the Australian Government matches dollar-for-dollar income raised from production levies (</w:t>
      </w:r>
      <w:r w:rsidRPr="002D4BCB">
        <w:t>FRDC 2012</w:t>
      </w:r>
      <w:r>
        <w:t>).</w:t>
      </w:r>
    </w:p>
    <w:p w:rsidR="00424F8A" w:rsidRDefault="00424F8A" w:rsidP="00424F8A">
      <w:pPr>
        <w:pStyle w:val="BodyText"/>
      </w:pPr>
      <w:r>
        <w:t>Funding for the FRDC selectively assists fishing industry activities</w:t>
      </w:r>
      <w:r w:rsidR="00AF40A2">
        <w:t xml:space="preserve"> and has been</w:t>
      </w:r>
      <w:r>
        <w:t xml:space="preserve"> classified to </w:t>
      </w:r>
      <w:r>
        <w:rPr>
          <w:i/>
        </w:rPr>
        <w:t>Aquaculture and fishing</w:t>
      </w:r>
      <w:r>
        <w:t xml:space="preserve"> in the Commission’s ANZSIC-based industry groupings (table A.5</w:t>
      </w:r>
      <w:r w:rsidR="00C75068">
        <w:t>9</w:t>
      </w:r>
      <w:r>
        <w:t>).</w:t>
      </w:r>
    </w:p>
    <w:p w:rsidR="00424F8A" w:rsidRDefault="00424F8A" w:rsidP="00424F8A">
      <w:pPr>
        <w:pStyle w:val="TableTitle"/>
      </w:pPr>
      <w:r>
        <w:rPr>
          <w:b w:val="0"/>
        </w:rPr>
        <w:t xml:space="preserve">Table </w:t>
      </w:r>
      <w:r w:rsidR="00FA09C3">
        <w:rPr>
          <w:b w:val="0"/>
        </w:rPr>
        <w:t>A.</w:t>
      </w:r>
      <w:r w:rsidR="00FA09C3">
        <w:rPr>
          <w:b w:val="0"/>
          <w:noProof/>
        </w:rPr>
        <w:t>59</w:t>
      </w:r>
      <w:r>
        <w:tab/>
        <w:t>Allocation of Fisheries Research and Development Corporation funding</w:t>
      </w:r>
      <w:r w:rsidR="0013131E" w:rsidRPr="0013131E">
        <w:t xml:space="preserve"> to industry</w:t>
      </w:r>
      <w:r>
        <w:t>, 2006</w:t>
      </w:r>
      <w:r>
        <w:noBreakHyphen/>
        <w:t>07 to 2011</w:t>
      </w:r>
      <w:r>
        <w:noBreakHyphen/>
        <w:t>12</w:t>
      </w:r>
    </w:p>
    <w:p w:rsidR="00424F8A" w:rsidRDefault="00424F8A" w:rsidP="00424F8A">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424F8A" w:rsidRPr="00AF699A" w:rsidTr="001B56F1">
        <w:tc>
          <w:tcPr>
            <w:tcW w:w="1960" w:type="pct"/>
            <w:tcBorders>
              <w:top w:val="single" w:sz="6" w:space="0" w:color="auto"/>
              <w:bottom w:val="single" w:sz="6" w:space="0" w:color="auto"/>
            </w:tcBorders>
          </w:tcPr>
          <w:p w:rsidR="00424F8A" w:rsidRPr="00AF699A" w:rsidRDefault="00424F8A"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424F8A" w:rsidRPr="00AF699A" w:rsidRDefault="00424F8A"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424F8A" w:rsidRPr="00AF699A" w:rsidRDefault="00424F8A"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424F8A" w:rsidRPr="00AF699A" w:rsidRDefault="00424F8A"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424F8A" w:rsidRPr="00AF699A" w:rsidRDefault="00424F8A"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424F8A" w:rsidRPr="00AF699A" w:rsidRDefault="00424F8A"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424F8A" w:rsidRPr="00AF699A" w:rsidRDefault="00424F8A" w:rsidP="001B56F1">
            <w:pPr>
              <w:pStyle w:val="TableColumnHeading"/>
              <w:ind w:right="28"/>
              <w:rPr>
                <w:rFonts w:cs="Arial"/>
                <w:sz w:val="18"/>
                <w:szCs w:val="18"/>
              </w:rPr>
            </w:pPr>
            <w:r w:rsidRPr="00AF699A">
              <w:rPr>
                <w:rFonts w:cs="Arial"/>
                <w:sz w:val="18"/>
                <w:szCs w:val="18"/>
              </w:rPr>
              <w:t>2011-12</w:t>
            </w:r>
          </w:p>
        </w:tc>
      </w:tr>
      <w:tr w:rsidR="00424F8A" w:rsidRPr="006C5A80" w:rsidTr="001B56F1">
        <w:tc>
          <w:tcPr>
            <w:tcW w:w="1960" w:type="pct"/>
            <w:tcBorders>
              <w:bottom w:val="single" w:sz="4" w:space="0" w:color="auto"/>
            </w:tcBorders>
            <w:vAlign w:val="bottom"/>
          </w:tcPr>
          <w:p w:rsidR="00424F8A" w:rsidRPr="00C944BA" w:rsidRDefault="00424F8A" w:rsidP="001B56F1">
            <w:pPr>
              <w:pStyle w:val="TableBodyText"/>
              <w:jc w:val="left"/>
            </w:pPr>
            <w:r>
              <w:t>Aquaculture and fishing</w:t>
            </w:r>
          </w:p>
        </w:tc>
        <w:tc>
          <w:tcPr>
            <w:tcW w:w="507" w:type="pct"/>
            <w:tcBorders>
              <w:bottom w:val="single" w:sz="4" w:space="0" w:color="auto"/>
            </w:tcBorders>
            <w:vAlign w:val="bottom"/>
          </w:tcPr>
          <w:p w:rsidR="00424F8A" w:rsidRDefault="00424F8A" w:rsidP="001B56F1">
            <w:pPr>
              <w:pStyle w:val="TableBodyText"/>
            </w:pPr>
            <w:r>
              <w:t>16.0</w:t>
            </w:r>
          </w:p>
        </w:tc>
        <w:tc>
          <w:tcPr>
            <w:tcW w:w="507" w:type="pct"/>
            <w:tcBorders>
              <w:bottom w:val="single" w:sz="4" w:space="0" w:color="auto"/>
            </w:tcBorders>
            <w:vAlign w:val="bottom"/>
          </w:tcPr>
          <w:p w:rsidR="00424F8A" w:rsidRDefault="00424F8A" w:rsidP="001B56F1">
            <w:pPr>
              <w:pStyle w:val="TableBodyText"/>
            </w:pPr>
            <w:r>
              <w:t>16.3</w:t>
            </w:r>
          </w:p>
        </w:tc>
        <w:tc>
          <w:tcPr>
            <w:tcW w:w="507" w:type="pct"/>
            <w:tcBorders>
              <w:bottom w:val="single" w:sz="4" w:space="0" w:color="auto"/>
            </w:tcBorders>
            <w:vAlign w:val="bottom"/>
          </w:tcPr>
          <w:p w:rsidR="00424F8A" w:rsidRDefault="00424F8A" w:rsidP="001B56F1">
            <w:pPr>
              <w:pStyle w:val="TableBodyText"/>
            </w:pPr>
            <w:r>
              <w:t>16.3</w:t>
            </w:r>
          </w:p>
        </w:tc>
        <w:tc>
          <w:tcPr>
            <w:tcW w:w="507" w:type="pct"/>
            <w:tcBorders>
              <w:bottom w:val="single" w:sz="4" w:space="0" w:color="auto"/>
            </w:tcBorders>
            <w:vAlign w:val="bottom"/>
          </w:tcPr>
          <w:p w:rsidR="00424F8A" w:rsidRDefault="00424F8A" w:rsidP="001B56F1">
            <w:pPr>
              <w:pStyle w:val="TableBodyText"/>
            </w:pPr>
            <w:r>
              <w:t>16.3</w:t>
            </w:r>
          </w:p>
        </w:tc>
        <w:tc>
          <w:tcPr>
            <w:tcW w:w="507" w:type="pct"/>
            <w:tcBorders>
              <w:bottom w:val="single" w:sz="4" w:space="0" w:color="auto"/>
            </w:tcBorders>
            <w:shd w:val="clear" w:color="auto" w:fill="auto"/>
            <w:vAlign w:val="bottom"/>
          </w:tcPr>
          <w:p w:rsidR="00424F8A" w:rsidRDefault="00424F8A" w:rsidP="001B56F1">
            <w:pPr>
              <w:pStyle w:val="TableBodyText"/>
            </w:pPr>
            <w:r>
              <w:t>16.5</w:t>
            </w:r>
          </w:p>
        </w:tc>
        <w:tc>
          <w:tcPr>
            <w:tcW w:w="505" w:type="pct"/>
            <w:tcBorders>
              <w:bottom w:val="single" w:sz="4" w:space="0" w:color="auto"/>
            </w:tcBorders>
            <w:shd w:val="clear" w:color="auto" w:fill="auto"/>
            <w:vAlign w:val="bottom"/>
          </w:tcPr>
          <w:p w:rsidR="00424F8A" w:rsidRDefault="00424F8A" w:rsidP="001B56F1">
            <w:pPr>
              <w:pStyle w:val="TableBodyText"/>
            </w:pPr>
            <w:r>
              <w:t>16.6</w:t>
            </w:r>
          </w:p>
        </w:tc>
      </w:tr>
    </w:tbl>
    <w:p w:rsidR="00424F8A" w:rsidRPr="008E77FE" w:rsidRDefault="00424F8A" w:rsidP="00424F8A">
      <w:pPr>
        <w:pStyle w:val="Source"/>
      </w:pPr>
      <w:r>
        <w:rPr>
          <w:i/>
        </w:rPr>
        <w:t>Source</w:t>
      </w:r>
      <w:r>
        <w:t>: Commission estimates based on Fisheries Research and Development Corporation Annual Report 2011</w:t>
      </w:r>
      <w:r>
        <w:noBreakHyphen/>
        <w:t>12 (and earlier years).</w:t>
      </w:r>
    </w:p>
    <w:p w:rsidR="00FF0F60" w:rsidRDefault="00FA09C3" w:rsidP="00FF0F60">
      <w:pPr>
        <w:pStyle w:val="Heading2"/>
      </w:pPr>
      <w:r>
        <w:t>A.</w:t>
      </w:r>
      <w:r>
        <w:rPr>
          <w:noProof/>
        </w:rPr>
        <w:t>60</w:t>
      </w:r>
      <w:r w:rsidR="00FF0F60">
        <w:tab/>
        <w:t>Drought Assistance – Re-establishment Assistance</w:t>
      </w:r>
    </w:p>
    <w:p w:rsidR="00FF0F60" w:rsidRDefault="00FF0F60" w:rsidP="00FF0F60">
      <w:pPr>
        <w:pStyle w:val="BodyText"/>
      </w:pPr>
      <w:r>
        <w:t xml:space="preserve">In September 2007, the Australian Government announced a drought assistance package for irrigators, dryland farmers and small businesses severely affected by drought. As part of the package, an exit grant of up to $150 000 was made to available farmers who had decided to </w:t>
      </w:r>
      <w:r w:rsidR="00777969">
        <w:t>exit the industry,</w:t>
      </w:r>
      <w:r>
        <w:t xml:space="preserve"> together with an increase in the assets limit to access this grant to $350 000. In addition, further amounts of $10 000 were made available for farmers who had successfully applied for the EC </w:t>
      </w:r>
      <w:r>
        <w:lastRenderedPageBreak/>
        <w:t>exit grant to obtain advice and retraining to assist in preparing for the transition away from farming, and to assist with relocation (</w:t>
      </w:r>
      <w:r w:rsidRPr="002D4BCB">
        <w:t>Howard 2007</w:t>
      </w:r>
      <w:r>
        <w:t xml:space="preserve">). </w:t>
      </w:r>
    </w:p>
    <w:p w:rsidR="00FF0F60" w:rsidRDefault="00FF0F60" w:rsidP="00FF0F60">
      <w:pPr>
        <w:pStyle w:val="BodyText"/>
      </w:pPr>
      <w:r>
        <w:t xml:space="preserve">The drought </w:t>
      </w:r>
      <w:r w:rsidR="00777969">
        <w:t xml:space="preserve">assistance </w:t>
      </w:r>
      <w:r>
        <w:t xml:space="preserve">package is targeted towards producers in the primary production sector. However, </w:t>
      </w:r>
      <w:r w:rsidRPr="00DC0DD6">
        <w:t xml:space="preserve">information on the specific industry incidence of the program has not been readily available. Accordingly, the budget outlay has been classified to the </w:t>
      </w:r>
      <w:r w:rsidRPr="00DC0DD6">
        <w:rPr>
          <w:i/>
        </w:rPr>
        <w:t>Unallocated primary production</w:t>
      </w:r>
      <w:r w:rsidRPr="00DC0DD6">
        <w:t xml:space="preserve"> industry grouping in the Commission’s ANZSIC-based classification</w:t>
      </w:r>
      <w:r>
        <w:t xml:space="preserve"> (table A.</w:t>
      </w:r>
      <w:r w:rsidR="00C75068">
        <w:t>60</w:t>
      </w:r>
      <w:r>
        <w:t>).</w:t>
      </w:r>
    </w:p>
    <w:p w:rsidR="00FF0F60" w:rsidRDefault="00FF0F60" w:rsidP="00FF0F60">
      <w:pPr>
        <w:pStyle w:val="TableTitle"/>
      </w:pPr>
      <w:r>
        <w:rPr>
          <w:b w:val="0"/>
        </w:rPr>
        <w:t xml:space="preserve">Table </w:t>
      </w:r>
      <w:r w:rsidR="00FA09C3">
        <w:rPr>
          <w:b w:val="0"/>
        </w:rPr>
        <w:t>A.</w:t>
      </w:r>
      <w:r w:rsidR="00FA09C3">
        <w:rPr>
          <w:b w:val="0"/>
          <w:noProof/>
        </w:rPr>
        <w:t>60</w:t>
      </w:r>
      <w:r>
        <w:tab/>
        <w:t>Al</w:t>
      </w:r>
      <w:r w:rsidR="0013131E">
        <w:t>location of Drought Assistance –</w:t>
      </w:r>
      <w:r>
        <w:t xml:space="preserve"> Re-establishment Assistance</w:t>
      </w:r>
      <w:r w:rsidR="0013131E" w:rsidRPr="0013131E">
        <w:t xml:space="preserve"> to industry</w:t>
      </w:r>
      <w:r>
        <w:t>, 2006</w:t>
      </w:r>
      <w:r>
        <w:noBreakHyphen/>
        <w:t>07 to 2011</w:t>
      </w:r>
      <w:r>
        <w:noBreakHyphen/>
        <w:t>12</w:t>
      </w:r>
    </w:p>
    <w:p w:rsidR="00FF0F60" w:rsidRDefault="00FF0F60" w:rsidP="00FF0F60">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FF0F60" w:rsidRPr="00AF699A" w:rsidTr="001B56F1">
        <w:tc>
          <w:tcPr>
            <w:tcW w:w="1960" w:type="pct"/>
            <w:tcBorders>
              <w:top w:val="single" w:sz="6" w:space="0" w:color="auto"/>
              <w:bottom w:val="single" w:sz="6" w:space="0" w:color="auto"/>
            </w:tcBorders>
          </w:tcPr>
          <w:p w:rsidR="00FF0F60" w:rsidRPr="00AF699A" w:rsidRDefault="00FF0F60"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FF0F60" w:rsidRPr="00AF699A" w:rsidRDefault="00FF0F60"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FF0F60" w:rsidRPr="00AF699A" w:rsidRDefault="00FF0F60"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FF0F60" w:rsidRPr="00AF699A" w:rsidRDefault="00FF0F60"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FF0F60" w:rsidRPr="00AF699A" w:rsidRDefault="00FF0F60"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FF0F60" w:rsidRPr="00AF699A" w:rsidRDefault="00FF0F60"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FF0F60" w:rsidRPr="00AF699A" w:rsidRDefault="00FF0F60" w:rsidP="001B56F1">
            <w:pPr>
              <w:pStyle w:val="TableColumnHeading"/>
              <w:ind w:right="28"/>
              <w:rPr>
                <w:rFonts w:cs="Arial"/>
                <w:sz w:val="18"/>
                <w:szCs w:val="18"/>
              </w:rPr>
            </w:pPr>
            <w:r w:rsidRPr="00AF699A">
              <w:rPr>
                <w:rFonts w:cs="Arial"/>
                <w:sz w:val="18"/>
                <w:szCs w:val="18"/>
              </w:rPr>
              <w:t>2011-12</w:t>
            </w:r>
          </w:p>
        </w:tc>
      </w:tr>
      <w:tr w:rsidR="00FF0F60" w:rsidRPr="006C5A80" w:rsidTr="001B56F1">
        <w:tc>
          <w:tcPr>
            <w:tcW w:w="1960" w:type="pct"/>
            <w:tcBorders>
              <w:bottom w:val="single" w:sz="4" w:space="0" w:color="auto"/>
            </w:tcBorders>
            <w:vAlign w:val="bottom"/>
          </w:tcPr>
          <w:p w:rsidR="00FF0F60" w:rsidRPr="00C944BA" w:rsidRDefault="00FF0F60" w:rsidP="001B56F1">
            <w:pPr>
              <w:pStyle w:val="TableBodyText"/>
              <w:jc w:val="left"/>
            </w:pPr>
            <w:r>
              <w:t>Unallocated primary production</w:t>
            </w:r>
            <w:r w:rsidRPr="00BD3CDA">
              <w:rPr>
                <w:rStyle w:val="NoteLabel"/>
                <w:szCs w:val="18"/>
              </w:rPr>
              <w:t>a</w:t>
            </w:r>
          </w:p>
        </w:tc>
        <w:tc>
          <w:tcPr>
            <w:tcW w:w="507" w:type="pct"/>
            <w:tcBorders>
              <w:bottom w:val="single" w:sz="4" w:space="0" w:color="auto"/>
            </w:tcBorders>
            <w:vAlign w:val="bottom"/>
          </w:tcPr>
          <w:p w:rsidR="00FF0F60" w:rsidRDefault="00FF0F60" w:rsidP="001B56F1">
            <w:pPr>
              <w:pStyle w:val="TableBodyText"/>
            </w:pPr>
            <w:r>
              <w:noBreakHyphen/>
            </w:r>
          </w:p>
        </w:tc>
        <w:tc>
          <w:tcPr>
            <w:tcW w:w="507" w:type="pct"/>
            <w:tcBorders>
              <w:bottom w:val="single" w:sz="4" w:space="0" w:color="auto"/>
            </w:tcBorders>
            <w:vAlign w:val="bottom"/>
          </w:tcPr>
          <w:p w:rsidR="00FF0F60" w:rsidRDefault="00FF0F60" w:rsidP="001B56F1">
            <w:pPr>
              <w:pStyle w:val="TableBodyText"/>
            </w:pPr>
            <w:r>
              <w:t>4.6</w:t>
            </w:r>
          </w:p>
        </w:tc>
        <w:tc>
          <w:tcPr>
            <w:tcW w:w="507" w:type="pct"/>
            <w:tcBorders>
              <w:bottom w:val="single" w:sz="4" w:space="0" w:color="auto"/>
            </w:tcBorders>
            <w:vAlign w:val="bottom"/>
          </w:tcPr>
          <w:p w:rsidR="00FF0F60" w:rsidRDefault="00FF0F60" w:rsidP="001B56F1">
            <w:pPr>
              <w:pStyle w:val="TableBodyText"/>
            </w:pPr>
            <w:r>
              <w:t>17.6</w:t>
            </w:r>
          </w:p>
        </w:tc>
        <w:tc>
          <w:tcPr>
            <w:tcW w:w="507" w:type="pct"/>
            <w:tcBorders>
              <w:bottom w:val="single" w:sz="4" w:space="0" w:color="auto"/>
            </w:tcBorders>
            <w:vAlign w:val="bottom"/>
          </w:tcPr>
          <w:p w:rsidR="00FF0F60" w:rsidRDefault="00FF0F60" w:rsidP="001B56F1">
            <w:pPr>
              <w:pStyle w:val="TableBodyText"/>
            </w:pPr>
            <w:r>
              <w:t>20.0</w:t>
            </w:r>
          </w:p>
        </w:tc>
        <w:tc>
          <w:tcPr>
            <w:tcW w:w="507" w:type="pct"/>
            <w:tcBorders>
              <w:bottom w:val="single" w:sz="4" w:space="0" w:color="auto"/>
            </w:tcBorders>
            <w:shd w:val="clear" w:color="auto" w:fill="auto"/>
            <w:vAlign w:val="bottom"/>
          </w:tcPr>
          <w:p w:rsidR="00FF0F60" w:rsidRDefault="00FF0F60" w:rsidP="001B56F1">
            <w:pPr>
              <w:pStyle w:val="TableBodyText"/>
            </w:pPr>
            <w:r>
              <w:t>23.9</w:t>
            </w:r>
          </w:p>
        </w:tc>
        <w:tc>
          <w:tcPr>
            <w:tcW w:w="505" w:type="pct"/>
            <w:tcBorders>
              <w:bottom w:val="single" w:sz="4" w:space="0" w:color="auto"/>
            </w:tcBorders>
            <w:shd w:val="clear" w:color="auto" w:fill="auto"/>
            <w:vAlign w:val="bottom"/>
          </w:tcPr>
          <w:p w:rsidR="00FF0F60" w:rsidRDefault="00FF0F60" w:rsidP="001B56F1">
            <w:pPr>
              <w:pStyle w:val="TableBodyText"/>
            </w:pPr>
            <w:r>
              <w:t>16.4</w:t>
            </w:r>
          </w:p>
        </w:tc>
      </w:tr>
    </w:tbl>
    <w:p w:rsidR="00FF0F60" w:rsidRPr="00F60026" w:rsidRDefault="00FF0F60" w:rsidP="00FF0F60">
      <w:pPr>
        <w:pStyle w:val="Source"/>
        <w:spacing w:after="0"/>
        <w:rPr>
          <w:i/>
        </w:rPr>
      </w:pPr>
      <w:r w:rsidRPr="00A2379F">
        <w:noBreakHyphen/>
        <w:t xml:space="preserve"> </w:t>
      </w:r>
      <w:r>
        <w:t>Nil</w:t>
      </w:r>
      <w:r w:rsidRPr="00A2379F">
        <w:t>.</w:t>
      </w:r>
      <w:r w:rsidRPr="00B1392F">
        <w:t xml:space="preserve"> </w:t>
      </w:r>
      <w:r w:rsidRPr="009B56F1">
        <w:rPr>
          <w:rStyle w:val="NoteLabel"/>
        </w:rPr>
        <w:t>a</w:t>
      </w:r>
      <w:r w:rsidRPr="009B56F1">
        <w:t xml:space="preserve"> Unallocated includes general programs where detai</w:t>
      </w:r>
      <w:r>
        <w:t>ls of beneficiaries are unknown.</w:t>
      </w:r>
    </w:p>
    <w:p w:rsidR="00FF0F60" w:rsidRPr="008E77FE" w:rsidRDefault="00FF0F60" w:rsidP="00FF0F60">
      <w:pPr>
        <w:pStyle w:val="Source"/>
      </w:pPr>
      <w:r>
        <w:rPr>
          <w:i/>
        </w:rPr>
        <w:t>Source</w:t>
      </w:r>
      <w:r>
        <w:t>: Commission estimates based on DAFF Annual Report 2011</w:t>
      </w:r>
      <w:r>
        <w:noBreakHyphen/>
        <w:t>12 (and earlier years).</w:t>
      </w:r>
    </w:p>
    <w:p w:rsidR="00D63E64" w:rsidRDefault="00FA09C3" w:rsidP="00D63E64">
      <w:pPr>
        <w:pStyle w:val="Heading2"/>
      </w:pPr>
      <w:r>
        <w:t>A.</w:t>
      </w:r>
      <w:r>
        <w:rPr>
          <w:noProof/>
        </w:rPr>
        <w:t>61</w:t>
      </w:r>
      <w:r w:rsidR="00D63E64">
        <w:tab/>
        <w:t>Climate Change Adjustment Program</w:t>
      </w:r>
    </w:p>
    <w:p w:rsidR="00D63E64" w:rsidRDefault="00D63E64" w:rsidP="00D63E64">
      <w:pPr>
        <w:pStyle w:val="BodyText"/>
      </w:pPr>
      <w:r>
        <w:t>The Climate Change Adjustment Program, part of the Australia’s Farming Future program, provides assistance to primary producers to help manage the impacts of climate change. Assistance is provided for individually tailored farm-business and management advice.</w:t>
      </w:r>
    </w:p>
    <w:p w:rsidR="00D63E64" w:rsidRDefault="00D63E64" w:rsidP="00D63E64">
      <w:pPr>
        <w:pStyle w:val="BodyText"/>
      </w:pPr>
      <w:r>
        <w:t xml:space="preserve">Advice is available to eligible primary producers adversely impacted or likely to be impacted, by climate change, including those experiencing hardship caused by drought. Professional advice and training is individually tailored to help farm businesses adjust to climate change and to set goals and develop action plans to improve their financial circumstances, either within or outside of agriculture. Assistance is also available to farmers who decide to leave farming </w:t>
      </w:r>
      <w:r w:rsidRPr="00EC76CA">
        <w:t>(</w:t>
      </w:r>
      <w:r w:rsidRPr="00DC0DD6">
        <w:t>DAFF 2012</w:t>
      </w:r>
      <w:r w:rsidRPr="00EC76CA">
        <w:t>)</w:t>
      </w:r>
      <w:r>
        <w:t>.</w:t>
      </w:r>
    </w:p>
    <w:p w:rsidR="00D63E64" w:rsidRDefault="00D63E64" w:rsidP="00D63E64">
      <w:pPr>
        <w:pStyle w:val="BodyText"/>
      </w:pPr>
      <w:r>
        <w:t xml:space="preserve">The Climate Change Adjustment Program is targeted at the primary production sector. However, information on the specific industry incidence of the program has not been readily available. Accordingly, the budget outlay has been classified to the </w:t>
      </w:r>
      <w:r w:rsidRPr="00062F7C">
        <w:rPr>
          <w:i/>
        </w:rPr>
        <w:t>Unallocated primary production</w:t>
      </w:r>
      <w:r>
        <w:t xml:space="preserve"> industry grouping in the Commission’s ANZSIC-based classification (table A.6</w:t>
      </w:r>
      <w:r w:rsidR="00C75068">
        <w:t>1</w:t>
      </w:r>
      <w:r>
        <w:t>).</w:t>
      </w:r>
    </w:p>
    <w:p w:rsidR="00D63E64" w:rsidRDefault="00D63E64" w:rsidP="00D63E64">
      <w:pPr>
        <w:pStyle w:val="TableTitle"/>
      </w:pPr>
      <w:r>
        <w:rPr>
          <w:b w:val="0"/>
        </w:rPr>
        <w:lastRenderedPageBreak/>
        <w:t xml:space="preserve">Table </w:t>
      </w:r>
      <w:r w:rsidR="00FA09C3">
        <w:rPr>
          <w:b w:val="0"/>
        </w:rPr>
        <w:t>A.</w:t>
      </w:r>
      <w:r w:rsidR="00FA09C3">
        <w:rPr>
          <w:b w:val="0"/>
          <w:noProof/>
        </w:rPr>
        <w:t>61</w:t>
      </w:r>
      <w:r>
        <w:tab/>
        <w:t>Allocation of Climate Change Adjustment Program</w:t>
      </w:r>
      <w:r w:rsidR="0013131E" w:rsidRPr="0013131E">
        <w:t xml:space="preserve"> to industry</w:t>
      </w:r>
      <w:r>
        <w:t>, 2006</w:t>
      </w:r>
      <w:r>
        <w:noBreakHyphen/>
        <w:t>07 to 2011</w:t>
      </w:r>
      <w:r>
        <w:noBreakHyphen/>
        <w:t>12</w:t>
      </w:r>
    </w:p>
    <w:p w:rsidR="00D63E64" w:rsidRDefault="00D63E64" w:rsidP="00D63E64">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D63E64" w:rsidRPr="00AF699A" w:rsidTr="001B56F1">
        <w:tc>
          <w:tcPr>
            <w:tcW w:w="1960" w:type="pct"/>
            <w:tcBorders>
              <w:top w:val="single" w:sz="6" w:space="0" w:color="auto"/>
              <w:bottom w:val="single" w:sz="6" w:space="0" w:color="auto"/>
            </w:tcBorders>
          </w:tcPr>
          <w:p w:rsidR="00D63E64" w:rsidRPr="00AF699A" w:rsidRDefault="00D63E64"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D63E64" w:rsidRPr="00AF699A" w:rsidRDefault="00D63E64"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D63E64" w:rsidRPr="00AF699A" w:rsidRDefault="00D63E64"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D63E64" w:rsidRPr="00AF699A" w:rsidRDefault="00D63E64"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D63E64" w:rsidRPr="00AF699A" w:rsidRDefault="00D63E64"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D63E64" w:rsidRPr="00AF699A" w:rsidRDefault="00D63E64"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D63E64" w:rsidRPr="00AF699A" w:rsidRDefault="00D63E64" w:rsidP="001B56F1">
            <w:pPr>
              <w:pStyle w:val="TableColumnHeading"/>
              <w:ind w:right="28"/>
              <w:rPr>
                <w:rFonts w:cs="Arial"/>
                <w:sz w:val="18"/>
                <w:szCs w:val="18"/>
              </w:rPr>
            </w:pPr>
            <w:r w:rsidRPr="00AF699A">
              <w:rPr>
                <w:rFonts w:cs="Arial"/>
                <w:sz w:val="18"/>
                <w:szCs w:val="18"/>
              </w:rPr>
              <w:t>2011-12</w:t>
            </w:r>
          </w:p>
        </w:tc>
      </w:tr>
      <w:tr w:rsidR="00D63E64" w:rsidRPr="006C5A80" w:rsidTr="001B56F1">
        <w:tc>
          <w:tcPr>
            <w:tcW w:w="1960" w:type="pct"/>
            <w:tcBorders>
              <w:bottom w:val="single" w:sz="4" w:space="0" w:color="auto"/>
            </w:tcBorders>
            <w:vAlign w:val="bottom"/>
          </w:tcPr>
          <w:p w:rsidR="00D63E64" w:rsidRPr="00C944BA" w:rsidRDefault="00D63E64" w:rsidP="001B56F1">
            <w:pPr>
              <w:pStyle w:val="TableBodyText"/>
              <w:jc w:val="left"/>
            </w:pPr>
            <w:r>
              <w:t>Unallocated primary production</w:t>
            </w:r>
            <w:r w:rsidRPr="00BD3CDA">
              <w:rPr>
                <w:rStyle w:val="NoteLabel"/>
                <w:szCs w:val="18"/>
              </w:rPr>
              <w:t>a</w:t>
            </w:r>
          </w:p>
        </w:tc>
        <w:tc>
          <w:tcPr>
            <w:tcW w:w="507" w:type="pct"/>
            <w:tcBorders>
              <w:bottom w:val="single" w:sz="4" w:space="0" w:color="auto"/>
            </w:tcBorders>
            <w:vAlign w:val="bottom"/>
          </w:tcPr>
          <w:p w:rsidR="00D63E64" w:rsidRPr="004E0C3B" w:rsidRDefault="00D63E64" w:rsidP="001B56F1">
            <w:pPr>
              <w:pStyle w:val="TableBodyText"/>
            </w:pPr>
            <w:r>
              <w:noBreakHyphen/>
            </w:r>
          </w:p>
        </w:tc>
        <w:tc>
          <w:tcPr>
            <w:tcW w:w="507" w:type="pct"/>
            <w:tcBorders>
              <w:bottom w:val="single" w:sz="4" w:space="0" w:color="auto"/>
            </w:tcBorders>
            <w:vAlign w:val="bottom"/>
          </w:tcPr>
          <w:p w:rsidR="00D63E64" w:rsidRPr="004E0C3B" w:rsidRDefault="00D63E64" w:rsidP="001B56F1">
            <w:pPr>
              <w:pStyle w:val="TableBodyText"/>
            </w:pPr>
            <w:r>
              <w:noBreakHyphen/>
            </w:r>
          </w:p>
        </w:tc>
        <w:tc>
          <w:tcPr>
            <w:tcW w:w="507" w:type="pct"/>
            <w:tcBorders>
              <w:bottom w:val="single" w:sz="4" w:space="0" w:color="auto"/>
            </w:tcBorders>
            <w:vAlign w:val="bottom"/>
          </w:tcPr>
          <w:p w:rsidR="00D63E64" w:rsidRPr="004E0C3B" w:rsidRDefault="00D63E64" w:rsidP="001B56F1">
            <w:pPr>
              <w:pStyle w:val="TableBodyText"/>
            </w:pPr>
            <w:r w:rsidRPr="004E0C3B">
              <w:t>3.5</w:t>
            </w:r>
          </w:p>
        </w:tc>
        <w:tc>
          <w:tcPr>
            <w:tcW w:w="507" w:type="pct"/>
            <w:tcBorders>
              <w:bottom w:val="single" w:sz="4" w:space="0" w:color="auto"/>
            </w:tcBorders>
            <w:vAlign w:val="bottom"/>
          </w:tcPr>
          <w:p w:rsidR="00D63E64" w:rsidRPr="004E0C3B" w:rsidRDefault="00D63E64" w:rsidP="001B56F1">
            <w:pPr>
              <w:pStyle w:val="TableBodyText"/>
            </w:pPr>
            <w:r w:rsidRPr="004E0C3B">
              <w:t>12.4</w:t>
            </w:r>
          </w:p>
        </w:tc>
        <w:tc>
          <w:tcPr>
            <w:tcW w:w="507" w:type="pct"/>
            <w:tcBorders>
              <w:bottom w:val="single" w:sz="4" w:space="0" w:color="auto"/>
            </w:tcBorders>
            <w:shd w:val="clear" w:color="auto" w:fill="auto"/>
            <w:vAlign w:val="bottom"/>
          </w:tcPr>
          <w:p w:rsidR="00D63E64" w:rsidRPr="004E0C3B" w:rsidRDefault="00D63E64" w:rsidP="001B56F1">
            <w:pPr>
              <w:pStyle w:val="TableBodyText"/>
            </w:pPr>
            <w:r w:rsidRPr="004E0C3B">
              <w:t>8.7</w:t>
            </w:r>
          </w:p>
        </w:tc>
        <w:tc>
          <w:tcPr>
            <w:tcW w:w="505" w:type="pct"/>
            <w:tcBorders>
              <w:bottom w:val="single" w:sz="4" w:space="0" w:color="auto"/>
            </w:tcBorders>
            <w:shd w:val="clear" w:color="auto" w:fill="auto"/>
            <w:vAlign w:val="bottom"/>
          </w:tcPr>
          <w:p w:rsidR="00D63E64" w:rsidRPr="004E0C3B" w:rsidRDefault="00D63E64" w:rsidP="001B56F1">
            <w:pPr>
              <w:pStyle w:val="TableBodyText"/>
            </w:pPr>
            <w:r w:rsidRPr="004E0C3B">
              <w:t>16.2</w:t>
            </w:r>
          </w:p>
        </w:tc>
      </w:tr>
    </w:tbl>
    <w:p w:rsidR="00D63E64" w:rsidRPr="00F60026" w:rsidRDefault="00D63E64" w:rsidP="00D63E64">
      <w:pPr>
        <w:pStyle w:val="Source"/>
        <w:spacing w:after="0"/>
        <w:rPr>
          <w:i/>
        </w:rPr>
      </w:pPr>
      <w:r w:rsidRPr="00A2379F">
        <w:noBreakHyphen/>
        <w:t xml:space="preserve"> </w:t>
      </w:r>
      <w:r>
        <w:t>Nil</w:t>
      </w:r>
      <w:r w:rsidRPr="00A2379F">
        <w:t>.</w:t>
      </w:r>
      <w:r w:rsidRPr="00B1392F">
        <w:t xml:space="preserve"> </w:t>
      </w:r>
      <w:r w:rsidRPr="009B56F1">
        <w:rPr>
          <w:rStyle w:val="NoteLabel"/>
        </w:rPr>
        <w:t>a</w:t>
      </w:r>
      <w:r w:rsidRPr="009B56F1">
        <w:t xml:space="preserve"> Unallocated includes general programs where detai</w:t>
      </w:r>
      <w:r>
        <w:t>ls of beneficiaries are unknown.</w:t>
      </w:r>
    </w:p>
    <w:p w:rsidR="00D0483B" w:rsidRPr="00D0483B" w:rsidRDefault="00D63E64" w:rsidP="00CB219A">
      <w:pPr>
        <w:pStyle w:val="Source"/>
      </w:pPr>
      <w:r>
        <w:rPr>
          <w:i/>
        </w:rPr>
        <w:t>Source</w:t>
      </w:r>
      <w:r>
        <w:t>: Commission estimates based on DAFF Annual Report 2011</w:t>
      </w:r>
      <w:r>
        <w:noBreakHyphen/>
        <w:t>12 (and earlier years).</w:t>
      </w:r>
    </w:p>
    <w:p w:rsidR="006B09D8" w:rsidRDefault="00FA09C3" w:rsidP="006B09D8">
      <w:pPr>
        <w:pStyle w:val="Heading2"/>
      </w:pPr>
      <w:r>
        <w:t>A.</w:t>
      </w:r>
      <w:r>
        <w:rPr>
          <w:noProof/>
        </w:rPr>
        <w:t>62</w:t>
      </w:r>
      <w:r w:rsidR="006B09D8">
        <w:tab/>
        <w:t>Innovation Investment Fund</w:t>
      </w:r>
    </w:p>
    <w:p w:rsidR="006B09D8" w:rsidRDefault="006B09D8" w:rsidP="006B09D8">
      <w:pPr>
        <w:pStyle w:val="BodyText"/>
      </w:pPr>
      <w:r>
        <w:t xml:space="preserve">Established in 1998, the Innovation Investment Fund (IIF) is </w:t>
      </w:r>
      <w:r w:rsidRPr="0034555B">
        <w:t>a venture capital program that supports 10</w:t>
      </w:r>
      <w:r>
        <w:t>-</w:t>
      </w:r>
      <w:r w:rsidRPr="0034555B">
        <w:t xml:space="preserve">year innovation funds </w:t>
      </w:r>
      <w:r>
        <w:t xml:space="preserve">to commercialise the outcomes of Australia’s research with a view to </w:t>
      </w:r>
      <w:r w:rsidRPr="0034555B">
        <w:t>develop high growth Australian companies to become globally competitive</w:t>
      </w:r>
      <w:r>
        <w:t xml:space="preserve"> </w:t>
      </w:r>
      <w:r w:rsidRPr="009C1EC7">
        <w:t>(</w:t>
      </w:r>
      <w:r w:rsidRPr="00DC0DD6">
        <w:t>AusIndustry 2013b</w:t>
      </w:r>
      <w:r>
        <w:t>). Objectives of the program include:</w:t>
      </w:r>
    </w:p>
    <w:p w:rsidR="006B09D8" w:rsidRDefault="006B09D8" w:rsidP="006B09D8">
      <w:pPr>
        <w:pStyle w:val="ListBullet"/>
      </w:pPr>
      <w:r w:rsidRPr="009F775D">
        <w:t>develop</w:t>
      </w:r>
      <w:r>
        <w:t>ing</w:t>
      </w:r>
      <w:r w:rsidRPr="009F775D">
        <w:t xml:space="preserve"> fund managers with experience in the early stage venture capital industry</w:t>
      </w:r>
      <w:r>
        <w:t>;</w:t>
      </w:r>
    </w:p>
    <w:p w:rsidR="006B09D8" w:rsidRDefault="006B09D8" w:rsidP="006B09D8">
      <w:pPr>
        <w:pStyle w:val="ListBullet"/>
      </w:pPr>
      <w:r w:rsidRPr="009F775D">
        <w:t>by addressing capital constraints and management constraints, encourag</w:t>
      </w:r>
      <w:r>
        <w:t>ing</w:t>
      </w:r>
      <w:r w:rsidRPr="009F775D">
        <w:t xml:space="preserve"> the development of new companies that are commercialising research and development</w:t>
      </w:r>
      <w:r>
        <w:t>;</w:t>
      </w:r>
    </w:p>
    <w:p w:rsidR="006B09D8" w:rsidRDefault="006B09D8" w:rsidP="006B09D8">
      <w:pPr>
        <w:pStyle w:val="ListBullet"/>
      </w:pPr>
      <w:r w:rsidRPr="009F775D">
        <w:t>establish</w:t>
      </w:r>
      <w:r>
        <w:t>ing</w:t>
      </w:r>
      <w:r w:rsidRPr="009F775D">
        <w:t>, in the medium term, a ‘revolving’ or self-funding scheme</w:t>
      </w:r>
      <w:r>
        <w:t>; and</w:t>
      </w:r>
    </w:p>
    <w:p w:rsidR="006B09D8" w:rsidRPr="009F775D" w:rsidRDefault="006B09D8" w:rsidP="006B09D8">
      <w:pPr>
        <w:pStyle w:val="ListBullet"/>
      </w:pPr>
      <w:r w:rsidRPr="009F775D">
        <w:t>develop</w:t>
      </w:r>
      <w:r>
        <w:t>ing</w:t>
      </w:r>
      <w:r w:rsidRPr="009F775D">
        <w:t xml:space="preserve"> a self-sustaining, early stage venture capital industry in Australia</w:t>
      </w:r>
      <w:r>
        <w:t>.</w:t>
      </w:r>
    </w:p>
    <w:p w:rsidR="006B09D8" w:rsidRDefault="006B09D8" w:rsidP="006B09D8">
      <w:pPr>
        <w:pStyle w:val="BodyText"/>
      </w:pPr>
      <w:r>
        <w:t>Each year, the Department of Innovation, Industry, Science and Research (DIISR) provides data on government expenditure for the IIF by the Commission’s ANZSIC-based industry classification (table A.6</w:t>
      </w:r>
      <w:r w:rsidR="00C75068">
        <w:t>2</w:t>
      </w:r>
      <w:r>
        <w:t>).</w:t>
      </w:r>
    </w:p>
    <w:p w:rsidR="006B09D8" w:rsidRDefault="006B09D8" w:rsidP="006B09D8">
      <w:pPr>
        <w:pStyle w:val="TableTitle"/>
      </w:pPr>
      <w:r>
        <w:rPr>
          <w:b w:val="0"/>
        </w:rPr>
        <w:lastRenderedPageBreak/>
        <w:t xml:space="preserve">Table </w:t>
      </w:r>
      <w:r w:rsidR="00FA09C3">
        <w:rPr>
          <w:b w:val="0"/>
        </w:rPr>
        <w:t>A.</w:t>
      </w:r>
      <w:r w:rsidR="00FA09C3">
        <w:rPr>
          <w:b w:val="0"/>
          <w:noProof/>
        </w:rPr>
        <w:t>62</w:t>
      </w:r>
      <w:r>
        <w:tab/>
        <w:t xml:space="preserve">Allocation of Innovation Investment Fund </w:t>
      </w:r>
      <w:r w:rsidR="0013131E" w:rsidRPr="0013131E">
        <w:t>to industry</w:t>
      </w:r>
      <w:r>
        <w:t>, 2006</w:t>
      </w:r>
      <w:r>
        <w:noBreakHyphen/>
        <w:t>07 to 2011</w:t>
      </w:r>
      <w:r>
        <w:noBreakHyphen/>
        <w:t>12</w:t>
      </w:r>
    </w:p>
    <w:p w:rsidR="006B09D8" w:rsidRDefault="006B09D8" w:rsidP="006B09D8">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6B09D8" w:rsidRPr="00AF699A" w:rsidTr="001B56F1">
        <w:tc>
          <w:tcPr>
            <w:tcW w:w="1960" w:type="pct"/>
            <w:tcBorders>
              <w:top w:val="single" w:sz="6" w:space="0" w:color="auto"/>
              <w:bottom w:val="single" w:sz="6" w:space="0" w:color="auto"/>
            </w:tcBorders>
          </w:tcPr>
          <w:p w:rsidR="006B09D8" w:rsidRPr="00AF699A" w:rsidRDefault="006B09D8"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6B09D8" w:rsidRPr="00AF699A" w:rsidRDefault="006B09D8"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6B09D8" w:rsidRPr="00AF699A" w:rsidRDefault="006B09D8"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6B09D8" w:rsidRPr="00AF699A" w:rsidRDefault="006B09D8"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6B09D8" w:rsidRPr="00AF699A" w:rsidRDefault="006B09D8"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6B09D8" w:rsidRPr="00AF699A" w:rsidRDefault="006B09D8"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6B09D8" w:rsidRPr="00AF699A" w:rsidRDefault="006B09D8" w:rsidP="001B56F1">
            <w:pPr>
              <w:pStyle w:val="TableColumnHeading"/>
              <w:ind w:right="28"/>
              <w:rPr>
                <w:rFonts w:cs="Arial"/>
                <w:sz w:val="18"/>
                <w:szCs w:val="18"/>
              </w:rPr>
            </w:pPr>
            <w:r w:rsidRPr="00AF699A">
              <w:rPr>
                <w:rFonts w:cs="Arial"/>
                <w:sz w:val="18"/>
                <w:szCs w:val="18"/>
              </w:rPr>
              <w:t>2011-12</w:t>
            </w:r>
          </w:p>
        </w:tc>
      </w:tr>
      <w:tr w:rsidR="006B09D8" w:rsidRPr="006C5A80" w:rsidTr="001B56F1">
        <w:tc>
          <w:tcPr>
            <w:tcW w:w="1960" w:type="pct"/>
            <w:tcBorders>
              <w:top w:val="single" w:sz="6" w:space="0" w:color="auto"/>
            </w:tcBorders>
            <w:vAlign w:val="bottom"/>
          </w:tcPr>
          <w:p w:rsidR="006B09D8" w:rsidRPr="006C0DD3" w:rsidRDefault="006B09D8" w:rsidP="001B56F1">
            <w:pPr>
              <w:pStyle w:val="TableBodyText"/>
              <w:jc w:val="left"/>
              <w:rPr>
                <w:b/>
                <w:sz w:val="18"/>
                <w:szCs w:val="18"/>
              </w:rPr>
            </w:pPr>
            <w:r>
              <w:rPr>
                <w:b/>
                <w:sz w:val="18"/>
                <w:szCs w:val="18"/>
              </w:rPr>
              <w:t>Mining</w:t>
            </w:r>
          </w:p>
        </w:tc>
        <w:tc>
          <w:tcPr>
            <w:tcW w:w="507" w:type="pct"/>
            <w:tcBorders>
              <w:top w:val="single" w:sz="6" w:space="0" w:color="auto"/>
            </w:tcBorders>
            <w:vAlign w:val="bottom"/>
          </w:tcPr>
          <w:p w:rsidR="006B09D8" w:rsidRPr="00E2698B" w:rsidRDefault="006B09D8" w:rsidP="001B56F1">
            <w:pPr>
              <w:pStyle w:val="TableBodyText"/>
              <w:rPr>
                <w:b/>
                <w:sz w:val="18"/>
                <w:szCs w:val="18"/>
              </w:rPr>
            </w:pPr>
            <w:r w:rsidRPr="00E2698B">
              <w:rPr>
                <w:b/>
                <w:sz w:val="18"/>
                <w:szCs w:val="18"/>
              </w:rPr>
              <w:t>0.6</w:t>
            </w:r>
          </w:p>
        </w:tc>
        <w:tc>
          <w:tcPr>
            <w:tcW w:w="507" w:type="pct"/>
            <w:tcBorders>
              <w:top w:val="single" w:sz="6" w:space="0" w:color="auto"/>
            </w:tcBorders>
            <w:vAlign w:val="bottom"/>
          </w:tcPr>
          <w:p w:rsidR="006B09D8" w:rsidRPr="00E2698B" w:rsidRDefault="006B09D8" w:rsidP="001B56F1">
            <w:pPr>
              <w:pStyle w:val="TableBodyText"/>
              <w:rPr>
                <w:b/>
                <w:sz w:val="18"/>
                <w:szCs w:val="18"/>
              </w:rPr>
            </w:pPr>
            <w:r w:rsidRPr="00E2698B">
              <w:rPr>
                <w:b/>
                <w:sz w:val="18"/>
                <w:szCs w:val="18"/>
              </w:rPr>
              <w:t>0.3</w:t>
            </w:r>
          </w:p>
        </w:tc>
        <w:tc>
          <w:tcPr>
            <w:tcW w:w="507" w:type="pct"/>
            <w:tcBorders>
              <w:top w:val="single" w:sz="6" w:space="0" w:color="auto"/>
            </w:tcBorders>
            <w:vAlign w:val="bottom"/>
          </w:tcPr>
          <w:p w:rsidR="006B09D8" w:rsidRPr="00E2698B" w:rsidRDefault="006B09D8" w:rsidP="001B56F1">
            <w:pPr>
              <w:pStyle w:val="TableBodyText"/>
              <w:rPr>
                <w:b/>
                <w:sz w:val="18"/>
                <w:szCs w:val="18"/>
              </w:rPr>
            </w:pPr>
            <w:r w:rsidRPr="00E2698B">
              <w:rPr>
                <w:b/>
                <w:sz w:val="18"/>
                <w:szCs w:val="18"/>
              </w:rPr>
              <w:t>0.4</w:t>
            </w:r>
          </w:p>
        </w:tc>
        <w:tc>
          <w:tcPr>
            <w:tcW w:w="507" w:type="pct"/>
            <w:tcBorders>
              <w:top w:val="single" w:sz="6" w:space="0" w:color="auto"/>
            </w:tcBorders>
            <w:vAlign w:val="bottom"/>
          </w:tcPr>
          <w:p w:rsidR="006B09D8" w:rsidRPr="00E2698B" w:rsidRDefault="006B09D8" w:rsidP="001B56F1">
            <w:pPr>
              <w:pStyle w:val="TableBodyText"/>
              <w:rPr>
                <w:b/>
                <w:sz w:val="18"/>
                <w:szCs w:val="18"/>
              </w:rPr>
            </w:pPr>
            <w:r w:rsidRPr="00E2698B">
              <w:rPr>
                <w:b/>
                <w:sz w:val="18"/>
                <w:szCs w:val="18"/>
              </w:rPr>
              <w:noBreakHyphen/>
            </w:r>
          </w:p>
        </w:tc>
        <w:tc>
          <w:tcPr>
            <w:tcW w:w="507" w:type="pct"/>
            <w:tcBorders>
              <w:top w:val="single" w:sz="6" w:space="0" w:color="auto"/>
            </w:tcBorders>
            <w:vAlign w:val="bottom"/>
          </w:tcPr>
          <w:p w:rsidR="006B09D8" w:rsidRPr="00E2698B" w:rsidRDefault="006B09D8" w:rsidP="001B56F1">
            <w:pPr>
              <w:pStyle w:val="TableBodyText"/>
              <w:rPr>
                <w:b/>
                <w:sz w:val="18"/>
                <w:szCs w:val="18"/>
              </w:rPr>
            </w:pPr>
            <w:r w:rsidRPr="00E2698B">
              <w:rPr>
                <w:b/>
                <w:sz w:val="18"/>
                <w:szCs w:val="18"/>
              </w:rPr>
              <w:noBreakHyphen/>
            </w:r>
          </w:p>
        </w:tc>
        <w:tc>
          <w:tcPr>
            <w:tcW w:w="505" w:type="pct"/>
            <w:tcBorders>
              <w:top w:val="single" w:sz="6" w:space="0" w:color="auto"/>
            </w:tcBorders>
            <w:vAlign w:val="bottom"/>
          </w:tcPr>
          <w:p w:rsidR="006B09D8" w:rsidRPr="00E2698B" w:rsidRDefault="006B09D8" w:rsidP="001B56F1">
            <w:pPr>
              <w:pStyle w:val="TableBodyText"/>
              <w:rPr>
                <w:b/>
                <w:sz w:val="18"/>
                <w:szCs w:val="18"/>
              </w:rPr>
            </w:pPr>
            <w:r w:rsidRPr="00E2698B">
              <w:rPr>
                <w:b/>
                <w:sz w:val="18"/>
                <w:szCs w:val="18"/>
              </w:rPr>
              <w:noBreakHyphen/>
            </w:r>
          </w:p>
        </w:tc>
      </w:tr>
      <w:tr w:rsidR="006B09D8" w:rsidRPr="006C5A80" w:rsidTr="001B56F1">
        <w:tc>
          <w:tcPr>
            <w:tcW w:w="1960" w:type="pct"/>
            <w:vAlign w:val="bottom"/>
          </w:tcPr>
          <w:p w:rsidR="006B09D8" w:rsidRPr="00267504" w:rsidRDefault="006B09D8" w:rsidP="001B56F1">
            <w:pPr>
              <w:pStyle w:val="TableBodyText"/>
              <w:jc w:val="left"/>
              <w:rPr>
                <w:sz w:val="18"/>
                <w:szCs w:val="18"/>
              </w:rPr>
            </w:pPr>
            <w:r>
              <w:rPr>
                <w:b/>
                <w:sz w:val="18"/>
                <w:szCs w:val="18"/>
              </w:rPr>
              <w:t>Manufacturing</w:t>
            </w:r>
          </w:p>
        </w:tc>
        <w:tc>
          <w:tcPr>
            <w:tcW w:w="507" w:type="pct"/>
            <w:vAlign w:val="bottom"/>
          </w:tcPr>
          <w:p w:rsidR="006B09D8" w:rsidRPr="00E2698B" w:rsidRDefault="006B09D8" w:rsidP="001B56F1">
            <w:pPr>
              <w:pStyle w:val="TableBodyText"/>
              <w:rPr>
                <w:b/>
                <w:sz w:val="18"/>
                <w:szCs w:val="18"/>
              </w:rPr>
            </w:pPr>
            <w:r w:rsidRPr="00E2698B">
              <w:rPr>
                <w:b/>
                <w:sz w:val="18"/>
                <w:szCs w:val="18"/>
              </w:rPr>
              <w:t>1.5</w:t>
            </w:r>
          </w:p>
        </w:tc>
        <w:tc>
          <w:tcPr>
            <w:tcW w:w="507" w:type="pct"/>
            <w:vAlign w:val="bottom"/>
          </w:tcPr>
          <w:p w:rsidR="006B09D8" w:rsidRPr="00E2698B" w:rsidRDefault="006B09D8" w:rsidP="001B56F1">
            <w:pPr>
              <w:pStyle w:val="TableBodyText"/>
              <w:rPr>
                <w:b/>
                <w:sz w:val="18"/>
                <w:szCs w:val="18"/>
              </w:rPr>
            </w:pPr>
            <w:r w:rsidRPr="00E2698B">
              <w:rPr>
                <w:b/>
                <w:sz w:val="18"/>
                <w:szCs w:val="18"/>
              </w:rPr>
              <w:t>2.1</w:t>
            </w:r>
          </w:p>
        </w:tc>
        <w:tc>
          <w:tcPr>
            <w:tcW w:w="507" w:type="pct"/>
            <w:vAlign w:val="bottom"/>
          </w:tcPr>
          <w:p w:rsidR="006B09D8" w:rsidRPr="00E2698B" w:rsidRDefault="006B09D8" w:rsidP="001B56F1">
            <w:pPr>
              <w:pStyle w:val="TableBodyText"/>
              <w:rPr>
                <w:b/>
                <w:sz w:val="18"/>
                <w:szCs w:val="18"/>
              </w:rPr>
            </w:pPr>
            <w:r w:rsidRPr="00E2698B">
              <w:rPr>
                <w:b/>
                <w:sz w:val="18"/>
                <w:szCs w:val="18"/>
              </w:rPr>
              <w:t>0.5</w:t>
            </w:r>
          </w:p>
        </w:tc>
        <w:tc>
          <w:tcPr>
            <w:tcW w:w="507" w:type="pct"/>
            <w:vAlign w:val="bottom"/>
          </w:tcPr>
          <w:p w:rsidR="006B09D8" w:rsidRPr="00E2698B" w:rsidRDefault="006B09D8" w:rsidP="001B56F1">
            <w:pPr>
              <w:pStyle w:val="TableBodyText"/>
              <w:rPr>
                <w:b/>
                <w:sz w:val="18"/>
                <w:szCs w:val="18"/>
              </w:rPr>
            </w:pPr>
            <w:r w:rsidRPr="00E2698B">
              <w:rPr>
                <w:b/>
                <w:sz w:val="18"/>
                <w:szCs w:val="18"/>
              </w:rPr>
              <w:t>0.6</w:t>
            </w:r>
          </w:p>
        </w:tc>
        <w:tc>
          <w:tcPr>
            <w:tcW w:w="507" w:type="pct"/>
            <w:shd w:val="clear" w:color="auto" w:fill="auto"/>
            <w:vAlign w:val="bottom"/>
          </w:tcPr>
          <w:p w:rsidR="006B09D8" w:rsidRPr="00E2698B" w:rsidRDefault="006B09D8" w:rsidP="001B56F1">
            <w:pPr>
              <w:pStyle w:val="TableBodyText"/>
              <w:rPr>
                <w:b/>
                <w:sz w:val="18"/>
                <w:szCs w:val="18"/>
              </w:rPr>
            </w:pPr>
            <w:r w:rsidRPr="00E2698B">
              <w:rPr>
                <w:b/>
                <w:sz w:val="18"/>
                <w:szCs w:val="18"/>
              </w:rPr>
              <w:t>1.1</w:t>
            </w:r>
          </w:p>
        </w:tc>
        <w:tc>
          <w:tcPr>
            <w:tcW w:w="505" w:type="pct"/>
            <w:shd w:val="clear" w:color="auto" w:fill="auto"/>
            <w:vAlign w:val="bottom"/>
          </w:tcPr>
          <w:p w:rsidR="006B09D8" w:rsidRPr="00E2698B" w:rsidRDefault="006B09D8" w:rsidP="001B56F1">
            <w:pPr>
              <w:pStyle w:val="TableBodyText"/>
              <w:rPr>
                <w:b/>
                <w:sz w:val="18"/>
                <w:szCs w:val="18"/>
              </w:rPr>
            </w:pPr>
            <w:r w:rsidRPr="00E2698B">
              <w:rPr>
                <w:b/>
                <w:sz w:val="18"/>
                <w:szCs w:val="18"/>
              </w:rPr>
              <w:t>1.4</w:t>
            </w:r>
          </w:p>
        </w:tc>
      </w:tr>
      <w:tr w:rsidR="006B09D8" w:rsidRPr="006C5A80" w:rsidTr="001B56F1">
        <w:tc>
          <w:tcPr>
            <w:tcW w:w="1960" w:type="pct"/>
            <w:vAlign w:val="bottom"/>
          </w:tcPr>
          <w:p w:rsidR="006B09D8" w:rsidRPr="00267504" w:rsidRDefault="006B09D8" w:rsidP="001B56F1">
            <w:pPr>
              <w:pStyle w:val="TableBodyText"/>
              <w:jc w:val="left"/>
              <w:rPr>
                <w:sz w:val="18"/>
                <w:szCs w:val="18"/>
              </w:rPr>
            </w:pPr>
            <w:r>
              <w:rPr>
                <w:sz w:val="18"/>
                <w:szCs w:val="18"/>
              </w:rPr>
              <w:t>Food, beverages and tobacco</w:t>
            </w:r>
          </w:p>
        </w:tc>
        <w:tc>
          <w:tcPr>
            <w:tcW w:w="507" w:type="pct"/>
            <w:vAlign w:val="bottom"/>
          </w:tcPr>
          <w:p w:rsidR="006B09D8" w:rsidRPr="001A47F8" w:rsidRDefault="006B09D8" w:rsidP="001B56F1">
            <w:pPr>
              <w:pStyle w:val="TableBodyText"/>
              <w:rPr>
                <w:sz w:val="18"/>
                <w:szCs w:val="18"/>
              </w:rPr>
            </w:pPr>
            <w:r w:rsidRPr="001A47F8">
              <w:rPr>
                <w:sz w:val="18"/>
                <w:szCs w:val="18"/>
              </w:rPr>
              <w:t>0.2</w:t>
            </w:r>
          </w:p>
        </w:tc>
        <w:tc>
          <w:tcPr>
            <w:tcW w:w="507" w:type="pct"/>
            <w:vAlign w:val="bottom"/>
          </w:tcPr>
          <w:p w:rsidR="006B09D8" w:rsidRPr="001A47F8" w:rsidRDefault="006B09D8" w:rsidP="001B56F1">
            <w:pPr>
              <w:pStyle w:val="TableBodyText"/>
              <w:rPr>
                <w:sz w:val="18"/>
                <w:szCs w:val="18"/>
              </w:rPr>
            </w:pPr>
            <w:r w:rsidRPr="001A47F8">
              <w:rPr>
                <w:sz w:val="18"/>
                <w:szCs w:val="18"/>
              </w:rPr>
              <w:noBreakHyphen/>
            </w:r>
          </w:p>
        </w:tc>
        <w:tc>
          <w:tcPr>
            <w:tcW w:w="507" w:type="pct"/>
            <w:vAlign w:val="bottom"/>
          </w:tcPr>
          <w:p w:rsidR="006B09D8" w:rsidRPr="001A47F8" w:rsidRDefault="006B09D8" w:rsidP="001B56F1">
            <w:pPr>
              <w:pStyle w:val="TableBodyText"/>
              <w:rPr>
                <w:sz w:val="18"/>
                <w:szCs w:val="18"/>
              </w:rPr>
            </w:pPr>
            <w:r w:rsidRPr="001A47F8">
              <w:rPr>
                <w:sz w:val="18"/>
                <w:szCs w:val="18"/>
              </w:rPr>
              <w:noBreakHyphen/>
            </w:r>
          </w:p>
        </w:tc>
        <w:tc>
          <w:tcPr>
            <w:tcW w:w="507" w:type="pct"/>
            <w:vAlign w:val="bottom"/>
          </w:tcPr>
          <w:p w:rsidR="006B09D8" w:rsidRPr="001A47F8" w:rsidRDefault="006B09D8" w:rsidP="001B56F1">
            <w:pPr>
              <w:pStyle w:val="TableBodyText"/>
              <w:rPr>
                <w:sz w:val="18"/>
                <w:szCs w:val="18"/>
              </w:rPr>
            </w:pPr>
            <w:r w:rsidRPr="001A47F8">
              <w:rPr>
                <w:sz w:val="18"/>
                <w:szCs w:val="18"/>
              </w:rPr>
              <w:noBreakHyphen/>
            </w:r>
          </w:p>
        </w:tc>
        <w:tc>
          <w:tcPr>
            <w:tcW w:w="507" w:type="pct"/>
            <w:shd w:val="clear" w:color="auto" w:fill="auto"/>
            <w:vAlign w:val="bottom"/>
          </w:tcPr>
          <w:p w:rsidR="006B09D8" w:rsidRPr="001A47F8" w:rsidRDefault="006B09D8" w:rsidP="001B56F1">
            <w:pPr>
              <w:pStyle w:val="TableBodyText"/>
              <w:rPr>
                <w:sz w:val="18"/>
                <w:szCs w:val="18"/>
              </w:rPr>
            </w:pPr>
            <w:r w:rsidRPr="001A47F8">
              <w:rPr>
                <w:sz w:val="18"/>
                <w:szCs w:val="18"/>
              </w:rPr>
              <w:noBreakHyphen/>
            </w:r>
          </w:p>
        </w:tc>
        <w:tc>
          <w:tcPr>
            <w:tcW w:w="505" w:type="pct"/>
            <w:shd w:val="clear" w:color="auto" w:fill="auto"/>
            <w:vAlign w:val="bottom"/>
          </w:tcPr>
          <w:p w:rsidR="006B09D8" w:rsidRPr="001A47F8" w:rsidRDefault="006B09D8" w:rsidP="001B56F1">
            <w:pPr>
              <w:pStyle w:val="TableBodyText"/>
              <w:rPr>
                <w:sz w:val="18"/>
                <w:szCs w:val="18"/>
              </w:rPr>
            </w:pPr>
            <w:r w:rsidRPr="001A47F8">
              <w:rPr>
                <w:sz w:val="18"/>
                <w:szCs w:val="18"/>
              </w:rPr>
              <w:noBreakHyphen/>
            </w:r>
          </w:p>
        </w:tc>
      </w:tr>
      <w:tr w:rsidR="006B09D8" w:rsidRPr="006C5A80" w:rsidTr="001B56F1">
        <w:tc>
          <w:tcPr>
            <w:tcW w:w="1960" w:type="pct"/>
            <w:vAlign w:val="bottom"/>
          </w:tcPr>
          <w:p w:rsidR="006B09D8" w:rsidRPr="00267504" w:rsidRDefault="006B09D8" w:rsidP="001B56F1">
            <w:pPr>
              <w:pStyle w:val="TableBodyText"/>
              <w:jc w:val="left"/>
              <w:rPr>
                <w:sz w:val="18"/>
                <w:szCs w:val="18"/>
              </w:rPr>
            </w:pPr>
            <w:r w:rsidRPr="00267504">
              <w:rPr>
                <w:sz w:val="18"/>
                <w:szCs w:val="18"/>
              </w:rPr>
              <w:t>Petroleum, coal, chemical and rubber products</w:t>
            </w:r>
          </w:p>
        </w:tc>
        <w:tc>
          <w:tcPr>
            <w:tcW w:w="507" w:type="pct"/>
            <w:vAlign w:val="bottom"/>
          </w:tcPr>
          <w:p w:rsidR="006B09D8" w:rsidRPr="001A47F8" w:rsidRDefault="006B09D8" w:rsidP="001B56F1">
            <w:pPr>
              <w:pStyle w:val="TableBodyText"/>
              <w:rPr>
                <w:sz w:val="18"/>
                <w:szCs w:val="18"/>
              </w:rPr>
            </w:pPr>
            <w:r w:rsidRPr="001A47F8">
              <w:rPr>
                <w:sz w:val="18"/>
                <w:szCs w:val="18"/>
              </w:rPr>
              <w:noBreakHyphen/>
            </w:r>
          </w:p>
        </w:tc>
        <w:tc>
          <w:tcPr>
            <w:tcW w:w="507" w:type="pct"/>
            <w:vAlign w:val="bottom"/>
          </w:tcPr>
          <w:p w:rsidR="006B09D8" w:rsidRPr="001A47F8" w:rsidRDefault="006B09D8" w:rsidP="001B56F1">
            <w:pPr>
              <w:pStyle w:val="TableBodyText"/>
              <w:rPr>
                <w:sz w:val="18"/>
                <w:szCs w:val="18"/>
              </w:rPr>
            </w:pPr>
            <w:r w:rsidRPr="001A47F8">
              <w:rPr>
                <w:sz w:val="18"/>
                <w:szCs w:val="18"/>
              </w:rPr>
              <w:noBreakHyphen/>
            </w:r>
          </w:p>
        </w:tc>
        <w:tc>
          <w:tcPr>
            <w:tcW w:w="507" w:type="pct"/>
            <w:vAlign w:val="bottom"/>
          </w:tcPr>
          <w:p w:rsidR="006B09D8" w:rsidRPr="001A47F8" w:rsidRDefault="006B09D8" w:rsidP="001B56F1">
            <w:pPr>
              <w:pStyle w:val="TableBodyText"/>
              <w:rPr>
                <w:sz w:val="18"/>
                <w:szCs w:val="18"/>
              </w:rPr>
            </w:pPr>
            <w:r w:rsidRPr="001A47F8">
              <w:rPr>
                <w:sz w:val="18"/>
                <w:szCs w:val="18"/>
              </w:rPr>
              <w:noBreakHyphen/>
            </w:r>
          </w:p>
        </w:tc>
        <w:tc>
          <w:tcPr>
            <w:tcW w:w="507" w:type="pct"/>
            <w:vAlign w:val="bottom"/>
          </w:tcPr>
          <w:p w:rsidR="006B09D8" w:rsidRPr="001A47F8" w:rsidRDefault="006B09D8" w:rsidP="001B56F1">
            <w:pPr>
              <w:pStyle w:val="TableBodyText"/>
              <w:rPr>
                <w:sz w:val="18"/>
                <w:szCs w:val="18"/>
              </w:rPr>
            </w:pPr>
            <w:r w:rsidRPr="001A47F8">
              <w:rPr>
                <w:sz w:val="18"/>
                <w:szCs w:val="18"/>
              </w:rPr>
              <w:t>0.5</w:t>
            </w:r>
          </w:p>
        </w:tc>
        <w:tc>
          <w:tcPr>
            <w:tcW w:w="507" w:type="pct"/>
            <w:shd w:val="clear" w:color="auto" w:fill="auto"/>
            <w:vAlign w:val="bottom"/>
          </w:tcPr>
          <w:p w:rsidR="006B09D8" w:rsidRPr="001A47F8" w:rsidRDefault="006B09D8" w:rsidP="001B56F1">
            <w:pPr>
              <w:pStyle w:val="TableBodyText"/>
              <w:rPr>
                <w:sz w:val="18"/>
                <w:szCs w:val="18"/>
              </w:rPr>
            </w:pPr>
            <w:r w:rsidRPr="001A47F8">
              <w:rPr>
                <w:sz w:val="18"/>
                <w:szCs w:val="18"/>
              </w:rPr>
              <w:t>0.9</w:t>
            </w:r>
          </w:p>
        </w:tc>
        <w:tc>
          <w:tcPr>
            <w:tcW w:w="505" w:type="pct"/>
            <w:shd w:val="clear" w:color="auto" w:fill="auto"/>
            <w:vAlign w:val="bottom"/>
          </w:tcPr>
          <w:p w:rsidR="006B09D8" w:rsidRPr="001A47F8" w:rsidRDefault="006B09D8" w:rsidP="001B56F1">
            <w:pPr>
              <w:pStyle w:val="TableBodyText"/>
              <w:rPr>
                <w:sz w:val="18"/>
                <w:szCs w:val="18"/>
              </w:rPr>
            </w:pPr>
            <w:r w:rsidRPr="001A47F8">
              <w:rPr>
                <w:sz w:val="18"/>
                <w:szCs w:val="18"/>
              </w:rPr>
              <w:t>1.2</w:t>
            </w:r>
          </w:p>
        </w:tc>
      </w:tr>
      <w:tr w:rsidR="006B09D8" w:rsidRPr="006C5A80" w:rsidTr="001B56F1">
        <w:tc>
          <w:tcPr>
            <w:tcW w:w="1960" w:type="pct"/>
            <w:vAlign w:val="bottom"/>
          </w:tcPr>
          <w:p w:rsidR="006B09D8" w:rsidRPr="00267504" w:rsidRDefault="006B09D8" w:rsidP="001B56F1">
            <w:pPr>
              <w:pStyle w:val="TableBodyText"/>
              <w:jc w:val="left"/>
              <w:rPr>
                <w:sz w:val="18"/>
                <w:szCs w:val="18"/>
              </w:rPr>
            </w:pPr>
            <w:r w:rsidRPr="00267504">
              <w:rPr>
                <w:sz w:val="18"/>
                <w:szCs w:val="18"/>
              </w:rPr>
              <w:t>Metal and fabricated metal products</w:t>
            </w:r>
          </w:p>
        </w:tc>
        <w:tc>
          <w:tcPr>
            <w:tcW w:w="507" w:type="pct"/>
            <w:vAlign w:val="bottom"/>
          </w:tcPr>
          <w:p w:rsidR="006B09D8" w:rsidRPr="001A47F8" w:rsidRDefault="006B09D8" w:rsidP="001B56F1">
            <w:pPr>
              <w:pStyle w:val="TableBodyText"/>
              <w:rPr>
                <w:sz w:val="18"/>
                <w:szCs w:val="18"/>
              </w:rPr>
            </w:pPr>
            <w:r w:rsidRPr="001A47F8">
              <w:rPr>
                <w:sz w:val="18"/>
                <w:szCs w:val="18"/>
              </w:rPr>
              <w:noBreakHyphen/>
            </w:r>
          </w:p>
        </w:tc>
        <w:tc>
          <w:tcPr>
            <w:tcW w:w="507" w:type="pct"/>
            <w:vAlign w:val="bottom"/>
          </w:tcPr>
          <w:p w:rsidR="006B09D8" w:rsidRPr="001A47F8" w:rsidRDefault="006B09D8" w:rsidP="001B56F1">
            <w:pPr>
              <w:pStyle w:val="TableBodyText"/>
              <w:rPr>
                <w:sz w:val="18"/>
                <w:szCs w:val="18"/>
              </w:rPr>
            </w:pPr>
            <w:r w:rsidRPr="001A47F8">
              <w:rPr>
                <w:sz w:val="18"/>
                <w:szCs w:val="18"/>
              </w:rPr>
              <w:noBreakHyphen/>
            </w:r>
          </w:p>
        </w:tc>
        <w:tc>
          <w:tcPr>
            <w:tcW w:w="507" w:type="pct"/>
            <w:vAlign w:val="bottom"/>
          </w:tcPr>
          <w:p w:rsidR="006B09D8" w:rsidRPr="001A47F8" w:rsidRDefault="006B09D8" w:rsidP="001B56F1">
            <w:pPr>
              <w:pStyle w:val="TableBodyText"/>
              <w:rPr>
                <w:sz w:val="18"/>
                <w:szCs w:val="18"/>
              </w:rPr>
            </w:pPr>
            <w:r w:rsidRPr="001A47F8">
              <w:rPr>
                <w:sz w:val="18"/>
                <w:szCs w:val="18"/>
              </w:rPr>
              <w:noBreakHyphen/>
            </w:r>
          </w:p>
        </w:tc>
        <w:tc>
          <w:tcPr>
            <w:tcW w:w="507" w:type="pct"/>
            <w:vAlign w:val="bottom"/>
          </w:tcPr>
          <w:p w:rsidR="006B09D8" w:rsidRPr="001A47F8" w:rsidRDefault="006B09D8" w:rsidP="001B56F1">
            <w:pPr>
              <w:pStyle w:val="TableBodyText"/>
              <w:rPr>
                <w:sz w:val="18"/>
                <w:szCs w:val="18"/>
              </w:rPr>
            </w:pPr>
            <w:r>
              <w:rPr>
                <w:sz w:val="18"/>
                <w:szCs w:val="18"/>
              </w:rPr>
              <w:t>&lt;</w:t>
            </w:r>
            <w:r w:rsidRPr="001A47F8">
              <w:rPr>
                <w:sz w:val="18"/>
                <w:szCs w:val="18"/>
              </w:rPr>
              <w:t>0.1</w:t>
            </w:r>
          </w:p>
        </w:tc>
        <w:tc>
          <w:tcPr>
            <w:tcW w:w="507" w:type="pct"/>
            <w:shd w:val="clear" w:color="auto" w:fill="auto"/>
            <w:vAlign w:val="bottom"/>
          </w:tcPr>
          <w:p w:rsidR="006B09D8" w:rsidRPr="001A47F8" w:rsidRDefault="006B09D8" w:rsidP="001B56F1">
            <w:pPr>
              <w:pStyle w:val="TableBodyText"/>
              <w:rPr>
                <w:sz w:val="18"/>
                <w:szCs w:val="18"/>
              </w:rPr>
            </w:pPr>
            <w:r w:rsidRPr="001A47F8">
              <w:rPr>
                <w:sz w:val="18"/>
                <w:szCs w:val="18"/>
              </w:rPr>
              <w:t>0.2</w:t>
            </w:r>
          </w:p>
        </w:tc>
        <w:tc>
          <w:tcPr>
            <w:tcW w:w="505" w:type="pct"/>
            <w:shd w:val="clear" w:color="auto" w:fill="auto"/>
            <w:vAlign w:val="bottom"/>
          </w:tcPr>
          <w:p w:rsidR="006B09D8" w:rsidRPr="001A47F8" w:rsidRDefault="006B09D8" w:rsidP="001B56F1">
            <w:pPr>
              <w:pStyle w:val="TableBodyText"/>
              <w:rPr>
                <w:sz w:val="18"/>
                <w:szCs w:val="18"/>
              </w:rPr>
            </w:pPr>
            <w:r w:rsidRPr="001A47F8">
              <w:rPr>
                <w:sz w:val="18"/>
                <w:szCs w:val="18"/>
              </w:rPr>
              <w:t>0.2</w:t>
            </w:r>
          </w:p>
        </w:tc>
      </w:tr>
      <w:tr w:rsidR="006B09D8" w:rsidRPr="006C5A80" w:rsidTr="001B56F1">
        <w:tc>
          <w:tcPr>
            <w:tcW w:w="1960" w:type="pct"/>
            <w:vAlign w:val="bottom"/>
          </w:tcPr>
          <w:p w:rsidR="006B09D8" w:rsidRPr="00267504" w:rsidRDefault="006B09D8" w:rsidP="001B56F1">
            <w:pPr>
              <w:pStyle w:val="TableBodyText"/>
              <w:jc w:val="left"/>
              <w:rPr>
                <w:sz w:val="18"/>
                <w:szCs w:val="18"/>
              </w:rPr>
            </w:pPr>
            <w:r>
              <w:rPr>
                <w:sz w:val="18"/>
                <w:szCs w:val="18"/>
              </w:rPr>
              <w:t>Other transport equipment</w:t>
            </w:r>
          </w:p>
        </w:tc>
        <w:tc>
          <w:tcPr>
            <w:tcW w:w="507" w:type="pct"/>
            <w:vAlign w:val="bottom"/>
          </w:tcPr>
          <w:p w:rsidR="006B09D8" w:rsidRPr="001A47F8" w:rsidRDefault="006B09D8" w:rsidP="001B56F1">
            <w:pPr>
              <w:pStyle w:val="TableBodyText"/>
              <w:rPr>
                <w:sz w:val="18"/>
                <w:szCs w:val="18"/>
              </w:rPr>
            </w:pPr>
            <w:r w:rsidRPr="001A47F8">
              <w:rPr>
                <w:sz w:val="18"/>
                <w:szCs w:val="18"/>
              </w:rPr>
              <w:t>0.3</w:t>
            </w:r>
          </w:p>
        </w:tc>
        <w:tc>
          <w:tcPr>
            <w:tcW w:w="507" w:type="pct"/>
            <w:vAlign w:val="bottom"/>
          </w:tcPr>
          <w:p w:rsidR="006B09D8" w:rsidRPr="001A47F8" w:rsidRDefault="006B09D8" w:rsidP="001B56F1">
            <w:pPr>
              <w:pStyle w:val="TableBodyText"/>
              <w:rPr>
                <w:sz w:val="18"/>
                <w:szCs w:val="18"/>
              </w:rPr>
            </w:pPr>
            <w:r w:rsidRPr="001A47F8">
              <w:rPr>
                <w:sz w:val="18"/>
                <w:szCs w:val="18"/>
              </w:rPr>
              <w:t>0.7</w:t>
            </w:r>
          </w:p>
        </w:tc>
        <w:tc>
          <w:tcPr>
            <w:tcW w:w="507" w:type="pct"/>
            <w:vAlign w:val="bottom"/>
          </w:tcPr>
          <w:p w:rsidR="006B09D8" w:rsidRPr="001A47F8" w:rsidRDefault="006B09D8" w:rsidP="001B56F1">
            <w:pPr>
              <w:pStyle w:val="TableBodyText"/>
              <w:rPr>
                <w:sz w:val="18"/>
                <w:szCs w:val="18"/>
              </w:rPr>
            </w:pPr>
            <w:r w:rsidRPr="001A47F8">
              <w:rPr>
                <w:sz w:val="18"/>
                <w:szCs w:val="18"/>
              </w:rPr>
              <w:t>0.2</w:t>
            </w:r>
          </w:p>
        </w:tc>
        <w:tc>
          <w:tcPr>
            <w:tcW w:w="507" w:type="pct"/>
            <w:vAlign w:val="bottom"/>
          </w:tcPr>
          <w:p w:rsidR="006B09D8" w:rsidRPr="001A47F8" w:rsidRDefault="006B09D8" w:rsidP="001B56F1">
            <w:pPr>
              <w:pStyle w:val="TableBodyText"/>
              <w:rPr>
                <w:sz w:val="18"/>
                <w:szCs w:val="18"/>
              </w:rPr>
            </w:pPr>
            <w:r w:rsidRPr="001A47F8">
              <w:rPr>
                <w:sz w:val="18"/>
                <w:szCs w:val="18"/>
              </w:rPr>
              <w:noBreakHyphen/>
            </w:r>
          </w:p>
        </w:tc>
        <w:tc>
          <w:tcPr>
            <w:tcW w:w="507" w:type="pct"/>
            <w:shd w:val="clear" w:color="auto" w:fill="auto"/>
            <w:vAlign w:val="bottom"/>
          </w:tcPr>
          <w:p w:rsidR="006B09D8" w:rsidRPr="001A47F8" w:rsidRDefault="006B09D8" w:rsidP="001B56F1">
            <w:pPr>
              <w:pStyle w:val="TableBodyText"/>
              <w:rPr>
                <w:sz w:val="18"/>
                <w:szCs w:val="18"/>
              </w:rPr>
            </w:pPr>
            <w:r w:rsidRPr="001A47F8">
              <w:rPr>
                <w:sz w:val="18"/>
                <w:szCs w:val="18"/>
              </w:rPr>
              <w:noBreakHyphen/>
            </w:r>
          </w:p>
        </w:tc>
        <w:tc>
          <w:tcPr>
            <w:tcW w:w="505" w:type="pct"/>
            <w:shd w:val="clear" w:color="auto" w:fill="auto"/>
            <w:vAlign w:val="bottom"/>
          </w:tcPr>
          <w:p w:rsidR="006B09D8" w:rsidRPr="001A47F8" w:rsidRDefault="006B09D8" w:rsidP="001B56F1">
            <w:pPr>
              <w:pStyle w:val="TableBodyText"/>
              <w:rPr>
                <w:sz w:val="18"/>
                <w:szCs w:val="18"/>
              </w:rPr>
            </w:pPr>
            <w:r w:rsidRPr="001A47F8">
              <w:rPr>
                <w:sz w:val="18"/>
                <w:szCs w:val="18"/>
              </w:rPr>
              <w:noBreakHyphen/>
            </w:r>
          </w:p>
        </w:tc>
      </w:tr>
      <w:tr w:rsidR="006B09D8" w:rsidRPr="006C5A80" w:rsidTr="001B56F1">
        <w:tc>
          <w:tcPr>
            <w:tcW w:w="1960" w:type="pct"/>
            <w:vAlign w:val="bottom"/>
          </w:tcPr>
          <w:p w:rsidR="006B09D8" w:rsidRPr="00267504" w:rsidRDefault="006B09D8" w:rsidP="001B56F1">
            <w:pPr>
              <w:pStyle w:val="TableBodyText"/>
              <w:jc w:val="left"/>
              <w:rPr>
                <w:sz w:val="18"/>
                <w:szCs w:val="18"/>
              </w:rPr>
            </w:pPr>
            <w:r>
              <w:rPr>
                <w:sz w:val="18"/>
                <w:szCs w:val="18"/>
              </w:rPr>
              <w:t>Machinery and equipment manufacturing</w:t>
            </w:r>
          </w:p>
        </w:tc>
        <w:tc>
          <w:tcPr>
            <w:tcW w:w="507" w:type="pct"/>
            <w:vAlign w:val="bottom"/>
          </w:tcPr>
          <w:p w:rsidR="006B09D8" w:rsidRPr="001A47F8" w:rsidRDefault="006B09D8" w:rsidP="001B56F1">
            <w:pPr>
              <w:pStyle w:val="TableBodyText"/>
              <w:rPr>
                <w:sz w:val="18"/>
                <w:szCs w:val="18"/>
              </w:rPr>
            </w:pPr>
            <w:r w:rsidRPr="001A47F8">
              <w:rPr>
                <w:sz w:val="18"/>
                <w:szCs w:val="18"/>
              </w:rPr>
              <w:t>1.0</w:t>
            </w:r>
          </w:p>
        </w:tc>
        <w:tc>
          <w:tcPr>
            <w:tcW w:w="507" w:type="pct"/>
            <w:vAlign w:val="bottom"/>
          </w:tcPr>
          <w:p w:rsidR="006B09D8" w:rsidRPr="001A47F8" w:rsidRDefault="006B09D8" w:rsidP="001B56F1">
            <w:pPr>
              <w:pStyle w:val="TableBodyText"/>
              <w:rPr>
                <w:sz w:val="18"/>
                <w:szCs w:val="18"/>
              </w:rPr>
            </w:pPr>
            <w:r w:rsidRPr="001A47F8">
              <w:rPr>
                <w:sz w:val="18"/>
                <w:szCs w:val="18"/>
              </w:rPr>
              <w:t>1.4</w:t>
            </w:r>
          </w:p>
        </w:tc>
        <w:tc>
          <w:tcPr>
            <w:tcW w:w="507" w:type="pct"/>
            <w:vAlign w:val="bottom"/>
          </w:tcPr>
          <w:p w:rsidR="006B09D8" w:rsidRPr="001A47F8" w:rsidRDefault="006B09D8" w:rsidP="001B56F1">
            <w:pPr>
              <w:pStyle w:val="TableBodyText"/>
              <w:rPr>
                <w:sz w:val="18"/>
                <w:szCs w:val="18"/>
              </w:rPr>
            </w:pPr>
            <w:r w:rsidRPr="001A47F8">
              <w:rPr>
                <w:sz w:val="18"/>
                <w:szCs w:val="18"/>
              </w:rPr>
              <w:t>0.3</w:t>
            </w:r>
          </w:p>
        </w:tc>
        <w:tc>
          <w:tcPr>
            <w:tcW w:w="507" w:type="pct"/>
            <w:vAlign w:val="bottom"/>
          </w:tcPr>
          <w:p w:rsidR="006B09D8" w:rsidRPr="001A47F8" w:rsidRDefault="006B09D8" w:rsidP="001B56F1">
            <w:pPr>
              <w:pStyle w:val="TableBodyText"/>
              <w:rPr>
                <w:sz w:val="18"/>
                <w:szCs w:val="18"/>
              </w:rPr>
            </w:pPr>
            <w:r w:rsidRPr="001A47F8">
              <w:rPr>
                <w:sz w:val="18"/>
                <w:szCs w:val="18"/>
              </w:rPr>
              <w:noBreakHyphen/>
            </w:r>
          </w:p>
        </w:tc>
        <w:tc>
          <w:tcPr>
            <w:tcW w:w="507" w:type="pct"/>
            <w:shd w:val="clear" w:color="auto" w:fill="auto"/>
            <w:vAlign w:val="bottom"/>
          </w:tcPr>
          <w:p w:rsidR="006B09D8" w:rsidRPr="001A47F8" w:rsidRDefault="006B09D8" w:rsidP="001B56F1">
            <w:pPr>
              <w:pStyle w:val="TableBodyText"/>
              <w:rPr>
                <w:sz w:val="18"/>
                <w:szCs w:val="18"/>
              </w:rPr>
            </w:pPr>
            <w:r w:rsidRPr="001A47F8">
              <w:rPr>
                <w:sz w:val="18"/>
                <w:szCs w:val="18"/>
              </w:rPr>
              <w:noBreakHyphen/>
            </w:r>
          </w:p>
        </w:tc>
        <w:tc>
          <w:tcPr>
            <w:tcW w:w="505" w:type="pct"/>
            <w:shd w:val="clear" w:color="auto" w:fill="auto"/>
            <w:vAlign w:val="bottom"/>
          </w:tcPr>
          <w:p w:rsidR="006B09D8" w:rsidRPr="001A47F8" w:rsidRDefault="006B09D8" w:rsidP="001B56F1">
            <w:pPr>
              <w:pStyle w:val="TableBodyText"/>
              <w:rPr>
                <w:sz w:val="18"/>
                <w:szCs w:val="18"/>
              </w:rPr>
            </w:pPr>
            <w:r w:rsidRPr="001A47F8">
              <w:rPr>
                <w:sz w:val="18"/>
                <w:szCs w:val="18"/>
              </w:rPr>
              <w:noBreakHyphen/>
            </w:r>
          </w:p>
        </w:tc>
      </w:tr>
      <w:tr w:rsidR="006B09D8" w:rsidRPr="006C5A80" w:rsidTr="001B56F1">
        <w:tc>
          <w:tcPr>
            <w:tcW w:w="1960" w:type="pct"/>
            <w:vAlign w:val="bottom"/>
          </w:tcPr>
          <w:p w:rsidR="006B09D8" w:rsidRPr="006C0DD3" w:rsidRDefault="006B09D8" w:rsidP="001B56F1">
            <w:pPr>
              <w:pStyle w:val="TableBodyText"/>
              <w:jc w:val="left"/>
              <w:rPr>
                <w:b/>
                <w:sz w:val="18"/>
                <w:szCs w:val="18"/>
              </w:rPr>
            </w:pPr>
            <w:r w:rsidRPr="006C0DD3">
              <w:rPr>
                <w:b/>
                <w:sz w:val="18"/>
                <w:szCs w:val="18"/>
              </w:rPr>
              <w:t>Services</w:t>
            </w:r>
          </w:p>
        </w:tc>
        <w:tc>
          <w:tcPr>
            <w:tcW w:w="507" w:type="pct"/>
            <w:vAlign w:val="bottom"/>
          </w:tcPr>
          <w:p w:rsidR="006B09D8" w:rsidRPr="00E2698B" w:rsidRDefault="006B09D8" w:rsidP="001B56F1">
            <w:pPr>
              <w:pStyle w:val="TableBodyText"/>
              <w:rPr>
                <w:b/>
                <w:sz w:val="18"/>
                <w:szCs w:val="18"/>
              </w:rPr>
            </w:pPr>
            <w:r w:rsidRPr="00E2698B">
              <w:rPr>
                <w:b/>
                <w:sz w:val="18"/>
                <w:szCs w:val="18"/>
              </w:rPr>
              <w:t>10.3</w:t>
            </w:r>
          </w:p>
        </w:tc>
        <w:tc>
          <w:tcPr>
            <w:tcW w:w="507" w:type="pct"/>
            <w:vAlign w:val="bottom"/>
          </w:tcPr>
          <w:p w:rsidR="006B09D8" w:rsidRPr="00E2698B" w:rsidRDefault="006B09D8" w:rsidP="001B56F1">
            <w:pPr>
              <w:pStyle w:val="TableBodyText"/>
              <w:rPr>
                <w:b/>
                <w:sz w:val="18"/>
                <w:szCs w:val="18"/>
              </w:rPr>
            </w:pPr>
            <w:r w:rsidRPr="00E2698B">
              <w:rPr>
                <w:b/>
                <w:sz w:val="18"/>
                <w:szCs w:val="18"/>
              </w:rPr>
              <w:t>9.7</w:t>
            </w:r>
          </w:p>
        </w:tc>
        <w:tc>
          <w:tcPr>
            <w:tcW w:w="507" w:type="pct"/>
            <w:vAlign w:val="bottom"/>
          </w:tcPr>
          <w:p w:rsidR="006B09D8" w:rsidRPr="00E2698B" w:rsidRDefault="006B09D8" w:rsidP="001B56F1">
            <w:pPr>
              <w:pStyle w:val="TableBodyText"/>
              <w:rPr>
                <w:b/>
                <w:sz w:val="18"/>
                <w:szCs w:val="18"/>
              </w:rPr>
            </w:pPr>
            <w:r w:rsidRPr="00E2698B">
              <w:rPr>
                <w:b/>
                <w:sz w:val="18"/>
                <w:szCs w:val="18"/>
              </w:rPr>
              <w:t>4.8</w:t>
            </w:r>
          </w:p>
        </w:tc>
        <w:tc>
          <w:tcPr>
            <w:tcW w:w="507" w:type="pct"/>
            <w:vAlign w:val="bottom"/>
          </w:tcPr>
          <w:p w:rsidR="006B09D8" w:rsidRPr="00E2698B" w:rsidRDefault="006B09D8" w:rsidP="001B56F1">
            <w:pPr>
              <w:pStyle w:val="TableBodyText"/>
              <w:rPr>
                <w:b/>
                <w:sz w:val="18"/>
                <w:szCs w:val="18"/>
              </w:rPr>
            </w:pPr>
            <w:r w:rsidRPr="00E2698B">
              <w:rPr>
                <w:b/>
                <w:sz w:val="18"/>
                <w:szCs w:val="18"/>
              </w:rPr>
              <w:t>6.4</w:t>
            </w:r>
          </w:p>
        </w:tc>
        <w:tc>
          <w:tcPr>
            <w:tcW w:w="507" w:type="pct"/>
            <w:shd w:val="clear" w:color="auto" w:fill="auto"/>
            <w:vAlign w:val="bottom"/>
          </w:tcPr>
          <w:p w:rsidR="006B09D8" w:rsidRPr="00E2698B" w:rsidRDefault="006B09D8" w:rsidP="001B56F1">
            <w:pPr>
              <w:pStyle w:val="TableBodyText"/>
              <w:rPr>
                <w:b/>
                <w:sz w:val="18"/>
                <w:szCs w:val="18"/>
              </w:rPr>
            </w:pPr>
            <w:r w:rsidRPr="00E2698B">
              <w:rPr>
                <w:b/>
                <w:sz w:val="18"/>
                <w:szCs w:val="18"/>
              </w:rPr>
              <w:t>11.1</w:t>
            </w:r>
          </w:p>
        </w:tc>
        <w:tc>
          <w:tcPr>
            <w:tcW w:w="505" w:type="pct"/>
            <w:shd w:val="clear" w:color="auto" w:fill="auto"/>
            <w:vAlign w:val="bottom"/>
          </w:tcPr>
          <w:p w:rsidR="006B09D8" w:rsidRPr="00E2698B" w:rsidRDefault="006B09D8" w:rsidP="001B56F1">
            <w:pPr>
              <w:pStyle w:val="TableBodyText"/>
              <w:rPr>
                <w:b/>
                <w:sz w:val="18"/>
                <w:szCs w:val="18"/>
              </w:rPr>
            </w:pPr>
            <w:r w:rsidRPr="00E2698B">
              <w:rPr>
                <w:b/>
                <w:sz w:val="18"/>
                <w:szCs w:val="18"/>
              </w:rPr>
              <w:t>14.5</w:t>
            </w:r>
          </w:p>
        </w:tc>
      </w:tr>
      <w:tr w:rsidR="006B09D8" w:rsidRPr="006C5A80" w:rsidTr="001B56F1">
        <w:tc>
          <w:tcPr>
            <w:tcW w:w="1960" w:type="pct"/>
            <w:vAlign w:val="bottom"/>
          </w:tcPr>
          <w:p w:rsidR="006B09D8" w:rsidRPr="00267504" w:rsidRDefault="006B09D8" w:rsidP="001B56F1">
            <w:pPr>
              <w:pStyle w:val="TableBodyText"/>
              <w:jc w:val="left"/>
              <w:rPr>
                <w:sz w:val="18"/>
                <w:szCs w:val="18"/>
              </w:rPr>
            </w:pPr>
            <w:r w:rsidRPr="00267504">
              <w:rPr>
                <w:sz w:val="18"/>
                <w:szCs w:val="18"/>
              </w:rPr>
              <w:t>Electricity, gas, water and waste services</w:t>
            </w:r>
          </w:p>
        </w:tc>
        <w:tc>
          <w:tcPr>
            <w:tcW w:w="507" w:type="pct"/>
            <w:vAlign w:val="bottom"/>
          </w:tcPr>
          <w:p w:rsidR="006B09D8" w:rsidRPr="001A47F8" w:rsidRDefault="006B09D8" w:rsidP="001B56F1">
            <w:pPr>
              <w:pStyle w:val="TableBodyText"/>
              <w:rPr>
                <w:sz w:val="18"/>
                <w:szCs w:val="18"/>
              </w:rPr>
            </w:pPr>
            <w:r w:rsidRPr="001A47F8">
              <w:rPr>
                <w:sz w:val="18"/>
                <w:szCs w:val="18"/>
              </w:rPr>
              <w:noBreakHyphen/>
            </w:r>
          </w:p>
        </w:tc>
        <w:tc>
          <w:tcPr>
            <w:tcW w:w="507" w:type="pct"/>
            <w:vAlign w:val="bottom"/>
          </w:tcPr>
          <w:p w:rsidR="006B09D8" w:rsidRPr="001A47F8" w:rsidRDefault="006B09D8" w:rsidP="001B56F1">
            <w:pPr>
              <w:pStyle w:val="TableBodyText"/>
              <w:rPr>
                <w:sz w:val="18"/>
                <w:szCs w:val="18"/>
              </w:rPr>
            </w:pPr>
            <w:r w:rsidRPr="001A47F8">
              <w:rPr>
                <w:sz w:val="18"/>
                <w:szCs w:val="18"/>
              </w:rPr>
              <w:t>2.2</w:t>
            </w:r>
          </w:p>
        </w:tc>
        <w:tc>
          <w:tcPr>
            <w:tcW w:w="507" w:type="pct"/>
            <w:vAlign w:val="bottom"/>
          </w:tcPr>
          <w:p w:rsidR="006B09D8" w:rsidRPr="001A47F8" w:rsidRDefault="006B09D8" w:rsidP="001B56F1">
            <w:pPr>
              <w:pStyle w:val="TableBodyText"/>
              <w:rPr>
                <w:sz w:val="18"/>
                <w:szCs w:val="18"/>
              </w:rPr>
            </w:pPr>
            <w:r w:rsidRPr="001A47F8">
              <w:rPr>
                <w:sz w:val="18"/>
                <w:szCs w:val="18"/>
              </w:rPr>
              <w:noBreakHyphen/>
            </w:r>
          </w:p>
        </w:tc>
        <w:tc>
          <w:tcPr>
            <w:tcW w:w="507" w:type="pct"/>
            <w:vAlign w:val="bottom"/>
          </w:tcPr>
          <w:p w:rsidR="006B09D8" w:rsidRPr="001A47F8" w:rsidRDefault="006B09D8" w:rsidP="001B56F1">
            <w:pPr>
              <w:pStyle w:val="TableBodyText"/>
              <w:rPr>
                <w:sz w:val="18"/>
                <w:szCs w:val="18"/>
              </w:rPr>
            </w:pPr>
            <w:r w:rsidRPr="001A47F8">
              <w:rPr>
                <w:sz w:val="18"/>
                <w:szCs w:val="18"/>
              </w:rPr>
              <w:t>1.2</w:t>
            </w:r>
          </w:p>
        </w:tc>
        <w:tc>
          <w:tcPr>
            <w:tcW w:w="507" w:type="pct"/>
            <w:shd w:val="clear" w:color="auto" w:fill="auto"/>
            <w:vAlign w:val="bottom"/>
          </w:tcPr>
          <w:p w:rsidR="006B09D8" w:rsidRPr="001A47F8" w:rsidRDefault="006B09D8" w:rsidP="001B56F1">
            <w:pPr>
              <w:pStyle w:val="TableBodyText"/>
              <w:rPr>
                <w:sz w:val="18"/>
                <w:szCs w:val="18"/>
              </w:rPr>
            </w:pPr>
            <w:r w:rsidRPr="001A47F8">
              <w:rPr>
                <w:sz w:val="18"/>
                <w:szCs w:val="18"/>
              </w:rPr>
              <w:t>2.2</w:t>
            </w:r>
          </w:p>
        </w:tc>
        <w:tc>
          <w:tcPr>
            <w:tcW w:w="505" w:type="pct"/>
            <w:shd w:val="clear" w:color="auto" w:fill="auto"/>
            <w:vAlign w:val="bottom"/>
          </w:tcPr>
          <w:p w:rsidR="006B09D8" w:rsidRPr="001A47F8" w:rsidRDefault="006B09D8" w:rsidP="001B56F1">
            <w:pPr>
              <w:pStyle w:val="TableBodyText"/>
              <w:rPr>
                <w:sz w:val="18"/>
                <w:szCs w:val="18"/>
              </w:rPr>
            </w:pPr>
            <w:r w:rsidRPr="001A47F8">
              <w:rPr>
                <w:sz w:val="18"/>
                <w:szCs w:val="18"/>
              </w:rPr>
              <w:t>2.8</w:t>
            </w:r>
          </w:p>
        </w:tc>
      </w:tr>
      <w:tr w:rsidR="006B09D8" w:rsidRPr="006C5A80" w:rsidTr="001B56F1">
        <w:tc>
          <w:tcPr>
            <w:tcW w:w="1960" w:type="pct"/>
            <w:vAlign w:val="bottom"/>
          </w:tcPr>
          <w:p w:rsidR="006B09D8" w:rsidRPr="00267504" w:rsidRDefault="006B09D8" w:rsidP="001B56F1">
            <w:pPr>
              <w:pStyle w:val="TableBodyText"/>
              <w:jc w:val="left"/>
              <w:rPr>
                <w:sz w:val="18"/>
                <w:szCs w:val="18"/>
              </w:rPr>
            </w:pPr>
            <w:r>
              <w:rPr>
                <w:sz w:val="18"/>
                <w:szCs w:val="18"/>
              </w:rPr>
              <w:t>Construction</w:t>
            </w:r>
          </w:p>
        </w:tc>
        <w:tc>
          <w:tcPr>
            <w:tcW w:w="507" w:type="pct"/>
            <w:vAlign w:val="bottom"/>
          </w:tcPr>
          <w:p w:rsidR="006B09D8" w:rsidRPr="001A47F8" w:rsidRDefault="006B09D8" w:rsidP="001B56F1">
            <w:pPr>
              <w:pStyle w:val="TableBodyText"/>
              <w:rPr>
                <w:sz w:val="18"/>
                <w:szCs w:val="18"/>
              </w:rPr>
            </w:pPr>
            <w:r w:rsidRPr="001A47F8">
              <w:rPr>
                <w:sz w:val="18"/>
                <w:szCs w:val="18"/>
              </w:rPr>
              <w:noBreakHyphen/>
            </w:r>
          </w:p>
        </w:tc>
        <w:tc>
          <w:tcPr>
            <w:tcW w:w="507" w:type="pct"/>
            <w:vAlign w:val="bottom"/>
          </w:tcPr>
          <w:p w:rsidR="006B09D8" w:rsidRPr="001A47F8" w:rsidRDefault="006B09D8"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6B09D8" w:rsidRPr="001A47F8" w:rsidRDefault="006B09D8" w:rsidP="001B56F1">
            <w:pPr>
              <w:pStyle w:val="TableBodyText"/>
              <w:rPr>
                <w:sz w:val="18"/>
                <w:szCs w:val="18"/>
              </w:rPr>
            </w:pPr>
            <w:r w:rsidRPr="001A47F8">
              <w:rPr>
                <w:sz w:val="18"/>
                <w:szCs w:val="18"/>
              </w:rPr>
              <w:noBreakHyphen/>
            </w:r>
          </w:p>
        </w:tc>
        <w:tc>
          <w:tcPr>
            <w:tcW w:w="507" w:type="pct"/>
            <w:vAlign w:val="bottom"/>
          </w:tcPr>
          <w:p w:rsidR="006B09D8" w:rsidRPr="001A47F8" w:rsidRDefault="006B09D8" w:rsidP="001B56F1">
            <w:pPr>
              <w:pStyle w:val="TableBodyText"/>
              <w:rPr>
                <w:sz w:val="18"/>
                <w:szCs w:val="18"/>
              </w:rPr>
            </w:pPr>
            <w:r w:rsidRPr="001A47F8">
              <w:rPr>
                <w:sz w:val="18"/>
                <w:szCs w:val="18"/>
              </w:rPr>
              <w:noBreakHyphen/>
            </w:r>
          </w:p>
        </w:tc>
        <w:tc>
          <w:tcPr>
            <w:tcW w:w="507" w:type="pct"/>
            <w:shd w:val="clear" w:color="auto" w:fill="auto"/>
            <w:vAlign w:val="bottom"/>
          </w:tcPr>
          <w:p w:rsidR="006B09D8" w:rsidRPr="001A47F8" w:rsidRDefault="006B09D8" w:rsidP="001B56F1">
            <w:pPr>
              <w:pStyle w:val="TableBodyText"/>
              <w:rPr>
                <w:sz w:val="18"/>
                <w:szCs w:val="18"/>
              </w:rPr>
            </w:pPr>
            <w:r w:rsidRPr="001A47F8">
              <w:rPr>
                <w:sz w:val="18"/>
                <w:szCs w:val="18"/>
              </w:rPr>
              <w:noBreakHyphen/>
            </w:r>
          </w:p>
        </w:tc>
        <w:tc>
          <w:tcPr>
            <w:tcW w:w="505" w:type="pct"/>
            <w:shd w:val="clear" w:color="auto" w:fill="auto"/>
            <w:vAlign w:val="bottom"/>
          </w:tcPr>
          <w:p w:rsidR="006B09D8" w:rsidRPr="001A47F8" w:rsidRDefault="006B09D8" w:rsidP="001B56F1">
            <w:pPr>
              <w:pStyle w:val="TableBodyText"/>
              <w:rPr>
                <w:sz w:val="18"/>
                <w:szCs w:val="18"/>
              </w:rPr>
            </w:pPr>
            <w:r w:rsidRPr="001A47F8">
              <w:rPr>
                <w:sz w:val="18"/>
                <w:szCs w:val="18"/>
              </w:rPr>
              <w:noBreakHyphen/>
            </w:r>
          </w:p>
        </w:tc>
      </w:tr>
      <w:tr w:rsidR="006B09D8" w:rsidRPr="006C5A80" w:rsidTr="001B56F1">
        <w:tc>
          <w:tcPr>
            <w:tcW w:w="1960" w:type="pct"/>
            <w:vAlign w:val="bottom"/>
          </w:tcPr>
          <w:p w:rsidR="006B09D8" w:rsidRPr="00267504" w:rsidRDefault="006B09D8" w:rsidP="001B56F1">
            <w:pPr>
              <w:pStyle w:val="TableBodyText"/>
              <w:jc w:val="left"/>
              <w:rPr>
                <w:sz w:val="18"/>
                <w:szCs w:val="18"/>
              </w:rPr>
            </w:pPr>
            <w:r w:rsidRPr="00267504">
              <w:rPr>
                <w:sz w:val="18"/>
                <w:szCs w:val="18"/>
              </w:rPr>
              <w:t>Information, media and telecommunications</w:t>
            </w:r>
          </w:p>
        </w:tc>
        <w:tc>
          <w:tcPr>
            <w:tcW w:w="507" w:type="pct"/>
            <w:vAlign w:val="bottom"/>
          </w:tcPr>
          <w:p w:rsidR="006B09D8" w:rsidRPr="001A47F8" w:rsidRDefault="006B09D8" w:rsidP="001B56F1">
            <w:pPr>
              <w:pStyle w:val="TableBodyText"/>
              <w:rPr>
                <w:sz w:val="18"/>
                <w:szCs w:val="18"/>
              </w:rPr>
            </w:pPr>
            <w:r w:rsidRPr="001A47F8">
              <w:rPr>
                <w:sz w:val="18"/>
                <w:szCs w:val="18"/>
              </w:rPr>
              <w:t>0.2</w:t>
            </w:r>
          </w:p>
        </w:tc>
        <w:tc>
          <w:tcPr>
            <w:tcW w:w="507" w:type="pct"/>
            <w:vAlign w:val="bottom"/>
          </w:tcPr>
          <w:p w:rsidR="006B09D8" w:rsidRPr="001A47F8" w:rsidRDefault="006B09D8" w:rsidP="001B56F1">
            <w:pPr>
              <w:pStyle w:val="TableBodyText"/>
              <w:rPr>
                <w:sz w:val="18"/>
                <w:szCs w:val="18"/>
              </w:rPr>
            </w:pPr>
            <w:r w:rsidRPr="001A47F8">
              <w:rPr>
                <w:sz w:val="18"/>
                <w:szCs w:val="18"/>
              </w:rPr>
              <w:noBreakHyphen/>
            </w:r>
          </w:p>
        </w:tc>
        <w:tc>
          <w:tcPr>
            <w:tcW w:w="507" w:type="pct"/>
            <w:vAlign w:val="bottom"/>
          </w:tcPr>
          <w:p w:rsidR="006B09D8" w:rsidRPr="001A47F8" w:rsidRDefault="006B09D8" w:rsidP="001B56F1">
            <w:pPr>
              <w:pStyle w:val="TableBodyText"/>
              <w:rPr>
                <w:sz w:val="18"/>
                <w:szCs w:val="18"/>
              </w:rPr>
            </w:pPr>
            <w:r w:rsidRPr="001A47F8">
              <w:rPr>
                <w:sz w:val="18"/>
                <w:szCs w:val="18"/>
              </w:rPr>
              <w:noBreakHyphen/>
            </w:r>
          </w:p>
        </w:tc>
        <w:tc>
          <w:tcPr>
            <w:tcW w:w="507" w:type="pct"/>
            <w:vAlign w:val="bottom"/>
          </w:tcPr>
          <w:p w:rsidR="006B09D8" w:rsidRPr="001A47F8" w:rsidRDefault="006B09D8"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shd w:val="clear" w:color="auto" w:fill="auto"/>
            <w:vAlign w:val="bottom"/>
          </w:tcPr>
          <w:p w:rsidR="006B09D8" w:rsidRPr="001A47F8" w:rsidRDefault="006B09D8" w:rsidP="001B56F1">
            <w:pPr>
              <w:pStyle w:val="TableBodyText"/>
              <w:rPr>
                <w:sz w:val="18"/>
                <w:szCs w:val="18"/>
              </w:rPr>
            </w:pPr>
            <w:r>
              <w:rPr>
                <w:sz w:val="18"/>
                <w:szCs w:val="18"/>
              </w:rPr>
              <w:t>&lt;</w:t>
            </w:r>
            <w:r w:rsidRPr="001A47F8">
              <w:rPr>
                <w:sz w:val="18"/>
                <w:szCs w:val="18"/>
              </w:rPr>
              <w:t>0.1</w:t>
            </w:r>
          </w:p>
        </w:tc>
        <w:tc>
          <w:tcPr>
            <w:tcW w:w="505" w:type="pct"/>
            <w:shd w:val="clear" w:color="auto" w:fill="auto"/>
            <w:vAlign w:val="bottom"/>
          </w:tcPr>
          <w:p w:rsidR="006B09D8" w:rsidRPr="001A47F8" w:rsidRDefault="006B09D8" w:rsidP="001B56F1">
            <w:pPr>
              <w:pStyle w:val="TableBodyText"/>
              <w:rPr>
                <w:sz w:val="18"/>
                <w:szCs w:val="18"/>
              </w:rPr>
            </w:pPr>
            <w:r w:rsidRPr="001A47F8">
              <w:rPr>
                <w:sz w:val="18"/>
                <w:szCs w:val="18"/>
              </w:rPr>
              <w:t>0.1</w:t>
            </w:r>
          </w:p>
        </w:tc>
      </w:tr>
      <w:tr w:rsidR="006B09D8" w:rsidRPr="006C5A80" w:rsidTr="001B56F1">
        <w:tc>
          <w:tcPr>
            <w:tcW w:w="1960" w:type="pct"/>
            <w:vAlign w:val="bottom"/>
          </w:tcPr>
          <w:p w:rsidR="006B09D8" w:rsidRPr="00267504" w:rsidRDefault="006B09D8" w:rsidP="001B56F1">
            <w:pPr>
              <w:pStyle w:val="TableBodyText"/>
              <w:jc w:val="left"/>
              <w:rPr>
                <w:sz w:val="18"/>
                <w:szCs w:val="18"/>
              </w:rPr>
            </w:pPr>
            <w:r w:rsidRPr="00267504">
              <w:rPr>
                <w:sz w:val="18"/>
                <w:szCs w:val="18"/>
              </w:rPr>
              <w:t>Financial and insurance services</w:t>
            </w:r>
          </w:p>
        </w:tc>
        <w:tc>
          <w:tcPr>
            <w:tcW w:w="507" w:type="pct"/>
            <w:vAlign w:val="bottom"/>
          </w:tcPr>
          <w:p w:rsidR="006B09D8" w:rsidRPr="001A47F8" w:rsidRDefault="006B09D8" w:rsidP="001B56F1">
            <w:pPr>
              <w:pStyle w:val="TableBodyText"/>
              <w:rPr>
                <w:sz w:val="18"/>
                <w:szCs w:val="18"/>
              </w:rPr>
            </w:pPr>
            <w:r w:rsidRPr="001A47F8">
              <w:rPr>
                <w:sz w:val="18"/>
                <w:szCs w:val="18"/>
              </w:rPr>
              <w:t>3.9</w:t>
            </w:r>
          </w:p>
        </w:tc>
        <w:tc>
          <w:tcPr>
            <w:tcW w:w="507" w:type="pct"/>
            <w:vAlign w:val="bottom"/>
          </w:tcPr>
          <w:p w:rsidR="006B09D8" w:rsidRPr="001A47F8" w:rsidRDefault="006B09D8" w:rsidP="001B56F1">
            <w:pPr>
              <w:pStyle w:val="TableBodyText"/>
              <w:rPr>
                <w:sz w:val="18"/>
                <w:szCs w:val="18"/>
              </w:rPr>
            </w:pPr>
            <w:r w:rsidRPr="001A47F8">
              <w:rPr>
                <w:sz w:val="18"/>
                <w:szCs w:val="18"/>
              </w:rPr>
              <w:t>3.1</w:t>
            </w:r>
          </w:p>
        </w:tc>
        <w:tc>
          <w:tcPr>
            <w:tcW w:w="507" w:type="pct"/>
            <w:vAlign w:val="bottom"/>
          </w:tcPr>
          <w:p w:rsidR="006B09D8" w:rsidRPr="001A47F8" w:rsidRDefault="006B09D8" w:rsidP="001B56F1">
            <w:pPr>
              <w:pStyle w:val="TableBodyText"/>
              <w:rPr>
                <w:sz w:val="18"/>
                <w:szCs w:val="18"/>
              </w:rPr>
            </w:pPr>
            <w:r w:rsidRPr="001A47F8">
              <w:rPr>
                <w:sz w:val="18"/>
                <w:szCs w:val="18"/>
              </w:rPr>
              <w:t>1.9</w:t>
            </w:r>
          </w:p>
        </w:tc>
        <w:tc>
          <w:tcPr>
            <w:tcW w:w="507" w:type="pct"/>
            <w:vAlign w:val="bottom"/>
          </w:tcPr>
          <w:p w:rsidR="006B09D8" w:rsidRPr="001A47F8" w:rsidRDefault="006B09D8" w:rsidP="001B56F1">
            <w:pPr>
              <w:pStyle w:val="TableBodyText"/>
              <w:rPr>
                <w:sz w:val="18"/>
                <w:szCs w:val="18"/>
              </w:rPr>
            </w:pPr>
            <w:r w:rsidRPr="001A47F8">
              <w:rPr>
                <w:sz w:val="18"/>
                <w:szCs w:val="18"/>
              </w:rPr>
              <w:t>3.0</w:t>
            </w:r>
          </w:p>
        </w:tc>
        <w:tc>
          <w:tcPr>
            <w:tcW w:w="507" w:type="pct"/>
            <w:shd w:val="clear" w:color="auto" w:fill="auto"/>
            <w:vAlign w:val="bottom"/>
          </w:tcPr>
          <w:p w:rsidR="006B09D8" w:rsidRPr="001A47F8" w:rsidRDefault="006B09D8" w:rsidP="001B56F1">
            <w:pPr>
              <w:pStyle w:val="TableBodyText"/>
              <w:rPr>
                <w:sz w:val="18"/>
                <w:szCs w:val="18"/>
              </w:rPr>
            </w:pPr>
            <w:r w:rsidRPr="001A47F8">
              <w:rPr>
                <w:sz w:val="18"/>
                <w:szCs w:val="18"/>
              </w:rPr>
              <w:t>5.3</w:t>
            </w:r>
          </w:p>
        </w:tc>
        <w:tc>
          <w:tcPr>
            <w:tcW w:w="505" w:type="pct"/>
            <w:shd w:val="clear" w:color="auto" w:fill="auto"/>
            <w:vAlign w:val="bottom"/>
          </w:tcPr>
          <w:p w:rsidR="006B09D8" w:rsidRPr="001A47F8" w:rsidRDefault="006B09D8" w:rsidP="001B56F1">
            <w:pPr>
              <w:pStyle w:val="TableBodyText"/>
              <w:rPr>
                <w:sz w:val="18"/>
                <w:szCs w:val="18"/>
              </w:rPr>
            </w:pPr>
            <w:r w:rsidRPr="001A47F8">
              <w:rPr>
                <w:sz w:val="18"/>
                <w:szCs w:val="18"/>
              </w:rPr>
              <w:t>6.9</w:t>
            </w:r>
          </w:p>
        </w:tc>
      </w:tr>
      <w:tr w:rsidR="006B09D8" w:rsidRPr="006C5A80" w:rsidTr="001B56F1">
        <w:tc>
          <w:tcPr>
            <w:tcW w:w="1960" w:type="pct"/>
            <w:vAlign w:val="bottom"/>
          </w:tcPr>
          <w:p w:rsidR="006B09D8" w:rsidRPr="00267504" w:rsidRDefault="006B09D8" w:rsidP="001B56F1">
            <w:pPr>
              <w:pStyle w:val="TableBodyText"/>
              <w:jc w:val="left"/>
              <w:rPr>
                <w:sz w:val="18"/>
                <w:szCs w:val="18"/>
              </w:rPr>
            </w:pPr>
            <w:r w:rsidRPr="00267504">
              <w:rPr>
                <w:sz w:val="18"/>
                <w:szCs w:val="18"/>
              </w:rPr>
              <w:t>Property, professional and administrative services</w:t>
            </w:r>
          </w:p>
        </w:tc>
        <w:tc>
          <w:tcPr>
            <w:tcW w:w="507" w:type="pct"/>
            <w:vAlign w:val="bottom"/>
          </w:tcPr>
          <w:p w:rsidR="006B09D8" w:rsidRPr="001A47F8" w:rsidRDefault="006B09D8" w:rsidP="001B56F1">
            <w:pPr>
              <w:pStyle w:val="TableBodyText"/>
              <w:rPr>
                <w:sz w:val="18"/>
                <w:szCs w:val="18"/>
              </w:rPr>
            </w:pPr>
            <w:r w:rsidRPr="001A47F8">
              <w:rPr>
                <w:sz w:val="18"/>
                <w:szCs w:val="18"/>
              </w:rPr>
              <w:t>3.8</w:t>
            </w:r>
          </w:p>
        </w:tc>
        <w:tc>
          <w:tcPr>
            <w:tcW w:w="507" w:type="pct"/>
            <w:vAlign w:val="bottom"/>
          </w:tcPr>
          <w:p w:rsidR="006B09D8" w:rsidRPr="001A47F8" w:rsidRDefault="006B09D8" w:rsidP="001B56F1">
            <w:pPr>
              <w:pStyle w:val="TableBodyText"/>
              <w:rPr>
                <w:sz w:val="18"/>
                <w:szCs w:val="18"/>
              </w:rPr>
            </w:pPr>
            <w:r w:rsidRPr="001A47F8">
              <w:rPr>
                <w:sz w:val="18"/>
                <w:szCs w:val="18"/>
              </w:rPr>
              <w:t>4.4</w:t>
            </w:r>
          </w:p>
        </w:tc>
        <w:tc>
          <w:tcPr>
            <w:tcW w:w="507" w:type="pct"/>
            <w:vAlign w:val="bottom"/>
          </w:tcPr>
          <w:p w:rsidR="006B09D8" w:rsidRPr="001A47F8" w:rsidRDefault="006B09D8" w:rsidP="001B56F1">
            <w:pPr>
              <w:pStyle w:val="TableBodyText"/>
              <w:rPr>
                <w:sz w:val="18"/>
                <w:szCs w:val="18"/>
              </w:rPr>
            </w:pPr>
            <w:r w:rsidRPr="001A47F8">
              <w:rPr>
                <w:sz w:val="18"/>
                <w:szCs w:val="18"/>
              </w:rPr>
              <w:t>2.3</w:t>
            </w:r>
          </w:p>
        </w:tc>
        <w:tc>
          <w:tcPr>
            <w:tcW w:w="507" w:type="pct"/>
            <w:vAlign w:val="bottom"/>
          </w:tcPr>
          <w:p w:rsidR="006B09D8" w:rsidRPr="001A47F8" w:rsidRDefault="006B09D8" w:rsidP="001B56F1">
            <w:pPr>
              <w:pStyle w:val="TableBodyText"/>
              <w:rPr>
                <w:sz w:val="18"/>
                <w:szCs w:val="18"/>
              </w:rPr>
            </w:pPr>
            <w:r w:rsidRPr="001A47F8">
              <w:rPr>
                <w:sz w:val="18"/>
                <w:szCs w:val="18"/>
              </w:rPr>
              <w:t>1.3</w:t>
            </w:r>
          </w:p>
        </w:tc>
        <w:tc>
          <w:tcPr>
            <w:tcW w:w="507" w:type="pct"/>
            <w:shd w:val="clear" w:color="auto" w:fill="auto"/>
            <w:vAlign w:val="bottom"/>
          </w:tcPr>
          <w:p w:rsidR="006B09D8" w:rsidRPr="001A47F8" w:rsidRDefault="006B09D8" w:rsidP="001B56F1">
            <w:pPr>
              <w:pStyle w:val="TableBodyText"/>
              <w:rPr>
                <w:sz w:val="18"/>
                <w:szCs w:val="18"/>
              </w:rPr>
            </w:pPr>
            <w:r w:rsidRPr="001A47F8">
              <w:rPr>
                <w:sz w:val="18"/>
                <w:szCs w:val="18"/>
              </w:rPr>
              <w:t>2.3</w:t>
            </w:r>
          </w:p>
        </w:tc>
        <w:tc>
          <w:tcPr>
            <w:tcW w:w="505" w:type="pct"/>
            <w:shd w:val="clear" w:color="auto" w:fill="auto"/>
            <w:vAlign w:val="bottom"/>
          </w:tcPr>
          <w:p w:rsidR="006B09D8" w:rsidRPr="001A47F8" w:rsidRDefault="006B09D8" w:rsidP="001B56F1">
            <w:pPr>
              <w:pStyle w:val="TableBodyText"/>
              <w:rPr>
                <w:sz w:val="18"/>
                <w:szCs w:val="18"/>
              </w:rPr>
            </w:pPr>
            <w:r w:rsidRPr="001A47F8">
              <w:rPr>
                <w:sz w:val="18"/>
                <w:szCs w:val="18"/>
              </w:rPr>
              <w:t>3.0</w:t>
            </w:r>
          </w:p>
        </w:tc>
      </w:tr>
      <w:tr w:rsidR="006B09D8" w:rsidRPr="006C5A80" w:rsidTr="001B56F1">
        <w:tc>
          <w:tcPr>
            <w:tcW w:w="1960" w:type="pct"/>
            <w:vAlign w:val="bottom"/>
          </w:tcPr>
          <w:p w:rsidR="006B09D8" w:rsidRPr="00267504" w:rsidRDefault="006B09D8" w:rsidP="001B56F1">
            <w:pPr>
              <w:pStyle w:val="TableBodyText"/>
              <w:jc w:val="left"/>
              <w:rPr>
                <w:sz w:val="18"/>
                <w:szCs w:val="18"/>
              </w:rPr>
            </w:pPr>
            <w:r w:rsidRPr="00267504">
              <w:rPr>
                <w:sz w:val="18"/>
                <w:szCs w:val="18"/>
              </w:rPr>
              <w:t>Health care and social assistance</w:t>
            </w:r>
          </w:p>
        </w:tc>
        <w:tc>
          <w:tcPr>
            <w:tcW w:w="507" w:type="pct"/>
            <w:vAlign w:val="bottom"/>
          </w:tcPr>
          <w:p w:rsidR="006B09D8" w:rsidRPr="001A47F8" w:rsidRDefault="006B09D8" w:rsidP="001B56F1">
            <w:pPr>
              <w:pStyle w:val="TableBodyText"/>
              <w:rPr>
                <w:sz w:val="18"/>
                <w:szCs w:val="18"/>
              </w:rPr>
            </w:pPr>
            <w:r w:rsidRPr="001A47F8">
              <w:rPr>
                <w:sz w:val="18"/>
                <w:szCs w:val="18"/>
              </w:rPr>
              <w:t>2.4</w:t>
            </w:r>
          </w:p>
        </w:tc>
        <w:tc>
          <w:tcPr>
            <w:tcW w:w="507" w:type="pct"/>
            <w:vAlign w:val="bottom"/>
          </w:tcPr>
          <w:p w:rsidR="006B09D8" w:rsidRPr="001A47F8" w:rsidRDefault="006B09D8" w:rsidP="001B56F1">
            <w:pPr>
              <w:pStyle w:val="TableBodyText"/>
              <w:rPr>
                <w:sz w:val="18"/>
                <w:szCs w:val="18"/>
              </w:rPr>
            </w:pPr>
            <w:r w:rsidRPr="001A47F8">
              <w:rPr>
                <w:sz w:val="18"/>
                <w:szCs w:val="18"/>
              </w:rPr>
              <w:noBreakHyphen/>
            </w:r>
          </w:p>
        </w:tc>
        <w:tc>
          <w:tcPr>
            <w:tcW w:w="507" w:type="pct"/>
            <w:vAlign w:val="bottom"/>
          </w:tcPr>
          <w:p w:rsidR="006B09D8" w:rsidRPr="001A47F8" w:rsidRDefault="006B09D8" w:rsidP="001B56F1">
            <w:pPr>
              <w:pStyle w:val="TableBodyText"/>
              <w:rPr>
                <w:sz w:val="18"/>
                <w:szCs w:val="18"/>
              </w:rPr>
            </w:pPr>
            <w:r w:rsidRPr="001A47F8">
              <w:rPr>
                <w:sz w:val="18"/>
                <w:szCs w:val="18"/>
              </w:rPr>
              <w:t>0.6</w:t>
            </w:r>
          </w:p>
        </w:tc>
        <w:tc>
          <w:tcPr>
            <w:tcW w:w="507" w:type="pct"/>
            <w:vAlign w:val="bottom"/>
          </w:tcPr>
          <w:p w:rsidR="006B09D8" w:rsidRPr="001A47F8" w:rsidRDefault="006B09D8" w:rsidP="001B56F1">
            <w:pPr>
              <w:pStyle w:val="TableBodyText"/>
              <w:rPr>
                <w:sz w:val="18"/>
                <w:szCs w:val="18"/>
              </w:rPr>
            </w:pPr>
            <w:r w:rsidRPr="001A47F8">
              <w:rPr>
                <w:sz w:val="18"/>
                <w:szCs w:val="18"/>
              </w:rPr>
              <w:t>0.7</w:t>
            </w:r>
          </w:p>
        </w:tc>
        <w:tc>
          <w:tcPr>
            <w:tcW w:w="507" w:type="pct"/>
            <w:shd w:val="clear" w:color="auto" w:fill="auto"/>
            <w:vAlign w:val="bottom"/>
          </w:tcPr>
          <w:p w:rsidR="006B09D8" w:rsidRPr="001A47F8" w:rsidRDefault="006B09D8" w:rsidP="001B56F1">
            <w:pPr>
              <w:pStyle w:val="TableBodyText"/>
              <w:rPr>
                <w:sz w:val="18"/>
                <w:szCs w:val="18"/>
              </w:rPr>
            </w:pPr>
            <w:r w:rsidRPr="001A47F8">
              <w:rPr>
                <w:sz w:val="18"/>
                <w:szCs w:val="18"/>
              </w:rPr>
              <w:t>1.2</w:t>
            </w:r>
          </w:p>
        </w:tc>
        <w:tc>
          <w:tcPr>
            <w:tcW w:w="505" w:type="pct"/>
            <w:shd w:val="clear" w:color="auto" w:fill="auto"/>
            <w:vAlign w:val="bottom"/>
          </w:tcPr>
          <w:p w:rsidR="006B09D8" w:rsidRPr="001A47F8" w:rsidRDefault="006B09D8" w:rsidP="001B56F1">
            <w:pPr>
              <w:pStyle w:val="TableBodyText"/>
              <w:rPr>
                <w:sz w:val="18"/>
                <w:szCs w:val="18"/>
              </w:rPr>
            </w:pPr>
            <w:r w:rsidRPr="001A47F8">
              <w:rPr>
                <w:sz w:val="18"/>
                <w:szCs w:val="18"/>
              </w:rPr>
              <w:t>1.6</w:t>
            </w:r>
          </w:p>
        </w:tc>
      </w:tr>
      <w:tr w:rsidR="006B09D8" w:rsidRPr="006C5A80" w:rsidTr="001B56F1">
        <w:tc>
          <w:tcPr>
            <w:tcW w:w="1960" w:type="pct"/>
            <w:vAlign w:val="bottom"/>
          </w:tcPr>
          <w:p w:rsidR="006B09D8" w:rsidRPr="00267504" w:rsidRDefault="006B09D8" w:rsidP="001B56F1">
            <w:pPr>
              <w:pStyle w:val="TableBodyText"/>
              <w:jc w:val="left"/>
              <w:rPr>
                <w:sz w:val="18"/>
                <w:szCs w:val="18"/>
              </w:rPr>
            </w:pPr>
            <w:r>
              <w:rPr>
                <w:sz w:val="18"/>
                <w:szCs w:val="18"/>
              </w:rPr>
              <w:t>Unallocated other</w:t>
            </w:r>
          </w:p>
        </w:tc>
        <w:tc>
          <w:tcPr>
            <w:tcW w:w="507" w:type="pct"/>
            <w:vAlign w:val="bottom"/>
          </w:tcPr>
          <w:p w:rsidR="006B09D8" w:rsidRPr="001A47F8" w:rsidRDefault="006B09D8" w:rsidP="001B56F1">
            <w:pPr>
              <w:pStyle w:val="TableBodyText"/>
              <w:rPr>
                <w:sz w:val="18"/>
                <w:szCs w:val="18"/>
              </w:rPr>
            </w:pPr>
            <w:r w:rsidRPr="001A47F8">
              <w:rPr>
                <w:sz w:val="18"/>
                <w:szCs w:val="18"/>
              </w:rPr>
              <w:noBreakHyphen/>
            </w:r>
          </w:p>
        </w:tc>
        <w:tc>
          <w:tcPr>
            <w:tcW w:w="507" w:type="pct"/>
            <w:vAlign w:val="bottom"/>
          </w:tcPr>
          <w:p w:rsidR="006B09D8" w:rsidRPr="001A47F8" w:rsidRDefault="006B09D8" w:rsidP="001B56F1">
            <w:pPr>
              <w:pStyle w:val="TableBodyText"/>
              <w:rPr>
                <w:sz w:val="18"/>
                <w:szCs w:val="18"/>
              </w:rPr>
            </w:pPr>
            <w:r w:rsidRPr="001A47F8">
              <w:rPr>
                <w:sz w:val="18"/>
                <w:szCs w:val="18"/>
              </w:rPr>
              <w:noBreakHyphen/>
            </w:r>
          </w:p>
        </w:tc>
        <w:tc>
          <w:tcPr>
            <w:tcW w:w="507" w:type="pct"/>
            <w:vAlign w:val="bottom"/>
          </w:tcPr>
          <w:p w:rsidR="006B09D8" w:rsidRPr="001A47F8" w:rsidRDefault="006B09D8" w:rsidP="001B56F1">
            <w:pPr>
              <w:pStyle w:val="TableBodyText"/>
              <w:rPr>
                <w:sz w:val="18"/>
                <w:szCs w:val="18"/>
              </w:rPr>
            </w:pPr>
            <w:r w:rsidRPr="001A47F8">
              <w:rPr>
                <w:sz w:val="18"/>
                <w:szCs w:val="18"/>
              </w:rPr>
              <w:t>2.6</w:t>
            </w:r>
          </w:p>
        </w:tc>
        <w:tc>
          <w:tcPr>
            <w:tcW w:w="507" w:type="pct"/>
            <w:vAlign w:val="bottom"/>
          </w:tcPr>
          <w:p w:rsidR="006B09D8" w:rsidRPr="001A47F8" w:rsidRDefault="006B09D8" w:rsidP="001B56F1">
            <w:pPr>
              <w:pStyle w:val="TableBodyText"/>
              <w:rPr>
                <w:sz w:val="18"/>
                <w:szCs w:val="18"/>
              </w:rPr>
            </w:pPr>
            <w:r w:rsidRPr="001A47F8">
              <w:rPr>
                <w:sz w:val="18"/>
                <w:szCs w:val="18"/>
              </w:rPr>
              <w:noBreakHyphen/>
            </w:r>
          </w:p>
        </w:tc>
        <w:tc>
          <w:tcPr>
            <w:tcW w:w="507" w:type="pct"/>
            <w:shd w:val="clear" w:color="auto" w:fill="auto"/>
            <w:vAlign w:val="bottom"/>
          </w:tcPr>
          <w:p w:rsidR="006B09D8" w:rsidRPr="001A47F8" w:rsidRDefault="006B09D8" w:rsidP="001B56F1">
            <w:pPr>
              <w:pStyle w:val="TableBodyText"/>
              <w:rPr>
                <w:sz w:val="18"/>
                <w:szCs w:val="18"/>
              </w:rPr>
            </w:pPr>
            <w:r w:rsidRPr="001A47F8">
              <w:rPr>
                <w:sz w:val="18"/>
                <w:szCs w:val="18"/>
              </w:rPr>
              <w:noBreakHyphen/>
            </w:r>
          </w:p>
        </w:tc>
        <w:tc>
          <w:tcPr>
            <w:tcW w:w="505" w:type="pct"/>
            <w:shd w:val="clear" w:color="auto" w:fill="auto"/>
            <w:vAlign w:val="bottom"/>
          </w:tcPr>
          <w:p w:rsidR="006B09D8" w:rsidRPr="001A47F8" w:rsidRDefault="006B09D8" w:rsidP="001B56F1">
            <w:pPr>
              <w:pStyle w:val="TableBodyText"/>
              <w:rPr>
                <w:sz w:val="18"/>
                <w:szCs w:val="18"/>
              </w:rPr>
            </w:pPr>
            <w:r w:rsidRPr="001A47F8">
              <w:rPr>
                <w:sz w:val="18"/>
                <w:szCs w:val="18"/>
              </w:rPr>
              <w:noBreakHyphen/>
            </w:r>
          </w:p>
        </w:tc>
      </w:tr>
      <w:tr w:rsidR="006B09D8" w:rsidRPr="006C5A80" w:rsidTr="001B56F1">
        <w:tc>
          <w:tcPr>
            <w:tcW w:w="1960" w:type="pct"/>
            <w:tcBorders>
              <w:bottom w:val="single" w:sz="4" w:space="0" w:color="auto"/>
            </w:tcBorders>
            <w:vAlign w:val="bottom"/>
          </w:tcPr>
          <w:p w:rsidR="006B09D8" w:rsidRPr="00267504" w:rsidRDefault="006B09D8" w:rsidP="001B56F1">
            <w:pPr>
              <w:pStyle w:val="TableBodyText"/>
              <w:jc w:val="left"/>
              <w:rPr>
                <w:b/>
                <w:bCs/>
                <w:sz w:val="18"/>
                <w:szCs w:val="18"/>
              </w:rPr>
            </w:pPr>
            <w:r w:rsidRPr="00267504">
              <w:rPr>
                <w:b/>
                <w:bCs/>
                <w:sz w:val="18"/>
                <w:szCs w:val="18"/>
              </w:rPr>
              <w:t>Total</w:t>
            </w:r>
          </w:p>
        </w:tc>
        <w:tc>
          <w:tcPr>
            <w:tcW w:w="507" w:type="pct"/>
            <w:tcBorders>
              <w:bottom w:val="single" w:sz="4" w:space="0" w:color="auto"/>
            </w:tcBorders>
            <w:vAlign w:val="bottom"/>
          </w:tcPr>
          <w:p w:rsidR="006B09D8" w:rsidRPr="00E2698B" w:rsidRDefault="006B09D8" w:rsidP="001B56F1">
            <w:pPr>
              <w:pStyle w:val="TableBodyText"/>
              <w:rPr>
                <w:b/>
                <w:sz w:val="18"/>
                <w:szCs w:val="18"/>
              </w:rPr>
            </w:pPr>
            <w:r w:rsidRPr="00E2698B">
              <w:rPr>
                <w:b/>
                <w:sz w:val="18"/>
                <w:szCs w:val="18"/>
              </w:rPr>
              <w:t>12.5</w:t>
            </w:r>
          </w:p>
        </w:tc>
        <w:tc>
          <w:tcPr>
            <w:tcW w:w="507" w:type="pct"/>
            <w:tcBorders>
              <w:bottom w:val="single" w:sz="4" w:space="0" w:color="auto"/>
            </w:tcBorders>
            <w:vAlign w:val="bottom"/>
          </w:tcPr>
          <w:p w:rsidR="006B09D8" w:rsidRPr="00E2698B" w:rsidRDefault="006B09D8" w:rsidP="001B56F1">
            <w:pPr>
              <w:pStyle w:val="TableBodyText"/>
              <w:rPr>
                <w:b/>
                <w:sz w:val="18"/>
                <w:szCs w:val="18"/>
              </w:rPr>
            </w:pPr>
            <w:r w:rsidRPr="00E2698B">
              <w:rPr>
                <w:b/>
                <w:sz w:val="18"/>
                <w:szCs w:val="18"/>
              </w:rPr>
              <w:t>12.1</w:t>
            </w:r>
          </w:p>
        </w:tc>
        <w:tc>
          <w:tcPr>
            <w:tcW w:w="507" w:type="pct"/>
            <w:tcBorders>
              <w:bottom w:val="single" w:sz="4" w:space="0" w:color="auto"/>
            </w:tcBorders>
            <w:vAlign w:val="bottom"/>
          </w:tcPr>
          <w:p w:rsidR="006B09D8" w:rsidRPr="00E2698B" w:rsidRDefault="006B09D8" w:rsidP="001B56F1">
            <w:pPr>
              <w:pStyle w:val="TableBodyText"/>
              <w:rPr>
                <w:b/>
                <w:sz w:val="18"/>
                <w:szCs w:val="18"/>
              </w:rPr>
            </w:pPr>
            <w:r w:rsidRPr="00E2698B">
              <w:rPr>
                <w:b/>
                <w:sz w:val="18"/>
                <w:szCs w:val="18"/>
              </w:rPr>
              <w:t>8.1</w:t>
            </w:r>
          </w:p>
        </w:tc>
        <w:tc>
          <w:tcPr>
            <w:tcW w:w="507" w:type="pct"/>
            <w:tcBorders>
              <w:bottom w:val="single" w:sz="4" w:space="0" w:color="auto"/>
            </w:tcBorders>
            <w:vAlign w:val="bottom"/>
          </w:tcPr>
          <w:p w:rsidR="006B09D8" w:rsidRPr="00E2698B" w:rsidRDefault="006B09D8" w:rsidP="001B56F1">
            <w:pPr>
              <w:pStyle w:val="TableBodyText"/>
              <w:rPr>
                <w:b/>
                <w:sz w:val="18"/>
                <w:szCs w:val="18"/>
              </w:rPr>
            </w:pPr>
            <w:r w:rsidRPr="00E2698B">
              <w:rPr>
                <w:b/>
                <w:sz w:val="18"/>
                <w:szCs w:val="18"/>
              </w:rPr>
              <w:t>7.0</w:t>
            </w:r>
          </w:p>
        </w:tc>
        <w:tc>
          <w:tcPr>
            <w:tcW w:w="507" w:type="pct"/>
            <w:tcBorders>
              <w:bottom w:val="single" w:sz="4" w:space="0" w:color="auto"/>
            </w:tcBorders>
            <w:shd w:val="clear" w:color="auto" w:fill="auto"/>
            <w:vAlign w:val="bottom"/>
          </w:tcPr>
          <w:p w:rsidR="006B09D8" w:rsidRPr="00E2698B" w:rsidRDefault="006B09D8" w:rsidP="001B56F1">
            <w:pPr>
              <w:pStyle w:val="TableBodyText"/>
              <w:rPr>
                <w:b/>
                <w:sz w:val="18"/>
                <w:szCs w:val="18"/>
              </w:rPr>
            </w:pPr>
            <w:r w:rsidRPr="00E2698B">
              <w:rPr>
                <w:b/>
                <w:sz w:val="18"/>
                <w:szCs w:val="18"/>
              </w:rPr>
              <w:t>12.2</w:t>
            </w:r>
          </w:p>
        </w:tc>
        <w:tc>
          <w:tcPr>
            <w:tcW w:w="505" w:type="pct"/>
            <w:tcBorders>
              <w:bottom w:val="single" w:sz="4" w:space="0" w:color="auto"/>
            </w:tcBorders>
            <w:shd w:val="clear" w:color="auto" w:fill="auto"/>
            <w:vAlign w:val="bottom"/>
          </w:tcPr>
          <w:p w:rsidR="006B09D8" w:rsidRPr="00E2698B" w:rsidRDefault="006B09D8" w:rsidP="001B56F1">
            <w:pPr>
              <w:pStyle w:val="TableBodyText"/>
              <w:rPr>
                <w:b/>
                <w:sz w:val="18"/>
                <w:szCs w:val="18"/>
              </w:rPr>
            </w:pPr>
            <w:r w:rsidRPr="00E2698B">
              <w:rPr>
                <w:b/>
                <w:sz w:val="18"/>
                <w:szCs w:val="18"/>
              </w:rPr>
              <w:t>15.9</w:t>
            </w:r>
          </w:p>
        </w:tc>
      </w:tr>
    </w:tbl>
    <w:p w:rsidR="006B09D8" w:rsidRPr="004D1CDF" w:rsidRDefault="006B09D8" w:rsidP="006B09D8">
      <w:pPr>
        <w:pStyle w:val="Source"/>
        <w:spacing w:after="0"/>
        <w:rPr>
          <w:i/>
        </w:rPr>
      </w:pPr>
      <w:r w:rsidRPr="00A2379F">
        <w:noBreakHyphen/>
        <w:t xml:space="preserve"> </w:t>
      </w:r>
      <w:r>
        <w:t>Nil</w:t>
      </w:r>
      <w:r w:rsidRPr="00A2379F">
        <w:t>.</w:t>
      </w:r>
    </w:p>
    <w:p w:rsidR="006B09D8" w:rsidRPr="008E77FE" w:rsidRDefault="006B09D8" w:rsidP="006B09D8">
      <w:pPr>
        <w:pStyle w:val="Source"/>
      </w:pPr>
      <w:r>
        <w:rPr>
          <w:i/>
        </w:rPr>
        <w:t>Sources</w:t>
      </w:r>
      <w:r>
        <w:t xml:space="preserve">: </w:t>
      </w:r>
      <w:r w:rsidRPr="002476ED">
        <w:t xml:space="preserve">Commission estimates based on </w:t>
      </w:r>
      <w:r>
        <w:t>Innovation Australia Annual Report 2011</w:t>
      </w:r>
      <w:r>
        <w:noBreakHyphen/>
        <w:t>12; DIISR Annual Report 2010</w:t>
      </w:r>
      <w:r>
        <w:noBreakHyphen/>
        <w:t>11 (and earlier years); Department of Industry, Tourism and Resources Annual Report 2006</w:t>
      </w:r>
      <w:r>
        <w:noBreakHyphen/>
        <w:t>07; and detailed DIISR data by ANZSIC industry.</w:t>
      </w:r>
    </w:p>
    <w:p w:rsidR="0025286F" w:rsidRPr="0025286F" w:rsidRDefault="00FA09C3" w:rsidP="0025286F">
      <w:pPr>
        <w:pStyle w:val="Heading2"/>
      </w:pPr>
      <w:r>
        <w:t>A.</w:t>
      </w:r>
      <w:r>
        <w:rPr>
          <w:noProof/>
        </w:rPr>
        <w:t>63</w:t>
      </w:r>
      <w:r w:rsidR="007F64A7">
        <w:tab/>
        <w:t>Small business – simplified depreciation rules</w:t>
      </w:r>
    </w:p>
    <w:p w:rsidR="007F64A7" w:rsidRPr="00741843" w:rsidRDefault="007F64A7" w:rsidP="0025286F">
      <w:pPr>
        <w:pStyle w:val="BodyText"/>
      </w:pPr>
      <w:r w:rsidRPr="00741843">
        <w:t>From 2012</w:t>
      </w:r>
      <w:r w:rsidR="00730C2D" w:rsidRPr="00741843">
        <w:noBreakHyphen/>
      </w:r>
      <w:r w:rsidRPr="00741843">
        <w:t>13, small businesses with an aggregated annual turnover of less than $2 million can immediately write off (deduct) assets costing less than $6 500 (</w:t>
      </w:r>
      <w:r w:rsidRPr="0025286F">
        <w:t>Tax Expenditure Statement, Australian Government 2013, item B104</w:t>
      </w:r>
      <w:r w:rsidRPr="00741843">
        <w:t xml:space="preserve">). Assets costing more than $6 500 can be depreciated in a single pool (the general small business pool) at a rate of 30 per cent (15 per cent in the first year). Small businesses will also be able to immediately write off up to $5 000 for motor vehicles (new and used) purchased </w:t>
      </w:r>
      <w:r w:rsidR="00730C2D" w:rsidRPr="00741843">
        <w:t>after</w:t>
      </w:r>
      <w:r w:rsidRPr="00741843">
        <w:t xml:space="preserve"> 2012</w:t>
      </w:r>
      <w:r w:rsidRPr="00741843">
        <w:noBreakHyphen/>
        <w:t xml:space="preserve">13. The remainder of the value of a motor vehicle </w:t>
      </w:r>
      <w:r w:rsidR="00730C2D" w:rsidRPr="00741843">
        <w:t xml:space="preserve">can </w:t>
      </w:r>
      <w:r w:rsidRPr="00741843">
        <w:t>be depreciated in the general small business pool.</w:t>
      </w:r>
    </w:p>
    <w:p w:rsidR="007F64A7" w:rsidRPr="00741843" w:rsidRDefault="007F64A7" w:rsidP="00750CB0">
      <w:pPr>
        <w:pStyle w:val="BodyText"/>
      </w:pPr>
      <w:r w:rsidRPr="00DC0DD6">
        <w:t xml:space="preserve">Information on the industry incidence of the program has not been readily available. Accordingly, the taxation concession has been classified to the </w:t>
      </w:r>
      <w:r w:rsidRPr="00DC0DD6">
        <w:rPr>
          <w:i/>
        </w:rPr>
        <w:t>Unallocated other</w:t>
      </w:r>
      <w:r w:rsidRPr="00DC0DD6">
        <w:t xml:space="preserve"> industry grouping in the Commission’s ANZSIC-based classification</w:t>
      </w:r>
      <w:r w:rsidRPr="00741843">
        <w:t xml:space="preserve"> (table</w:t>
      </w:r>
      <w:r w:rsidR="00160387" w:rsidRPr="00741843">
        <w:t> </w:t>
      </w:r>
      <w:r w:rsidRPr="00741843">
        <w:t>A.6</w:t>
      </w:r>
      <w:r w:rsidR="00C75068" w:rsidRPr="00741843">
        <w:t>3</w:t>
      </w:r>
      <w:r w:rsidRPr="00741843">
        <w:t>).</w:t>
      </w:r>
    </w:p>
    <w:p w:rsidR="007F64A7" w:rsidRDefault="007F64A7" w:rsidP="007F64A7">
      <w:pPr>
        <w:pStyle w:val="TableTitle"/>
      </w:pPr>
      <w:r>
        <w:rPr>
          <w:b w:val="0"/>
        </w:rPr>
        <w:t xml:space="preserve">Table </w:t>
      </w:r>
      <w:r w:rsidR="00FA09C3">
        <w:rPr>
          <w:b w:val="0"/>
        </w:rPr>
        <w:t>A.</w:t>
      </w:r>
      <w:r w:rsidR="00FA09C3">
        <w:rPr>
          <w:b w:val="0"/>
          <w:noProof/>
        </w:rPr>
        <w:t>63</w:t>
      </w:r>
      <w:r>
        <w:tab/>
        <w:t>Allocation of Small Business – simplified depreciation rules</w:t>
      </w:r>
      <w:r w:rsidR="0013131E" w:rsidRPr="0013131E">
        <w:t xml:space="preserve"> to industry</w:t>
      </w:r>
      <w:r>
        <w:t>, 2006</w:t>
      </w:r>
      <w:r>
        <w:noBreakHyphen/>
        <w:t>07 to 2011</w:t>
      </w:r>
      <w:r>
        <w:noBreakHyphen/>
        <w:t>12</w:t>
      </w:r>
    </w:p>
    <w:p w:rsidR="007F64A7" w:rsidRDefault="007F64A7" w:rsidP="007F64A7">
      <w:pPr>
        <w:pStyle w:val="Subtitle"/>
      </w:pPr>
      <w:r>
        <w:t>$</w:t>
      </w:r>
      <w:r w:rsidR="00730C2D">
        <w:t xml:space="preserve"> </w:t>
      </w:r>
      <w:r>
        <w:t>million (nominal)</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7F64A7" w:rsidRPr="00AF699A" w:rsidTr="001B56F1">
        <w:tc>
          <w:tcPr>
            <w:tcW w:w="1958" w:type="pct"/>
            <w:tcBorders>
              <w:top w:val="single" w:sz="6" w:space="0" w:color="auto"/>
              <w:bottom w:val="single" w:sz="6" w:space="0" w:color="auto"/>
            </w:tcBorders>
          </w:tcPr>
          <w:p w:rsidR="007F64A7" w:rsidRPr="00AF699A" w:rsidRDefault="007F64A7"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7F64A7" w:rsidRPr="00AF699A" w:rsidRDefault="007F64A7"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7F64A7" w:rsidRPr="00AF699A" w:rsidRDefault="007F64A7"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7F64A7" w:rsidRPr="00AF699A" w:rsidRDefault="007F64A7"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7F64A7" w:rsidRPr="00AF699A" w:rsidRDefault="007F64A7"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7F64A7" w:rsidRPr="00AF699A" w:rsidRDefault="007F64A7" w:rsidP="001B56F1">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7F64A7" w:rsidRPr="00AF699A" w:rsidRDefault="007F64A7" w:rsidP="001B56F1">
            <w:pPr>
              <w:pStyle w:val="TableColumnHeading"/>
              <w:ind w:right="28"/>
              <w:rPr>
                <w:rFonts w:cs="Arial"/>
                <w:sz w:val="18"/>
                <w:szCs w:val="18"/>
              </w:rPr>
            </w:pPr>
            <w:r w:rsidRPr="00AF699A">
              <w:rPr>
                <w:rFonts w:cs="Arial"/>
                <w:sz w:val="18"/>
                <w:szCs w:val="18"/>
              </w:rPr>
              <w:t>2011-12</w:t>
            </w:r>
          </w:p>
        </w:tc>
      </w:tr>
      <w:tr w:rsidR="007F64A7" w:rsidRPr="006C5A80" w:rsidTr="001B56F1">
        <w:tc>
          <w:tcPr>
            <w:tcW w:w="1958" w:type="pct"/>
            <w:tcBorders>
              <w:bottom w:val="single" w:sz="4" w:space="0" w:color="auto"/>
            </w:tcBorders>
            <w:vAlign w:val="bottom"/>
          </w:tcPr>
          <w:p w:rsidR="007F64A7" w:rsidRPr="00703CEC" w:rsidRDefault="007F64A7" w:rsidP="001B56F1">
            <w:pPr>
              <w:pStyle w:val="TableBodyText"/>
              <w:jc w:val="left"/>
            </w:pPr>
            <w:r w:rsidRPr="00703CEC">
              <w:t>Unallocated other</w:t>
            </w:r>
            <w:r w:rsidRPr="00BD3CDA">
              <w:rPr>
                <w:rStyle w:val="NoteLabel"/>
                <w:szCs w:val="18"/>
              </w:rPr>
              <w:t>a</w:t>
            </w:r>
          </w:p>
        </w:tc>
        <w:tc>
          <w:tcPr>
            <w:tcW w:w="507" w:type="pct"/>
            <w:tcBorders>
              <w:bottom w:val="single" w:sz="4" w:space="0" w:color="auto"/>
            </w:tcBorders>
            <w:vAlign w:val="bottom"/>
          </w:tcPr>
          <w:p w:rsidR="007F64A7" w:rsidRPr="00703CEC" w:rsidRDefault="007F64A7" w:rsidP="001B56F1">
            <w:pPr>
              <w:pStyle w:val="TableBodyText"/>
            </w:pPr>
            <w:r>
              <w:noBreakHyphen/>
            </w:r>
          </w:p>
        </w:tc>
        <w:tc>
          <w:tcPr>
            <w:tcW w:w="507" w:type="pct"/>
            <w:tcBorders>
              <w:bottom w:val="single" w:sz="4" w:space="0" w:color="auto"/>
            </w:tcBorders>
            <w:vAlign w:val="bottom"/>
          </w:tcPr>
          <w:p w:rsidR="007F64A7" w:rsidRPr="00703CEC" w:rsidRDefault="007F64A7" w:rsidP="001B56F1">
            <w:pPr>
              <w:pStyle w:val="TableBodyText"/>
            </w:pPr>
            <w:r>
              <w:noBreakHyphen/>
            </w:r>
          </w:p>
        </w:tc>
        <w:tc>
          <w:tcPr>
            <w:tcW w:w="507" w:type="pct"/>
            <w:tcBorders>
              <w:bottom w:val="single" w:sz="4" w:space="0" w:color="auto"/>
            </w:tcBorders>
            <w:vAlign w:val="bottom"/>
          </w:tcPr>
          <w:p w:rsidR="007F64A7" w:rsidRPr="00703CEC" w:rsidRDefault="007F64A7" w:rsidP="001B56F1">
            <w:pPr>
              <w:pStyle w:val="TableBodyText"/>
            </w:pPr>
            <w:r w:rsidRPr="00703CEC">
              <w:t>60</w:t>
            </w:r>
            <w:r>
              <w:t>.0</w:t>
            </w:r>
          </w:p>
        </w:tc>
        <w:tc>
          <w:tcPr>
            <w:tcW w:w="507" w:type="pct"/>
            <w:tcBorders>
              <w:bottom w:val="single" w:sz="4" w:space="0" w:color="auto"/>
            </w:tcBorders>
            <w:vAlign w:val="bottom"/>
          </w:tcPr>
          <w:p w:rsidR="007F64A7" w:rsidRPr="00703CEC" w:rsidRDefault="007F64A7" w:rsidP="001B56F1">
            <w:pPr>
              <w:pStyle w:val="TableBodyText"/>
            </w:pPr>
            <w:r w:rsidRPr="00703CEC">
              <w:t>90</w:t>
            </w:r>
            <w:r>
              <w:t>.0</w:t>
            </w:r>
          </w:p>
        </w:tc>
        <w:tc>
          <w:tcPr>
            <w:tcW w:w="507" w:type="pct"/>
            <w:tcBorders>
              <w:bottom w:val="single" w:sz="4" w:space="0" w:color="auto"/>
            </w:tcBorders>
            <w:shd w:val="clear" w:color="auto" w:fill="auto"/>
            <w:vAlign w:val="bottom"/>
          </w:tcPr>
          <w:p w:rsidR="007F64A7" w:rsidRPr="00703CEC" w:rsidRDefault="007F64A7" w:rsidP="001B56F1">
            <w:pPr>
              <w:pStyle w:val="TableBodyText"/>
            </w:pPr>
            <w:r w:rsidRPr="00703CEC">
              <w:t>170</w:t>
            </w:r>
            <w:r>
              <w:t>.0</w:t>
            </w:r>
          </w:p>
        </w:tc>
        <w:tc>
          <w:tcPr>
            <w:tcW w:w="507" w:type="pct"/>
            <w:tcBorders>
              <w:bottom w:val="single" w:sz="4" w:space="0" w:color="auto"/>
            </w:tcBorders>
            <w:shd w:val="clear" w:color="auto" w:fill="auto"/>
            <w:vAlign w:val="bottom"/>
          </w:tcPr>
          <w:p w:rsidR="007F64A7" w:rsidRPr="00703CEC" w:rsidRDefault="007F64A7" w:rsidP="001B56F1">
            <w:pPr>
              <w:pStyle w:val="TableBodyText"/>
            </w:pPr>
            <w:r w:rsidRPr="00703CEC">
              <w:t>15</w:t>
            </w:r>
            <w:r>
              <w:t>.0</w:t>
            </w:r>
          </w:p>
        </w:tc>
      </w:tr>
    </w:tbl>
    <w:p w:rsidR="007F64A7" w:rsidRDefault="007F64A7" w:rsidP="007F64A7">
      <w:pPr>
        <w:pStyle w:val="Note"/>
      </w:pPr>
      <w:r w:rsidRPr="00A2379F">
        <w:noBreakHyphen/>
        <w:t xml:space="preserve"> Nil</w:t>
      </w:r>
      <w:r>
        <w:t xml:space="preserve">. </w:t>
      </w:r>
      <w:r w:rsidRPr="009B56F1">
        <w:rPr>
          <w:rStyle w:val="NoteLabel"/>
        </w:rPr>
        <w:t>a</w:t>
      </w:r>
      <w:r w:rsidRPr="009B56F1">
        <w:t xml:space="preserve"> Unallocated includes general programs where detai</w:t>
      </w:r>
      <w:r>
        <w:t>ls of beneficiaries are unknown.</w:t>
      </w:r>
    </w:p>
    <w:p w:rsidR="007F64A7" w:rsidRPr="008E77FE" w:rsidRDefault="007F64A7" w:rsidP="007F64A7">
      <w:pPr>
        <w:pStyle w:val="Source"/>
      </w:pPr>
      <w:r>
        <w:rPr>
          <w:i/>
        </w:rPr>
        <w:t>Source</w:t>
      </w:r>
      <w:r>
        <w:t>: Commission estimates based on Tax Expenditure Statement 2012, Australian Government 2013, p. 115, item B104.</w:t>
      </w:r>
    </w:p>
    <w:p w:rsidR="00D406AC" w:rsidRDefault="00FA09C3" w:rsidP="00D406AC">
      <w:pPr>
        <w:pStyle w:val="Heading2"/>
      </w:pPr>
      <w:r>
        <w:t>A.</w:t>
      </w:r>
      <w:r>
        <w:rPr>
          <w:noProof/>
        </w:rPr>
        <w:t>64</w:t>
      </w:r>
      <w:r w:rsidR="00D406AC">
        <w:tab/>
        <w:t>Indigenous Broadcasting Program</w:t>
      </w:r>
    </w:p>
    <w:p w:rsidR="00D406AC" w:rsidRDefault="00D406AC" w:rsidP="00D406AC">
      <w:pPr>
        <w:pStyle w:val="BodyText"/>
      </w:pPr>
      <w:r>
        <w:t xml:space="preserve">The Indigenous Broadcasting </w:t>
      </w:r>
      <w:r w:rsidR="00730C2D">
        <w:t xml:space="preserve">Program </w:t>
      </w:r>
      <w:r>
        <w:t>supports Indigenous community radio broadcasting and provides financial assistance to address the broadcasting needs of Indigenous people living in remote, regional and urban areas in Australia (</w:t>
      </w:r>
      <w:r w:rsidRPr="00DC0DD6">
        <w:t>Department of Communications 2013b</w:t>
      </w:r>
      <w:r>
        <w:t>).</w:t>
      </w:r>
    </w:p>
    <w:p w:rsidR="002A0A03" w:rsidRDefault="00D406AC" w:rsidP="00CB2252">
      <w:pPr>
        <w:pStyle w:val="BodyText"/>
      </w:pPr>
      <w:r>
        <w:t xml:space="preserve">The funding has been recorded against the </w:t>
      </w:r>
      <w:r>
        <w:rPr>
          <w:i/>
        </w:rPr>
        <w:t>Arts and recreation services</w:t>
      </w:r>
      <w:r>
        <w:t xml:space="preserve"> industry grouping in the Commission’s ANZSIC-based classification (table A.6</w:t>
      </w:r>
      <w:r w:rsidR="00C75068">
        <w:t>4</w:t>
      </w:r>
      <w:r>
        <w:t>).</w:t>
      </w:r>
    </w:p>
    <w:p w:rsidR="00D406AC" w:rsidRDefault="00D406AC" w:rsidP="00D406AC">
      <w:pPr>
        <w:pStyle w:val="TableTitle"/>
      </w:pPr>
      <w:r>
        <w:rPr>
          <w:b w:val="0"/>
        </w:rPr>
        <w:t xml:space="preserve">Table </w:t>
      </w:r>
      <w:r w:rsidR="00FA09C3">
        <w:rPr>
          <w:b w:val="0"/>
        </w:rPr>
        <w:t>A.</w:t>
      </w:r>
      <w:r w:rsidR="00FA09C3">
        <w:rPr>
          <w:b w:val="0"/>
          <w:noProof/>
        </w:rPr>
        <w:t>64</w:t>
      </w:r>
      <w:r>
        <w:tab/>
        <w:t>Allocation of Indigenous Broadcasting Program</w:t>
      </w:r>
      <w:r w:rsidR="0013131E" w:rsidRPr="0013131E">
        <w:t xml:space="preserve"> to industry</w:t>
      </w:r>
      <w:r>
        <w:t>, 2006</w:t>
      </w:r>
      <w:r>
        <w:noBreakHyphen/>
        <w:t>07 to 2011</w:t>
      </w:r>
      <w:r>
        <w:noBreakHyphen/>
        <w:t>12</w:t>
      </w:r>
    </w:p>
    <w:p w:rsidR="00D406AC" w:rsidRDefault="00D406AC" w:rsidP="00D406AC">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D406AC" w:rsidRPr="00AF699A" w:rsidTr="001B56F1">
        <w:tc>
          <w:tcPr>
            <w:tcW w:w="1960" w:type="pct"/>
            <w:tcBorders>
              <w:top w:val="single" w:sz="6" w:space="0" w:color="auto"/>
              <w:bottom w:val="single" w:sz="6" w:space="0" w:color="auto"/>
            </w:tcBorders>
          </w:tcPr>
          <w:p w:rsidR="00D406AC" w:rsidRPr="00AF699A" w:rsidRDefault="00D406AC"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D406AC" w:rsidRPr="00AF699A" w:rsidRDefault="00D406AC"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D406AC" w:rsidRPr="00AF699A" w:rsidRDefault="00D406AC"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D406AC" w:rsidRPr="00AF699A" w:rsidRDefault="00D406AC"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D406AC" w:rsidRPr="00AF699A" w:rsidRDefault="00D406AC"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D406AC" w:rsidRPr="00AF699A" w:rsidRDefault="00D406AC"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D406AC" w:rsidRPr="00AF699A" w:rsidRDefault="00D406AC" w:rsidP="001B56F1">
            <w:pPr>
              <w:pStyle w:val="TableColumnHeading"/>
              <w:ind w:right="28"/>
              <w:rPr>
                <w:rFonts w:cs="Arial"/>
                <w:sz w:val="18"/>
                <w:szCs w:val="18"/>
              </w:rPr>
            </w:pPr>
            <w:r w:rsidRPr="00AF699A">
              <w:rPr>
                <w:rFonts w:cs="Arial"/>
                <w:sz w:val="18"/>
                <w:szCs w:val="18"/>
              </w:rPr>
              <w:t>2011-12</w:t>
            </w:r>
          </w:p>
        </w:tc>
      </w:tr>
      <w:tr w:rsidR="00D406AC" w:rsidRPr="006C5A80" w:rsidTr="001B56F1">
        <w:tc>
          <w:tcPr>
            <w:tcW w:w="1960" w:type="pct"/>
            <w:tcBorders>
              <w:bottom w:val="single" w:sz="4" w:space="0" w:color="auto"/>
            </w:tcBorders>
            <w:vAlign w:val="bottom"/>
          </w:tcPr>
          <w:p w:rsidR="00D406AC" w:rsidRPr="00C944BA" w:rsidRDefault="00D406AC" w:rsidP="001B56F1">
            <w:pPr>
              <w:pStyle w:val="TableBodyText"/>
              <w:jc w:val="left"/>
            </w:pPr>
            <w:r>
              <w:t>Arts and recreation services</w:t>
            </w:r>
          </w:p>
        </w:tc>
        <w:tc>
          <w:tcPr>
            <w:tcW w:w="507" w:type="pct"/>
            <w:tcBorders>
              <w:bottom w:val="single" w:sz="4" w:space="0" w:color="auto"/>
            </w:tcBorders>
            <w:vAlign w:val="bottom"/>
          </w:tcPr>
          <w:p w:rsidR="00D406AC" w:rsidRDefault="00D406AC" w:rsidP="001B56F1">
            <w:pPr>
              <w:pStyle w:val="TableBodyText"/>
            </w:pPr>
            <w:r>
              <w:t>13.6</w:t>
            </w:r>
          </w:p>
        </w:tc>
        <w:tc>
          <w:tcPr>
            <w:tcW w:w="507" w:type="pct"/>
            <w:tcBorders>
              <w:bottom w:val="single" w:sz="4" w:space="0" w:color="auto"/>
            </w:tcBorders>
            <w:vAlign w:val="bottom"/>
          </w:tcPr>
          <w:p w:rsidR="00D406AC" w:rsidRDefault="00D406AC" w:rsidP="001B56F1">
            <w:pPr>
              <w:pStyle w:val="TableBodyText"/>
            </w:pPr>
            <w:r>
              <w:t>14.0</w:t>
            </w:r>
          </w:p>
        </w:tc>
        <w:tc>
          <w:tcPr>
            <w:tcW w:w="507" w:type="pct"/>
            <w:tcBorders>
              <w:bottom w:val="single" w:sz="4" w:space="0" w:color="auto"/>
            </w:tcBorders>
            <w:vAlign w:val="bottom"/>
          </w:tcPr>
          <w:p w:rsidR="00D406AC" w:rsidRDefault="00D406AC" w:rsidP="001B56F1">
            <w:pPr>
              <w:pStyle w:val="TableBodyText"/>
            </w:pPr>
            <w:r>
              <w:t>13.7</w:t>
            </w:r>
          </w:p>
        </w:tc>
        <w:tc>
          <w:tcPr>
            <w:tcW w:w="507" w:type="pct"/>
            <w:tcBorders>
              <w:bottom w:val="single" w:sz="4" w:space="0" w:color="auto"/>
            </w:tcBorders>
            <w:vAlign w:val="bottom"/>
          </w:tcPr>
          <w:p w:rsidR="00D406AC" w:rsidRDefault="00D406AC" w:rsidP="001B56F1">
            <w:pPr>
              <w:pStyle w:val="TableBodyText"/>
            </w:pPr>
            <w:r>
              <w:t>14.4</w:t>
            </w:r>
          </w:p>
        </w:tc>
        <w:tc>
          <w:tcPr>
            <w:tcW w:w="507" w:type="pct"/>
            <w:tcBorders>
              <w:bottom w:val="single" w:sz="4" w:space="0" w:color="auto"/>
            </w:tcBorders>
            <w:shd w:val="clear" w:color="auto" w:fill="auto"/>
            <w:vAlign w:val="bottom"/>
          </w:tcPr>
          <w:p w:rsidR="00D406AC" w:rsidRDefault="00D406AC" w:rsidP="001B56F1">
            <w:pPr>
              <w:pStyle w:val="TableBodyText"/>
            </w:pPr>
            <w:r>
              <w:t>14.7</w:t>
            </w:r>
          </w:p>
        </w:tc>
        <w:tc>
          <w:tcPr>
            <w:tcW w:w="505" w:type="pct"/>
            <w:tcBorders>
              <w:bottom w:val="single" w:sz="4" w:space="0" w:color="auto"/>
            </w:tcBorders>
            <w:shd w:val="clear" w:color="auto" w:fill="auto"/>
            <w:vAlign w:val="bottom"/>
          </w:tcPr>
          <w:p w:rsidR="00D406AC" w:rsidRDefault="00D406AC" w:rsidP="001B56F1">
            <w:pPr>
              <w:pStyle w:val="TableBodyText"/>
            </w:pPr>
            <w:r>
              <w:t>15.0</w:t>
            </w:r>
          </w:p>
        </w:tc>
      </w:tr>
    </w:tbl>
    <w:p w:rsidR="00D406AC" w:rsidRDefault="00D406AC" w:rsidP="00D406AC">
      <w:pPr>
        <w:pStyle w:val="Source"/>
      </w:pPr>
      <w:r>
        <w:rPr>
          <w:i/>
        </w:rPr>
        <w:t>Source</w:t>
      </w:r>
      <w:r w:rsidR="003C1A11">
        <w:rPr>
          <w:i/>
        </w:rPr>
        <w:t>s</w:t>
      </w:r>
      <w:r>
        <w:t>: Commission estimates based on Department of Broadband, Communications and the Digital Economy Indigenous Broadcasting Program funding recipients 2010</w:t>
      </w:r>
      <w:r>
        <w:noBreakHyphen/>
        <w:t>11, Department of the Environment, Water, Heritage and the Arts Annual Report 2009</w:t>
      </w:r>
      <w:r>
        <w:noBreakHyphen/>
        <w:t>10 (and earlier years) and Department of Communications, Information Technology and the Arts Annual Report 2006</w:t>
      </w:r>
      <w:r>
        <w:noBreakHyphen/>
        <w:t>07.</w:t>
      </w:r>
    </w:p>
    <w:p w:rsidR="00FB434F" w:rsidRDefault="00FA09C3" w:rsidP="00FB434F">
      <w:pPr>
        <w:pStyle w:val="Heading2"/>
      </w:pPr>
      <w:r>
        <w:t>A.</w:t>
      </w:r>
      <w:r>
        <w:rPr>
          <w:noProof/>
        </w:rPr>
        <w:t>65</w:t>
      </w:r>
      <w:r w:rsidR="00FB434F">
        <w:tab/>
        <w:t>Rural Industries Research and Development Corporation</w:t>
      </w:r>
    </w:p>
    <w:p w:rsidR="00FB434F" w:rsidRDefault="00FB434F" w:rsidP="00FB434F">
      <w:pPr>
        <w:pStyle w:val="BodyText"/>
      </w:pPr>
      <w:r>
        <w:t xml:space="preserve">The Rural Industries Research and Development Corporation (RIRDC) is a statutory authority established by the </w:t>
      </w:r>
      <w:r w:rsidRPr="0026021D">
        <w:rPr>
          <w:i/>
        </w:rPr>
        <w:t>Primary Industries and Energy Research and Development Act 1989</w:t>
      </w:r>
      <w:r>
        <w:t xml:space="preserve">. </w:t>
      </w:r>
      <w:r w:rsidR="00884C01">
        <w:t xml:space="preserve">RIRDC </w:t>
      </w:r>
      <w:r>
        <w:t>was established by the Australian Government to work with industry to invest in R&amp;D for a more profitable, sustainable and dynamic rural sector. The Australian Government’s intention for RIRDC is to achieve results from R&amp;D investments in three broad areas:</w:t>
      </w:r>
    </w:p>
    <w:p w:rsidR="00FB434F" w:rsidRDefault="00FB434F" w:rsidP="00FB434F">
      <w:pPr>
        <w:pStyle w:val="ListBullet"/>
      </w:pPr>
      <w:r>
        <w:t>new rural industries;</w:t>
      </w:r>
    </w:p>
    <w:p w:rsidR="00FB434F" w:rsidRDefault="00FB434F" w:rsidP="00FB434F">
      <w:pPr>
        <w:pStyle w:val="ListBullet"/>
      </w:pPr>
      <w:r>
        <w:t>specific established rural industries; and</w:t>
      </w:r>
    </w:p>
    <w:p w:rsidR="00FB434F" w:rsidRDefault="00FB434F" w:rsidP="00FB434F">
      <w:pPr>
        <w:pStyle w:val="ListBullet"/>
      </w:pPr>
      <w:r>
        <w:t>national rural issues.</w:t>
      </w:r>
    </w:p>
    <w:p w:rsidR="00FB434F" w:rsidRDefault="00FB434F" w:rsidP="00FB434F">
      <w:pPr>
        <w:pStyle w:val="BodyText"/>
      </w:pPr>
      <w:r>
        <w:t>RIRDC allocates funding to several ‘programs’, such as ‘emerging plant industries and products’, ‘fodder crops’ and ‘chicken meat’. While these programs are not classified by ANZSIC industry, a concordance has been developed to the Commission’s ANZSIC-based classification system. Some programs (such as chicken meat) are likely to assist a single industry and can be easily concorded</w:t>
      </w:r>
      <w:r w:rsidR="00884C01">
        <w:t xml:space="preserve">; </w:t>
      </w:r>
      <w:r>
        <w:t>however some other programs (such as farm diversification) are likely to assist several industries and cannot be easily concorded. Such programs have been assigned to unallocated primary production grouping (</w:t>
      </w:r>
      <w:r w:rsidRPr="00DC0DD6">
        <w:t>RIRDC 2012</w:t>
      </w:r>
      <w:r>
        <w:t xml:space="preserve">). </w:t>
      </w:r>
    </w:p>
    <w:p w:rsidR="00FB434F" w:rsidRDefault="00FB434F" w:rsidP="00FB434F">
      <w:pPr>
        <w:pStyle w:val="BodyText"/>
      </w:pPr>
      <w:r>
        <w:t>RIRDC receives funding from several sources including government contributions (classified as assistance), industry levies (not assistance) and external contributions (not assistance). Government contributions have been allocated to the Commission’s ANZSIC-based industry groupings according to the total funding to each RIRDC program. Such an approach assumes that each program is funded by a similar mix of government and non-government funding (table A.6</w:t>
      </w:r>
      <w:r w:rsidR="00C75068">
        <w:t>5</w:t>
      </w:r>
      <w:r>
        <w:t>).</w:t>
      </w:r>
    </w:p>
    <w:p w:rsidR="00FB434F" w:rsidRDefault="00FB434F" w:rsidP="00FB434F">
      <w:pPr>
        <w:pStyle w:val="TableTitle"/>
      </w:pPr>
      <w:r>
        <w:rPr>
          <w:b w:val="0"/>
        </w:rPr>
        <w:t xml:space="preserve">Table </w:t>
      </w:r>
      <w:r w:rsidR="00FA09C3">
        <w:rPr>
          <w:b w:val="0"/>
        </w:rPr>
        <w:t>A.</w:t>
      </w:r>
      <w:r w:rsidR="00FA09C3">
        <w:rPr>
          <w:b w:val="0"/>
          <w:noProof/>
        </w:rPr>
        <w:t>65</w:t>
      </w:r>
      <w:r>
        <w:tab/>
        <w:t xml:space="preserve">Allocation of Rural Industries Research and Development Corporation funding </w:t>
      </w:r>
      <w:r w:rsidR="0013131E" w:rsidRPr="0013131E">
        <w:t>to industry</w:t>
      </w:r>
      <w:r>
        <w:t>, 2006</w:t>
      </w:r>
      <w:r>
        <w:noBreakHyphen/>
        <w:t>07 to 2011</w:t>
      </w:r>
      <w:r>
        <w:noBreakHyphen/>
        <w:t>12</w:t>
      </w:r>
    </w:p>
    <w:p w:rsidR="00FB434F" w:rsidRDefault="00FB434F" w:rsidP="00FB434F">
      <w:pPr>
        <w:pStyle w:val="Subtitle"/>
      </w:pPr>
      <w:r>
        <w:t>$ million (nominal)</w:t>
      </w:r>
    </w:p>
    <w:tbl>
      <w:tblPr>
        <w:tblW w:w="5000" w:type="pct"/>
        <w:tblCellMar>
          <w:left w:w="0" w:type="dxa"/>
          <w:right w:w="0" w:type="dxa"/>
        </w:tblCellMar>
        <w:tblLook w:val="0000" w:firstRow="0" w:lastRow="0" w:firstColumn="0" w:lastColumn="0" w:noHBand="0" w:noVBand="0"/>
      </w:tblPr>
      <w:tblGrid>
        <w:gridCol w:w="3421"/>
        <w:gridCol w:w="1030"/>
        <w:gridCol w:w="870"/>
        <w:gridCol w:w="870"/>
        <w:gridCol w:w="870"/>
        <w:gridCol w:w="870"/>
        <w:gridCol w:w="858"/>
      </w:tblGrid>
      <w:tr w:rsidR="00FB434F" w:rsidRPr="00CB219A" w:rsidTr="001B56F1">
        <w:trPr>
          <w:trHeight w:val="227"/>
        </w:trPr>
        <w:tc>
          <w:tcPr>
            <w:tcW w:w="1946" w:type="pct"/>
            <w:tcBorders>
              <w:top w:val="single" w:sz="6" w:space="0" w:color="auto"/>
              <w:bottom w:val="single" w:sz="6" w:space="0" w:color="auto"/>
            </w:tcBorders>
          </w:tcPr>
          <w:p w:rsidR="00FB434F" w:rsidRPr="00CB219A" w:rsidRDefault="00FB434F" w:rsidP="001B56F1">
            <w:pPr>
              <w:pStyle w:val="TableColumnHeading"/>
              <w:jc w:val="left"/>
              <w:rPr>
                <w:sz w:val="18"/>
                <w:szCs w:val="18"/>
              </w:rPr>
            </w:pPr>
            <w:r w:rsidRPr="00CB219A">
              <w:rPr>
                <w:sz w:val="18"/>
                <w:szCs w:val="18"/>
              </w:rPr>
              <w:t>Industry grouping</w:t>
            </w:r>
          </w:p>
        </w:tc>
        <w:tc>
          <w:tcPr>
            <w:tcW w:w="586" w:type="pct"/>
            <w:tcBorders>
              <w:top w:val="single" w:sz="6" w:space="0" w:color="auto"/>
              <w:bottom w:val="single" w:sz="6" w:space="0" w:color="auto"/>
            </w:tcBorders>
          </w:tcPr>
          <w:p w:rsidR="00FB434F" w:rsidRPr="00CB219A" w:rsidRDefault="00FB434F" w:rsidP="001B56F1">
            <w:pPr>
              <w:pStyle w:val="TableColumnHeading"/>
              <w:ind w:right="28"/>
              <w:rPr>
                <w:sz w:val="18"/>
                <w:szCs w:val="18"/>
              </w:rPr>
            </w:pPr>
            <w:r w:rsidRPr="00CB219A">
              <w:rPr>
                <w:sz w:val="18"/>
                <w:szCs w:val="18"/>
              </w:rPr>
              <w:t>2006-07</w:t>
            </w:r>
          </w:p>
        </w:tc>
        <w:tc>
          <w:tcPr>
            <w:tcW w:w="495" w:type="pct"/>
            <w:tcBorders>
              <w:top w:val="single" w:sz="6" w:space="0" w:color="auto"/>
              <w:bottom w:val="single" w:sz="6" w:space="0" w:color="auto"/>
            </w:tcBorders>
          </w:tcPr>
          <w:p w:rsidR="00FB434F" w:rsidRPr="00CB219A" w:rsidRDefault="00FB434F" w:rsidP="001B56F1">
            <w:pPr>
              <w:pStyle w:val="TableColumnHeading"/>
              <w:ind w:right="28"/>
              <w:rPr>
                <w:sz w:val="18"/>
                <w:szCs w:val="18"/>
              </w:rPr>
            </w:pPr>
            <w:r w:rsidRPr="00CB219A">
              <w:rPr>
                <w:sz w:val="18"/>
                <w:szCs w:val="18"/>
              </w:rPr>
              <w:t>2007-08</w:t>
            </w:r>
          </w:p>
        </w:tc>
        <w:tc>
          <w:tcPr>
            <w:tcW w:w="495" w:type="pct"/>
            <w:tcBorders>
              <w:top w:val="single" w:sz="6" w:space="0" w:color="auto"/>
              <w:bottom w:val="single" w:sz="6" w:space="0" w:color="auto"/>
            </w:tcBorders>
          </w:tcPr>
          <w:p w:rsidR="00FB434F" w:rsidRPr="00CB219A" w:rsidRDefault="00FB434F" w:rsidP="001B56F1">
            <w:pPr>
              <w:pStyle w:val="TableColumnHeading"/>
              <w:ind w:right="28"/>
              <w:rPr>
                <w:sz w:val="18"/>
                <w:szCs w:val="18"/>
              </w:rPr>
            </w:pPr>
            <w:r w:rsidRPr="00CB219A">
              <w:rPr>
                <w:sz w:val="18"/>
                <w:szCs w:val="18"/>
              </w:rPr>
              <w:t>2008-09</w:t>
            </w:r>
          </w:p>
        </w:tc>
        <w:tc>
          <w:tcPr>
            <w:tcW w:w="495" w:type="pct"/>
            <w:tcBorders>
              <w:top w:val="single" w:sz="6" w:space="0" w:color="auto"/>
              <w:bottom w:val="single" w:sz="6" w:space="0" w:color="auto"/>
            </w:tcBorders>
            <w:shd w:val="clear" w:color="auto" w:fill="auto"/>
          </w:tcPr>
          <w:p w:rsidR="00FB434F" w:rsidRPr="00CB219A" w:rsidRDefault="00FB434F" w:rsidP="001B56F1">
            <w:pPr>
              <w:pStyle w:val="TableColumnHeading"/>
              <w:ind w:right="28"/>
              <w:rPr>
                <w:sz w:val="18"/>
                <w:szCs w:val="18"/>
              </w:rPr>
            </w:pPr>
            <w:r w:rsidRPr="00CB219A">
              <w:rPr>
                <w:sz w:val="18"/>
                <w:szCs w:val="18"/>
              </w:rPr>
              <w:t>2009-10</w:t>
            </w:r>
          </w:p>
        </w:tc>
        <w:tc>
          <w:tcPr>
            <w:tcW w:w="495" w:type="pct"/>
            <w:tcBorders>
              <w:top w:val="single" w:sz="6" w:space="0" w:color="auto"/>
              <w:bottom w:val="single" w:sz="6" w:space="0" w:color="auto"/>
            </w:tcBorders>
            <w:shd w:val="clear" w:color="auto" w:fill="auto"/>
          </w:tcPr>
          <w:p w:rsidR="00FB434F" w:rsidRPr="00CB219A" w:rsidRDefault="00FB434F" w:rsidP="001B56F1">
            <w:pPr>
              <w:pStyle w:val="TableColumnHeading"/>
              <w:ind w:right="28"/>
              <w:rPr>
                <w:sz w:val="18"/>
                <w:szCs w:val="18"/>
              </w:rPr>
            </w:pPr>
            <w:r w:rsidRPr="00CB219A">
              <w:rPr>
                <w:sz w:val="18"/>
                <w:szCs w:val="18"/>
              </w:rPr>
              <w:t>2010-11</w:t>
            </w:r>
          </w:p>
        </w:tc>
        <w:tc>
          <w:tcPr>
            <w:tcW w:w="488" w:type="pct"/>
            <w:tcBorders>
              <w:top w:val="single" w:sz="6" w:space="0" w:color="auto"/>
              <w:bottom w:val="single" w:sz="6" w:space="0" w:color="auto"/>
            </w:tcBorders>
            <w:shd w:val="clear" w:color="auto" w:fill="auto"/>
          </w:tcPr>
          <w:p w:rsidR="00FB434F" w:rsidRPr="00CB219A" w:rsidRDefault="00FB434F" w:rsidP="001B56F1">
            <w:pPr>
              <w:pStyle w:val="TableColumnHeading"/>
              <w:ind w:right="28"/>
              <w:rPr>
                <w:sz w:val="18"/>
                <w:szCs w:val="18"/>
              </w:rPr>
            </w:pPr>
            <w:r w:rsidRPr="00CB219A">
              <w:rPr>
                <w:sz w:val="18"/>
                <w:szCs w:val="18"/>
              </w:rPr>
              <w:t>2011-12</w:t>
            </w:r>
          </w:p>
        </w:tc>
      </w:tr>
      <w:tr w:rsidR="00FB434F" w:rsidTr="001B56F1">
        <w:trPr>
          <w:trHeight w:val="227"/>
        </w:trPr>
        <w:tc>
          <w:tcPr>
            <w:tcW w:w="1946" w:type="pct"/>
            <w:tcBorders>
              <w:top w:val="single" w:sz="6" w:space="0" w:color="auto"/>
            </w:tcBorders>
            <w:vAlign w:val="bottom"/>
          </w:tcPr>
          <w:p w:rsidR="00FB434F" w:rsidRPr="00DC145C" w:rsidRDefault="00FB434F" w:rsidP="001B56F1">
            <w:pPr>
              <w:pStyle w:val="TableBodyText"/>
              <w:jc w:val="left"/>
              <w:rPr>
                <w:b/>
                <w:sz w:val="18"/>
                <w:szCs w:val="18"/>
              </w:rPr>
            </w:pPr>
            <w:r w:rsidRPr="00DC145C">
              <w:rPr>
                <w:b/>
                <w:sz w:val="18"/>
                <w:szCs w:val="18"/>
              </w:rPr>
              <w:t>Primary production</w:t>
            </w:r>
          </w:p>
        </w:tc>
        <w:tc>
          <w:tcPr>
            <w:tcW w:w="586" w:type="pct"/>
            <w:tcBorders>
              <w:top w:val="single" w:sz="6" w:space="0" w:color="auto"/>
            </w:tcBorders>
            <w:vAlign w:val="bottom"/>
          </w:tcPr>
          <w:p w:rsidR="00FB434F" w:rsidRPr="00C421C2" w:rsidRDefault="00FB434F" w:rsidP="001B56F1">
            <w:pPr>
              <w:pStyle w:val="TableBodyText"/>
              <w:rPr>
                <w:b/>
                <w:sz w:val="18"/>
                <w:szCs w:val="18"/>
              </w:rPr>
            </w:pPr>
            <w:r w:rsidRPr="00C421C2">
              <w:rPr>
                <w:b/>
                <w:sz w:val="18"/>
                <w:szCs w:val="18"/>
              </w:rPr>
              <w:t>15.9</w:t>
            </w:r>
          </w:p>
        </w:tc>
        <w:tc>
          <w:tcPr>
            <w:tcW w:w="495" w:type="pct"/>
            <w:tcBorders>
              <w:top w:val="single" w:sz="6" w:space="0" w:color="auto"/>
            </w:tcBorders>
            <w:vAlign w:val="bottom"/>
          </w:tcPr>
          <w:p w:rsidR="00FB434F" w:rsidRPr="00C421C2" w:rsidRDefault="00FB434F" w:rsidP="001B56F1">
            <w:pPr>
              <w:pStyle w:val="TableBodyText"/>
              <w:rPr>
                <w:b/>
                <w:sz w:val="18"/>
                <w:szCs w:val="18"/>
              </w:rPr>
            </w:pPr>
            <w:r w:rsidRPr="00C421C2">
              <w:rPr>
                <w:b/>
                <w:sz w:val="18"/>
                <w:szCs w:val="18"/>
              </w:rPr>
              <w:t>16.1</w:t>
            </w:r>
          </w:p>
        </w:tc>
        <w:tc>
          <w:tcPr>
            <w:tcW w:w="495" w:type="pct"/>
            <w:tcBorders>
              <w:top w:val="single" w:sz="6" w:space="0" w:color="auto"/>
            </w:tcBorders>
            <w:vAlign w:val="bottom"/>
          </w:tcPr>
          <w:p w:rsidR="00FB434F" w:rsidRPr="00C421C2" w:rsidRDefault="00FB434F" w:rsidP="001B56F1">
            <w:pPr>
              <w:pStyle w:val="TableBodyText"/>
              <w:rPr>
                <w:b/>
                <w:sz w:val="18"/>
                <w:szCs w:val="18"/>
              </w:rPr>
            </w:pPr>
            <w:r w:rsidRPr="00C421C2">
              <w:rPr>
                <w:b/>
                <w:sz w:val="18"/>
                <w:szCs w:val="18"/>
              </w:rPr>
              <w:t>16.3</w:t>
            </w:r>
          </w:p>
        </w:tc>
        <w:tc>
          <w:tcPr>
            <w:tcW w:w="495" w:type="pct"/>
            <w:tcBorders>
              <w:top w:val="single" w:sz="6" w:space="0" w:color="auto"/>
            </w:tcBorders>
            <w:vAlign w:val="bottom"/>
          </w:tcPr>
          <w:p w:rsidR="00FB434F" w:rsidRPr="00C421C2" w:rsidRDefault="00FB434F" w:rsidP="001B56F1">
            <w:pPr>
              <w:pStyle w:val="TableBodyText"/>
              <w:rPr>
                <w:b/>
                <w:sz w:val="18"/>
                <w:szCs w:val="18"/>
              </w:rPr>
            </w:pPr>
            <w:r w:rsidRPr="00C421C2">
              <w:rPr>
                <w:b/>
                <w:sz w:val="18"/>
                <w:szCs w:val="18"/>
              </w:rPr>
              <w:t>13.4</w:t>
            </w:r>
          </w:p>
        </w:tc>
        <w:tc>
          <w:tcPr>
            <w:tcW w:w="495" w:type="pct"/>
            <w:tcBorders>
              <w:top w:val="single" w:sz="6" w:space="0" w:color="auto"/>
            </w:tcBorders>
            <w:vAlign w:val="bottom"/>
          </w:tcPr>
          <w:p w:rsidR="00FB434F" w:rsidRPr="00C421C2" w:rsidRDefault="00FB434F" w:rsidP="001B56F1">
            <w:pPr>
              <w:pStyle w:val="TableBodyText"/>
              <w:rPr>
                <w:b/>
                <w:sz w:val="18"/>
                <w:szCs w:val="18"/>
              </w:rPr>
            </w:pPr>
            <w:r w:rsidRPr="00C421C2">
              <w:rPr>
                <w:b/>
                <w:sz w:val="18"/>
                <w:szCs w:val="18"/>
              </w:rPr>
              <w:t>13.1</w:t>
            </w:r>
          </w:p>
        </w:tc>
        <w:tc>
          <w:tcPr>
            <w:tcW w:w="488" w:type="pct"/>
            <w:tcBorders>
              <w:top w:val="single" w:sz="6" w:space="0" w:color="auto"/>
            </w:tcBorders>
            <w:vAlign w:val="bottom"/>
          </w:tcPr>
          <w:p w:rsidR="00FB434F" w:rsidRPr="00C421C2" w:rsidRDefault="00FB434F" w:rsidP="001B56F1">
            <w:pPr>
              <w:pStyle w:val="TableBodyText"/>
              <w:rPr>
                <w:b/>
                <w:sz w:val="18"/>
                <w:szCs w:val="18"/>
              </w:rPr>
            </w:pPr>
            <w:r w:rsidRPr="00C421C2">
              <w:rPr>
                <w:b/>
                <w:sz w:val="18"/>
                <w:szCs w:val="18"/>
              </w:rPr>
              <w:t>14.9</w:t>
            </w:r>
          </w:p>
        </w:tc>
      </w:tr>
      <w:tr w:rsidR="00FB434F" w:rsidTr="001B56F1">
        <w:trPr>
          <w:trHeight w:val="227"/>
        </w:trPr>
        <w:tc>
          <w:tcPr>
            <w:tcW w:w="1946" w:type="pct"/>
            <w:vAlign w:val="bottom"/>
          </w:tcPr>
          <w:p w:rsidR="00FB434F" w:rsidRPr="007758AB" w:rsidRDefault="00FB434F" w:rsidP="001B56F1">
            <w:pPr>
              <w:pStyle w:val="TableBodyText"/>
              <w:jc w:val="left"/>
              <w:rPr>
                <w:sz w:val="18"/>
                <w:szCs w:val="18"/>
              </w:rPr>
            </w:pPr>
            <w:r>
              <w:rPr>
                <w:sz w:val="18"/>
                <w:szCs w:val="18"/>
              </w:rPr>
              <w:t>Horticulture and fruit growing</w:t>
            </w:r>
          </w:p>
        </w:tc>
        <w:tc>
          <w:tcPr>
            <w:tcW w:w="586" w:type="pct"/>
            <w:vAlign w:val="bottom"/>
          </w:tcPr>
          <w:p w:rsidR="00FB434F" w:rsidRPr="00C421C2" w:rsidRDefault="00FB434F" w:rsidP="001B56F1">
            <w:pPr>
              <w:pStyle w:val="TableBodyText"/>
              <w:rPr>
                <w:sz w:val="18"/>
                <w:szCs w:val="18"/>
              </w:rPr>
            </w:pPr>
            <w:r w:rsidRPr="00C421C2">
              <w:rPr>
                <w:sz w:val="18"/>
                <w:szCs w:val="18"/>
              </w:rPr>
              <w:t>2.3</w:t>
            </w:r>
          </w:p>
        </w:tc>
        <w:tc>
          <w:tcPr>
            <w:tcW w:w="495" w:type="pct"/>
            <w:vAlign w:val="bottom"/>
          </w:tcPr>
          <w:p w:rsidR="00FB434F" w:rsidRPr="00C421C2" w:rsidRDefault="00FB434F" w:rsidP="001B56F1">
            <w:pPr>
              <w:pStyle w:val="TableBodyText"/>
              <w:rPr>
                <w:sz w:val="18"/>
                <w:szCs w:val="18"/>
              </w:rPr>
            </w:pPr>
            <w:r w:rsidRPr="00C421C2">
              <w:rPr>
                <w:sz w:val="18"/>
                <w:szCs w:val="18"/>
              </w:rPr>
              <w:t>2.5</w:t>
            </w:r>
          </w:p>
        </w:tc>
        <w:tc>
          <w:tcPr>
            <w:tcW w:w="495" w:type="pct"/>
            <w:vAlign w:val="bottom"/>
          </w:tcPr>
          <w:p w:rsidR="00FB434F" w:rsidRPr="00C421C2" w:rsidRDefault="00FB434F" w:rsidP="001B56F1">
            <w:pPr>
              <w:pStyle w:val="TableBodyText"/>
              <w:rPr>
                <w:sz w:val="18"/>
                <w:szCs w:val="18"/>
              </w:rPr>
            </w:pPr>
            <w:r w:rsidRPr="00C421C2">
              <w:rPr>
                <w:sz w:val="18"/>
                <w:szCs w:val="18"/>
              </w:rPr>
              <w:t>2.7</w:t>
            </w:r>
          </w:p>
        </w:tc>
        <w:tc>
          <w:tcPr>
            <w:tcW w:w="495" w:type="pct"/>
            <w:vAlign w:val="bottom"/>
          </w:tcPr>
          <w:p w:rsidR="00FB434F" w:rsidRPr="00C421C2" w:rsidRDefault="00FB434F" w:rsidP="001B56F1">
            <w:pPr>
              <w:pStyle w:val="TableBodyText"/>
              <w:rPr>
                <w:sz w:val="18"/>
                <w:szCs w:val="18"/>
              </w:rPr>
            </w:pPr>
            <w:r w:rsidRPr="00C421C2">
              <w:rPr>
                <w:sz w:val="18"/>
                <w:szCs w:val="18"/>
              </w:rPr>
              <w:t>2.2</w:t>
            </w:r>
          </w:p>
        </w:tc>
        <w:tc>
          <w:tcPr>
            <w:tcW w:w="495" w:type="pct"/>
            <w:vAlign w:val="bottom"/>
          </w:tcPr>
          <w:p w:rsidR="00FB434F" w:rsidRPr="00C421C2" w:rsidRDefault="00FB434F" w:rsidP="001B56F1">
            <w:pPr>
              <w:pStyle w:val="TableBodyText"/>
              <w:rPr>
                <w:sz w:val="18"/>
                <w:szCs w:val="18"/>
              </w:rPr>
            </w:pPr>
            <w:r w:rsidRPr="00C421C2">
              <w:rPr>
                <w:sz w:val="18"/>
                <w:szCs w:val="18"/>
              </w:rPr>
              <w:t>2.4</w:t>
            </w:r>
          </w:p>
        </w:tc>
        <w:tc>
          <w:tcPr>
            <w:tcW w:w="488" w:type="pct"/>
            <w:vAlign w:val="bottom"/>
          </w:tcPr>
          <w:p w:rsidR="00FB434F" w:rsidRPr="00C421C2" w:rsidRDefault="00FB434F" w:rsidP="001B56F1">
            <w:pPr>
              <w:pStyle w:val="TableBodyText"/>
              <w:rPr>
                <w:sz w:val="18"/>
                <w:szCs w:val="18"/>
              </w:rPr>
            </w:pPr>
            <w:r w:rsidRPr="00C421C2">
              <w:rPr>
                <w:sz w:val="18"/>
                <w:szCs w:val="18"/>
              </w:rPr>
              <w:t>2.9</w:t>
            </w:r>
          </w:p>
        </w:tc>
      </w:tr>
      <w:tr w:rsidR="00FB434F" w:rsidTr="001B56F1">
        <w:trPr>
          <w:trHeight w:val="227"/>
        </w:trPr>
        <w:tc>
          <w:tcPr>
            <w:tcW w:w="1946" w:type="pct"/>
            <w:vAlign w:val="bottom"/>
          </w:tcPr>
          <w:p w:rsidR="00FB434F" w:rsidRPr="007758AB" w:rsidRDefault="00FB434F" w:rsidP="001B56F1">
            <w:pPr>
              <w:pStyle w:val="TableBodyText"/>
              <w:jc w:val="left"/>
              <w:rPr>
                <w:sz w:val="18"/>
                <w:szCs w:val="18"/>
              </w:rPr>
            </w:pPr>
            <w:r w:rsidRPr="007758AB">
              <w:rPr>
                <w:sz w:val="18"/>
                <w:szCs w:val="18"/>
              </w:rPr>
              <w:t>Sheep, beef cattle and grain farming</w:t>
            </w:r>
          </w:p>
        </w:tc>
        <w:tc>
          <w:tcPr>
            <w:tcW w:w="586" w:type="pct"/>
            <w:vAlign w:val="bottom"/>
          </w:tcPr>
          <w:p w:rsidR="00FB434F" w:rsidRPr="00C421C2" w:rsidRDefault="00FB434F" w:rsidP="001B56F1">
            <w:pPr>
              <w:pStyle w:val="TableBodyText"/>
              <w:rPr>
                <w:sz w:val="18"/>
                <w:szCs w:val="18"/>
              </w:rPr>
            </w:pPr>
            <w:r w:rsidRPr="00C421C2">
              <w:rPr>
                <w:sz w:val="18"/>
                <w:szCs w:val="18"/>
              </w:rPr>
              <w:t>2.4</w:t>
            </w:r>
          </w:p>
        </w:tc>
        <w:tc>
          <w:tcPr>
            <w:tcW w:w="495" w:type="pct"/>
            <w:vAlign w:val="bottom"/>
          </w:tcPr>
          <w:p w:rsidR="00FB434F" w:rsidRPr="00C421C2" w:rsidRDefault="00FB434F" w:rsidP="001B56F1">
            <w:pPr>
              <w:pStyle w:val="TableBodyText"/>
              <w:rPr>
                <w:sz w:val="18"/>
                <w:szCs w:val="18"/>
              </w:rPr>
            </w:pPr>
            <w:r w:rsidRPr="00C421C2">
              <w:rPr>
                <w:sz w:val="18"/>
                <w:szCs w:val="18"/>
              </w:rPr>
              <w:t>1.7</w:t>
            </w:r>
          </w:p>
        </w:tc>
        <w:tc>
          <w:tcPr>
            <w:tcW w:w="495" w:type="pct"/>
            <w:vAlign w:val="bottom"/>
          </w:tcPr>
          <w:p w:rsidR="00FB434F" w:rsidRPr="00C421C2" w:rsidRDefault="00FB434F" w:rsidP="001B56F1">
            <w:pPr>
              <w:pStyle w:val="TableBodyText"/>
              <w:rPr>
                <w:sz w:val="18"/>
                <w:szCs w:val="18"/>
              </w:rPr>
            </w:pPr>
            <w:r w:rsidRPr="00C421C2">
              <w:rPr>
                <w:sz w:val="18"/>
                <w:szCs w:val="18"/>
              </w:rPr>
              <w:t>1.0</w:t>
            </w:r>
          </w:p>
        </w:tc>
        <w:tc>
          <w:tcPr>
            <w:tcW w:w="495" w:type="pct"/>
            <w:vAlign w:val="bottom"/>
          </w:tcPr>
          <w:p w:rsidR="00FB434F" w:rsidRPr="00C421C2" w:rsidRDefault="00FB434F" w:rsidP="001B56F1">
            <w:pPr>
              <w:pStyle w:val="TableBodyText"/>
              <w:rPr>
                <w:sz w:val="18"/>
                <w:szCs w:val="18"/>
              </w:rPr>
            </w:pPr>
            <w:r w:rsidRPr="00C421C2">
              <w:rPr>
                <w:sz w:val="18"/>
                <w:szCs w:val="18"/>
              </w:rPr>
              <w:t>0.8</w:t>
            </w:r>
          </w:p>
        </w:tc>
        <w:tc>
          <w:tcPr>
            <w:tcW w:w="495" w:type="pct"/>
            <w:vAlign w:val="bottom"/>
          </w:tcPr>
          <w:p w:rsidR="00FB434F" w:rsidRPr="00C421C2" w:rsidRDefault="00FB434F" w:rsidP="001B56F1">
            <w:pPr>
              <w:pStyle w:val="TableBodyText"/>
              <w:rPr>
                <w:sz w:val="18"/>
                <w:szCs w:val="18"/>
              </w:rPr>
            </w:pPr>
            <w:r w:rsidRPr="00C421C2">
              <w:rPr>
                <w:sz w:val="18"/>
                <w:szCs w:val="18"/>
              </w:rPr>
              <w:t>0.8</w:t>
            </w:r>
          </w:p>
        </w:tc>
        <w:tc>
          <w:tcPr>
            <w:tcW w:w="488" w:type="pct"/>
            <w:vAlign w:val="bottom"/>
          </w:tcPr>
          <w:p w:rsidR="00FB434F" w:rsidRPr="00C421C2" w:rsidRDefault="00FB434F" w:rsidP="001B56F1">
            <w:pPr>
              <w:pStyle w:val="TableBodyText"/>
              <w:rPr>
                <w:sz w:val="18"/>
                <w:szCs w:val="18"/>
              </w:rPr>
            </w:pPr>
            <w:r w:rsidRPr="00C421C2">
              <w:rPr>
                <w:sz w:val="18"/>
                <w:szCs w:val="18"/>
              </w:rPr>
              <w:t>1.3</w:t>
            </w:r>
          </w:p>
        </w:tc>
      </w:tr>
      <w:tr w:rsidR="00FB434F" w:rsidTr="001B56F1">
        <w:trPr>
          <w:trHeight w:val="227"/>
        </w:trPr>
        <w:tc>
          <w:tcPr>
            <w:tcW w:w="1946" w:type="pct"/>
            <w:vAlign w:val="bottom"/>
          </w:tcPr>
          <w:p w:rsidR="00FB434F" w:rsidRPr="007758AB" w:rsidRDefault="00FB434F" w:rsidP="001B56F1">
            <w:pPr>
              <w:pStyle w:val="TableBodyText"/>
              <w:jc w:val="left"/>
              <w:rPr>
                <w:sz w:val="18"/>
                <w:szCs w:val="18"/>
              </w:rPr>
            </w:pPr>
            <w:r w:rsidRPr="007758AB">
              <w:rPr>
                <w:sz w:val="18"/>
                <w:szCs w:val="18"/>
              </w:rPr>
              <w:t>Other crop growing</w:t>
            </w:r>
          </w:p>
        </w:tc>
        <w:tc>
          <w:tcPr>
            <w:tcW w:w="586" w:type="pct"/>
            <w:vAlign w:val="bottom"/>
          </w:tcPr>
          <w:p w:rsidR="00FB434F" w:rsidRPr="00C421C2" w:rsidRDefault="00FB434F" w:rsidP="001B56F1">
            <w:pPr>
              <w:pStyle w:val="TableBodyText"/>
              <w:rPr>
                <w:sz w:val="18"/>
                <w:szCs w:val="18"/>
              </w:rPr>
            </w:pPr>
            <w:r w:rsidRPr="00C421C2">
              <w:rPr>
                <w:sz w:val="18"/>
                <w:szCs w:val="18"/>
              </w:rPr>
              <w:t>0.8</w:t>
            </w:r>
          </w:p>
        </w:tc>
        <w:tc>
          <w:tcPr>
            <w:tcW w:w="495" w:type="pct"/>
            <w:vAlign w:val="bottom"/>
          </w:tcPr>
          <w:p w:rsidR="00FB434F" w:rsidRPr="00C421C2" w:rsidRDefault="00FB434F" w:rsidP="001B56F1">
            <w:pPr>
              <w:pStyle w:val="TableBodyText"/>
              <w:rPr>
                <w:sz w:val="18"/>
                <w:szCs w:val="18"/>
              </w:rPr>
            </w:pPr>
            <w:r w:rsidRPr="00C421C2">
              <w:rPr>
                <w:sz w:val="18"/>
                <w:szCs w:val="18"/>
              </w:rPr>
              <w:t>0.9</w:t>
            </w:r>
          </w:p>
        </w:tc>
        <w:tc>
          <w:tcPr>
            <w:tcW w:w="495" w:type="pct"/>
            <w:vAlign w:val="bottom"/>
          </w:tcPr>
          <w:p w:rsidR="00FB434F" w:rsidRPr="00C421C2" w:rsidRDefault="00FB434F" w:rsidP="001B56F1">
            <w:pPr>
              <w:pStyle w:val="TableBodyText"/>
              <w:rPr>
                <w:sz w:val="18"/>
                <w:szCs w:val="18"/>
              </w:rPr>
            </w:pPr>
            <w:r w:rsidRPr="00C421C2">
              <w:rPr>
                <w:sz w:val="18"/>
                <w:szCs w:val="18"/>
              </w:rPr>
              <w:t>0.8</w:t>
            </w:r>
          </w:p>
        </w:tc>
        <w:tc>
          <w:tcPr>
            <w:tcW w:w="495" w:type="pct"/>
            <w:shd w:val="clear" w:color="auto" w:fill="auto"/>
            <w:vAlign w:val="bottom"/>
          </w:tcPr>
          <w:p w:rsidR="00FB434F" w:rsidRPr="00C421C2" w:rsidRDefault="00FB434F" w:rsidP="001B56F1">
            <w:pPr>
              <w:pStyle w:val="TableBodyText"/>
              <w:rPr>
                <w:sz w:val="18"/>
                <w:szCs w:val="18"/>
              </w:rPr>
            </w:pPr>
            <w:r w:rsidRPr="00C421C2">
              <w:rPr>
                <w:sz w:val="18"/>
                <w:szCs w:val="18"/>
              </w:rPr>
              <w:t>1.4</w:t>
            </w:r>
          </w:p>
        </w:tc>
        <w:tc>
          <w:tcPr>
            <w:tcW w:w="495" w:type="pct"/>
            <w:shd w:val="clear" w:color="auto" w:fill="auto"/>
            <w:vAlign w:val="bottom"/>
          </w:tcPr>
          <w:p w:rsidR="00FB434F" w:rsidRPr="00C421C2" w:rsidRDefault="00FB434F" w:rsidP="001B56F1">
            <w:pPr>
              <w:pStyle w:val="TableBodyText"/>
              <w:rPr>
                <w:sz w:val="18"/>
                <w:szCs w:val="18"/>
              </w:rPr>
            </w:pPr>
            <w:r w:rsidRPr="00C421C2">
              <w:rPr>
                <w:sz w:val="18"/>
                <w:szCs w:val="18"/>
              </w:rPr>
              <w:t>0.9</w:t>
            </w:r>
          </w:p>
        </w:tc>
        <w:tc>
          <w:tcPr>
            <w:tcW w:w="488" w:type="pct"/>
            <w:shd w:val="clear" w:color="auto" w:fill="auto"/>
            <w:vAlign w:val="bottom"/>
          </w:tcPr>
          <w:p w:rsidR="00FB434F" w:rsidRPr="00C421C2" w:rsidRDefault="00FB434F" w:rsidP="001B56F1">
            <w:pPr>
              <w:pStyle w:val="TableBodyText"/>
              <w:rPr>
                <w:sz w:val="18"/>
                <w:szCs w:val="18"/>
              </w:rPr>
            </w:pPr>
            <w:r w:rsidRPr="00C421C2">
              <w:rPr>
                <w:sz w:val="18"/>
                <w:szCs w:val="18"/>
              </w:rPr>
              <w:t>1.1</w:t>
            </w:r>
          </w:p>
        </w:tc>
      </w:tr>
      <w:tr w:rsidR="00FB434F" w:rsidTr="001B56F1">
        <w:trPr>
          <w:trHeight w:val="227"/>
        </w:trPr>
        <w:tc>
          <w:tcPr>
            <w:tcW w:w="1946" w:type="pct"/>
            <w:vAlign w:val="bottom"/>
          </w:tcPr>
          <w:p w:rsidR="00FB434F" w:rsidRPr="007758AB" w:rsidRDefault="00FB434F" w:rsidP="001B56F1">
            <w:pPr>
              <w:pStyle w:val="TableBodyText"/>
              <w:jc w:val="left"/>
              <w:rPr>
                <w:sz w:val="18"/>
                <w:szCs w:val="18"/>
              </w:rPr>
            </w:pPr>
            <w:r>
              <w:rPr>
                <w:sz w:val="18"/>
                <w:szCs w:val="18"/>
              </w:rPr>
              <w:t>Other livestock farming</w:t>
            </w:r>
          </w:p>
        </w:tc>
        <w:tc>
          <w:tcPr>
            <w:tcW w:w="586" w:type="pct"/>
            <w:vAlign w:val="bottom"/>
          </w:tcPr>
          <w:p w:rsidR="00FB434F" w:rsidRPr="00C421C2" w:rsidRDefault="00FB434F" w:rsidP="001B56F1">
            <w:pPr>
              <w:pStyle w:val="TableBodyText"/>
              <w:rPr>
                <w:sz w:val="18"/>
                <w:szCs w:val="18"/>
              </w:rPr>
            </w:pPr>
            <w:r w:rsidRPr="00C421C2">
              <w:rPr>
                <w:sz w:val="18"/>
                <w:szCs w:val="18"/>
              </w:rPr>
              <w:t>3.6</w:t>
            </w:r>
          </w:p>
        </w:tc>
        <w:tc>
          <w:tcPr>
            <w:tcW w:w="495" w:type="pct"/>
            <w:vAlign w:val="bottom"/>
          </w:tcPr>
          <w:p w:rsidR="00FB434F" w:rsidRPr="00C421C2" w:rsidRDefault="00FB434F" w:rsidP="001B56F1">
            <w:pPr>
              <w:pStyle w:val="TableBodyText"/>
              <w:rPr>
                <w:sz w:val="18"/>
                <w:szCs w:val="18"/>
              </w:rPr>
            </w:pPr>
            <w:r w:rsidRPr="00C421C2">
              <w:rPr>
                <w:sz w:val="18"/>
                <w:szCs w:val="18"/>
              </w:rPr>
              <w:t>4.7</w:t>
            </w:r>
          </w:p>
        </w:tc>
        <w:tc>
          <w:tcPr>
            <w:tcW w:w="495" w:type="pct"/>
            <w:vAlign w:val="bottom"/>
          </w:tcPr>
          <w:p w:rsidR="00FB434F" w:rsidRPr="00C421C2" w:rsidRDefault="00FB434F" w:rsidP="001B56F1">
            <w:pPr>
              <w:pStyle w:val="TableBodyText"/>
              <w:rPr>
                <w:sz w:val="18"/>
                <w:szCs w:val="18"/>
              </w:rPr>
            </w:pPr>
            <w:r w:rsidRPr="00C421C2">
              <w:rPr>
                <w:sz w:val="18"/>
                <w:szCs w:val="18"/>
              </w:rPr>
              <w:t>4.9</w:t>
            </w:r>
          </w:p>
        </w:tc>
        <w:tc>
          <w:tcPr>
            <w:tcW w:w="495" w:type="pct"/>
            <w:shd w:val="clear" w:color="auto" w:fill="auto"/>
            <w:vAlign w:val="bottom"/>
          </w:tcPr>
          <w:p w:rsidR="00FB434F" w:rsidRPr="00C421C2" w:rsidRDefault="00FB434F" w:rsidP="001B56F1">
            <w:pPr>
              <w:pStyle w:val="TableBodyText"/>
              <w:rPr>
                <w:sz w:val="18"/>
                <w:szCs w:val="18"/>
              </w:rPr>
            </w:pPr>
            <w:r w:rsidRPr="00C421C2">
              <w:rPr>
                <w:sz w:val="18"/>
                <w:szCs w:val="18"/>
              </w:rPr>
              <w:t>4.1</w:t>
            </w:r>
          </w:p>
        </w:tc>
        <w:tc>
          <w:tcPr>
            <w:tcW w:w="495" w:type="pct"/>
            <w:shd w:val="clear" w:color="auto" w:fill="auto"/>
            <w:vAlign w:val="bottom"/>
          </w:tcPr>
          <w:p w:rsidR="00FB434F" w:rsidRPr="00C421C2" w:rsidRDefault="00FB434F" w:rsidP="001B56F1">
            <w:pPr>
              <w:pStyle w:val="TableBodyText"/>
              <w:rPr>
                <w:sz w:val="18"/>
                <w:szCs w:val="18"/>
              </w:rPr>
            </w:pPr>
            <w:r w:rsidRPr="00C421C2">
              <w:rPr>
                <w:sz w:val="18"/>
                <w:szCs w:val="18"/>
              </w:rPr>
              <w:t>3.9</w:t>
            </w:r>
          </w:p>
        </w:tc>
        <w:tc>
          <w:tcPr>
            <w:tcW w:w="488" w:type="pct"/>
            <w:shd w:val="clear" w:color="auto" w:fill="auto"/>
            <w:vAlign w:val="bottom"/>
          </w:tcPr>
          <w:p w:rsidR="00FB434F" w:rsidRPr="00C421C2" w:rsidRDefault="00FB434F" w:rsidP="001B56F1">
            <w:pPr>
              <w:pStyle w:val="TableBodyText"/>
              <w:rPr>
                <w:sz w:val="18"/>
                <w:szCs w:val="18"/>
              </w:rPr>
            </w:pPr>
            <w:r w:rsidRPr="00C421C2">
              <w:rPr>
                <w:sz w:val="18"/>
                <w:szCs w:val="18"/>
              </w:rPr>
              <w:t>5.7</w:t>
            </w:r>
          </w:p>
        </w:tc>
      </w:tr>
      <w:tr w:rsidR="00FB434F" w:rsidTr="001B56F1">
        <w:trPr>
          <w:trHeight w:val="227"/>
        </w:trPr>
        <w:tc>
          <w:tcPr>
            <w:tcW w:w="1946" w:type="pct"/>
            <w:vAlign w:val="bottom"/>
          </w:tcPr>
          <w:p w:rsidR="00FB434F" w:rsidRPr="007758AB" w:rsidRDefault="00FB434F" w:rsidP="001B56F1">
            <w:pPr>
              <w:pStyle w:val="TableBodyText"/>
              <w:jc w:val="left"/>
              <w:rPr>
                <w:sz w:val="18"/>
                <w:szCs w:val="18"/>
              </w:rPr>
            </w:pPr>
            <w:r w:rsidRPr="007758AB">
              <w:rPr>
                <w:sz w:val="18"/>
                <w:szCs w:val="18"/>
              </w:rPr>
              <w:t>Forestry and logging</w:t>
            </w:r>
          </w:p>
        </w:tc>
        <w:tc>
          <w:tcPr>
            <w:tcW w:w="586" w:type="pct"/>
            <w:vAlign w:val="bottom"/>
          </w:tcPr>
          <w:p w:rsidR="00FB434F" w:rsidRPr="00C421C2" w:rsidRDefault="00FB434F" w:rsidP="001B56F1">
            <w:pPr>
              <w:pStyle w:val="TableBodyText"/>
              <w:rPr>
                <w:sz w:val="18"/>
                <w:szCs w:val="18"/>
              </w:rPr>
            </w:pPr>
            <w:r w:rsidRPr="00C421C2">
              <w:rPr>
                <w:sz w:val="18"/>
                <w:szCs w:val="18"/>
              </w:rPr>
              <w:t>1.0</w:t>
            </w:r>
          </w:p>
        </w:tc>
        <w:tc>
          <w:tcPr>
            <w:tcW w:w="495" w:type="pct"/>
            <w:vAlign w:val="bottom"/>
          </w:tcPr>
          <w:p w:rsidR="00FB434F" w:rsidRPr="00C421C2" w:rsidRDefault="00FB434F" w:rsidP="001B56F1">
            <w:pPr>
              <w:pStyle w:val="TableBodyText"/>
              <w:rPr>
                <w:sz w:val="18"/>
                <w:szCs w:val="18"/>
              </w:rPr>
            </w:pPr>
            <w:r w:rsidRPr="00C421C2">
              <w:rPr>
                <w:sz w:val="18"/>
                <w:szCs w:val="18"/>
              </w:rPr>
              <w:t>0.9</w:t>
            </w:r>
          </w:p>
        </w:tc>
        <w:tc>
          <w:tcPr>
            <w:tcW w:w="495" w:type="pct"/>
            <w:vAlign w:val="bottom"/>
          </w:tcPr>
          <w:p w:rsidR="00FB434F" w:rsidRPr="00C421C2" w:rsidRDefault="00FB434F" w:rsidP="001B56F1">
            <w:pPr>
              <w:pStyle w:val="TableBodyText"/>
              <w:rPr>
                <w:sz w:val="18"/>
                <w:szCs w:val="18"/>
              </w:rPr>
            </w:pPr>
            <w:r w:rsidRPr="00C421C2">
              <w:rPr>
                <w:sz w:val="18"/>
                <w:szCs w:val="18"/>
              </w:rPr>
              <w:t>1.1</w:t>
            </w:r>
          </w:p>
        </w:tc>
        <w:tc>
          <w:tcPr>
            <w:tcW w:w="495" w:type="pct"/>
            <w:shd w:val="clear" w:color="auto" w:fill="auto"/>
            <w:vAlign w:val="bottom"/>
          </w:tcPr>
          <w:p w:rsidR="00FB434F" w:rsidRPr="00C421C2" w:rsidRDefault="00FB434F" w:rsidP="001B56F1">
            <w:pPr>
              <w:pStyle w:val="TableBodyText"/>
              <w:rPr>
                <w:sz w:val="18"/>
                <w:szCs w:val="18"/>
              </w:rPr>
            </w:pPr>
            <w:r>
              <w:rPr>
                <w:sz w:val="18"/>
                <w:szCs w:val="18"/>
              </w:rPr>
              <w:noBreakHyphen/>
            </w:r>
          </w:p>
        </w:tc>
        <w:tc>
          <w:tcPr>
            <w:tcW w:w="495" w:type="pct"/>
            <w:shd w:val="clear" w:color="auto" w:fill="auto"/>
            <w:vAlign w:val="bottom"/>
          </w:tcPr>
          <w:p w:rsidR="00FB434F" w:rsidRPr="00C421C2" w:rsidRDefault="00FB434F" w:rsidP="001B56F1">
            <w:pPr>
              <w:pStyle w:val="TableBodyText"/>
              <w:rPr>
                <w:sz w:val="18"/>
                <w:szCs w:val="18"/>
              </w:rPr>
            </w:pPr>
            <w:r>
              <w:rPr>
                <w:sz w:val="18"/>
                <w:szCs w:val="18"/>
              </w:rPr>
              <w:noBreakHyphen/>
            </w:r>
          </w:p>
        </w:tc>
        <w:tc>
          <w:tcPr>
            <w:tcW w:w="488" w:type="pct"/>
            <w:shd w:val="clear" w:color="auto" w:fill="auto"/>
            <w:vAlign w:val="bottom"/>
          </w:tcPr>
          <w:p w:rsidR="00FB434F" w:rsidRPr="00C421C2" w:rsidRDefault="00FB434F" w:rsidP="001B56F1">
            <w:pPr>
              <w:pStyle w:val="TableBodyText"/>
              <w:rPr>
                <w:sz w:val="18"/>
                <w:szCs w:val="18"/>
              </w:rPr>
            </w:pPr>
            <w:r>
              <w:rPr>
                <w:sz w:val="18"/>
                <w:szCs w:val="18"/>
              </w:rPr>
              <w:noBreakHyphen/>
            </w:r>
          </w:p>
        </w:tc>
      </w:tr>
      <w:tr w:rsidR="00FB434F" w:rsidTr="001B56F1">
        <w:trPr>
          <w:trHeight w:val="227"/>
        </w:trPr>
        <w:tc>
          <w:tcPr>
            <w:tcW w:w="1946" w:type="pct"/>
            <w:vAlign w:val="bottom"/>
          </w:tcPr>
          <w:p w:rsidR="00FB434F" w:rsidRPr="007758AB" w:rsidRDefault="00FB434F" w:rsidP="001B56F1">
            <w:pPr>
              <w:pStyle w:val="TableBodyText"/>
              <w:jc w:val="left"/>
              <w:rPr>
                <w:sz w:val="18"/>
                <w:szCs w:val="18"/>
              </w:rPr>
            </w:pPr>
            <w:r>
              <w:rPr>
                <w:sz w:val="18"/>
                <w:szCs w:val="18"/>
              </w:rPr>
              <w:t>Unallocated primary production</w:t>
            </w:r>
            <w:r w:rsidRPr="009B56F1">
              <w:rPr>
                <w:rStyle w:val="NoteLabel"/>
              </w:rPr>
              <w:t>a</w:t>
            </w:r>
          </w:p>
        </w:tc>
        <w:tc>
          <w:tcPr>
            <w:tcW w:w="586" w:type="pct"/>
            <w:vAlign w:val="bottom"/>
          </w:tcPr>
          <w:p w:rsidR="00FB434F" w:rsidRPr="00C421C2" w:rsidRDefault="00FB434F" w:rsidP="001B56F1">
            <w:pPr>
              <w:pStyle w:val="TableBodyText"/>
              <w:rPr>
                <w:sz w:val="18"/>
                <w:szCs w:val="18"/>
              </w:rPr>
            </w:pPr>
            <w:r w:rsidRPr="00C421C2">
              <w:rPr>
                <w:sz w:val="18"/>
                <w:szCs w:val="18"/>
              </w:rPr>
              <w:t>5.8</w:t>
            </w:r>
          </w:p>
        </w:tc>
        <w:tc>
          <w:tcPr>
            <w:tcW w:w="495" w:type="pct"/>
            <w:vAlign w:val="bottom"/>
          </w:tcPr>
          <w:p w:rsidR="00FB434F" w:rsidRPr="00C421C2" w:rsidRDefault="00FB434F" w:rsidP="001B56F1">
            <w:pPr>
              <w:pStyle w:val="TableBodyText"/>
              <w:rPr>
                <w:sz w:val="18"/>
                <w:szCs w:val="18"/>
              </w:rPr>
            </w:pPr>
            <w:r w:rsidRPr="00C421C2">
              <w:rPr>
                <w:sz w:val="18"/>
                <w:szCs w:val="18"/>
              </w:rPr>
              <w:t>5.4</w:t>
            </w:r>
          </w:p>
        </w:tc>
        <w:tc>
          <w:tcPr>
            <w:tcW w:w="495" w:type="pct"/>
            <w:vAlign w:val="bottom"/>
          </w:tcPr>
          <w:p w:rsidR="00FB434F" w:rsidRPr="00C421C2" w:rsidRDefault="00FB434F" w:rsidP="001B56F1">
            <w:pPr>
              <w:pStyle w:val="TableBodyText"/>
              <w:rPr>
                <w:sz w:val="18"/>
                <w:szCs w:val="18"/>
              </w:rPr>
            </w:pPr>
            <w:r w:rsidRPr="00C421C2">
              <w:rPr>
                <w:sz w:val="18"/>
                <w:szCs w:val="18"/>
              </w:rPr>
              <w:t>5.8</w:t>
            </w:r>
          </w:p>
        </w:tc>
        <w:tc>
          <w:tcPr>
            <w:tcW w:w="495" w:type="pct"/>
            <w:shd w:val="clear" w:color="auto" w:fill="auto"/>
            <w:vAlign w:val="bottom"/>
          </w:tcPr>
          <w:p w:rsidR="00FB434F" w:rsidRPr="00C421C2" w:rsidRDefault="00FB434F" w:rsidP="001B56F1">
            <w:pPr>
              <w:pStyle w:val="TableBodyText"/>
              <w:rPr>
                <w:sz w:val="18"/>
                <w:szCs w:val="18"/>
              </w:rPr>
            </w:pPr>
            <w:r w:rsidRPr="00C421C2">
              <w:rPr>
                <w:sz w:val="18"/>
                <w:szCs w:val="18"/>
              </w:rPr>
              <w:t>5.0</w:t>
            </w:r>
          </w:p>
        </w:tc>
        <w:tc>
          <w:tcPr>
            <w:tcW w:w="495" w:type="pct"/>
            <w:shd w:val="clear" w:color="auto" w:fill="auto"/>
            <w:vAlign w:val="bottom"/>
          </w:tcPr>
          <w:p w:rsidR="00FB434F" w:rsidRPr="00C421C2" w:rsidRDefault="00FB434F" w:rsidP="001B56F1">
            <w:pPr>
              <w:pStyle w:val="TableBodyText"/>
              <w:rPr>
                <w:sz w:val="18"/>
                <w:szCs w:val="18"/>
              </w:rPr>
            </w:pPr>
            <w:r w:rsidRPr="00C421C2">
              <w:rPr>
                <w:sz w:val="18"/>
                <w:szCs w:val="18"/>
              </w:rPr>
              <w:t>5.1</w:t>
            </w:r>
          </w:p>
        </w:tc>
        <w:tc>
          <w:tcPr>
            <w:tcW w:w="488" w:type="pct"/>
            <w:shd w:val="clear" w:color="auto" w:fill="auto"/>
            <w:vAlign w:val="bottom"/>
          </w:tcPr>
          <w:p w:rsidR="00FB434F" w:rsidRPr="00C421C2" w:rsidRDefault="00FB434F" w:rsidP="001B56F1">
            <w:pPr>
              <w:pStyle w:val="TableBodyText"/>
              <w:rPr>
                <w:sz w:val="18"/>
                <w:szCs w:val="18"/>
              </w:rPr>
            </w:pPr>
            <w:r w:rsidRPr="00C421C2">
              <w:rPr>
                <w:sz w:val="18"/>
                <w:szCs w:val="18"/>
              </w:rPr>
              <w:t>3.9</w:t>
            </w:r>
          </w:p>
        </w:tc>
      </w:tr>
      <w:tr w:rsidR="00FB434F" w:rsidTr="001B56F1">
        <w:trPr>
          <w:trHeight w:val="227"/>
        </w:trPr>
        <w:tc>
          <w:tcPr>
            <w:tcW w:w="1946" w:type="pct"/>
            <w:tcBorders>
              <w:bottom w:val="single" w:sz="4" w:space="0" w:color="auto"/>
            </w:tcBorders>
            <w:vAlign w:val="bottom"/>
          </w:tcPr>
          <w:p w:rsidR="00FB434F" w:rsidRPr="007758AB" w:rsidRDefault="00FB434F" w:rsidP="001B56F1">
            <w:pPr>
              <w:pStyle w:val="TableBodyText"/>
              <w:jc w:val="left"/>
              <w:rPr>
                <w:b/>
                <w:bCs/>
                <w:sz w:val="18"/>
                <w:szCs w:val="18"/>
              </w:rPr>
            </w:pPr>
            <w:r w:rsidRPr="007758AB">
              <w:rPr>
                <w:b/>
                <w:bCs/>
                <w:sz w:val="18"/>
                <w:szCs w:val="18"/>
              </w:rPr>
              <w:t>Total</w:t>
            </w:r>
          </w:p>
        </w:tc>
        <w:tc>
          <w:tcPr>
            <w:tcW w:w="586" w:type="pct"/>
            <w:tcBorders>
              <w:bottom w:val="single" w:sz="4" w:space="0" w:color="auto"/>
            </w:tcBorders>
            <w:vAlign w:val="bottom"/>
          </w:tcPr>
          <w:p w:rsidR="00FB434F" w:rsidRPr="00C421C2" w:rsidRDefault="00FB434F" w:rsidP="001B56F1">
            <w:pPr>
              <w:pStyle w:val="TableBodyText"/>
              <w:rPr>
                <w:b/>
                <w:sz w:val="18"/>
                <w:szCs w:val="18"/>
              </w:rPr>
            </w:pPr>
            <w:r w:rsidRPr="00C421C2">
              <w:rPr>
                <w:b/>
                <w:sz w:val="18"/>
                <w:szCs w:val="18"/>
              </w:rPr>
              <w:t>15.9</w:t>
            </w:r>
          </w:p>
        </w:tc>
        <w:tc>
          <w:tcPr>
            <w:tcW w:w="495" w:type="pct"/>
            <w:tcBorders>
              <w:bottom w:val="single" w:sz="4" w:space="0" w:color="auto"/>
            </w:tcBorders>
            <w:vAlign w:val="bottom"/>
          </w:tcPr>
          <w:p w:rsidR="00FB434F" w:rsidRPr="00C421C2" w:rsidRDefault="00FB434F" w:rsidP="001B56F1">
            <w:pPr>
              <w:pStyle w:val="TableBodyText"/>
              <w:rPr>
                <w:b/>
                <w:sz w:val="18"/>
                <w:szCs w:val="18"/>
              </w:rPr>
            </w:pPr>
            <w:r w:rsidRPr="00C421C2">
              <w:rPr>
                <w:b/>
                <w:sz w:val="18"/>
                <w:szCs w:val="18"/>
              </w:rPr>
              <w:t>16.1</w:t>
            </w:r>
          </w:p>
        </w:tc>
        <w:tc>
          <w:tcPr>
            <w:tcW w:w="495" w:type="pct"/>
            <w:tcBorders>
              <w:bottom w:val="single" w:sz="4" w:space="0" w:color="auto"/>
            </w:tcBorders>
            <w:vAlign w:val="bottom"/>
          </w:tcPr>
          <w:p w:rsidR="00FB434F" w:rsidRPr="00C421C2" w:rsidRDefault="00FB434F" w:rsidP="001B56F1">
            <w:pPr>
              <w:pStyle w:val="TableBodyText"/>
              <w:rPr>
                <w:b/>
                <w:sz w:val="18"/>
                <w:szCs w:val="18"/>
              </w:rPr>
            </w:pPr>
            <w:r w:rsidRPr="00C421C2">
              <w:rPr>
                <w:b/>
                <w:sz w:val="18"/>
                <w:szCs w:val="18"/>
              </w:rPr>
              <w:t>16.3</w:t>
            </w:r>
          </w:p>
        </w:tc>
        <w:tc>
          <w:tcPr>
            <w:tcW w:w="495" w:type="pct"/>
            <w:tcBorders>
              <w:bottom w:val="single" w:sz="4" w:space="0" w:color="auto"/>
            </w:tcBorders>
            <w:shd w:val="clear" w:color="auto" w:fill="auto"/>
            <w:vAlign w:val="bottom"/>
          </w:tcPr>
          <w:p w:rsidR="00FB434F" w:rsidRPr="00C421C2" w:rsidRDefault="00FB434F" w:rsidP="001B56F1">
            <w:pPr>
              <w:pStyle w:val="TableBodyText"/>
              <w:rPr>
                <w:b/>
                <w:sz w:val="18"/>
                <w:szCs w:val="18"/>
              </w:rPr>
            </w:pPr>
            <w:r w:rsidRPr="00C421C2">
              <w:rPr>
                <w:b/>
                <w:sz w:val="18"/>
                <w:szCs w:val="18"/>
              </w:rPr>
              <w:t>13.4</w:t>
            </w:r>
          </w:p>
        </w:tc>
        <w:tc>
          <w:tcPr>
            <w:tcW w:w="495" w:type="pct"/>
            <w:tcBorders>
              <w:bottom w:val="single" w:sz="4" w:space="0" w:color="auto"/>
            </w:tcBorders>
            <w:shd w:val="clear" w:color="auto" w:fill="auto"/>
            <w:vAlign w:val="bottom"/>
          </w:tcPr>
          <w:p w:rsidR="00FB434F" w:rsidRPr="00C421C2" w:rsidRDefault="00FB434F" w:rsidP="001B56F1">
            <w:pPr>
              <w:pStyle w:val="TableBodyText"/>
              <w:rPr>
                <w:b/>
                <w:sz w:val="18"/>
                <w:szCs w:val="18"/>
              </w:rPr>
            </w:pPr>
            <w:r w:rsidRPr="00C421C2">
              <w:rPr>
                <w:b/>
                <w:sz w:val="18"/>
                <w:szCs w:val="18"/>
              </w:rPr>
              <w:t>13.1</w:t>
            </w:r>
          </w:p>
        </w:tc>
        <w:tc>
          <w:tcPr>
            <w:tcW w:w="488" w:type="pct"/>
            <w:tcBorders>
              <w:bottom w:val="single" w:sz="4" w:space="0" w:color="auto"/>
            </w:tcBorders>
            <w:shd w:val="clear" w:color="auto" w:fill="auto"/>
            <w:vAlign w:val="bottom"/>
          </w:tcPr>
          <w:p w:rsidR="00FB434F" w:rsidRPr="00C421C2" w:rsidRDefault="00FB434F" w:rsidP="001B56F1">
            <w:pPr>
              <w:pStyle w:val="TableBodyText"/>
              <w:rPr>
                <w:b/>
                <w:sz w:val="18"/>
                <w:szCs w:val="18"/>
              </w:rPr>
            </w:pPr>
            <w:r w:rsidRPr="00C421C2">
              <w:rPr>
                <w:b/>
                <w:sz w:val="18"/>
                <w:szCs w:val="18"/>
              </w:rPr>
              <w:t>14.9</w:t>
            </w:r>
          </w:p>
        </w:tc>
      </w:tr>
    </w:tbl>
    <w:p w:rsidR="00FB434F" w:rsidRDefault="00FB434F" w:rsidP="00FB434F">
      <w:pPr>
        <w:pStyle w:val="Source"/>
        <w:spacing w:after="0"/>
        <w:rPr>
          <w:i/>
        </w:rPr>
      </w:pPr>
      <w:r w:rsidRPr="00A2379F">
        <w:noBreakHyphen/>
        <w:t xml:space="preserve"> </w:t>
      </w:r>
      <w:r>
        <w:t>Nil</w:t>
      </w:r>
      <w:r w:rsidRPr="00A2379F">
        <w:t>.</w:t>
      </w:r>
      <w:r>
        <w:t xml:space="preserve"> </w:t>
      </w:r>
      <w:r w:rsidRPr="009B56F1">
        <w:rPr>
          <w:rStyle w:val="NoteLabel"/>
        </w:rPr>
        <w:t>a</w:t>
      </w:r>
      <w:r w:rsidRPr="009B56F1">
        <w:t xml:space="preserve"> Unallocated includes general programs where detai</w:t>
      </w:r>
      <w:r>
        <w:t>ls of beneficiaries are unknown.</w:t>
      </w:r>
    </w:p>
    <w:p w:rsidR="00FB434F" w:rsidRPr="008E77FE" w:rsidRDefault="00FB434F" w:rsidP="00FB434F">
      <w:pPr>
        <w:pStyle w:val="Source"/>
      </w:pPr>
      <w:r>
        <w:rPr>
          <w:i/>
        </w:rPr>
        <w:t>Source</w:t>
      </w:r>
      <w:r>
        <w:t xml:space="preserve">: </w:t>
      </w:r>
      <w:r w:rsidRPr="00AF6D67">
        <w:t xml:space="preserve">Commission estimates based on </w:t>
      </w:r>
      <w:r>
        <w:t>Rural Industries Research and Development Corporation Annual Report 2011</w:t>
      </w:r>
      <w:r>
        <w:noBreakHyphen/>
        <w:t>12 (and earlier years).</w:t>
      </w:r>
    </w:p>
    <w:p w:rsidR="0050228C" w:rsidRDefault="00FA09C3" w:rsidP="0050228C">
      <w:pPr>
        <w:pStyle w:val="Heading2"/>
      </w:pPr>
      <w:r>
        <w:t>A.</w:t>
      </w:r>
      <w:r>
        <w:rPr>
          <w:noProof/>
        </w:rPr>
        <w:t>66</w:t>
      </w:r>
      <w:r w:rsidR="0050228C">
        <w:tab/>
        <w:t>Rural Financial Counselling Service</w:t>
      </w:r>
    </w:p>
    <w:p w:rsidR="0050228C" w:rsidRDefault="0050228C" w:rsidP="0050228C">
      <w:pPr>
        <w:pStyle w:val="BodyText"/>
      </w:pPr>
      <w:r>
        <w:t xml:space="preserve">The Rural Financial Counselling Service (RFCS) provides grants to state and regional organisations to provide free financial counselling services to primary producers, fishermen and small rural businesses. </w:t>
      </w:r>
      <w:r w:rsidRPr="00BA38A8">
        <w:t>There are currently 14 service providers employing more than 110 rural financial counsellors across Australia</w:t>
      </w:r>
      <w:r>
        <w:t>. The RFCS program is funded by the Australian and State governments (</w:t>
      </w:r>
      <w:r w:rsidRPr="00DC0DD6">
        <w:t>DAFF 2013b</w:t>
      </w:r>
      <w:r>
        <w:t>).</w:t>
      </w:r>
    </w:p>
    <w:p w:rsidR="0050228C" w:rsidRDefault="0050228C" w:rsidP="0050228C">
      <w:pPr>
        <w:pStyle w:val="BodyText"/>
      </w:pPr>
      <w:r>
        <w:t>The Department of Agriculture, Fisheries and Forestry (DAFF) provides the Commission with data on the numbers of businesses using the service in each ANZSIC industry. This information has been used to allocate total funding for the program, as reported in the DAFF annual report, to the Commission’s ANZSIC-based industry groupings (table A.6</w:t>
      </w:r>
      <w:r w:rsidR="00C75068">
        <w:t>6</w:t>
      </w:r>
      <w:r>
        <w:t>).</w:t>
      </w:r>
    </w:p>
    <w:p w:rsidR="0050228C" w:rsidRDefault="0050228C" w:rsidP="0050228C">
      <w:pPr>
        <w:pStyle w:val="TableTitle"/>
      </w:pPr>
      <w:r>
        <w:rPr>
          <w:b w:val="0"/>
        </w:rPr>
        <w:t xml:space="preserve">Table </w:t>
      </w:r>
      <w:r w:rsidR="00FA09C3">
        <w:rPr>
          <w:b w:val="0"/>
        </w:rPr>
        <w:t>A.</w:t>
      </w:r>
      <w:r w:rsidR="00FA09C3">
        <w:rPr>
          <w:b w:val="0"/>
          <w:noProof/>
        </w:rPr>
        <w:t>66</w:t>
      </w:r>
      <w:r>
        <w:tab/>
        <w:t xml:space="preserve">Allocation of Rural Financial Counselling Service </w:t>
      </w:r>
      <w:r w:rsidR="0013131E" w:rsidRPr="0013131E">
        <w:t>to industry</w:t>
      </w:r>
      <w:r>
        <w:t>, 2006</w:t>
      </w:r>
      <w:r>
        <w:noBreakHyphen/>
        <w:t>07 to 2011</w:t>
      </w:r>
      <w:r>
        <w:noBreakHyphen/>
        <w:t>12</w:t>
      </w:r>
    </w:p>
    <w:p w:rsidR="0050228C" w:rsidRDefault="0050228C" w:rsidP="0050228C">
      <w:pPr>
        <w:pStyle w:val="Subtitle"/>
      </w:pPr>
      <w:r>
        <w:t>$ million (nominal)</w:t>
      </w:r>
    </w:p>
    <w:tbl>
      <w:tblPr>
        <w:tblW w:w="5000" w:type="pct"/>
        <w:tblCellMar>
          <w:left w:w="0" w:type="dxa"/>
          <w:right w:w="0" w:type="dxa"/>
        </w:tblCellMar>
        <w:tblLook w:val="0000" w:firstRow="0" w:lastRow="0" w:firstColumn="0" w:lastColumn="0" w:noHBand="0" w:noVBand="0"/>
      </w:tblPr>
      <w:tblGrid>
        <w:gridCol w:w="3421"/>
        <w:gridCol w:w="1030"/>
        <w:gridCol w:w="870"/>
        <w:gridCol w:w="870"/>
        <w:gridCol w:w="870"/>
        <w:gridCol w:w="870"/>
        <w:gridCol w:w="858"/>
      </w:tblGrid>
      <w:tr w:rsidR="0050228C" w:rsidRPr="002A0A03" w:rsidTr="001B56F1">
        <w:trPr>
          <w:trHeight w:val="227"/>
        </w:trPr>
        <w:tc>
          <w:tcPr>
            <w:tcW w:w="1946" w:type="pct"/>
            <w:tcBorders>
              <w:top w:val="single" w:sz="6" w:space="0" w:color="auto"/>
              <w:bottom w:val="single" w:sz="6" w:space="0" w:color="auto"/>
            </w:tcBorders>
          </w:tcPr>
          <w:p w:rsidR="0050228C" w:rsidRPr="002A0A03" w:rsidRDefault="0050228C" w:rsidP="001B56F1">
            <w:pPr>
              <w:pStyle w:val="TableColumnHeading"/>
              <w:jc w:val="left"/>
              <w:rPr>
                <w:sz w:val="18"/>
                <w:szCs w:val="18"/>
              </w:rPr>
            </w:pPr>
            <w:r w:rsidRPr="002A0A03">
              <w:rPr>
                <w:sz w:val="18"/>
                <w:szCs w:val="18"/>
              </w:rPr>
              <w:t>Industry grouping</w:t>
            </w:r>
          </w:p>
        </w:tc>
        <w:tc>
          <w:tcPr>
            <w:tcW w:w="586" w:type="pct"/>
            <w:tcBorders>
              <w:top w:val="single" w:sz="6" w:space="0" w:color="auto"/>
              <w:bottom w:val="single" w:sz="6" w:space="0" w:color="auto"/>
            </w:tcBorders>
          </w:tcPr>
          <w:p w:rsidR="0050228C" w:rsidRPr="002A0A03" w:rsidRDefault="0050228C" w:rsidP="001B56F1">
            <w:pPr>
              <w:pStyle w:val="TableColumnHeading"/>
              <w:ind w:right="28"/>
              <w:rPr>
                <w:sz w:val="18"/>
                <w:szCs w:val="18"/>
              </w:rPr>
            </w:pPr>
            <w:r w:rsidRPr="002A0A03">
              <w:rPr>
                <w:sz w:val="18"/>
                <w:szCs w:val="18"/>
              </w:rPr>
              <w:t>2006-07</w:t>
            </w:r>
          </w:p>
        </w:tc>
        <w:tc>
          <w:tcPr>
            <w:tcW w:w="495" w:type="pct"/>
            <w:tcBorders>
              <w:top w:val="single" w:sz="6" w:space="0" w:color="auto"/>
              <w:bottom w:val="single" w:sz="6" w:space="0" w:color="auto"/>
            </w:tcBorders>
          </w:tcPr>
          <w:p w:rsidR="0050228C" w:rsidRPr="002A0A03" w:rsidRDefault="0050228C" w:rsidP="001B56F1">
            <w:pPr>
              <w:pStyle w:val="TableColumnHeading"/>
              <w:ind w:right="28"/>
              <w:rPr>
                <w:sz w:val="18"/>
                <w:szCs w:val="18"/>
              </w:rPr>
            </w:pPr>
            <w:r w:rsidRPr="002A0A03">
              <w:rPr>
                <w:sz w:val="18"/>
                <w:szCs w:val="18"/>
              </w:rPr>
              <w:t>2007-08</w:t>
            </w:r>
          </w:p>
        </w:tc>
        <w:tc>
          <w:tcPr>
            <w:tcW w:w="495" w:type="pct"/>
            <w:tcBorders>
              <w:top w:val="single" w:sz="6" w:space="0" w:color="auto"/>
              <w:bottom w:val="single" w:sz="6" w:space="0" w:color="auto"/>
            </w:tcBorders>
          </w:tcPr>
          <w:p w:rsidR="0050228C" w:rsidRPr="002A0A03" w:rsidRDefault="0050228C" w:rsidP="001B56F1">
            <w:pPr>
              <w:pStyle w:val="TableColumnHeading"/>
              <w:ind w:right="28"/>
              <w:rPr>
                <w:sz w:val="18"/>
                <w:szCs w:val="18"/>
              </w:rPr>
            </w:pPr>
            <w:r w:rsidRPr="002A0A03">
              <w:rPr>
                <w:sz w:val="18"/>
                <w:szCs w:val="18"/>
              </w:rPr>
              <w:t>2008-09</w:t>
            </w:r>
          </w:p>
        </w:tc>
        <w:tc>
          <w:tcPr>
            <w:tcW w:w="495" w:type="pct"/>
            <w:tcBorders>
              <w:top w:val="single" w:sz="6" w:space="0" w:color="auto"/>
              <w:bottom w:val="single" w:sz="6" w:space="0" w:color="auto"/>
            </w:tcBorders>
            <w:shd w:val="clear" w:color="auto" w:fill="auto"/>
          </w:tcPr>
          <w:p w:rsidR="0050228C" w:rsidRPr="002A0A03" w:rsidRDefault="0050228C" w:rsidP="001B56F1">
            <w:pPr>
              <w:pStyle w:val="TableColumnHeading"/>
              <w:ind w:right="28"/>
              <w:rPr>
                <w:sz w:val="18"/>
                <w:szCs w:val="18"/>
              </w:rPr>
            </w:pPr>
            <w:r w:rsidRPr="002A0A03">
              <w:rPr>
                <w:sz w:val="18"/>
                <w:szCs w:val="18"/>
              </w:rPr>
              <w:t>2009-10</w:t>
            </w:r>
          </w:p>
        </w:tc>
        <w:tc>
          <w:tcPr>
            <w:tcW w:w="495" w:type="pct"/>
            <w:tcBorders>
              <w:top w:val="single" w:sz="6" w:space="0" w:color="auto"/>
              <w:bottom w:val="single" w:sz="6" w:space="0" w:color="auto"/>
            </w:tcBorders>
            <w:shd w:val="clear" w:color="auto" w:fill="auto"/>
          </w:tcPr>
          <w:p w:rsidR="0050228C" w:rsidRPr="002A0A03" w:rsidRDefault="0050228C" w:rsidP="001B56F1">
            <w:pPr>
              <w:pStyle w:val="TableColumnHeading"/>
              <w:ind w:right="28"/>
              <w:rPr>
                <w:sz w:val="18"/>
                <w:szCs w:val="18"/>
              </w:rPr>
            </w:pPr>
            <w:r w:rsidRPr="002A0A03">
              <w:rPr>
                <w:sz w:val="18"/>
                <w:szCs w:val="18"/>
              </w:rPr>
              <w:t>2010-11</w:t>
            </w:r>
          </w:p>
        </w:tc>
        <w:tc>
          <w:tcPr>
            <w:tcW w:w="488" w:type="pct"/>
            <w:tcBorders>
              <w:top w:val="single" w:sz="6" w:space="0" w:color="auto"/>
              <w:bottom w:val="single" w:sz="6" w:space="0" w:color="auto"/>
            </w:tcBorders>
            <w:shd w:val="clear" w:color="auto" w:fill="auto"/>
          </w:tcPr>
          <w:p w:rsidR="0050228C" w:rsidRPr="002A0A03" w:rsidRDefault="0050228C" w:rsidP="001B56F1">
            <w:pPr>
              <w:pStyle w:val="TableColumnHeading"/>
              <w:ind w:right="28"/>
              <w:rPr>
                <w:sz w:val="18"/>
                <w:szCs w:val="18"/>
              </w:rPr>
            </w:pPr>
            <w:r w:rsidRPr="002A0A03">
              <w:rPr>
                <w:sz w:val="18"/>
                <w:szCs w:val="18"/>
              </w:rPr>
              <w:t>2011-12</w:t>
            </w:r>
          </w:p>
        </w:tc>
      </w:tr>
      <w:tr w:rsidR="0050228C" w:rsidTr="001B56F1">
        <w:trPr>
          <w:trHeight w:val="227"/>
        </w:trPr>
        <w:tc>
          <w:tcPr>
            <w:tcW w:w="1946" w:type="pct"/>
            <w:tcBorders>
              <w:top w:val="single" w:sz="6" w:space="0" w:color="auto"/>
            </w:tcBorders>
            <w:vAlign w:val="bottom"/>
          </w:tcPr>
          <w:p w:rsidR="0050228C" w:rsidRPr="00DC145C" w:rsidRDefault="0050228C" w:rsidP="001B56F1">
            <w:pPr>
              <w:pStyle w:val="TableBodyText"/>
              <w:jc w:val="left"/>
              <w:rPr>
                <w:b/>
                <w:sz w:val="18"/>
                <w:szCs w:val="18"/>
              </w:rPr>
            </w:pPr>
            <w:r w:rsidRPr="00DC145C">
              <w:rPr>
                <w:b/>
                <w:sz w:val="18"/>
                <w:szCs w:val="18"/>
              </w:rPr>
              <w:t>Primary production</w:t>
            </w:r>
          </w:p>
        </w:tc>
        <w:tc>
          <w:tcPr>
            <w:tcW w:w="586" w:type="pct"/>
            <w:tcBorders>
              <w:top w:val="single" w:sz="6" w:space="0" w:color="auto"/>
            </w:tcBorders>
            <w:vAlign w:val="bottom"/>
          </w:tcPr>
          <w:p w:rsidR="0050228C" w:rsidRPr="00354365" w:rsidRDefault="0050228C" w:rsidP="001B56F1">
            <w:pPr>
              <w:pStyle w:val="TableBodyText"/>
              <w:rPr>
                <w:b/>
                <w:sz w:val="18"/>
                <w:szCs w:val="18"/>
              </w:rPr>
            </w:pPr>
            <w:r w:rsidRPr="00354365">
              <w:rPr>
                <w:b/>
                <w:sz w:val="18"/>
                <w:szCs w:val="18"/>
              </w:rPr>
              <w:t>11.3</w:t>
            </w:r>
          </w:p>
        </w:tc>
        <w:tc>
          <w:tcPr>
            <w:tcW w:w="495" w:type="pct"/>
            <w:tcBorders>
              <w:top w:val="single" w:sz="6" w:space="0" w:color="auto"/>
            </w:tcBorders>
            <w:vAlign w:val="bottom"/>
          </w:tcPr>
          <w:p w:rsidR="0050228C" w:rsidRPr="00354365" w:rsidRDefault="0050228C" w:rsidP="001B56F1">
            <w:pPr>
              <w:pStyle w:val="TableBodyText"/>
              <w:rPr>
                <w:b/>
                <w:sz w:val="18"/>
                <w:szCs w:val="18"/>
              </w:rPr>
            </w:pPr>
            <w:r w:rsidRPr="00354365">
              <w:rPr>
                <w:b/>
                <w:sz w:val="18"/>
                <w:szCs w:val="18"/>
              </w:rPr>
              <w:t>13.5</w:t>
            </w:r>
          </w:p>
        </w:tc>
        <w:tc>
          <w:tcPr>
            <w:tcW w:w="495" w:type="pct"/>
            <w:tcBorders>
              <w:top w:val="single" w:sz="6" w:space="0" w:color="auto"/>
            </w:tcBorders>
            <w:vAlign w:val="bottom"/>
          </w:tcPr>
          <w:p w:rsidR="0050228C" w:rsidRPr="00354365" w:rsidRDefault="0050228C" w:rsidP="001B56F1">
            <w:pPr>
              <w:pStyle w:val="TableBodyText"/>
              <w:rPr>
                <w:b/>
                <w:sz w:val="18"/>
                <w:szCs w:val="18"/>
              </w:rPr>
            </w:pPr>
            <w:r w:rsidRPr="00354365">
              <w:rPr>
                <w:b/>
                <w:sz w:val="18"/>
                <w:szCs w:val="18"/>
              </w:rPr>
              <w:t>14.7</w:t>
            </w:r>
          </w:p>
        </w:tc>
        <w:tc>
          <w:tcPr>
            <w:tcW w:w="495" w:type="pct"/>
            <w:tcBorders>
              <w:top w:val="single" w:sz="6" w:space="0" w:color="auto"/>
            </w:tcBorders>
            <w:vAlign w:val="bottom"/>
          </w:tcPr>
          <w:p w:rsidR="0050228C" w:rsidRPr="00354365" w:rsidRDefault="0050228C" w:rsidP="001B56F1">
            <w:pPr>
              <w:pStyle w:val="TableBodyText"/>
              <w:rPr>
                <w:b/>
                <w:sz w:val="18"/>
                <w:szCs w:val="18"/>
              </w:rPr>
            </w:pPr>
            <w:r w:rsidRPr="00354365">
              <w:rPr>
                <w:b/>
                <w:sz w:val="18"/>
                <w:szCs w:val="18"/>
              </w:rPr>
              <w:t>15.1</w:t>
            </w:r>
          </w:p>
        </w:tc>
        <w:tc>
          <w:tcPr>
            <w:tcW w:w="495" w:type="pct"/>
            <w:tcBorders>
              <w:top w:val="single" w:sz="6" w:space="0" w:color="auto"/>
            </w:tcBorders>
            <w:vAlign w:val="bottom"/>
          </w:tcPr>
          <w:p w:rsidR="0050228C" w:rsidRPr="00354365" w:rsidRDefault="0050228C" w:rsidP="001B56F1">
            <w:pPr>
              <w:pStyle w:val="TableBodyText"/>
              <w:rPr>
                <w:b/>
                <w:sz w:val="18"/>
                <w:szCs w:val="18"/>
              </w:rPr>
            </w:pPr>
            <w:r w:rsidRPr="00354365">
              <w:rPr>
                <w:b/>
                <w:sz w:val="18"/>
                <w:szCs w:val="18"/>
              </w:rPr>
              <w:t>12.8</w:t>
            </w:r>
          </w:p>
        </w:tc>
        <w:tc>
          <w:tcPr>
            <w:tcW w:w="488" w:type="pct"/>
            <w:tcBorders>
              <w:top w:val="single" w:sz="6" w:space="0" w:color="auto"/>
            </w:tcBorders>
            <w:vAlign w:val="bottom"/>
          </w:tcPr>
          <w:p w:rsidR="0050228C" w:rsidRPr="00354365" w:rsidRDefault="0050228C" w:rsidP="001B56F1">
            <w:pPr>
              <w:pStyle w:val="TableBodyText"/>
              <w:rPr>
                <w:b/>
                <w:sz w:val="18"/>
                <w:szCs w:val="18"/>
              </w:rPr>
            </w:pPr>
            <w:r w:rsidRPr="00354365">
              <w:rPr>
                <w:b/>
                <w:sz w:val="18"/>
                <w:szCs w:val="18"/>
              </w:rPr>
              <w:t>13.3</w:t>
            </w:r>
          </w:p>
        </w:tc>
      </w:tr>
      <w:tr w:rsidR="0050228C" w:rsidTr="001B56F1">
        <w:trPr>
          <w:trHeight w:val="227"/>
        </w:trPr>
        <w:tc>
          <w:tcPr>
            <w:tcW w:w="1946" w:type="pct"/>
            <w:vAlign w:val="bottom"/>
          </w:tcPr>
          <w:p w:rsidR="0050228C" w:rsidRPr="007758AB" w:rsidRDefault="0050228C" w:rsidP="001B56F1">
            <w:pPr>
              <w:pStyle w:val="TableBodyText"/>
              <w:jc w:val="left"/>
              <w:rPr>
                <w:sz w:val="18"/>
                <w:szCs w:val="18"/>
              </w:rPr>
            </w:pPr>
            <w:r>
              <w:rPr>
                <w:sz w:val="18"/>
                <w:szCs w:val="18"/>
              </w:rPr>
              <w:t>Horticulture and fruit growing</w:t>
            </w:r>
          </w:p>
        </w:tc>
        <w:tc>
          <w:tcPr>
            <w:tcW w:w="586" w:type="pct"/>
            <w:vAlign w:val="bottom"/>
          </w:tcPr>
          <w:p w:rsidR="0050228C" w:rsidRPr="00354365" w:rsidRDefault="0050228C" w:rsidP="001B56F1">
            <w:pPr>
              <w:pStyle w:val="TableBodyText"/>
              <w:rPr>
                <w:sz w:val="18"/>
                <w:szCs w:val="18"/>
              </w:rPr>
            </w:pPr>
            <w:r w:rsidRPr="00354365">
              <w:rPr>
                <w:sz w:val="18"/>
                <w:szCs w:val="18"/>
              </w:rPr>
              <w:t>1.1</w:t>
            </w:r>
          </w:p>
        </w:tc>
        <w:tc>
          <w:tcPr>
            <w:tcW w:w="495" w:type="pct"/>
            <w:vAlign w:val="bottom"/>
          </w:tcPr>
          <w:p w:rsidR="0050228C" w:rsidRPr="00354365" w:rsidRDefault="0050228C" w:rsidP="001B56F1">
            <w:pPr>
              <w:pStyle w:val="TableBodyText"/>
              <w:rPr>
                <w:sz w:val="18"/>
                <w:szCs w:val="18"/>
              </w:rPr>
            </w:pPr>
            <w:r w:rsidRPr="00354365">
              <w:rPr>
                <w:sz w:val="18"/>
                <w:szCs w:val="18"/>
              </w:rPr>
              <w:t>2.0</w:t>
            </w:r>
          </w:p>
        </w:tc>
        <w:tc>
          <w:tcPr>
            <w:tcW w:w="495" w:type="pct"/>
            <w:vAlign w:val="bottom"/>
          </w:tcPr>
          <w:p w:rsidR="0050228C" w:rsidRPr="00354365" w:rsidRDefault="0050228C" w:rsidP="001B56F1">
            <w:pPr>
              <w:pStyle w:val="TableBodyText"/>
              <w:rPr>
                <w:sz w:val="18"/>
                <w:szCs w:val="18"/>
              </w:rPr>
            </w:pPr>
            <w:r w:rsidRPr="00354365">
              <w:rPr>
                <w:sz w:val="18"/>
                <w:szCs w:val="18"/>
              </w:rPr>
              <w:t>2.1</w:t>
            </w:r>
          </w:p>
        </w:tc>
        <w:tc>
          <w:tcPr>
            <w:tcW w:w="495" w:type="pct"/>
            <w:vAlign w:val="bottom"/>
          </w:tcPr>
          <w:p w:rsidR="0050228C" w:rsidRPr="00354365" w:rsidRDefault="0050228C" w:rsidP="001B56F1">
            <w:pPr>
              <w:pStyle w:val="TableBodyText"/>
              <w:rPr>
                <w:sz w:val="18"/>
                <w:szCs w:val="18"/>
              </w:rPr>
            </w:pPr>
            <w:r w:rsidRPr="00354365">
              <w:rPr>
                <w:sz w:val="18"/>
                <w:szCs w:val="18"/>
              </w:rPr>
              <w:t>2.1</w:t>
            </w:r>
          </w:p>
        </w:tc>
        <w:tc>
          <w:tcPr>
            <w:tcW w:w="495" w:type="pct"/>
            <w:vAlign w:val="bottom"/>
          </w:tcPr>
          <w:p w:rsidR="0050228C" w:rsidRPr="00354365" w:rsidRDefault="0050228C" w:rsidP="001B56F1">
            <w:pPr>
              <w:pStyle w:val="TableBodyText"/>
              <w:rPr>
                <w:sz w:val="18"/>
                <w:szCs w:val="18"/>
              </w:rPr>
            </w:pPr>
            <w:r w:rsidRPr="00354365">
              <w:rPr>
                <w:sz w:val="18"/>
                <w:szCs w:val="18"/>
              </w:rPr>
              <w:t>2.1</w:t>
            </w:r>
          </w:p>
        </w:tc>
        <w:tc>
          <w:tcPr>
            <w:tcW w:w="488" w:type="pct"/>
            <w:vAlign w:val="bottom"/>
          </w:tcPr>
          <w:p w:rsidR="0050228C" w:rsidRPr="00354365" w:rsidRDefault="0050228C" w:rsidP="001B56F1">
            <w:pPr>
              <w:pStyle w:val="TableBodyText"/>
              <w:rPr>
                <w:sz w:val="18"/>
                <w:szCs w:val="18"/>
              </w:rPr>
            </w:pPr>
            <w:r w:rsidRPr="00354365">
              <w:rPr>
                <w:sz w:val="18"/>
                <w:szCs w:val="18"/>
              </w:rPr>
              <w:t>2.3</w:t>
            </w:r>
          </w:p>
        </w:tc>
      </w:tr>
      <w:tr w:rsidR="0050228C" w:rsidTr="001B56F1">
        <w:trPr>
          <w:trHeight w:val="227"/>
        </w:trPr>
        <w:tc>
          <w:tcPr>
            <w:tcW w:w="1946" w:type="pct"/>
            <w:vAlign w:val="bottom"/>
          </w:tcPr>
          <w:p w:rsidR="0050228C" w:rsidRPr="007758AB" w:rsidRDefault="0050228C" w:rsidP="001B56F1">
            <w:pPr>
              <w:pStyle w:val="TableBodyText"/>
              <w:jc w:val="left"/>
              <w:rPr>
                <w:sz w:val="18"/>
                <w:szCs w:val="18"/>
              </w:rPr>
            </w:pPr>
            <w:r w:rsidRPr="007758AB">
              <w:rPr>
                <w:sz w:val="18"/>
                <w:szCs w:val="18"/>
              </w:rPr>
              <w:t>Sheep, beef cattle and grain farming</w:t>
            </w:r>
          </w:p>
        </w:tc>
        <w:tc>
          <w:tcPr>
            <w:tcW w:w="586" w:type="pct"/>
            <w:vAlign w:val="bottom"/>
          </w:tcPr>
          <w:p w:rsidR="0050228C" w:rsidRPr="00354365" w:rsidRDefault="0050228C" w:rsidP="001B56F1">
            <w:pPr>
              <w:pStyle w:val="TableBodyText"/>
              <w:rPr>
                <w:sz w:val="18"/>
                <w:szCs w:val="18"/>
              </w:rPr>
            </w:pPr>
            <w:r w:rsidRPr="00354365">
              <w:rPr>
                <w:sz w:val="18"/>
                <w:szCs w:val="18"/>
              </w:rPr>
              <w:t>5.7</w:t>
            </w:r>
          </w:p>
        </w:tc>
        <w:tc>
          <w:tcPr>
            <w:tcW w:w="495" w:type="pct"/>
            <w:vAlign w:val="bottom"/>
          </w:tcPr>
          <w:p w:rsidR="0050228C" w:rsidRPr="00354365" w:rsidRDefault="0050228C" w:rsidP="001B56F1">
            <w:pPr>
              <w:pStyle w:val="TableBodyText"/>
              <w:rPr>
                <w:sz w:val="18"/>
                <w:szCs w:val="18"/>
              </w:rPr>
            </w:pPr>
            <w:r w:rsidRPr="00354365">
              <w:rPr>
                <w:sz w:val="18"/>
                <w:szCs w:val="18"/>
              </w:rPr>
              <w:t>6.1</w:t>
            </w:r>
          </w:p>
        </w:tc>
        <w:tc>
          <w:tcPr>
            <w:tcW w:w="495" w:type="pct"/>
            <w:vAlign w:val="bottom"/>
          </w:tcPr>
          <w:p w:rsidR="0050228C" w:rsidRPr="00354365" w:rsidRDefault="0050228C" w:rsidP="001B56F1">
            <w:pPr>
              <w:pStyle w:val="TableBodyText"/>
              <w:rPr>
                <w:sz w:val="18"/>
                <w:szCs w:val="18"/>
              </w:rPr>
            </w:pPr>
            <w:r w:rsidRPr="00354365">
              <w:rPr>
                <w:sz w:val="18"/>
                <w:szCs w:val="18"/>
              </w:rPr>
              <w:t>7.8</w:t>
            </w:r>
          </w:p>
        </w:tc>
        <w:tc>
          <w:tcPr>
            <w:tcW w:w="495" w:type="pct"/>
            <w:vAlign w:val="bottom"/>
          </w:tcPr>
          <w:p w:rsidR="0050228C" w:rsidRPr="00354365" w:rsidRDefault="0050228C" w:rsidP="001B56F1">
            <w:pPr>
              <w:pStyle w:val="TableBodyText"/>
              <w:rPr>
                <w:sz w:val="18"/>
                <w:szCs w:val="18"/>
              </w:rPr>
            </w:pPr>
            <w:r w:rsidRPr="00354365">
              <w:rPr>
                <w:sz w:val="18"/>
                <w:szCs w:val="18"/>
              </w:rPr>
              <w:t>7.8</w:t>
            </w:r>
          </w:p>
        </w:tc>
        <w:tc>
          <w:tcPr>
            <w:tcW w:w="495" w:type="pct"/>
            <w:vAlign w:val="bottom"/>
          </w:tcPr>
          <w:p w:rsidR="0050228C" w:rsidRPr="00354365" w:rsidRDefault="0050228C" w:rsidP="001B56F1">
            <w:pPr>
              <w:pStyle w:val="TableBodyText"/>
              <w:rPr>
                <w:sz w:val="18"/>
                <w:szCs w:val="18"/>
              </w:rPr>
            </w:pPr>
            <w:r w:rsidRPr="00354365">
              <w:rPr>
                <w:sz w:val="18"/>
                <w:szCs w:val="18"/>
              </w:rPr>
              <w:t>6.6</w:t>
            </w:r>
          </w:p>
        </w:tc>
        <w:tc>
          <w:tcPr>
            <w:tcW w:w="488" w:type="pct"/>
            <w:vAlign w:val="bottom"/>
          </w:tcPr>
          <w:p w:rsidR="0050228C" w:rsidRPr="00354365" w:rsidRDefault="0050228C" w:rsidP="001B56F1">
            <w:pPr>
              <w:pStyle w:val="TableBodyText"/>
              <w:rPr>
                <w:sz w:val="18"/>
                <w:szCs w:val="18"/>
              </w:rPr>
            </w:pPr>
            <w:r w:rsidRPr="00354365">
              <w:rPr>
                <w:sz w:val="18"/>
                <w:szCs w:val="18"/>
              </w:rPr>
              <w:t>6.7</w:t>
            </w:r>
          </w:p>
        </w:tc>
      </w:tr>
      <w:tr w:rsidR="0050228C" w:rsidTr="001B56F1">
        <w:trPr>
          <w:trHeight w:val="227"/>
        </w:trPr>
        <w:tc>
          <w:tcPr>
            <w:tcW w:w="1946" w:type="pct"/>
            <w:vAlign w:val="bottom"/>
          </w:tcPr>
          <w:p w:rsidR="0050228C" w:rsidRPr="007758AB" w:rsidRDefault="0050228C" w:rsidP="001B56F1">
            <w:pPr>
              <w:pStyle w:val="TableBodyText"/>
              <w:jc w:val="left"/>
              <w:rPr>
                <w:sz w:val="18"/>
                <w:szCs w:val="18"/>
              </w:rPr>
            </w:pPr>
            <w:r w:rsidRPr="007758AB">
              <w:rPr>
                <w:sz w:val="18"/>
                <w:szCs w:val="18"/>
              </w:rPr>
              <w:t>Other crop growing</w:t>
            </w:r>
          </w:p>
        </w:tc>
        <w:tc>
          <w:tcPr>
            <w:tcW w:w="586" w:type="pct"/>
            <w:vAlign w:val="bottom"/>
          </w:tcPr>
          <w:p w:rsidR="0050228C" w:rsidRPr="00354365" w:rsidRDefault="0050228C" w:rsidP="001B56F1">
            <w:pPr>
              <w:pStyle w:val="TableBodyText"/>
              <w:rPr>
                <w:sz w:val="18"/>
                <w:szCs w:val="18"/>
              </w:rPr>
            </w:pPr>
            <w:r w:rsidRPr="00354365">
              <w:rPr>
                <w:sz w:val="18"/>
                <w:szCs w:val="18"/>
              </w:rPr>
              <w:t>0.7</w:t>
            </w:r>
          </w:p>
        </w:tc>
        <w:tc>
          <w:tcPr>
            <w:tcW w:w="495" w:type="pct"/>
            <w:vAlign w:val="bottom"/>
          </w:tcPr>
          <w:p w:rsidR="0050228C" w:rsidRPr="00354365" w:rsidRDefault="0050228C" w:rsidP="001B56F1">
            <w:pPr>
              <w:pStyle w:val="TableBodyText"/>
              <w:rPr>
                <w:sz w:val="18"/>
                <w:szCs w:val="18"/>
              </w:rPr>
            </w:pPr>
            <w:r w:rsidRPr="00354365">
              <w:rPr>
                <w:sz w:val="18"/>
                <w:szCs w:val="18"/>
              </w:rPr>
              <w:t>0.6</w:t>
            </w:r>
          </w:p>
        </w:tc>
        <w:tc>
          <w:tcPr>
            <w:tcW w:w="495" w:type="pct"/>
            <w:vAlign w:val="bottom"/>
          </w:tcPr>
          <w:p w:rsidR="0050228C" w:rsidRPr="00354365" w:rsidRDefault="0050228C" w:rsidP="001B56F1">
            <w:pPr>
              <w:pStyle w:val="TableBodyText"/>
              <w:rPr>
                <w:sz w:val="18"/>
                <w:szCs w:val="18"/>
              </w:rPr>
            </w:pPr>
            <w:r w:rsidRPr="00354365">
              <w:rPr>
                <w:sz w:val="18"/>
                <w:szCs w:val="18"/>
              </w:rPr>
              <w:t>0.8</w:t>
            </w:r>
          </w:p>
        </w:tc>
        <w:tc>
          <w:tcPr>
            <w:tcW w:w="495" w:type="pct"/>
            <w:shd w:val="clear" w:color="auto" w:fill="auto"/>
            <w:vAlign w:val="bottom"/>
          </w:tcPr>
          <w:p w:rsidR="0050228C" w:rsidRPr="00354365" w:rsidRDefault="0050228C" w:rsidP="001B56F1">
            <w:pPr>
              <w:pStyle w:val="TableBodyText"/>
              <w:rPr>
                <w:sz w:val="18"/>
                <w:szCs w:val="18"/>
              </w:rPr>
            </w:pPr>
            <w:r w:rsidRPr="00354365">
              <w:rPr>
                <w:sz w:val="18"/>
                <w:szCs w:val="18"/>
              </w:rPr>
              <w:t>0.9</w:t>
            </w:r>
          </w:p>
        </w:tc>
        <w:tc>
          <w:tcPr>
            <w:tcW w:w="495" w:type="pct"/>
            <w:shd w:val="clear" w:color="auto" w:fill="auto"/>
            <w:vAlign w:val="bottom"/>
          </w:tcPr>
          <w:p w:rsidR="0050228C" w:rsidRPr="00354365" w:rsidRDefault="0050228C" w:rsidP="001B56F1">
            <w:pPr>
              <w:pStyle w:val="TableBodyText"/>
              <w:rPr>
                <w:sz w:val="18"/>
                <w:szCs w:val="18"/>
              </w:rPr>
            </w:pPr>
            <w:r w:rsidRPr="00354365">
              <w:rPr>
                <w:sz w:val="18"/>
                <w:szCs w:val="18"/>
              </w:rPr>
              <w:t>0.8</w:t>
            </w:r>
          </w:p>
        </w:tc>
        <w:tc>
          <w:tcPr>
            <w:tcW w:w="488" w:type="pct"/>
            <w:shd w:val="clear" w:color="auto" w:fill="auto"/>
            <w:vAlign w:val="bottom"/>
          </w:tcPr>
          <w:p w:rsidR="0050228C" w:rsidRPr="00354365" w:rsidRDefault="0050228C" w:rsidP="001B56F1">
            <w:pPr>
              <w:pStyle w:val="TableBodyText"/>
              <w:rPr>
                <w:sz w:val="18"/>
                <w:szCs w:val="18"/>
              </w:rPr>
            </w:pPr>
            <w:r w:rsidRPr="00354365">
              <w:rPr>
                <w:sz w:val="18"/>
                <w:szCs w:val="18"/>
              </w:rPr>
              <w:t>0.9</w:t>
            </w:r>
          </w:p>
        </w:tc>
      </w:tr>
      <w:tr w:rsidR="0050228C" w:rsidTr="001B56F1">
        <w:trPr>
          <w:trHeight w:val="227"/>
        </w:trPr>
        <w:tc>
          <w:tcPr>
            <w:tcW w:w="1946" w:type="pct"/>
            <w:vAlign w:val="bottom"/>
          </w:tcPr>
          <w:p w:rsidR="0050228C" w:rsidRDefault="0050228C" w:rsidP="001B56F1">
            <w:pPr>
              <w:pStyle w:val="TableBodyText"/>
              <w:jc w:val="left"/>
              <w:rPr>
                <w:sz w:val="18"/>
                <w:szCs w:val="18"/>
              </w:rPr>
            </w:pPr>
            <w:r>
              <w:rPr>
                <w:sz w:val="18"/>
                <w:szCs w:val="18"/>
              </w:rPr>
              <w:t>Dairy cattle farming</w:t>
            </w:r>
          </w:p>
        </w:tc>
        <w:tc>
          <w:tcPr>
            <w:tcW w:w="586" w:type="pct"/>
            <w:vAlign w:val="bottom"/>
          </w:tcPr>
          <w:p w:rsidR="0050228C" w:rsidRPr="00354365" w:rsidRDefault="0050228C" w:rsidP="001B56F1">
            <w:pPr>
              <w:pStyle w:val="TableBodyText"/>
              <w:rPr>
                <w:sz w:val="18"/>
                <w:szCs w:val="18"/>
              </w:rPr>
            </w:pPr>
            <w:r w:rsidRPr="00354365">
              <w:rPr>
                <w:sz w:val="18"/>
                <w:szCs w:val="18"/>
              </w:rPr>
              <w:t>1.4</w:t>
            </w:r>
          </w:p>
        </w:tc>
        <w:tc>
          <w:tcPr>
            <w:tcW w:w="495" w:type="pct"/>
            <w:vAlign w:val="bottom"/>
          </w:tcPr>
          <w:p w:rsidR="0050228C" w:rsidRPr="00354365" w:rsidRDefault="0050228C" w:rsidP="001B56F1">
            <w:pPr>
              <w:pStyle w:val="TableBodyText"/>
              <w:rPr>
                <w:sz w:val="18"/>
                <w:szCs w:val="18"/>
              </w:rPr>
            </w:pPr>
            <w:r w:rsidRPr="00354365">
              <w:rPr>
                <w:sz w:val="18"/>
                <w:szCs w:val="18"/>
              </w:rPr>
              <w:t>1.7</w:t>
            </w:r>
          </w:p>
        </w:tc>
        <w:tc>
          <w:tcPr>
            <w:tcW w:w="495" w:type="pct"/>
            <w:vAlign w:val="bottom"/>
          </w:tcPr>
          <w:p w:rsidR="0050228C" w:rsidRPr="00354365" w:rsidRDefault="0050228C" w:rsidP="001B56F1">
            <w:pPr>
              <w:pStyle w:val="TableBodyText"/>
              <w:rPr>
                <w:sz w:val="18"/>
                <w:szCs w:val="18"/>
              </w:rPr>
            </w:pPr>
            <w:r w:rsidRPr="00354365">
              <w:rPr>
                <w:sz w:val="18"/>
                <w:szCs w:val="18"/>
              </w:rPr>
              <w:t>1.3</w:t>
            </w:r>
          </w:p>
        </w:tc>
        <w:tc>
          <w:tcPr>
            <w:tcW w:w="495" w:type="pct"/>
            <w:shd w:val="clear" w:color="auto" w:fill="auto"/>
            <w:vAlign w:val="bottom"/>
          </w:tcPr>
          <w:p w:rsidR="0050228C" w:rsidRPr="00354365" w:rsidRDefault="0050228C" w:rsidP="001B56F1">
            <w:pPr>
              <w:pStyle w:val="TableBodyText"/>
              <w:rPr>
                <w:sz w:val="18"/>
                <w:szCs w:val="18"/>
              </w:rPr>
            </w:pPr>
            <w:r w:rsidRPr="00354365">
              <w:rPr>
                <w:sz w:val="18"/>
                <w:szCs w:val="18"/>
              </w:rPr>
              <w:t>1.7</w:t>
            </w:r>
          </w:p>
        </w:tc>
        <w:tc>
          <w:tcPr>
            <w:tcW w:w="495" w:type="pct"/>
            <w:shd w:val="clear" w:color="auto" w:fill="auto"/>
            <w:vAlign w:val="bottom"/>
          </w:tcPr>
          <w:p w:rsidR="0050228C" w:rsidRPr="00354365" w:rsidRDefault="0050228C" w:rsidP="001B56F1">
            <w:pPr>
              <w:pStyle w:val="TableBodyText"/>
              <w:rPr>
                <w:sz w:val="18"/>
                <w:szCs w:val="18"/>
              </w:rPr>
            </w:pPr>
            <w:r w:rsidRPr="00354365">
              <w:rPr>
                <w:sz w:val="18"/>
                <w:szCs w:val="18"/>
              </w:rPr>
              <w:t>1.2</w:t>
            </w:r>
          </w:p>
        </w:tc>
        <w:tc>
          <w:tcPr>
            <w:tcW w:w="488" w:type="pct"/>
            <w:shd w:val="clear" w:color="auto" w:fill="auto"/>
            <w:vAlign w:val="bottom"/>
          </w:tcPr>
          <w:p w:rsidR="0050228C" w:rsidRPr="00354365" w:rsidRDefault="0050228C" w:rsidP="001B56F1">
            <w:pPr>
              <w:pStyle w:val="TableBodyText"/>
              <w:rPr>
                <w:sz w:val="18"/>
                <w:szCs w:val="18"/>
              </w:rPr>
            </w:pPr>
            <w:r w:rsidRPr="00354365">
              <w:rPr>
                <w:sz w:val="18"/>
                <w:szCs w:val="18"/>
              </w:rPr>
              <w:t>1.0</w:t>
            </w:r>
          </w:p>
        </w:tc>
      </w:tr>
      <w:tr w:rsidR="0050228C" w:rsidTr="001B56F1">
        <w:trPr>
          <w:trHeight w:val="227"/>
        </w:trPr>
        <w:tc>
          <w:tcPr>
            <w:tcW w:w="1946" w:type="pct"/>
            <w:vAlign w:val="bottom"/>
          </w:tcPr>
          <w:p w:rsidR="0050228C" w:rsidRPr="007758AB" w:rsidRDefault="0050228C" w:rsidP="001B56F1">
            <w:pPr>
              <w:pStyle w:val="TableBodyText"/>
              <w:jc w:val="left"/>
              <w:rPr>
                <w:sz w:val="18"/>
                <w:szCs w:val="18"/>
              </w:rPr>
            </w:pPr>
            <w:r>
              <w:rPr>
                <w:sz w:val="18"/>
                <w:szCs w:val="18"/>
              </w:rPr>
              <w:t>Other livestock farming</w:t>
            </w:r>
          </w:p>
        </w:tc>
        <w:tc>
          <w:tcPr>
            <w:tcW w:w="586" w:type="pct"/>
            <w:vAlign w:val="bottom"/>
          </w:tcPr>
          <w:p w:rsidR="0050228C" w:rsidRPr="00354365" w:rsidRDefault="0050228C" w:rsidP="001B56F1">
            <w:pPr>
              <w:pStyle w:val="TableBodyText"/>
              <w:rPr>
                <w:sz w:val="18"/>
                <w:szCs w:val="18"/>
              </w:rPr>
            </w:pPr>
            <w:r w:rsidRPr="00354365">
              <w:rPr>
                <w:sz w:val="18"/>
                <w:szCs w:val="18"/>
              </w:rPr>
              <w:t>0.2</w:t>
            </w:r>
          </w:p>
        </w:tc>
        <w:tc>
          <w:tcPr>
            <w:tcW w:w="495" w:type="pct"/>
            <w:vAlign w:val="bottom"/>
          </w:tcPr>
          <w:p w:rsidR="0050228C" w:rsidRPr="00354365" w:rsidRDefault="0050228C" w:rsidP="001B56F1">
            <w:pPr>
              <w:pStyle w:val="TableBodyText"/>
              <w:rPr>
                <w:sz w:val="18"/>
                <w:szCs w:val="18"/>
              </w:rPr>
            </w:pPr>
            <w:r w:rsidRPr="00354365">
              <w:rPr>
                <w:sz w:val="18"/>
                <w:szCs w:val="18"/>
              </w:rPr>
              <w:t>0.2</w:t>
            </w:r>
          </w:p>
        </w:tc>
        <w:tc>
          <w:tcPr>
            <w:tcW w:w="495" w:type="pct"/>
            <w:vAlign w:val="bottom"/>
          </w:tcPr>
          <w:p w:rsidR="0050228C" w:rsidRPr="00354365" w:rsidRDefault="0050228C" w:rsidP="001B56F1">
            <w:pPr>
              <w:pStyle w:val="TableBodyText"/>
              <w:rPr>
                <w:sz w:val="18"/>
                <w:szCs w:val="18"/>
              </w:rPr>
            </w:pPr>
            <w:r w:rsidRPr="00354365">
              <w:rPr>
                <w:sz w:val="18"/>
                <w:szCs w:val="18"/>
              </w:rPr>
              <w:t>0.2</w:t>
            </w:r>
          </w:p>
        </w:tc>
        <w:tc>
          <w:tcPr>
            <w:tcW w:w="495" w:type="pct"/>
            <w:shd w:val="clear" w:color="auto" w:fill="auto"/>
            <w:vAlign w:val="bottom"/>
          </w:tcPr>
          <w:p w:rsidR="0050228C" w:rsidRPr="00354365" w:rsidRDefault="0050228C" w:rsidP="001B56F1">
            <w:pPr>
              <w:pStyle w:val="TableBodyText"/>
              <w:rPr>
                <w:sz w:val="18"/>
                <w:szCs w:val="18"/>
              </w:rPr>
            </w:pPr>
            <w:r w:rsidRPr="00354365">
              <w:rPr>
                <w:sz w:val="18"/>
                <w:szCs w:val="18"/>
              </w:rPr>
              <w:t>0.2</w:t>
            </w:r>
          </w:p>
        </w:tc>
        <w:tc>
          <w:tcPr>
            <w:tcW w:w="495" w:type="pct"/>
            <w:shd w:val="clear" w:color="auto" w:fill="auto"/>
            <w:vAlign w:val="bottom"/>
          </w:tcPr>
          <w:p w:rsidR="0050228C" w:rsidRPr="00354365" w:rsidRDefault="0050228C" w:rsidP="001B56F1">
            <w:pPr>
              <w:pStyle w:val="TableBodyText"/>
              <w:rPr>
                <w:sz w:val="18"/>
                <w:szCs w:val="18"/>
              </w:rPr>
            </w:pPr>
            <w:r w:rsidRPr="00354365">
              <w:rPr>
                <w:sz w:val="18"/>
                <w:szCs w:val="18"/>
              </w:rPr>
              <w:t>0.3</w:t>
            </w:r>
          </w:p>
        </w:tc>
        <w:tc>
          <w:tcPr>
            <w:tcW w:w="488" w:type="pct"/>
            <w:shd w:val="clear" w:color="auto" w:fill="auto"/>
            <w:vAlign w:val="bottom"/>
          </w:tcPr>
          <w:p w:rsidR="0050228C" w:rsidRPr="00354365" w:rsidRDefault="0050228C" w:rsidP="001B56F1">
            <w:pPr>
              <w:pStyle w:val="TableBodyText"/>
              <w:rPr>
                <w:sz w:val="18"/>
                <w:szCs w:val="18"/>
              </w:rPr>
            </w:pPr>
            <w:r w:rsidRPr="00354365">
              <w:rPr>
                <w:sz w:val="18"/>
                <w:szCs w:val="18"/>
              </w:rPr>
              <w:t>0.3</w:t>
            </w:r>
          </w:p>
        </w:tc>
      </w:tr>
      <w:tr w:rsidR="0050228C" w:rsidTr="001B56F1">
        <w:trPr>
          <w:trHeight w:val="227"/>
        </w:trPr>
        <w:tc>
          <w:tcPr>
            <w:tcW w:w="1946" w:type="pct"/>
            <w:vAlign w:val="bottom"/>
          </w:tcPr>
          <w:p w:rsidR="0050228C" w:rsidRPr="007758AB" w:rsidRDefault="0050228C" w:rsidP="001B56F1">
            <w:pPr>
              <w:pStyle w:val="TableBodyText"/>
              <w:jc w:val="left"/>
              <w:rPr>
                <w:sz w:val="18"/>
                <w:szCs w:val="18"/>
              </w:rPr>
            </w:pPr>
            <w:r>
              <w:rPr>
                <w:sz w:val="18"/>
                <w:szCs w:val="18"/>
              </w:rPr>
              <w:t>Aquaculture and fishing</w:t>
            </w:r>
          </w:p>
        </w:tc>
        <w:tc>
          <w:tcPr>
            <w:tcW w:w="586" w:type="pct"/>
            <w:vAlign w:val="bottom"/>
          </w:tcPr>
          <w:p w:rsidR="0050228C" w:rsidRPr="00354365" w:rsidRDefault="0050228C" w:rsidP="001B56F1">
            <w:pPr>
              <w:pStyle w:val="TableBodyText"/>
              <w:rPr>
                <w:sz w:val="18"/>
                <w:szCs w:val="18"/>
              </w:rPr>
            </w:pPr>
            <w:r>
              <w:rPr>
                <w:sz w:val="18"/>
                <w:szCs w:val="18"/>
              </w:rPr>
              <w:t>&lt;</w:t>
            </w:r>
            <w:r w:rsidRPr="00354365">
              <w:rPr>
                <w:sz w:val="18"/>
                <w:szCs w:val="18"/>
              </w:rPr>
              <w:t>0.1</w:t>
            </w:r>
          </w:p>
        </w:tc>
        <w:tc>
          <w:tcPr>
            <w:tcW w:w="495" w:type="pct"/>
            <w:vAlign w:val="bottom"/>
          </w:tcPr>
          <w:p w:rsidR="0050228C" w:rsidRPr="00354365" w:rsidRDefault="0050228C" w:rsidP="001B56F1">
            <w:pPr>
              <w:pStyle w:val="TableBodyText"/>
              <w:rPr>
                <w:sz w:val="18"/>
                <w:szCs w:val="18"/>
              </w:rPr>
            </w:pPr>
            <w:r>
              <w:rPr>
                <w:sz w:val="18"/>
                <w:szCs w:val="18"/>
              </w:rPr>
              <w:t>&lt;</w:t>
            </w:r>
            <w:r w:rsidRPr="00354365">
              <w:rPr>
                <w:sz w:val="18"/>
                <w:szCs w:val="18"/>
              </w:rPr>
              <w:t>0.1</w:t>
            </w:r>
          </w:p>
        </w:tc>
        <w:tc>
          <w:tcPr>
            <w:tcW w:w="495" w:type="pct"/>
            <w:vAlign w:val="bottom"/>
          </w:tcPr>
          <w:p w:rsidR="0050228C" w:rsidRPr="00354365" w:rsidRDefault="0050228C" w:rsidP="001B56F1">
            <w:pPr>
              <w:pStyle w:val="TableBodyText"/>
              <w:rPr>
                <w:sz w:val="18"/>
                <w:szCs w:val="18"/>
              </w:rPr>
            </w:pPr>
            <w:r>
              <w:rPr>
                <w:sz w:val="18"/>
                <w:szCs w:val="18"/>
              </w:rPr>
              <w:t>&lt;</w:t>
            </w:r>
            <w:r w:rsidRPr="00354365">
              <w:rPr>
                <w:sz w:val="18"/>
                <w:szCs w:val="18"/>
              </w:rPr>
              <w:t>0.1</w:t>
            </w:r>
          </w:p>
        </w:tc>
        <w:tc>
          <w:tcPr>
            <w:tcW w:w="495" w:type="pct"/>
            <w:shd w:val="clear" w:color="auto" w:fill="auto"/>
            <w:vAlign w:val="bottom"/>
          </w:tcPr>
          <w:p w:rsidR="0050228C" w:rsidRPr="00354365" w:rsidRDefault="0050228C" w:rsidP="001B56F1">
            <w:pPr>
              <w:pStyle w:val="TableBodyText"/>
              <w:rPr>
                <w:sz w:val="18"/>
                <w:szCs w:val="18"/>
              </w:rPr>
            </w:pPr>
            <w:r>
              <w:rPr>
                <w:sz w:val="18"/>
                <w:szCs w:val="18"/>
              </w:rPr>
              <w:t>&lt;</w:t>
            </w:r>
            <w:r w:rsidRPr="00354365">
              <w:rPr>
                <w:sz w:val="18"/>
                <w:szCs w:val="18"/>
              </w:rPr>
              <w:t>0.1</w:t>
            </w:r>
          </w:p>
        </w:tc>
        <w:tc>
          <w:tcPr>
            <w:tcW w:w="495" w:type="pct"/>
            <w:shd w:val="clear" w:color="auto" w:fill="auto"/>
            <w:vAlign w:val="bottom"/>
          </w:tcPr>
          <w:p w:rsidR="0050228C" w:rsidRPr="00354365" w:rsidRDefault="0050228C" w:rsidP="001B56F1">
            <w:pPr>
              <w:pStyle w:val="TableBodyText"/>
              <w:rPr>
                <w:sz w:val="18"/>
                <w:szCs w:val="18"/>
              </w:rPr>
            </w:pPr>
            <w:r>
              <w:rPr>
                <w:sz w:val="18"/>
                <w:szCs w:val="18"/>
              </w:rPr>
              <w:t>&lt;</w:t>
            </w:r>
            <w:r w:rsidRPr="00354365">
              <w:rPr>
                <w:sz w:val="18"/>
                <w:szCs w:val="18"/>
              </w:rPr>
              <w:t>0.1</w:t>
            </w:r>
          </w:p>
        </w:tc>
        <w:tc>
          <w:tcPr>
            <w:tcW w:w="488" w:type="pct"/>
            <w:shd w:val="clear" w:color="auto" w:fill="auto"/>
            <w:vAlign w:val="bottom"/>
          </w:tcPr>
          <w:p w:rsidR="0050228C" w:rsidRPr="00354365" w:rsidRDefault="0050228C" w:rsidP="001B56F1">
            <w:pPr>
              <w:pStyle w:val="TableBodyText"/>
              <w:rPr>
                <w:sz w:val="18"/>
                <w:szCs w:val="18"/>
              </w:rPr>
            </w:pPr>
            <w:r w:rsidRPr="00354365">
              <w:rPr>
                <w:sz w:val="18"/>
                <w:szCs w:val="18"/>
              </w:rPr>
              <w:t>0.1</w:t>
            </w:r>
          </w:p>
        </w:tc>
      </w:tr>
      <w:tr w:rsidR="0050228C" w:rsidTr="001B56F1">
        <w:trPr>
          <w:trHeight w:val="227"/>
        </w:trPr>
        <w:tc>
          <w:tcPr>
            <w:tcW w:w="1946" w:type="pct"/>
            <w:vAlign w:val="bottom"/>
          </w:tcPr>
          <w:p w:rsidR="0050228C" w:rsidRPr="007758AB" w:rsidRDefault="0050228C" w:rsidP="001B56F1">
            <w:pPr>
              <w:pStyle w:val="TableBodyText"/>
              <w:jc w:val="left"/>
              <w:rPr>
                <w:sz w:val="18"/>
                <w:szCs w:val="18"/>
              </w:rPr>
            </w:pPr>
            <w:r w:rsidRPr="007758AB">
              <w:rPr>
                <w:sz w:val="18"/>
                <w:szCs w:val="18"/>
              </w:rPr>
              <w:t>Forestry and logging</w:t>
            </w:r>
          </w:p>
        </w:tc>
        <w:tc>
          <w:tcPr>
            <w:tcW w:w="586" w:type="pct"/>
            <w:vAlign w:val="bottom"/>
          </w:tcPr>
          <w:p w:rsidR="0050228C" w:rsidRPr="00354365" w:rsidRDefault="0050228C" w:rsidP="001B56F1">
            <w:pPr>
              <w:pStyle w:val="TableBodyText"/>
              <w:rPr>
                <w:sz w:val="18"/>
                <w:szCs w:val="18"/>
              </w:rPr>
            </w:pPr>
            <w:r>
              <w:rPr>
                <w:sz w:val="18"/>
                <w:szCs w:val="18"/>
              </w:rPr>
              <w:t>&lt;</w:t>
            </w:r>
            <w:r w:rsidRPr="00E17EEF">
              <w:rPr>
                <w:sz w:val="18"/>
                <w:szCs w:val="18"/>
              </w:rPr>
              <w:t>0.</w:t>
            </w:r>
            <w:r>
              <w:rPr>
                <w:sz w:val="18"/>
                <w:szCs w:val="18"/>
              </w:rPr>
              <w:t>1</w:t>
            </w:r>
          </w:p>
        </w:tc>
        <w:tc>
          <w:tcPr>
            <w:tcW w:w="495" w:type="pct"/>
            <w:vAlign w:val="bottom"/>
          </w:tcPr>
          <w:p w:rsidR="0050228C" w:rsidRPr="00354365" w:rsidRDefault="0050228C" w:rsidP="001B56F1">
            <w:pPr>
              <w:pStyle w:val="TableBodyText"/>
              <w:rPr>
                <w:sz w:val="18"/>
                <w:szCs w:val="18"/>
              </w:rPr>
            </w:pPr>
            <w:r>
              <w:rPr>
                <w:sz w:val="18"/>
                <w:szCs w:val="18"/>
              </w:rPr>
              <w:t>&lt;</w:t>
            </w:r>
            <w:r w:rsidRPr="00E17EEF">
              <w:rPr>
                <w:sz w:val="18"/>
                <w:szCs w:val="18"/>
              </w:rPr>
              <w:t>0.</w:t>
            </w:r>
            <w:r>
              <w:rPr>
                <w:sz w:val="18"/>
                <w:szCs w:val="18"/>
              </w:rPr>
              <w:t>1</w:t>
            </w:r>
          </w:p>
        </w:tc>
        <w:tc>
          <w:tcPr>
            <w:tcW w:w="495" w:type="pct"/>
            <w:vAlign w:val="bottom"/>
          </w:tcPr>
          <w:p w:rsidR="0050228C" w:rsidRPr="00354365" w:rsidRDefault="0050228C" w:rsidP="001B56F1">
            <w:pPr>
              <w:pStyle w:val="TableBodyText"/>
              <w:rPr>
                <w:sz w:val="18"/>
                <w:szCs w:val="18"/>
              </w:rPr>
            </w:pPr>
            <w:r>
              <w:rPr>
                <w:sz w:val="18"/>
                <w:szCs w:val="18"/>
              </w:rPr>
              <w:t>&lt;</w:t>
            </w:r>
            <w:r w:rsidRPr="00E17EEF">
              <w:rPr>
                <w:sz w:val="18"/>
                <w:szCs w:val="18"/>
              </w:rPr>
              <w:t>0.</w:t>
            </w:r>
            <w:r>
              <w:rPr>
                <w:sz w:val="18"/>
                <w:szCs w:val="18"/>
              </w:rPr>
              <w:t>1</w:t>
            </w:r>
          </w:p>
        </w:tc>
        <w:tc>
          <w:tcPr>
            <w:tcW w:w="495" w:type="pct"/>
            <w:shd w:val="clear" w:color="auto" w:fill="auto"/>
            <w:vAlign w:val="bottom"/>
          </w:tcPr>
          <w:p w:rsidR="0050228C" w:rsidRPr="00354365" w:rsidRDefault="0050228C" w:rsidP="001B56F1">
            <w:pPr>
              <w:pStyle w:val="TableBodyText"/>
              <w:rPr>
                <w:sz w:val="18"/>
                <w:szCs w:val="18"/>
              </w:rPr>
            </w:pPr>
            <w:r>
              <w:rPr>
                <w:sz w:val="18"/>
                <w:szCs w:val="18"/>
              </w:rPr>
              <w:t>&lt;</w:t>
            </w:r>
            <w:r w:rsidRPr="00E17EEF">
              <w:rPr>
                <w:sz w:val="18"/>
                <w:szCs w:val="18"/>
              </w:rPr>
              <w:t>0.</w:t>
            </w:r>
            <w:r>
              <w:rPr>
                <w:sz w:val="18"/>
                <w:szCs w:val="18"/>
              </w:rPr>
              <w:t>1</w:t>
            </w:r>
          </w:p>
        </w:tc>
        <w:tc>
          <w:tcPr>
            <w:tcW w:w="495" w:type="pct"/>
            <w:shd w:val="clear" w:color="auto" w:fill="auto"/>
            <w:vAlign w:val="bottom"/>
          </w:tcPr>
          <w:p w:rsidR="0050228C" w:rsidRPr="00354365" w:rsidRDefault="0050228C" w:rsidP="001B56F1">
            <w:pPr>
              <w:pStyle w:val="TableBodyText"/>
              <w:rPr>
                <w:sz w:val="18"/>
                <w:szCs w:val="18"/>
              </w:rPr>
            </w:pPr>
            <w:r>
              <w:rPr>
                <w:sz w:val="18"/>
                <w:szCs w:val="18"/>
              </w:rPr>
              <w:t>&lt;</w:t>
            </w:r>
            <w:r w:rsidRPr="00E17EEF">
              <w:rPr>
                <w:sz w:val="18"/>
                <w:szCs w:val="18"/>
              </w:rPr>
              <w:t>0.</w:t>
            </w:r>
            <w:r>
              <w:rPr>
                <w:sz w:val="18"/>
                <w:szCs w:val="18"/>
              </w:rPr>
              <w:t>1</w:t>
            </w:r>
          </w:p>
        </w:tc>
        <w:tc>
          <w:tcPr>
            <w:tcW w:w="488" w:type="pct"/>
            <w:shd w:val="clear" w:color="auto" w:fill="auto"/>
            <w:vAlign w:val="bottom"/>
          </w:tcPr>
          <w:p w:rsidR="0050228C" w:rsidRPr="00354365" w:rsidRDefault="0050228C" w:rsidP="001B56F1">
            <w:pPr>
              <w:pStyle w:val="TableBodyText"/>
              <w:rPr>
                <w:sz w:val="18"/>
                <w:szCs w:val="18"/>
              </w:rPr>
            </w:pPr>
            <w:r>
              <w:rPr>
                <w:sz w:val="18"/>
                <w:szCs w:val="18"/>
              </w:rPr>
              <w:t>&lt;</w:t>
            </w:r>
            <w:r w:rsidRPr="00354365">
              <w:rPr>
                <w:sz w:val="18"/>
                <w:szCs w:val="18"/>
              </w:rPr>
              <w:t>0.1</w:t>
            </w:r>
          </w:p>
        </w:tc>
      </w:tr>
      <w:tr w:rsidR="0050228C" w:rsidTr="001B56F1">
        <w:trPr>
          <w:trHeight w:val="227"/>
        </w:trPr>
        <w:tc>
          <w:tcPr>
            <w:tcW w:w="1946" w:type="pct"/>
            <w:vAlign w:val="bottom"/>
          </w:tcPr>
          <w:p w:rsidR="0050228C" w:rsidRPr="007758AB" w:rsidRDefault="0050228C" w:rsidP="001B56F1">
            <w:pPr>
              <w:pStyle w:val="TableBodyText"/>
              <w:jc w:val="left"/>
              <w:rPr>
                <w:sz w:val="18"/>
                <w:szCs w:val="18"/>
              </w:rPr>
            </w:pPr>
            <w:r>
              <w:rPr>
                <w:sz w:val="18"/>
                <w:szCs w:val="18"/>
              </w:rPr>
              <w:t>Unallocated primary production</w:t>
            </w:r>
            <w:r w:rsidRPr="009B56F1">
              <w:rPr>
                <w:rStyle w:val="NoteLabel"/>
              </w:rPr>
              <w:t>a</w:t>
            </w:r>
          </w:p>
        </w:tc>
        <w:tc>
          <w:tcPr>
            <w:tcW w:w="586" w:type="pct"/>
            <w:vAlign w:val="bottom"/>
          </w:tcPr>
          <w:p w:rsidR="0050228C" w:rsidRPr="00354365" w:rsidRDefault="0050228C" w:rsidP="001B56F1">
            <w:pPr>
              <w:pStyle w:val="TableBodyText"/>
              <w:rPr>
                <w:sz w:val="18"/>
                <w:szCs w:val="18"/>
              </w:rPr>
            </w:pPr>
            <w:r w:rsidRPr="00354365">
              <w:rPr>
                <w:sz w:val="18"/>
                <w:szCs w:val="18"/>
              </w:rPr>
              <w:t>2.1</w:t>
            </w:r>
          </w:p>
        </w:tc>
        <w:tc>
          <w:tcPr>
            <w:tcW w:w="495" w:type="pct"/>
            <w:vAlign w:val="bottom"/>
          </w:tcPr>
          <w:p w:rsidR="0050228C" w:rsidRPr="00354365" w:rsidRDefault="0050228C" w:rsidP="001B56F1">
            <w:pPr>
              <w:pStyle w:val="TableBodyText"/>
              <w:rPr>
                <w:sz w:val="18"/>
                <w:szCs w:val="18"/>
              </w:rPr>
            </w:pPr>
            <w:r w:rsidRPr="00354365">
              <w:rPr>
                <w:sz w:val="18"/>
                <w:szCs w:val="18"/>
              </w:rPr>
              <w:t>2.8</w:t>
            </w:r>
          </w:p>
        </w:tc>
        <w:tc>
          <w:tcPr>
            <w:tcW w:w="495" w:type="pct"/>
            <w:vAlign w:val="bottom"/>
          </w:tcPr>
          <w:p w:rsidR="0050228C" w:rsidRPr="00354365" w:rsidRDefault="0050228C" w:rsidP="001B56F1">
            <w:pPr>
              <w:pStyle w:val="TableBodyText"/>
              <w:rPr>
                <w:sz w:val="18"/>
                <w:szCs w:val="18"/>
              </w:rPr>
            </w:pPr>
            <w:r w:rsidRPr="00354365">
              <w:rPr>
                <w:sz w:val="18"/>
                <w:szCs w:val="18"/>
              </w:rPr>
              <w:t>2.3</w:t>
            </w:r>
          </w:p>
        </w:tc>
        <w:tc>
          <w:tcPr>
            <w:tcW w:w="495" w:type="pct"/>
            <w:shd w:val="clear" w:color="auto" w:fill="auto"/>
            <w:vAlign w:val="bottom"/>
          </w:tcPr>
          <w:p w:rsidR="0050228C" w:rsidRPr="00354365" w:rsidRDefault="0050228C" w:rsidP="001B56F1">
            <w:pPr>
              <w:pStyle w:val="TableBodyText"/>
              <w:rPr>
                <w:sz w:val="18"/>
                <w:szCs w:val="18"/>
              </w:rPr>
            </w:pPr>
            <w:r w:rsidRPr="00354365">
              <w:rPr>
                <w:sz w:val="18"/>
                <w:szCs w:val="18"/>
              </w:rPr>
              <w:t>2.2</w:t>
            </w:r>
          </w:p>
        </w:tc>
        <w:tc>
          <w:tcPr>
            <w:tcW w:w="495" w:type="pct"/>
            <w:shd w:val="clear" w:color="auto" w:fill="auto"/>
            <w:vAlign w:val="bottom"/>
          </w:tcPr>
          <w:p w:rsidR="0050228C" w:rsidRPr="00354365" w:rsidRDefault="0050228C" w:rsidP="001B56F1">
            <w:pPr>
              <w:pStyle w:val="TableBodyText"/>
              <w:rPr>
                <w:sz w:val="18"/>
                <w:szCs w:val="18"/>
              </w:rPr>
            </w:pPr>
            <w:r w:rsidRPr="00354365">
              <w:rPr>
                <w:sz w:val="18"/>
                <w:szCs w:val="18"/>
              </w:rPr>
              <w:t>1.7</w:t>
            </w:r>
          </w:p>
        </w:tc>
        <w:tc>
          <w:tcPr>
            <w:tcW w:w="488" w:type="pct"/>
            <w:shd w:val="clear" w:color="auto" w:fill="auto"/>
            <w:vAlign w:val="bottom"/>
          </w:tcPr>
          <w:p w:rsidR="0050228C" w:rsidRPr="00354365" w:rsidRDefault="0050228C" w:rsidP="001B56F1">
            <w:pPr>
              <w:pStyle w:val="TableBodyText"/>
              <w:rPr>
                <w:sz w:val="18"/>
                <w:szCs w:val="18"/>
              </w:rPr>
            </w:pPr>
            <w:r w:rsidRPr="00354365">
              <w:rPr>
                <w:sz w:val="18"/>
                <w:szCs w:val="18"/>
              </w:rPr>
              <w:t>1.9</w:t>
            </w:r>
          </w:p>
        </w:tc>
      </w:tr>
      <w:tr w:rsidR="0050228C" w:rsidTr="001B56F1">
        <w:trPr>
          <w:trHeight w:val="227"/>
        </w:trPr>
        <w:tc>
          <w:tcPr>
            <w:tcW w:w="1946" w:type="pct"/>
            <w:tcBorders>
              <w:bottom w:val="single" w:sz="4" w:space="0" w:color="auto"/>
            </w:tcBorders>
            <w:vAlign w:val="bottom"/>
          </w:tcPr>
          <w:p w:rsidR="0050228C" w:rsidRPr="007758AB" w:rsidRDefault="0050228C" w:rsidP="001B56F1">
            <w:pPr>
              <w:pStyle w:val="TableBodyText"/>
              <w:jc w:val="left"/>
              <w:rPr>
                <w:b/>
                <w:bCs/>
                <w:sz w:val="18"/>
                <w:szCs w:val="18"/>
              </w:rPr>
            </w:pPr>
            <w:r w:rsidRPr="007758AB">
              <w:rPr>
                <w:b/>
                <w:bCs/>
                <w:sz w:val="18"/>
                <w:szCs w:val="18"/>
              </w:rPr>
              <w:t>Total</w:t>
            </w:r>
          </w:p>
        </w:tc>
        <w:tc>
          <w:tcPr>
            <w:tcW w:w="586" w:type="pct"/>
            <w:tcBorders>
              <w:bottom w:val="single" w:sz="4" w:space="0" w:color="auto"/>
            </w:tcBorders>
            <w:vAlign w:val="bottom"/>
          </w:tcPr>
          <w:p w:rsidR="0050228C" w:rsidRPr="00354365" w:rsidRDefault="0050228C" w:rsidP="001B56F1">
            <w:pPr>
              <w:pStyle w:val="TableBodyText"/>
              <w:rPr>
                <w:b/>
                <w:sz w:val="18"/>
                <w:szCs w:val="18"/>
              </w:rPr>
            </w:pPr>
            <w:r w:rsidRPr="00354365">
              <w:rPr>
                <w:b/>
                <w:sz w:val="18"/>
                <w:szCs w:val="18"/>
              </w:rPr>
              <w:t>11.3</w:t>
            </w:r>
          </w:p>
        </w:tc>
        <w:tc>
          <w:tcPr>
            <w:tcW w:w="495" w:type="pct"/>
            <w:tcBorders>
              <w:bottom w:val="single" w:sz="4" w:space="0" w:color="auto"/>
            </w:tcBorders>
            <w:vAlign w:val="bottom"/>
          </w:tcPr>
          <w:p w:rsidR="0050228C" w:rsidRPr="00354365" w:rsidRDefault="0050228C" w:rsidP="001B56F1">
            <w:pPr>
              <w:pStyle w:val="TableBodyText"/>
              <w:rPr>
                <w:b/>
                <w:sz w:val="18"/>
                <w:szCs w:val="18"/>
              </w:rPr>
            </w:pPr>
            <w:r w:rsidRPr="00354365">
              <w:rPr>
                <w:b/>
                <w:sz w:val="18"/>
                <w:szCs w:val="18"/>
              </w:rPr>
              <w:t>13.5</w:t>
            </w:r>
          </w:p>
        </w:tc>
        <w:tc>
          <w:tcPr>
            <w:tcW w:w="495" w:type="pct"/>
            <w:tcBorders>
              <w:bottom w:val="single" w:sz="4" w:space="0" w:color="auto"/>
            </w:tcBorders>
            <w:vAlign w:val="bottom"/>
          </w:tcPr>
          <w:p w:rsidR="0050228C" w:rsidRPr="00354365" w:rsidRDefault="0050228C" w:rsidP="001B56F1">
            <w:pPr>
              <w:pStyle w:val="TableBodyText"/>
              <w:rPr>
                <w:b/>
                <w:sz w:val="18"/>
                <w:szCs w:val="18"/>
              </w:rPr>
            </w:pPr>
            <w:r w:rsidRPr="00354365">
              <w:rPr>
                <w:b/>
                <w:sz w:val="18"/>
                <w:szCs w:val="18"/>
              </w:rPr>
              <w:t>14.7</w:t>
            </w:r>
          </w:p>
        </w:tc>
        <w:tc>
          <w:tcPr>
            <w:tcW w:w="495" w:type="pct"/>
            <w:tcBorders>
              <w:bottom w:val="single" w:sz="4" w:space="0" w:color="auto"/>
            </w:tcBorders>
            <w:shd w:val="clear" w:color="auto" w:fill="auto"/>
            <w:vAlign w:val="bottom"/>
          </w:tcPr>
          <w:p w:rsidR="0050228C" w:rsidRPr="00354365" w:rsidRDefault="0050228C" w:rsidP="001B56F1">
            <w:pPr>
              <w:pStyle w:val="TableBodyText"/>
              <w:rPr>
                <w:b/>
                <w:sz w:val="18"/>
                <w:szCs w:val="18"/>
              </w:rPr>
            </w:pPr>
            <w:r w:rsidRPr="00354365">
              <w:rPr>
                <w:b/>
                <w:sz w:val="18"/>
                <w:szCs w:val="18"/>
              </w:rPr>
              <w:t>15.1</w:t>
            </w:r>
          </w:p>
        </w:tc>
        <w:tc>
          <w:tcPr>
            <w:tcW w:w="495" w:type="pct"/>
            <w:tcBorders>
              <w:bottom w:val="single" w:sz="4" w:space="0" w:color="auto"/>
            </w:tcBorders>
            <w:shd w:val="clear" w:color="auto" w:fill="auto"/>
            <w:vAlign w:val="bottom"/>
          </w:tcPr>
          <w:p w:rsidR="0050228C" w:rsidRPr="00354365" w:rsidRDefault="0050228C" w:rsidP="001B56F1">
            <w:pPr>
              <w:pStyle w:val="TableBodyText"/>
              <w:rPr>
                <w:b/>
                <w:sz w:val="18"/>
                <w:szCs w:val="18"/>
              </w:rPr>
            </w:pPr>
            <w:r w:rsidRPr="00354365">
              <w:rPr>
                <w:b/>
                <w:sz w:val="18"/>
                <w:szCs w:val="18"/>
              </w:rPr>
              <w:t>12.8</w:t>
            </w:r>
          </w:p>
        </w:tc>
        <w:tc>
          <w:tcPr>
            <w:tcW w:w="488" w:type="pct"/>
            <w:tcBorders>
              <w:bottom w:val="single" w:sz="4" w:space="0" w:color="auto"/>
            </w:tcBorders>
            <w:shd w:val="clear" w:color="auto" w:fill="auto"/>
            <w:vAlign w:val="bottom"/>
          </w:tcPr>
          <w:p w:rsidR="0050228C" w:rsidRPr="00354365" w:rsidRDefault="0050228C" w:rsidP="001B56F1">
            <w:pPr>
              <w:pStyle w:val="TableBodyText"/>
              <w:rPr>
                <w:b/>
                <w:sz w:val="18"/>
                <w:szCs w:val="18"/>
              </w:rPr>
            </w:pPr>
            <w:r w:rsidRPr="00354365">
              <w:rPr>
                <w:b/>
                <w:sz w:val="18"/>
                <w:szCs w:val="18"/>
              </w:rPr>
              <w:t>13.3</w:t>
            </w:r>
          </w:p>
        </w:tc>
      </w:tr>
    </w:tbl>
    <w:p w:rsidR="0050228C" w:rsidRDefault="0050228C" w:rsidP="0050228C">
      <w:pPr>
        <w:pStyle w:val="Source"/>
        <w:spacing w:after="0"/>
        <w:rPr>
          <w:i/>
        </w:rPr>
      </w:pPr>
      <w:r w:rsidRPr="009B56F1">
        <w:rPr>
          <w:rStyle w:val="NoteLabel"/>
        </w:rPr>
        <w:t>a</w:t>
      </w:r>
      <w:r w:rsidRPr="009B56F1">
        <w:t xml:space="preserve"> Unallocated includes general programs where detai</w:t>
      </w:r>
      <w:r>
        <w:t>ls of beneficiaries are unknown.</w:t>
      </w:r>
    </w:p>
    <w:p w:rsidR="0050228C" w:rsidRPr="008E77FE" w:rsidRDefault="0050228C" w:rsidP="0050228C">
      <w:pPr>
        <w:pStyle w:val="Source"/>
      </w:pPr>
      <w:r>
        <w:rPr>
          <w:i/>
        </w:rPr>
        <w:t>Sources</w:t>
      </w:r>
      <w:r>
        <w:t xml:space="preserve">: </w:t>
      </w:r>
      <w:r w:rsidRPr="00AF6D67">
        <w:t xml:space="preserve">Commission estimates based on </w:t>
      </w:r>
      <w:r>
        <w:t>DAFF Annual Report 2011</w:t>
      </w:r>
      <w:r>
        <w:noBreakHyphen/>
        <w:t>12 (and earlier years); and detailed DAFF data by ANZSIC industry.</w:t>
      </w:r>
    </w:p>
    <w:p w:rsidR="00D725A6" w:rsidRDefault="00FA09C3" w:rsidP="00D725A6">
      <w:pPr>
        <w:pStyle w:val="Heading2"/>
      </w:pPr>
      <w:r>
        <w:t>A.</w:t>
      </w:r>
      <w:r>
        <w:rPr>
          <w:noProof/>
        </w:rPr>
        <w:t>67</w:t>
      </w:r>
      <w:r w:rsidR="00D725A6">
        <w:tab/>
        <w:t>Live Animal Exports Business Assistance Package</w:t>
      </w:r>
    </w:p>
    <w:p w:rsidR="00D725A6" w:rsidRDefault="00D725A6" w:rsidP="00D725A6">
      <w:pPr>
        <w:pStyle w:val="BodyText"/>
      </w:pPr>
      <w:r w:rsidRPr="00944AF9">
        <w:t xml:space="preserve">The </w:t>
      </w:r>
      <w:r>
        <w:t>Live Animal Exports Business Assistance Package</w:t>
      </w:r>
      <w:r w:rsidRPr="00944AF9">
        <w:t xml:space="preserve"> </w:t>
      </w:r>
      <w:r>
        <w:t>aims</w:t>
      </w:r>
      <w:r w:rsidRPr="00944AF9">
        <w:t xml:space="preserve"> to assist </w:t>
      </w:r>
      <w:r>
        <w:t>b</w:t>
      </w:r>
      <w:r w:rsidRPr="00944AF9">
        <w:t xml:space="preserve">usinesses </w:t>
      </w:r>
      <w:r>
        <w:t xml:space="preserve">and individuals </w:t>
      </w:r>
      <w:r w:rsidRPr="00944AF9">
        <w:t>directly impacted by the temporary suspension of live cattle exports to Indonesia</w:t>
      </w:r>
      <w:r>
        <w:t xml:space="preserve"> (</w:t>
      </w:r>
      <w:r w:rsidRPr="00DC0DD6">
        <w:t>DAFF 2012</w:t>
      </w:r>
      <w:r>
        <w:t>). The Package includes:</w:t>
      </w:r>
    </w:p>
    <w:p w:rsidR="00D725A6" w:rsidRDefault="00D725A6" w:rsidP="00D725A6">
      <w:pPr>
        <w:pStyle w:val="ListBullet"/>
      </w:pPr>
      <w:r>
        <w:t>an Income Recovery Subsidy, comprising up to 13 weeks of income support for individuals;</w:t>
      </w:r>
    </w:p>
    <w:p w:rsidR="00D725A6" w:rsidRDefault="00D725A6" w:rsidP="00D725A6">
      <w:pPr>
        <w:pStyle w:val="ListBullet"/>
      </w:pPr>
      <w:r>
        <w:t>a Business Assistance Package, comprising a Business Assistance Payment of $5 000 and a Business Hardship Payment of up to $20 000;</w:t>
      </w:r>
    </w:p>
    <w:p w:rsidR="00D725A6" w:rsidRDefault="00D725A6" w:rsidP="00D725A6">
      <w:pPr>
        <w:pStyle w:val="ListBullet"/>
      </w:pPr>
      <w:r>
        <w:t>a Subsidised Interest Rate scheme, providing a subsidy of up to $36 000 over two years on new business lending; and</w:t>
      </w:r>
    </w:p>
    <w:p w:rsidR="00D725A6" w:rsidRDefault="00D725A6" w:rsidP="00D725A6">
      <w:pPr>
        <w:pStyle w:val="ListBullet"/>
      </w:pPr>
      <w:r>
        <w:t>grants of up to $5 500 for pastoralists to obtain financial advice.</w:t>
      </w:r>
    </w:p>
    <w:p w:rsidR="00D725A6" w:rsidRPr="00532AC9" w:rsidRDefault="00D725A6" w:rsidP="00D725A6">
      <w:pPr>
        <w:pStyle w:val="BodyText"/>
      </w:pPr>
      <w:r w:rsidRPr="00532AC9">
        <w:t xml:space="preserve">The assistance measures were designed to target those </w:t>
      </w:r>
      <w:r>
        <w:t xml:space="preserve">businesses and individuals </w:t>
      </w:r>
      <w:r w:rsidRPr="00532AC9">
        <w:t xml:space="preserve">significantly exposed to the trade </w:t>
      </w:r>
      <w:r>
        <w:t xml:space="preserve">of live cattle </w:t>
      </w:r>
      <w:r w:rsidRPr="00532AC9">
        <w:t>and therefore less able to diversify their income to lessen the impact of the temporary suspension. Approximately 800 individuals and businesses received support in 2011</w:t>
      </w:r>
      <w:r>
        <w:noBreakHyphen/>
      </w:r>
      <w:r w:rsidRPr="00532AC9">
        <w:t xml:space="preserve">12. Payments </w:t>
      </w:r>
      <w:r>
        <w:t>are scheduled to</w:t>
      </w:r>
      <w:r w:rsidRPr="00532AC9">
        <w:t xml:space="preserve"> continue until June</w:t>
      </w:r>
      <w:r>
        <w:t> </w:t>
      </w:r>
      <w:r w:rsidRPr="00532AC9">
        <w:t>2014 for recipients of the subsidised interest rate</w:t>
      </w:r>
      <w:r>
        <w:t>.</w:t>
      </w:r>
    </w:p>
    <w:p w:rsidR="00D725A6" w:rsidRPr="00532AC9" w:rsidRDefault="00D725A6" w:rsidP="00D725A6">
      <w:pPr>
        <w:pStyle w:val="BodyText"/>
      </w:pPr>
      <w:r w:rsidRPr="002F30C7">
        <w:t xml:space="preserve">The </w:t>
      </w:r>
      <w:r>
        <w:t>Package</w:t>
      </w:r>
      <w:r w:rsidRPr="002F30C7">
        <w:t xml:space="preserve"> selectively benefit</w:t>
      </w:r>
      <w:r>
        <w:t>s</w:t>
      </w:r>
      <w:r w:rsidRPr="002F30C7">
        <w:t xml:space="preserve"> </w:t>
      </w:r>
      <w:r>
        <w:t>businesses</w:t>
      </w:r>
      <w:r w:rsidRPr="002F30C7">
        <w:t xml:space="preserve"> engaged in livestock farming which are predominately located in the </w:t>
      </w:r>
      <w:r w:rsidRPr="002F30C7">
        <w:rPr>
          <w:i/>
        </w:rPr>
        <w:t>Sheep, beef cattle and grain farming</w:t>
      </w:r>
      <w:r w:rsidRPr="002F30C7">
        <w:t xml:space="preserve"> industry grouping in the Commission’s ANZSIC-based classification (table</w:t>
      </w:r>
      <w:r w:rsidR="00160387">
        <w:t> </w:t>
      </w:r>
      <w:r w:rsidRPr="002F30C7">
        <w:t>A.</w:t>
      </w:r>
      <w:r>
        <w:t>6</w:t>
      </w:r>
      <w:r w:rsidR="00C75068">
        <w:t>7</w:t>
      </w:r>
      <w:r w:rsidRPr="002F30C7">
        <w:t>).</w:t>
      </w:r>
    </w:p>
    <w:p w:rsidR="00D725A6" w:rsidRDefault="00D725A6" w:rsidP="00D725A6">
      <w:pPr>
        <w:pStyle w:val="TableTitle"/>
      </w:pPr>
      <w:r>
        <w:rPr>
          <w:b w:val="0"/>
        </w:rPr>
        <w:t xml:space="preserve">Table </w:t>
      </w:r>
      <w:r w:rsidR="00FA09C3">
        <w:rPr>
          <w:b w:val="0"/>
        </w:rPr>
        <w:t>A.</w:t>
      </w:r>
      <w:r w:rsidR="00FA09C3">
        <w:rPr>
          <w:b w:val="0"/>
          <w:noProof/>
        </w:rPr>
        <w:t>67</w:t>
      </w:r>
      <w:r>
        <w:tab/>
        <w:t>Allocation of Live Animal Exports Business Assistance</w:t>
      </w:r>
      <w:r w:rsidR="0013131E">
        <w:t xml:space="preserve"> Package </w:t>
      </w:r>
      <w:r w:rsidR="0013131E" w:rsidRPr="0013131E">
        <w:t>to industry</w:t>
      </w:r>
      <w:r>
        <w:t>, 2006</w:t>
      </w:r>
      <w:r>
        <w:noBreakHyphen/>
        <w:t>07 to 2011</w:t>
      </w:r>
      <w:r>
        <w:noBreakHyphen/>
        <w:t>12</w:t>
      </w:r>
    </w:p>
    <w:p w:rsidR="00D725A6" w:rsidRDefault="000E1A26" w:rsidP="00D725A6">
      <w:pPr>
        <w:pStyle w:val="Subtitle"/>
      </w:pPr>
      <w:r>
        <w:t>$ m</w:t>
      </w:r>
      <w:r w:rsidR="00D725A6">
        <w:t xml:space="preserve">illion (nominal) </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D725A6" w:rsidRPr="00AF699A" w:rsidTr="001B56F1">
        <w:trPr>
          <w:trHeight w:val="416"/>
        </w:trPr>
        <w:tc>
          <w:tcPr>
            <w:tcW w:w="1958" w:type="pct"/>
            <w:tcBorders>
              <w:top w:val="single" w:sz="6" w:space="0" w:color="auto"/>
              <w:bottom w:val="single" w:sz="6" w:space="0" w:color="auto"/>
            </w:tcBorders>
          </w:tcPr>
          <w:p w:rsidR="00D725A6" w:rsidRPr="00AF699A" w:rsidRDefault="00D725A6"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D725A6" w:rsidRPr="00AF699A" w:rsidRDefault="00D725A6"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D725A6" w:rsidRPr="00AF699A" w:rsidRDefault="00D725A6"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D725A6" w:rsidRPr="00AF699A" w:rsidRDefault="00D725A6"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D725A6" w:rsidRPr="00AF699A" w:rsidRDefault="00D725A6"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D725A6" w:rsidRPr="00AF699A" w:rsidRDefault="00D725A6" w:rsidP="001B56F1">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D725A6" w:rsidRPr="00AF699A" w:rsidRDefault="00D725A6" w:rsidP="001B56F1">
            <w:pPr>
              <w:pStyle w:val="TableColumnHeading"/>
              <w:ind w:right="28"/>
              <w:rPr>
                <w:rFonts w:cs="Arial"/>
                <w:sz w:val="18"/>
                <w:szCs w:val="18"/>
              </w:rPr>
            </w:pPr>
            <w:r w:rsidRPr="00AF699A">
              <w:rPr>
                <w:rFonts w:cs="Arial"/>
                <w:sz w:val="18"/>
                <w:szCs w:val="18"/>
              </w:rPr>
              <w:t>2011-12</w:t>
            </w:r>
          </w:p>
        </w:tc>
      </w:tr>
      <w:tr w:rsidR="00D725A6" w:rsidRPr="003E46CD" w:rsidTr="001B56F1">
        <w:tc>
          <w:tcPr>
            <w:tcW w:w="1958" w:type="pct"/>
            <w:tcBorders>
              <w:bottom w:val="single" w:sz="4" w:space="0" w:color="auto"/>
            </w:tcBorders>
            <w:vAlign w:val="bottom"/>
          </w:tcPr>
          <w:p w:rsidR="00D725A6" w:rsidRPr="00CF390D" w:rsidRDefault="00D725A6" w:rsidP="001B56F1">
            <w:pPr>
              <w:pStyle w:val="TableBodyText"/>
              <w:jc w:val="left"/>
            </w:pPr>
            <w:r w:rsidRPr="00CF390D">
              <w:t>Sheep, beef cattle and grain farming</w:t>
            </w:r>
          </w:p>
        </w:tc>
        <w:tc>
          <w:tcPr>
            <w:tcW w:w="507" w:type="pct"/>
            <w:tcBorders>
              <w:bottom w:val="single" w:sz="4" w:space="0" w:color="auto"/>
            </w:tcBorders>
            <w:vAlign w:val="bottom"/>
          </w:tcPr>
          <w:p w:rsidR="00D725A6" w:rsidRPr="00CF390D" w:rsidRDefault="00D725A6" w:rsidP="001B56F1">
            <w:pPr>
              <w:pStyle w:val="TableBodyText"/>
            </w:pPr>
            <w:r>
              <w:noBreakHyphen/>
            </w:r>
          </w:p>
        </w:tc>
        <w:tc>
          <w:tcPr>
            <w:tcW w:w="507" w:type="pct"/>
            <w:tcBorders>
              <w:bottom w:val="single" w:sz="4" w:space="0" w:color="auto"/>
            </w:tcBorders>
            <w:vAlign w:val="bottom"/>
          </w:tcPr>
          <w:p w:rsidR="00D725A6" w:rsidRPr="00CF390D" w:rsidRDefault="00D725A6" w:rsidP="001B56F1">
            <w:pPr>
              <w:pStyle w:val="TableBodyText"/>
            </w:pPr>
            <w:r>
              <w:noBreakHyphen/>
            </w:r>
          </w:p>
        </w:tc>
        <w:tc>
          <w:tcPr>
            <w:tcW w:w="507" w:type="pct"/>
            <w:tcBorders>
              <w:bottom w:val="single" w:sz="4" w:space="0" w:color="auto"/>
            </w:tcBorders>
            <w:vAlign w:val="bottom"/>
          </w:tcPr>
          <w:p w:rsidR="00D725A6" w:rsidRPr="00CF390D" w:rsidRDefault="00D725A6" w:rsidP="001B56F1">
            <w:pPr>
              <w:pStyle w:val="TableBodyText"/>
            </w:pPr>
            <w:r>
              <w:noBreakHyphen/>
            </w:r>
          </w:p>
        </w:tc>
        <w:tc>
          <w:tcPr>
            <w:tcW w:w="507" w:type="pct"/>
            <w:tcBorders>
              <w:bottom w:val="single" w:sz="4" w:space="0" w:color="auto"/>
            </w:tcBorders>
            <w:vAlign w:val="bottom"/>
          </w:tcPr>
          <w:p w:rsidR="00D725A6" w:rsidRPr="00CF390D" w:rsidRDefault="00D725A6" w:rsidP="001B56F1">
            <w:pPr>
              <w:pStyle w:val="TableBodyText"/>
            </w:pPr>
            <w:r>
              <w:noBreakHyphen/>
            </w:r>
          </w:p>
        </w:tc>
        <w:tc>
          <w:tcPr>
            <w:tcW w:w="507" w:type="pct"/>
            <w:tcBorders>
              <w:bottom w:val="single" w:sz="4" w:space="0" w:color="auto"/>
            </w:tcBorders>
            <w:shd w:val="clear" w:color="auto" w:fill="auto"/>
            <w:vAlign w:val="bottom"/>
          </w:tcPr>
          <w:p w:rsidR="00D725A6" w:rsidRPr="00CF390D" w:rsidRDefault="006A7679" w:rsidP="001B56F1">
            <w:pPr>
              <w:pStyle w:val="TableBodyText"/>
            </w:pPr>
            <w:r>
              <w:noBreakHyphen/>
            </w:r>
          </w:p>
        </w:tc>
        <w:tc>
          <w:tcPr>
            <w:tcW w:w="507" w:type="pct"/>
            <w:tcBorders>
              <w:bottom w:val="single" w:sz="4" w:space="0" w:color="auto"/>
            </w:tcBorders>
            <w:shd w:val="clear" w:color="auto" w:fill="auto"/>
            <w:vAlign w:val="bottom"/>
          </w:tcPr>
          <w:p w:rsidR="00D725A6" w:rsidRPr="00CF390D" w:rsidRDefault="006A7679" w:rsidP="006A7679">
            <w:pPr>
              <w:pStyle w:val="TableBodyText"/>
            </w:pPr>
            <w:r w:rsidRPr="00CF390D">
              <w:t>13.3</w:t>
            </w:r>
          </w:p>
        </w:tc>
      </w:tr>
    </w:tbl>
    <w:p w:rsidR="00D725A6" w:rsidRDefault="00D725A6" w:rsidP="00D725A6">
      <w:pPr>
        <w:pStyle w:val="Note"/>
      </w:pPr>
      <w:r w:rsidRPr="00A2379F">
        <w:noBreakHyphen/>
        <w:t xml:space="preserve"> Nil</w:t>
      </w:r>
      <w:r>
        <w:t>.</w:t>
      </w:r>
    </w:p>
    <w:p w:rsidR="00D725A6" w:rsidRPr="008E77FE" w:rsidRDefault="00D725A6" w:rsidP="00D725A6">
      <w:pPr>
        <w:pStyle w:val="Source"/>
      </w:pPr>
      <w:r>
        <w:rPr>
          <w:i/>
        </w:rPr>
        <w:t>Source</w:t>
      </w:r>
      <w:r>
        <w:t>: Commission estimates based on DAFF Annual Report 2011</w:t>
      </w:r>
      <w:r>
        <w:noBreakHyphen/>
        <w:t>12.</w:t>
      </w:r>
    </w:p>
    <w:p w:rsidR="00ED5409" w:rsidRDefault="00FA09C3" w:rsidP="00ED5409">
      <w:pPr>
        <w:pStyle w:val="Heading2"/>
      </w:pPr>
      <w:r>
        <w:t>A.</w:t>
      </w:r>
      <w:r>
        <w:rPr>
          <w:noProof/>
        </w:rPr>
        <w:t>68</w:t>
      </w:r>
      <w:r w:rsidR="00ED5409">
        <w:tab/>
        <w:t>Environmental Stewardship Program</w:t>
      </w:r>
    </w:p>
    <w:p w:rsidR="00ED5409" w:rsidRDefault="00ED5409" w:rsidP="00ED5409">
      <w:pPr>
        <w:pStyle w:val="BodyText"/>
      </w:pPr>
      <w:r>
        <w:t>The Environmental Stewardship Program provides</w:t>
      </w:r>
      <w:r w:rsidRPr="00E9679E">
        <w:t xml:space="preserve"> funds and information to support landholders in protecting threatened native vegetation on their properties</w:t>
      </w:r>
      <w:r>
        <w:t xml:space="preserve"> (</w:t>
      </w:r>
      <w:r w:rsidRPr="00DC0DD6">
        <w:t>DSEWPC 2012</w:t>
      </w:r>
      <w:r>
        <w:t xml:space="preserve">). </w:t>
      </w:r>
      <w:r w:rsidR="003C4BA5">
        <w:t>I</w:t>
      </w:r>
      <w:r>
        <w:t xml:space="preserve">t aims to </w:t>
      </w:r>
      <w:r w:rsidRPr="00E9679E">
        <w:t xml:space="preserve">maintain and improve the condition and extent of targeted matters of National Environmental Significance, as listed under the </w:t>
      </w:r>
      <w:r w:rsidRPr="0026021D">
        <w:rPr>
          <w:i/>
        </w:rPr>
        <w:t>Environment Protection and Biodiversity Conservation Act 1999</w:t>
      </w:r>
      <w:r w:rsidRPr="00E9679E">
        <w:t>, on private land</w:t>
      </w:r>
      <w:r>
        <w:t xml:space="preserve">. The delivery of the Program is guided by a strategic plan, a project plan and funding and implementation guidelines. The on-ground delivery of the funding rounds is supported by delivery agents who work closely with eligible land managers to develop expressions of interest and funding bids. Funding agreements set out the roles and obligations </w:t>
      </w:r>
      <w:r w:rsidR="003C4BA5">
        <w:t>of</w:t>
      </w:r>
      <w:r>
        <w:t xml:space="preserve"> land managers </w:t>
      </w:r>
      <w:r w:rsidR="003C4BA5">
        <w:t>that</w:t>
      </w:r>
      <w:r>
        <w:t xml:space="preserve"> receive support, which may be for up to 15 years.</w:t>
      </w:r>
    </w:p>
    <w:p w:rsidR="00ED5409" w:rsidRDefault="00ED5409" w:rsidP="00ED5409">
      <w:pPr>
        <w:pStyle w:val="BodyText"/>
      </w:pPr>
      <w:r>
        <w:t xml:space="preserve">The Environmental Stewardship Program selectively benefits activities in the primary production sector. </w:t>
      </w:r>
      <w:r w:rsidRPr="00DC0DD6">
        <w:t xml:space="preserve">However, information on the specific industry incidence of the program has not been readily available. Accordingly, the budget outlay has been classified to the </w:t>
      </w:r>
      <w:r w:rsidRPr="00DC0DD6">
        <w:rPr>
          <w:i/>
        </w:rPr>
        <w:t>Unallocated primary production</w:t>
      </w:r>
      <w:r w:rsidRPr="00DC0DD6">
        <w:t xml:space="preserve"> industry grouping in the Commission’s ANZSIC-based classification</w:t>
      </w:r>
      <w:r>
        <w:t xml:space="preserve"> (table A.6</w:t>
      </w:r>
      <w:r w:rsidR="00C75068">
        <w:t>8</w:t>
      </w:r>
      <w:r>
        <w:t>).</w:t>
      </w:r>
    </w:p>
    <w:p w:rsidR="00ED5409" w:rsidRDefault="00ED5409" w:rsidP="00ED5409">
      <w:pPr>
        <w:pStyle w:val="TableTitle"/>
      </w:pPr>
      <w:r>
        <w:rPr>
          <w:b w:val="0"/>
        </w:rPr>
        <w:t xml:space="preserve">Table </w:t>
      </w:r>
      <w:r w:rsidR="00FA09C3">
        <w:rPr>
          <w:b w:val="0"/>
        </w:rPr>
        <w:t>A.</w:t>
      </w:r>
      <w:r w:rsidR="00FA09C3">
        <w:rPr>
          <w:b w:val="0"/>
          <w:noProof/>
        </w:rPr>
        <w:t>68</w:t>
      </w:r>
      <w:r>
        <w:tab/>
        <w:t>Allocation of Environmental Stewardship Program</w:t>
      </w:r>
      <w:r w:rsidR="0013131E" w:rsidRPr="0013131E">
        <w:t xml:space="preserve"> to industry</w:t>
      </w:r>
      <w:r>
        <w:t>, 2006</w:t>
      </w:r>
      <w:r>
        <w:noBreakHyphen/>
        <w:t>07 to 2011</w:t>
      </w:r>
      <w:r>
        <w:noBreakHyphen/>
        <w:t>12</w:t>
      </w:r>
    </w:p>
    <w:p w:rsidR="00ED5409" w:rsidRDefault="00ED5409" w:rsidP="00ED5409">
      <w:pPr>
        <w:pStyle w:val="Subtitle"/>
      </w:pPr>
      <w:r>
        <w:t>$</w:t>
      </w:r>
      <w:r w:rsidR="003C4BA5">
        <w:t xml:space="preserve"> </w:t>
      </w:r>
      <w:r>
        <w:t xml:space="preserve">million (nominal) </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ED5409" w:rsidRPr="00AF699A" w:rsidTr="00CB219A">
        <w:trPr>
          <w:trHeight w:val="340"/>
        </w:trPr>
        <w:tc>
          <w:tcPr>
            <w:tcW w:w="1958" w:type="pct"/>
            <w:tcBorders>
              <w:top w:val="single" w:sz="6" w:space="0" w:color="auto"/>
              <w:bottom w:val="single" w:sz="6" w:space="0" w:color="auto"/>
            </w:tcBorders>
          </w:tcPr>
          <w:p w:rsidR="00ED5409" w:rsidRPr="00AF699A" w:rsidRDefault="00ED5409"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ED5409" w:rsidRPr="00AF699A" w:rsidRDefault="00ED5409"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ED5409" w:rsidRPr="00AF699A" w:rsidRDefault="00ED5409"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ED5409" w:rsidRPr="00AF699A" w:rsidRDefault="00ED5409"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ED5409" w:rsidRPr="00AF699A" w:rsidRDefault="00ED5409"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ED5409" w:rsidRPr="00AF699A" w:rsidRDefault="00ED5409" w:rsidP="001B56F1">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ED5409" w:rsidRPr="00AF699A" w:rsidRDefault="00ED5409" w:rsidP="001B56F1">
            <w:pPr>
              <w:pStyle w:val="TableColumnHeading"/>
              <w:ind w:right="28"/>
              <w:rPr>
                <w:rFonts w:cs="Arial"/>
                <w:sz w:val="18"/>
                <w:szCs w:val="18"/>
              </w:rPr>
            </w:pPr>
            <w:r w:rsidRPr="00AF699A">
              <w:rPr>
                <w:rFonts w:cs="Arial"/>
                <w:sz w:val="18"/>
                <w:szCs w:val="18"/>
              </w:rPr>
              <w:t>2011-12</w:t>
            </w:r>
          </w:p>
        </w:tc>
      </w:tr>
      <w:tr w:rsidR="00ED5409" w:rsidRPr="00630CA4" w:rsidTr="001B56F1">
        <w:tc>
          <w:tcPr>
            <w:tcW w:w="1958" w:type="pct"/>
            <w:tcBorders>
              <w:bottom w:val="single" w:sz="4" w:space="0" w:color="auto"/>
            </w:tcBorders>
            <w:vAlign w:val="bottom"/>
          </w:tcPr>
          <w:p w:rsidR="00ED5409" w:rsidRPr="00630CA4" w:rsidRDefault="00ED5409" w:rsidP="001B56F1">
            <w:pPr>
              <w:pStyle w:val="TableBodyText"/>
              <w:jc w:val="left"/>
            </w:pPr>
            <w:r w:rsidRPr="00630CA4">
              <w:t>Unallocated primary production</w:t>
            </w:r>
            <w:r w:rsidRPr="00BD3CDA">
              <w:rPr>
                <w:rStyle w:val="NoteLabel"/>
                <w:szCs w:val="18"/>
              </w:rPr>
              <w:t>a</w:t>
            </w:r>
          </w:p>
        </w:tc>
        <w:tc>
          <w:tcPr>
            <w:tcW w:w="507" w:type="pct"/>
            <w:tcBorders>
              <w:bottom w:val="single" w:sz="4" w:space="0" w:color="auto"/>
            </w:tcBorders>
            <w:vAlign w:val="bottom"/>
          </w:tcPr>
          <w:p w:rsidR="00ED5409" w:rsidRPr="00630CA4" w:rsidRDefault="00ED5409" w:rsidP="001B56F1">
            <w:pPr>
              <w:pStyle w:val="TableBodyText"/>
            </w:pPr>
            <w:r>
              <w:noBreakHyphen/>
            </w:r>
          </w:p>
        </w:tc>
        <w:tc>
          <w:tcPr>
            <w:tcW w:w="507" w:type="pct"/>
            <w:tcBorders>
              <w:bottom w:val="single" w:sz="4" w:space="0" w:color="auto"/>
            </w:tcBorders>
            <w:vAlign w:val="bottom"/>
          </w:tcPr>
          <w:p w:rsidR="00ED5409" w:rsidRPr="00630CA4" w:rsidRDefault="00ED5409" w:rsidP="001B56F1">
            <w:pPr>
              <w:pStyle w:val="TableBodyText"/>
            </w:pPr>
            <w:r>
              <w:noBreakHyphen/>
            </w:r>
          </w:p>
        </w:tc>
        <w:tc>
          <w:tcPr>
            <w:tcW w:w="507" w:type="pct"/>
            <w:tcBorders>
              <w:bottom w:val="single" w:sz="4" w:space="0" w:color="auto"/>
            </w:tcBorders>
            <w:vAlign w:val="bottom"/>
          </w:tcPr>
          <w:p w:rsidR="00ED5409" w:rsidRPr="00630CA4" w:rsidRDefault="00ED5409" w:rsidP="001B56F1">
            <w:pPr>
              <w:pStyle w:val="TableBodyText"/>
            </w:pPr>
            <w:r>
              <w:noBreakHyphen/>
            </w:r>
          </w:p>
        </w:tc>
        <w:tc>
          <w:tcPr>
            <w:tcW w:w="507" w:type="pct"/>
            <w:tcBorders>
              <w:bottom w:val="single" w:sz="4" w:space="0" w:color="auto"/>
            </w:tcBorders>
            <w:vAlign w:val="bottom"/>
          </w:tcPr>
          <w:p w:rsidR="00ED5409" w:rsidRPr="00630CA4" w:rsidRDefault="00ED5409" w:rsidP="001B56F1">
            <w:pPr>
              <w:pStyle w:val="TableBodyText"/>
            </w:pPr>
            <w:r w:rsidRPr="00630CA4">
              <w:t>8.9</w:t>
            </w:r>
          </w:p>
        </w:tc>
        <w:tc>
          <w:tcPr>
            <w:tcW w:w="507" w:type="pct"/>
            <w:tcBorders>
              <w:bottom w:val="single" w:sz="4" w:space="0" w:color="auto"/>
            </w:tcBorders>
            <w:shd w:val="clear" w:color="auto" w:fill="auto"/>
            <w:vAlign w:val="bottom"/>
          </w:tcPr>
          <w:p w:rsidR="00ED5409" w:rsidRPr="00630CA4" w:rsidRDefault="00ED5409" w:rsidP="001B56F1">
            <w:pPr>
              <w:pStyle w:val="TableBodyText"/>
            </w:pPr>
            <w:r w:rsidRPr="00630CA4">
              <w:t>13.3</w:t>
            </w:r>
          </w:p>
        </w:tc>
        <w:tc>
          <w:tcPr>
            <w:tcW w:w="507" w:type="pct"/>
            <w:tcBorders>
              <w:bottom w:val="single" w:sz="4" w:space="0" w:color="auto"/>
            </w:tcBorders>
            <w:shd w:val="clear" w:color="auto" w:fill="auto"/>
            <w:vAlign w:val="bottom"/>
          </w:tcPr>
          <w:p w:rsidR="00ED5409" w:rsidRPr="00630CA4" w:rsidRDefault="00ED5409" w:rsidP="001B56F1">
            <w:pPr>
              <w:pStyle w:val="TableBodyText"/>
            </w:pPr>
            <w:r w:rsidRPr="00630CA4">
              <w:t>13.2</w:t>
            </w:r>
          </w:p>
        </w:tc>
      </w:tr>
    </w:tbl>
    <w:p w:rsidR="00ED5409" w:rsidRDefault="00ED5409" w:rsidP="00ED5409">
      <w:pPr>
        <w:pStyle w:val="Note"/>
      </w:pPr>
      <w:r w:rsidRPr="00A2379F">
        <w:noBreakHyphen/>
        <w:t xml:space="preserve"> Nil</w:t>
      </w:r>
      <w:r>
        <w:t>.</w:t>
      </w:r>
      <w:r w:rsidRPr="008E77FE">
        <w:rPr>
          <w:rStyle w:val="NoteLabel"/>
        </w:rPr>
        <w:t xml:space="preserve"> a</w:t>
      </w:r>
      <w:r>
        <w:t xml:space="preserve"> </w:t>
      </w:r>
      <w:r w:rsidRPr="009B56F1">
        <w:t>Unallocated includes general programs where detai</w:t>
      </w:r>
      <w:r>
        <w:t>ls of beneficiaries are unknown.</w:t>
      </w:r>
    </w:p>
    <w:p w:rsidR="00ED5409" w:rsidRPr="008E77FE" w:rsidRDefault="00ED5409" w:rsidP="00ED5409">
      <w:pPr>
        <w:pStyle w:val="Source"/>
      </w:pPr>
      <w:r>
        <w:rPr>
          <w:i/>
        </w:rPr>
        <w:t>Source</w:t>
      </w:r>
      <w:r>
        <w:t>: Commission estimates based on Department of Sustainability, Environment, Water, Population and Communities Annual Report 2011</w:t>
      </w:r>
      <w:r w:rsidR="00166B14">
        <w:noBreakHyphen/>
      </w:r>
      <w:r>
        <w:t>12 (and earlier years).</w:t>
      </w:r>
    </w:p>
    <w:p w:rsidR="003311DF" w:rsidRDefault="00FA09C3" w:rsidP="003311DF">
      <w:pPr>
        <w:pStyle w:val="Heading2"/>
      </w:pPr>
      <w:r>
        <w:t>A.</w:t>
      </w:r>
      <w:r>
        <w:rPr>
          <w:noProof/>
        </w:rPr>
        <w:t>69</w:t>
      </w:r>
      <w:r w:rsidR="003311DF">
        <w:tab/>
        <w:t>Australian Wool Innovation Limited – Research and Development</w:t>
      </w:r>
    </w:p>
    <w:p w:rsidR="003311DF" w:rsidRDefault="003311DF" w:rsidP="003311DF">
      <w:pPr>
        <w:pStyle w:val="BodyText"/>
      </w:pPr>
      <w:r>
        <w:t xml:space="preserve">Australian Wool Innovation (AWI) is a not-for-profit company owned and controlled by Australian wool growers who have registered as AWI’s shareholders and pay levies to the company. AWI is </w:t>
      </w:r>
      <w:r w:rsidR="001C4D85">
        <w:t xml:space="preserve">primarily </w:t>
      </w:r>
      <w:r>
        <w:t xml:space="preserve">funded by these industry levies </w:t>
      </w:r>
      <w:r w:rsidR="001C4D85">
        <w:t>and matching contributions from the Australian Government for eligible R&amp;D activities</w:t>
      </w:r>
      <w:r>
        <w:t>.</w:t>
      </w:r>
    </w:p>
    <w:p w:rsidR="003311DF" w:rsidRDefault="003311DF" w:rsidP="003311DF">
      <w:pPr>
        <w:pStyle w:val="BodyText"/>
      </w:pPr>
      <w:r>
        <w:t>AWI’s aim is to fund research, development, marketing and promotion in order to:</w:t>
      </w:r>
    </w:p>
    <w:p w:rsidR="003311DF" w:rsidRDefault="003311DF" w:rsidP="003311DF">
      <w:pPr>
        <w:pStyle w:val="ListBullet"/>
      </w:pPr>
      <w:r>
        <w:t>enhance the profitability, international competitiveness and sustainability of the Australian wool industry; and</w:t>
      </w:r>
    </w:p>
    <w:p w:rsidR="003311DF" w:rsidRDefault="003311DF" w:rsidP="003311DF">
      <w:pPr>
        <w:pStyle w:val="ListBullet"/>
      </w:pPr>
      <w:r>
        <w:t>increase demand and market access for Australian wool (</w:t>
      </w:r>
      <w:r w:rsidRPr="00DC0DD6">
        <w:rPr>
          <w:rStyle w:val="BodyTextChar"/>
        </w:rPr>
        <w:t>AWI 2013</w:t>
      </w:r>
      <w:r>
        <w:t>).</w:t>
      </w:r>
    </w:p>
    <w:p w:rsidR="003311DF" w:rsidRDefault="003311DF" w:rsidP="003311DF">
      <w:pPr>
        <w:pStyle w:val="BodyText"/>
      </w:pPr>
      <w:r>
        <w:t xml:space="preserve">AWI activities assists wool producing activities which are part of the </w:t>
      </w:r>
      <w:r w:rsidRPr="00B35B1E">
        <w:rPr>
          <w:i/>
        </w:rPr>
        <w:t>Sheep, beef cattle and grain farming</w:t>
      </w:r>
      <w:r>
        <w:t xml:space="preserve"> industry grouping in the Commission’s ANZSIC-based classification (table A.6</w:t>
      </w:r>
      <w:r w:rsidR="00C75068">
        <w:t>9</w:t>
      </w:r>
      <w:r>
        <w:t>).</w:t>
      </w:r>
    </w:p>
    <w:p w:rsidR="003311DF" w:rsidRDefault="003311DF" w:rsidP="003311DF">
      <w:pPr>
        <w:pStyle w:val="TableTitle"/>
      </w:pPr>
      <w:r>
        <w:rPr>
          <w:b w:val="0"/>
        </w:rPr>
        <w:t xml:space="preserve">Table </w:t>
      </w:r>
      <w:r w:rsidR="00FA09C3">
        <w:rPr>
          <w:b w:val="0"/>
        </w:rPr>
        <w:t>A.</w:t>
      </w:r>
      <w:r w:rsidR="00FA09C3">
        <w:rPr>
          <w:b w:val="0"/>
          <w:noProof/>
        </w:rPr>
        <w:t>69</w:t>
      </w:r>
      <w:r>
        <w:tab/>
        <w:t>Allocation of Australian Wool Innovation Limited – Research and Development</w:t>
      </w:r>
      <w:r w:rsidR="0013131E" w:rsidRPr="0013131E">
        <w:t xml:space="preserve"> to industry</w:t>
      </w:r>
      <w:r>
        <w:t>, 2006</w:t>
      </w:r>
      <w:r>
        <w:noBreakHyphen/>
        <w:t>07 to 2011</w:t>
      </w:r>
      <w:r>
        <w:noBreakHyphen/>
        <w:t>12</w:t>
      </w:r>
    </w:p>
    <w:p w:rsidR="003311DF" w:rsidRDefault="003311DF" w:rsidP="003311DF">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3311DF" w:rsidRPr="00AF699A" w:rsidTr="001B56F1">
        <w:tc>
          <w:tcPr>
            <w:tcW w:w="1960" w:type="pct"/>
            <w:tcBorders>
              <w:top w:val="single" w:sz="6" w:space="0" w:color="auto"/>
              <w:bottom w:val="single" w:sz="6" w:space="0" w:color="auto"/>
            </w:tcBorders>
          </w:tcPr>
          <w:p w:rsidR="003311DF" w:rsidRPr="00AF699A" w:rsidRDefault="003311DF"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3311DF" w:rsidRPr="00AF699A" w:rsidRDefault="003311DF"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3311DF" w:rsidRPr="00AF699A" w:rsidRDefault="003311DF"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3311DF" w:rsidRPr="00AF699A" w:rsidRDefault="003311DF"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3311DF" w:rsidRPr="00AF699A" w:rsidRDefault="003311DF"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3311DF" w:rsidRPr="00AF699A" w:rsidRDefault="003311DF"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3311DF" w:rsidRPr="00AF699A" w:rsidRDefault="003311DF" w:rsidP="001B56F1">
            <w:pPr>
              <w:pStyle w:val="TableColumnHeading"/>
              <w:ind w:right="28"/>
              <w:rPr>
                <w:rFonts w:cs="Arial"/>
                <w:sz w:val="18"/>
                <w:szCs w:val="18"/>
              </w:rPr>
            </w:pPr>
            <w:r w:rsidRPr="00AF699A">
              <w:rPr>
                <w:rFonts w:cs="Arial"/>
                <w:sz w:val="18"/>
                <w:szCs w:val="18"/>
              </w:rPr>
              <w:t>2011-12</w:t>
            </w:r>
          </w:p>
        </w:tc>
      </w:tr>
      <w:tr w:rsidR="003311DF" w:rsidRPr="006C5A80" w:rsidTr="001B56F1">
        <w:tc>
          <w:tcPr>
            <w:tcW w:w="1960" w:type="pct"/>
            <w:tcBorders>
              <w:bottom w:val="single" w:sz="4" w:space="0" w:color="auto"/>
            </w:tcBorders>
            <w:vAlign w:val="bottom"/>
          </w:tcPr>
          <w:p w:rsidR="003311DF" w:rsidRPr="00C944BA" w:rsidRDefault="003311DF" w:rsidP="001B56F1">
            <w:pPr>
              <w:pStyle w:val="TableBodyText"/>
              <w:jc w:val="left"/>
            </w:pPr>
            <w:r>
              <w:t>Sheep, beef cattle and grain farming</w:t>
            </w:r>
          </w:p>
        </w:tc>
        <w:tc>
          <w:tcPr>
            <w:tcW w:w="507" w:type="pct"/>
            <w:tcBorders>
              <w:bottom w:val="single" w:sz="4" w:space="0" w:color="auto"/>
            </w:tcBorders>
            <w:vAlign w:val="bottom"/>
          </w:tcPr>
          <w:p w:rsidR="003311DF" w:rsidRDefault="003311DF" w:rsidP="001B56F1">
            <w:pPr>
              <w:pStyle w:val="TableBodyText"/>
            </w:pPr>
            <w:r>
              <w:t>11.6</w:t>
            </w:r>
          </w:p>
        </w:tc>
        <w:tc>
          <w:tcPr>
            <w:tcW w:w="507" w:type="pct"/>
            <w:tcBorders>
              <w:bottom w:val="single" w:sz="4" w:space="0" w:color="auto"/>
            </w:tcBorders>
            <w:vAlign w:val="bottom"/>
          </w:tcPr>
          <w:p w:rsidR="003311DF" w:rsidRDefault="003311DF" w:rsidP="001B56F1">
            <w:pPr>
              <w:pStyle w:val="TableBodyText"/>
            </w:pPr>
            <w:r>
              <w:t>12.3</w:t>
            </w:r>
          </w:p>
        </w:tc>
        <w:tc>
          <w:tcPr>
            <w:tcW w:w="507" w:type="pct"/>
            <w:tcBorders>
              <w:bottom w:val="single" w:sz="4" w:space="0" w:color="auto"/>
            </w:tcBorders>
            <w:vAlign w:val="bottom"/>
          </w:tcPr>
          <w:p w:rsidR="003311DF" w:rsidRDefault="003311DF" w:rsidP="001B56F1">
            <w:pPr>
              <w:pStyle w:val="TableBodyText"/>
            </w:pPr>
            <w:r>
              <w:t>11.4</w:t>
            </w:r>
          </w:p>
        </w:tc>
        <w:tc>
          <w:tcPr>
            <w:tcW w:w="507" w:type="pct"/>
            <w:tcBorders>
              <w:bottom w:val="single" w:sz="4" w:space="0" w:color="auto"/>
            </w:tcBorders>
            <w:vAlign w:val="bottom"/>
          </w:tcPr>
          <w:p w:rsidR="003311DF" w:rsidRDefault="003311DF" w:rsidP="001B56F1">
            <w:pPr>
              <w:pStyle w:val="TableBodyText"/>
            </w:pPr>
            <w:r>
              <w:t>10.5</w:t>
            </w:r>
          </w:p>
        </w:tc>
        <w:tc>
          <w:tcPr>
            <w:tcW w:w="507" w:type="pct"/>
            <w:tcBorders>
              <w:bottom w:val="single" w:sz="4" w:space="0" w:color="auto"/>
            </w:tcBorders>
            <w:shd w:val="clear" w:color="auto" w:fill="auto"/>
            <w:vAlign w:val="bottom"/>
          </w:tcPr>
          <w:p w:rsidR="003311DF" w:rsidRDefault="003311DF" w:rsidP="001B56F1">
            <w:pPr>
              <w:pStyle w:val="TableBodyText"/>
            </w:pPr>
            <w:r>
              <w:t>11.3</w:t>
            </w:r>
          </w:p>
        </w:tc>
        <w:tc>
          <w:tcPr>
            <w:tcW w:w="505" w:type="pct"/>
            <w:tcBorders>
              <w:bottom w:val="single" w:sz="4" w:space="0" w:color="auto"/>
            </w:tcBorders>
            <w:shd w:val="clear" w:color="auto" w:fill="auto"/>
            <w:vAlign w:val="bottom"/>
          </w:tcPr>
          <w:p w:rsidR="003311DF" w:rsidRDefault="003311DF" w:rsidP="001B56F1">
            <w:pPr>
              <w:pStyle w:val="TableBodyText"/>
            </w:pPr>
            <w:r>
              <w:t>12.5</w:t>
            </w:r>
          </w:p>
        </w:tc>
      </w:tr>
    </w:tbl>
    <w:p w:rsidR="003311DF" w:rsidRDefault="003311DF" w:rsidP="003311DF">
      <w:pPr>
        <w:pStyle w:val="Source"/>
      </w:pPr>
      <w:r>
        <w:rPr>
          <w:i/>
        </w:rPr>
        <w:t>Source</w:t>
      </w:r>
      <w:r>
        <w:t>: Commission estimates based on Australian Wool Innovation Limited Annual Report 2011</w:t>
      </w:r>
      <w:r>
        <w:noBreakHyphen/>
        <w:t>12 (and earlier years).</w:t>
      </w:r>
    </w:p>
    <w:p w:rsidR="00CB2252" w:rsidRPr="00CB2252" w:rsidRDefault="00273F7E" w:rsidP="00273F7E">
      <w:pPr>
        <w:pStyle w:val="BodyText"/>
      </w:pPr>
      <w:r>
        <w:br w:type="page"/>
      </w:r>
    </w:p>
    <w:p w:rsidR="0086579D" w:rsidRDefault="00FA09C3" w:rsidP="0086579D">
      <w:pPr>
        <w:pStyle w:val="Heading2"/>
      </w:pPr>
      <w:r>
        <w:t>A.</w:t>
      </w:r>
      <w:r>
        <w:rPr>
          <w:noProof/>
        </w:rPr>
        <w:t>70</w:t>
      </w:r>
      <w:r w:rsidR="0086579D">
        <w:tab/>
        <w:t>Australian Space Science Program</w:t>
      </w:r>
    </w:p>
    <w:p w:rsidR="0086579D" w:rsidRPr="007849C5" w:rsidRDefault="0086579D" w:rsidP="0086579D">
      <w:pPr>
        <w:pStyle w:val="BodyText"/>
      </w:pPr>
      <w:r w:rsidRPr="007849C5">
        <w:t>In the May</w:t>
      </w:r>
      <w:r>
        <w:t> </w:t>
      </w:r>
      <w:r w:rsidRPr="007849C5">
        <w:t>2009</w:t>
      </w:r>
      <w:r>
        <w:t> </w:t>
      </w:r>
      <w:r w:rsidRPr="007849C5">
        <w:t>Budget, the Australian Government announced the $48.6 million Australian Space Sci</w:t>
      </w:r>
      <w:r>
        <w:t xml:space="preserve">ence Program (ASSP) </w:t>
      </w:r>
      <w:r w:rsidRPr="00604EE6">
        <w:t>(</w:t>
      </w:r>
      <w:r w:rsidRPr="00DC0DD6">
        <w:t>DIISR 2011</w:t>
      </w:r>
      <w:r w:rsidRPr="00604EE6">
        <w:t>)</w:t>
      </w:r>
      <w:r w:rsidRPr="007849C5">
        <w:t xml:space="preserve">. The $40 million Australian Space Research Program (ASRP) was established as part of the ASSP. The ASRP is a competitive merit-based grants program intended to support space-related research, education and innovation activities. In addition, the Australian Government established a Space Policy Unit within the Department of Industry, Innovation, Science, Research and Tertiary Education to develop a </w:t>
      </w:r>
      <w:r>
        <w:t>National Space Industry Policy.</w:t>
      </w:r>
    </w:p>
    <w:p w:rsidR="0086579D" w:rsidRDefault="0086579D" w:rsidP="0086579D">
      <w:pPr>
        <w:pStyle w:val="BodyText"/>
      </w:pPr>
      <w:r>
        <w:t xml:space="preserve">The program is listed by DIISR among those pertaining to the </w:t>
      </w:r>
      <w:r w:rsidRPr="007849C5">
        <w:t>manufacturing sector</w:t>
      </w:r>
      <w:r>
        <w:t>.</w:t>
      </w:r>
      <w:r w:rsidRPr="007849C5">
        <w:t xml:space="preserve"> </w:t>
      </w:r>
      <w:r>
        <w:t>However, information on the specific industry incidence of the program has not been readily available. Accordingly, the budget outlay has been classified to the ‘Unallocated manufacturing’ industry grouping in the Commission’s ANZSIC-based classification (table A.</w:t>
      </w:r>
      <w:r w:rsidR="00C75068">
        <w:t>70</w:t>
      </w:r>
      <w:r>
        <w:t>)</w:t>
      </w:r>
      <w:r w:rsidRPr="007849C5">
        <w:t>.</w:t>
      </w:r>
    </w:p>
    <w:p w:rsidR="0086579D" w:rsidRDefault="0086579D" w:rsidP="0086579D">
      <w:pPr>
        <w:pStyle w:val="TableTitle"/>
      </w:pPr>
      <w:r>
        <w:rPr>
          <w:b w:val="0"/>
        </w:rPr>
        <w:t xml:space="preserve">Table </w:t>
      </w:r>
      <w:r w:rsidR="00FA09C3">
        <w:rPr>
          <w:b w:val="0"/>
        </w:rPr>
        <w:t>A.</w:t>
      </w:r>
      <w:r w:rsidR="00FA09C3">
        <w:rPr>
          <w:b w:val="0"/>
          <w:noProof/>
        </w:rPr>
        <w:t>70</w:t>
      </w:r>
      <w:r>
        <w:tab/>
        <w:t>Allocation of Australian Space Science Program</w:t>
      </w:r>
      <w:r w:rsidR="0013131E" w:rsidRPr="0013131E">
        <w:t xml:space="preserve"> to industry</w:t>
      </w:r>
      <w:r>
        <w:t>, 2006</w:t>
      </w:r>
      <w:r>
        <w:noBreakHyphen/>
        <w:t>07 to 2011</w:t>
      </w:r>
      <w:r>
        <w:noBreakHyphen/>
        <w:t>12</w:t>
      </w:r>
    </w:p>
    <w:p w:rsidR="0086579D" w:rsidRDefault="0086579D" w:rsidP="0086579D">
      <w:pPr>
        <w:pStyle w:val="Subtitle"/>
      </w:pPr>
      <w:r>
        <w:t>$</w:t>
      </w:r>
      <w:r w:rsidR="00BF134C">
        <w:t xml:space="preserve"> </w:t>
      </w:r>
      <w:r>
        <w:t xml:space="preserve">million (nominal) </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86579D" w:rsidRPr="00AF699A" w:rsidTr="00CB219A">
        <w:trPr>
          <w:trHeight w:val="340"/>
        </w:trPr>
        <w:tc>
          <w:tcPr>
            <w:tcW w:w="1958" w:type="pct"/>
            <w:tcBorders>
              <w:top w:val="single" w:sz="6" w:space="0" w:color="auto"/>
              <w:bottom w:val="single" w:sz="6" w:space="0" w:color="auto"/>
            </w:tcBorders>
          </w:tcPr>
          <w:p w:rsidR="0086579D" w:rsidRPr="00AF699A" w:rsidRDefault="0086579D"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86579D" w:rsidRPr="00AF699A" w:rsidRDefault="0086579D"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86579D" w:rsidRPr="00AF699A" w:rsidRDefault="0086579D"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86579D" w:rsidRPr="00AF699A" w:rsidRDefault="0086579D"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86579D" w:rsidRPr="00AF699A" w:rsidRDefault="0086579D"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86579D" w:rsidRPr="00AF699A" w:rsidRDefault="0086579D" w:rsidP="001B56F1">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86579D" w:rsidRPr="00AF699A" w:rsidRDefault="0086579D" w:rsidP="001B56F1">
            <w:pPr>
              <w:pStyle w:val="TableColumnHeading"/>
              <w:ind w:right="28"/>
              <w:rPr>
                <w:rFonts w:cs="Arial"/>
                <w:sz w:val="18"/>
                <w:szCs w:val="18"/>
              </w:rPr>
            </w:pPr>
            <w:r w:rsidRPr="00AF699A">
              <w:rPr>
                <w:rFonts w:cs="Arial"/>
                <w:sz w:val="18"/>
                <w:szCs w:val="18"/>
              </w:rPr>
              <w:t>2011-12</w:t>
            </w:r>
          </w:p>
        </w:tc>
      </w:tr>
      <w:tr w:rsidR="0086579D" w:rsidRPr="0003062F" w:rsidTr="001B56F1">
        <w:tc>
          <w:tcPr>
            <w:tcW w:w="1958" w:type="pct"/>
            <w:tcBorders>
              <w:bottom w:val="single" w:sz="4" w:space="0" w:color="auto"/>
            </w:tcBorders>
            <w:vAlign w:val="bottom"/>
          </w:tcPr>
          <w:p w:rsidR="0086579D" w:rsidRPr="0003062F" w:rsidRDefault="0086579D" w:rsidP="001B56F1">
            <w:pPr>
              <w:pStyle w:val="TableBodyText"/>
              <w:jc w:val="left"/>
            </w:pPr>
            <w:r w:rsidRPr="0003062F">
              <w:t xml:space="preserve">Unallocated </w:t>
            </w:r>
            <w:r>
              <w:t>manufacturing</w:t>
            </w:r>
            <w:r w:rsidRPr="00BD3CDA">
              <w:rPr>
                <w:rStyle w:val="NoteLabel"/>
                <w:szCs w:val="18"/>
              </w:rPr>
              <w:t>a</w:t>
            </w:r>
          </w:p>
        </w:tc>
        <w:tc>
          <w:tcPr>
            <w:tcW w:w="507" w:type="pct"/>
            <w:tcBorders>
              <w:bottom w:val="single" w:sz="4" w:space="0" w:color="auto"/>
            </w:tcBorders>
            <w:vAlign w:val="bottom"/>
          </w:tcPr>
          <w:p w:rsidR="0086579D" w:rsidRPr="0003062F" w:rsidRDefault="0086579D" w:rsidP="001B56F1">
            <w:pPr>
              <w:pStyle w:val="TableBodyText"/>
            </w:pPr>
            <w:r>
              <w:noBreakHyphen/>
            </w:r>
          </w:p>
        </w:tc>
        <w:tc>
          <w:tcPr>
            <w:tcW w:w="507" w:type="pct"/>
            <w:tcBorders>
              <w:bottom w:val="single" w:sz="4" w:space="0" w:color="auto"/>
            </w:tcBorders>
            <w:vAlign w:val="bottom"/>
          </w:tcPr>
          <w:p w:rsidR="0086579D" w:rsidRPr="0003062F" w:rsidRDefault="0086579D" w:rsidP="001B56F1">
            <w:pPr>
              <w:pStyle w:val="TableBodyText"/>
            </w:pPr>
            <w:r>
              <w:noBreakHyphen/>
            </w:r>
          </w:p>
        </w:tc>
        <w:tc>
          <w:tcPr>
            <w:tcW w:w="507" w:type="pct"/>
            <w:tcBorders>
              <w:bottom w:val="single" w:sz="4" w:space="0" w:color="auto"/>
            </w:tcBorders>
            <w:vAlign w:val="bottom"/>
          </w:tcPr>
          <w:p w:rsidR="0086579D" w:rsidRPr="0003062F" w:rsidRDefault="0086579D" w:rsidP="001B56F1">
            <w:pPr>
              <w:pStyle w:val="TableBodyText"/>
            </w:pPr>
            <w:r>
              <w:noBreakHyphen/>
            </w:r>
          </w:p>
        </w:tc>
        <w:tc>
          <w:tcPr>
            <w:tcW w:w="507" w:type="pct"/>
            <w:tcBorders>
              <w:bottom w:val="single" w:sz="4" w:space="0" w:color="auto"/>
            </w:tcBorders>
            <w:vAlign w:val="bottom"/>
          </w:tcPr>
          <w:p w:rsidR="0086579D" w:rsidRPr="0003062F" w:rsidRDefault="0086579D" w:rsidP="001B56F1">
            <w:pPr>
              <w:pStyle w:val="TableBodyText"/>
            </w:pPr>
            <w:r w:rsidRPr="0003062F">
              <w:t>4.8</w:t>
            </w:r>
          </w:p>
        </w:tc>
        <w:tc>
          <w:tcPr>
            <w:tcW w:w="507" w:type="pct"/>
            <w:tcBorders>
              <w:bottom w:val="single" w:sz="4" w:space="0" w:color="auto"/>
            </w:tcBorders>
            <w:shd w:val="clear" w:color="auto" w:fill="auto"/>
            <w:vAlign w:val="bottom"/>
          </w:tcPr>
          <w:p w:rsidR="0086579D" w:rsidRPr="0003062F" w:rsidRDefault="0086579D" w:rsidP="001B56F1">
            <w:pPr>
              <w:pStyle w:val="TableBodyText"/>
            </w:pPr>
            <w:r w:rsidRPr="0003062F">
              <w:t>11.2</w:t>
            </w:r>
          </w:p>
        </w:tc>
        <w:tc>
          <w:tcPr>
            <w:tcW w:w="507" w:type="pct"/>
            <w:tcBorders>
              <w:bottom w:val="single" w:sz="4" w:space="0" w:color="auto"/>
            </w:tcBorders>
            <w:shd w:val="clear" w:color="auto" w:fill="auto"/>
            <w:vAlign w:val="bottom"/>
          </w:tcPr>
          <w:p w:rsidR="0086579D" w:rsidRPr="0003062F" w:rsidRDefault="0086579D" w:rsidP="001B56F1">
            <w:pPr>
              <w:pStyle w:val="TableBodyText"/>
            </w:pPr>
            <w:r w:rsidRPr="0003062F">
              <w:t>12.2</w:t>
            </w:r>
          </w:p>
        </w:tc>
      </w:tr>
    </w:tbl>
    <w:p w:rsidR="0086579D" w:rsidRDefault="0086579D" w:rsidP="0086579D">
      <w:pPr>
        <w:pStyle w:val="Note"/>
      </w:pPr>
      <w:r w:rsidRPr="00A2379F">
        <w:noBreakHyphen/>
        <w:t xml:space="preserve"> Nil</w:t>
      </w:r>
      <w:r>
        <w:t>.</w:t>
      </w:r>
      <w:r w:rsidRPr="008E77FE">
        <w:rPr>
          <w:rStyle w:val="NoteLabel"/>
        </w:rPr>
        <w:t xml:space="preserve"> a</w:t>
      </w:r>
      <w:r>
        <w:t xml:space="preserve"> This is a re-classification: in the TAR 2011-12 estimates the program was classified as ‘Unallocated other’</w:t>
      </w:r>
    </w:p>
    <w:p w:rsidR="0086579D" w:rsidRPr="008E77FE" w:rsidRDefault="0086579D" w:rsidP="0086579D">
      <w:pPr>
        <w:pStyle w:val="Source"/>
      </w:pPr>
      <w:r>
        <w:rPr>
          <w:i/>
        </w:rPr>
        <w:t>Source</w:t>
      </w:r>
      <w:r>
        <w:t>: DIISR Annual Report 2009</w:t>
      </w:r>
      <w:r>
        <w:noBreakHyphen/>
        <w:t>10</w:t>
      </w:r>
      <w:r w:rsidR="00DC0DD6">
        <w:t>.</w:t>
      </w:r>
    </w:p>
    <w:p w:rsidR="009F4D7E" w:rsidRDefault="00FA09C3" w:rsidP="009F4D7E">
      <w:pPr>
        <w:pStyle w:val="Heading2"/>
      </w:pPr>
      <w:r>
        <w:t>A.</w:t>
      </w:r>
      <w:r>
        <w:rPr>
          <w:noProof/>
        </w:rPr>
        <w:t>71</w:t>
      </w:r>
      <w:r w:rsidR="009F4D7E">
        <w:tab/>
        <w:t>Small Business Advisory Services Program</w:t>
      </w:r>
    </w:p>
    <w:p w:rsidR="009F4D7E" w:rsidRDefault="009F4D7E" w:rsidP="009F4D7E">
      <w:pPr>
        <w:pStyle w:val="BodyText"/>
      </w:pPr>
      <w:r>
        <w:t>The Small Business Advisory Services Program funds a number of Business Enterprise Centres (BECs) in suburban, rural and regional Australia to deliver low-cost small business advisory services (</w:t>
      </w:r>
      <w:r w:rsidRPr="00DC0DD6">
        <w:t>Emerson 2008a</w:t>
      </w:r>
      <w:r>
        <w:t xml:space="preserve">). The Program aims to </w:t>
      </w:r>
      <w:r w:rsidRPr="000A1A1D">
        <w:rPr>
          <w:lang w:val="en"/>
        </w:rPr>
        <w:t>maximise the growth potential, prosperity and sustainability of small businesses through enhanced access to information and advice on issues important to establishing, sustaining and/or growing a small business</w:t>
      </w:r>
      <w:r w:rsidRPr="000A1A1D">
        <w:t xml:space="preserve"> </w:t>
      </w:r>
      <w:r>
        <w:t>(</w:t>
      </w:r>
      <w:r w:rsidRPr="00DC0DD6">
        <w:t>AusIndustry 2013a</w:t>
      </w:r>
      <w:r>
        <w:t>).</w:t>
      </w:r>
    </w:p>
    <w:p w:rsidR="009F4D7E" w:rsidRDefault="009F4D7E" w:rsidP="009F4D7E">
      <w:pPr>
        <w:pStyle w:val="BodyText"/>
      </w:pPr>
      <w:r w:rsidRPr="00DC0DD6">
        <w:t xml:space="preserve">Information on the industry incidence of the program has not been readily available. Accordingly, the budget outlay has been classified to the </w:t>
      </w:r>
      <w:r w:rsidRPr="00DC0DD6">
        <w:rPr>
          <w:i/>
        </w:rPr>
        <w:t>Unallocated other</w:t>
      </w:r>
      <w:r w:rsidRPr="00DC0DD6">
        <w:t xml:space="preserve"> industry grouping in the Commission’s ANZSIC-based classification</w:t>
      </w:r>
      <w:r>
        <w:t xml:space="preserve"> (table A.7</w:t>
      </w:r>
      <w:r w:rsidR="00C75068">
        <w:t>1</w:t>
      </w:r>
      <w:r>
        <w:t>).</w:t>
      </w:r>
    </w:p>
    <w:p w:rsidR="009F4D7E" w:rsidRDefault="009F4D7E" w:rsidP="009F4D7E">
      <w:pPr>
        <w:pStyle w:val="TableTitle"/>
      </w:pPr>
      <w:r>
        <w:rPr>
          <w:b w:val="0"/>
        </w:rPr>
        <w:t xml:space="preserve">Table </w:t>
      </w:r>
      <w:r w:rsidR="00FA09C3">
        <w:rPr>
          <w:b w:val="0"/>
        </w:rPr>
        <w:t>A.</w:t>
      </w:r>
      <w:r w:rsidR="00FA09C3">
        <w:rPr>
          <w:b w:val="0"/>
          <w:noProof/>
        </w:rPr>
        <w:t>71</w:t>
      </w:r>
      <w:r>
        <w:tab/>
        <w:t>Allocation of Small Business Advisory Services Program</w:t>
      </w:r>
      <w:r w:rsidR="0013131E" w:rsidRPr="0013131E">
        <w:t xml:space="preserve"> to industry</w:t>
      </w:r>
      <w:r>
        <w:t>, 2006</w:t>
      </w:r>
      <w:r>
        <w:noBreakHyphen/>
        <w:t>07 to 2011</w:t>
      </w:r>
      <w:r>
        <w:noBreakHyphen/>
        <w:t>12</w:t>
      </w:r>
    </w:p>
    <w:p w:rsidR="009F4D7E" w:rsidRDefault="009F4D7E" w:rsidP="009F4D7E">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9F4D7E" w:rsidRPr="00AF699A" w:rsidTr="001B56F1">
        <w:tc>
          <w:tcPr>
            <w:tcW w:w="1960" w:type="pct"/>
            <w:tcBorders>
              <w:top w:val="single" w:sz="6" w:space="0" w:color="auto"/>
              <w:bottom w:val="single" w:sz="6" w:space="0" w:color="auto"/>
            </w:tcBorders>
          </w:tcPr>
          <w:p w:rsidR="009F4D7E" w:rsidRPr="00AF699A" w:rsidRDefault="009F4D7E"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9F4D7E" w:rsidRPr="00AF699A" w:rsidRDefault="009F4D7E"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9F4D7E" w:rsidRPr="00AF699A" w:rsidRDefault="009F4D7E"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9F4D7E" w:rsidRPr="00AF699A" w:rsidRDefault="009F4D7E"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9F4D7E" w:rsidRPr="00AF699A" w:rsidRDefault="009F4D7E"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9F4D7E" w:rsidRPr="00AF699A" w:rsidRDefault="009F4D7E"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9F4D7E" w:rsidRPr="00AF699A" w:rsidRDefault="009F4D7E" w:rsidP="001B56F1">
            <w:pPr>
              <w:pStyle w:val="TableColumnHeading"/>
              <w:ind w:right="28"/>
              <w:rPr>
                <w:rFonts w:cs="Arial"/>
                <w:sz w:val="18"/>
                <w:szCs w:val="18"/>
              </w:rPr>
            </w:pPr>
            <w:r w:rsidRPr="00AF699A">
              <w:rPr>
                <w:rFonts w:cs="Arial"/>
                <w:sz w:val="18"/>
                <w:szCs w:val="18"/>
              </w:rPr>
              <w:t>2011-12</w:t>
            </w:r>
          </w:p>
        </w:tc>
      </w:tr>
      <w:tr w:rsidR="009F4D7E" w:rsidRPr="006C5A80" w:rsidTr="001B56F1">
        <w:tc>
          <w:tcPr>
            <w:tcW w:w="1960" w:type="pct"/>
            <w:tcBorders>
              <w:bottom w:val="single" w:sz="4" w:space="0" w:color="auto"/>
            </w:tcBorders>
            <w:vAlign w:val="bottom"/>
          </w:tcPr>
          <w:p w:rsidR="009F4D7E" w:rsidRPr="00C944BA" w:rsidRDefault="009F4D7E" w:rsidP="001B56F1">
            <w:pPr>
              <w:pStyle w:val="TableBodyText"/>
              <w:jc w:val="left"/>
            </w:pPr>
            <w:r>
              <w:t>Unallocated other</w:t>
            </w:r>
            <w:r w:rsidRPr="00BD3CDA">
              <w:rPr>
                <w:rStyle w:val="NoteLabel"/>
                <w:szCs w:val="18"/>
              </w:rPr>
              <w:t>a</w:t>
            </w:r>
          </w:p>
        </w:tc>
        <w:tc>
          <w:tcPr>
            <w:tcW w:w="507" w:type="pct"/>
            <w:tcBorders>
              <w:bottom w:val="single" w:sz="4" w:space="0" w:color="auto"/>
            </w:tcBorders>
            <w:vAlign w:val="bottom"/>
          </w:tcPr>
          <w:p w:rsidR="009F4D7E" w:rsidRDefault="009F4D7E" w:rsidP="001B56F1">
            <w:pPr>
              <w:pStyle w:val="TableBodyText"/>
            </w:pPr>
            <w:r>
              <w:noBreakHyphen/>
            </w:r>
          </w:p>
        </w:tc>
        <w:tc>
          <w:tcPr>
            <w:tcW w:w="507" w:type="pct"/>
            <w:tcBorders>
              <w:bottom w:val="single" w:sz="4" w:space="0" w:color="auto"/>
            </w:tcBorders>
            <w:vAlign w:val="bottom"/>
          </w:tcPr>
          <w:p w:rsidR="009F4D7E" w:rsidRDefault="009F4D7E" w:rsidP="001B56F1">
            <w:pPr>
              <w:pStyle w:val="TableBodyText"/>
            </w:pPr>
            <w:r>
              <w:noBreakHyphen/>
            </w:r>
          </w:p>
        </w:tc>
        <w:tc>
          <w:tcPr>
            <w:tcW w:w="507" w:type="pct"/>
            <w:tcBorders>
              <w:bottom w:val="single" w:sz="4" w:space="0" w:color="auto"/>
            </w:tcBorders>
            <w:vAlign w:val="bottom"/>
          </w:tcPr>
          <w:p w:rsidR="009F4D7E" w:rsidRDefault="009F4D7E" w:rsidP="001B56F1">
            <w:pPr>
              <w:pStyle w:val="TableBodyText"/>
            </w:pPr>
            <w:r>
              <w:t>11.9</w:t>
            </w:r>
          </w:p>
        </w:tc>
        <w:tc>
          <w:tcPr>
            <w:tcW w:w="507" w:type="pct"/>
            <w:tcBorders>
              <w:bottom w:val="single" w:sz="4" w:space="0" w:color="auto"/>
            </w:tcBorders>
            <w:vAlign w:val="bottom"/>
          </w:tcPr>
          <w:p w:rsidR="009F4D7E" w:rsidRDefault="009F4D7E" w:rsidP="001B56F1">
            <w:pPr>
              <w:pStyle w:val="TableBodyText"/>
            </w:pPr>
            <w:r>
              <w:t>16.4</w:t>
            </w:r>
          </w:p>
        </w:tc>
        <w:tc>
          <w:tcPr>
            <w:tcW w:w="507" w:type="pct"/>
            <w:tcBorders>
              <w:bottom w:val="single" w:sz="4" w:space="0" w:color="auto"/>
            </w:tcBorders>
            <w:shd w:val="clear" w:color="auto" w:fill="auto"/>
            <w:vAlign w:val="bottom"/>
          </w:tcPr>
          <w:p w:rsidR="009F4D7E" w:rsidRDefault="009F4D7E" w:rsidP="001B56F1">
            <w:pPr>
              <w:pStyle w:val="TableBodyText"/>
            </w:pPr>
            <w:r>
              <w:t>9.0</w:t>
            </w:r>
          </w:p>
        </w:tc>
        <w:tc>
          <w:tcPr>
            <w:tcW w:w="505" w:type="pct"/>
            <w:tcBorders>
              <w:bottom w:val="single" w:sz="4" w:space="0" w:color="auto"/>
            </w:tcBorders>
            <w:shd w:val="clear" w:color="auto" w:fill="auto"/>
            <w:vAlign w:val="bottom"/>
          </w:tcPr>
          <w:p w:rsidR="009F4D7E" w:rsidRDefault="009F4D7E" w:rsidP="001B56F1">
            <w:pPr>
              <w:pStyle w:val="TableBodyText"/>
            </w:pPr>
            <w:r>
              <w:t>12.1</w:t>
            </w:r>
          </w:p>
        </w:tc>
      </w:tr>
    </w:tbl>
    <w:p w:rsidR="009F4D7E" w:rsidRPr="00F60026" w:rsidRDefault="009F4D7E" w:rsidP="009F4D7E">
      <w:pPr>
        <w:pStyle w:val="Source"/>
        <w:spacing w:after="0"/>
        <w:rPr>
          <w:i/>
        </w:rPr>
      </w:pPr>
      <w:r w:rsidRPr="00A2379F">
        <w:noBreakHyphen/>
        <w:t xml:space="preserve"> </w:t>
      </w:r>
      <w:r>
        <w:t>Nil</w:t>
      </w:r>
      <w:r w:rsidRPr="00A2379F">
        <w:t>.</w:t>
      </w:r>
      <w:r w:rsidRPr="00B1392F">
        <w:t xml:space="preserve"> </w:t>
      </w:r>
      <w:r w:rsidRPr="009B56F1">
        <w:rPr>
          <w:rStyle w:val="NoteLabel"/>
        </w:rPr>
        <w:t>a</w:t>
      </w:r>
      <w:r w:rsidRPr="009B56F1">
        <w:t xml:space="preserve"> Unallocated includes general programs where detai</w:t>
      </w:r>
      <w:r>
        <w:t>ls of beneficiaries are unknown.</w:t>
      </w:r>
    </w:p>
    <w:p w:rsidR="00CB219A" w:rsidRPr="00CB219A" w:rsidRDefault="009F4D7E" w:rsidP="00CB2252">
      <w:pPr>
        <w:pStyle w:val="Source"/>
      </w:pPr>
      <w:r>
        <w:rPr>
          <w:i/>
        </w:rPr>
        <w:t>Sources</w:t>
      </w:r>
      <w:r>
        <w:t>: Commission estimates based on DIISR Annual Report 2010</w:t>
      </w:r>
      <w:r>
        <w:noBreakHyphen/>
        <w:t>11 (and earlier years); and detailed DIISR data by ANZSIC industry.</w:t>
      </w:r>
    </w:p>
    <w:p w:rsidR="002E6B99" w:rsidRDefault="00FA09C3" w:rsidP="002E6B99">
      <w:pPr>
        <w:pStyle w:val="Heading2"/>
      </w:pPr>
      <w:r>
        <w:t>A.</w:t>
      </w:r>
      <w:r>
        <w:rPr>
          <w:noProof/>
        </w:rPr>
        <w:t>72</w:t>
      </w:r>
      <w:r w:rsidR="002E6B99">
        <w:tab/>
        <w:t>Venture Capital Limited Partnerships</w:t>
      </w:r>
    </w:p>
    <w:p w:rsidR="002E6B99" w:rsidRDefault="002E6B99" w:rsidP="002E6B99">
      <w:pPr>
        <w:pStyle w:val="BodyText"/>
      </w:pPr>
      <w:r>
        <w:t xml:space="preserve">Since 2002, a capital gains tax concession has been available to venture capital managers for ‘carried interests’ </w:t>
      </w:r>
      <w:r w:rsidRPr="009C1EC7">
        <w:t>(</w:t>
      </w:r>
      <w:r w:rsidRPr="00DC0DD6">
        <w:t>Tax Expenditure Statement, Australian Government</w:t>
      </w:r>
      <w:r>
        <w:t> </w:t>
      </w:r>
      <w:r w:rsidRPr="00DC0DD6">
        <w:t>2013, Item B 56</w:t>
      </w:r>
      <w:r w:rsidRPr="009C1EC7">
        <w:t>).</w:t>
      </w:r>
      <w:r>
        <w:t xml:space="preserve"> Venture capital managers may be paid a performance-based share of partnership profits by investors — such payments are ‘carried interests’.</w:t>
      </w:r>
    </w:p>
    <w:p w:rsidR="002E6B99" w:rsidRDefault="002E6B99" w:rsidP="002E6B99">
      <w:pPr>
        <w:pStyle w:val="BodyText"/>
      </w:pPr>
      <w:r>
        <w:t xml:space="preserve">Venture Capital Limited Partnerships (VCLP) raise capital and make investments in relatively high-risk, start-up and expanding Australian companies. Eligible investments are shares or options in unlisted (or soon to be delisted) Australian companies with a total value of assets of less than $250 million, except for those for which the predominant activity is in property development, finance, insurance, construction and infrastructure. There is also a requirement that at least 50 per cent of employees and assets of the company are in Australia. </w:t>
      </w:r>
    </w:p>
    <w:p w:rsidR="002E6B99" w:rsidRDefault="002E6B99" w:rsidP="002E6B99">
      <w:pPr>
        <w:pStyle w:val="BodyText"/>
      </w:pPr>
      <w:r>
        <w:t xml:space="preserve">The Commission has included the capital gains taxation concession as assistance to the </w:t>
      </w:r>
      <w:r w:rsidRPr="004F3539">
        <w:rPr>
          <w:i/>
        </w:rPr>
        <w:t>Financial and insurance services</w:t>
      </w:r>
      <w:r>
        <w:t xml:space="preserve"> industry grouping in the Commission’s ANZSIC-based classification (table A.7</w:t>
      </w:r>
      <w:r w:rsidR="00C75068">
        <w:t>2</w:t>
      </w:r>
      <w:r>
        <w:t>).</w:t>
      </w:r>
    </w:p>
    <w:p w:rsidR="002E6B99" w:rsidRDefault="002E6B99" w:rsidP="002E6B99">
      <w:pPr>
        <w:pStyle w:val="TableTitle"/>
      </w:pPr>
      <w:r>
        <w:rPr>
          <w:b w:val="0"/>
        </w:rPr>
        <w:t xml:space="preserve">Table </w:t>
      </w:r>
      <w:r w:rsidR="00FA09C3">
        <w:rPr>
          <w:b w:val="0"/>
        </w:rPr>
        <w:t>A.</w:t>
      </w:r>
      <w:r w:rsidR="00FA09C3">
        <w:rPr>
          <w:b w:val="0"/>
          <w:noProof/>
        </w:rPr>
        <w:t>72</w:t>
      </w:r>
      <w:r>
        <w:tab/>
        <w:t>Allocation of Venture Capital Limited Partnerships</w:t>
      </w:r>
      <w:r w:rsidR="0013131E" w:rsidRPr="0013131E">
        <w:t xml:space="preserve"> to industry</w:t>
      </w:r>
      <w:r>
        <w:t>, 2006</w:t>
      </w:r>
      <w:r>
        <w:noBreakHyphen/>
        <w:t>07 to 2011</w:t>
      </w:r>
      <w:r>
        <w:noBreakHyphen/>
        <w:t>12</w:t>
      </w:r>
    </w:p>
    <w:p w:rsidR="002E6B99" w:rsidRDefault="002E6B99" w:rsidP="002E6B99">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2E6B99" w:rsidRPr="00AF699A" w:rsidTr="001B56F1">
        <w:tc>
          <w:tcPr>
            <w:tcW w:w="1960" w:type="pct"/>
            <w:tcBorders>
              <w:top w:val="single" w:sz="6" w:space="0" w:color="auto"/>
              <w:bottom w:val="single" w:sz="6" w:space="0" w:color="auto"/>
            </w:tcBorders>
          </w:tcPr>
          <w:p w:rsidR="002E6B99" w:rsidRPr="00AF699A" w:rsidRDefault="002E6B99"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2E6B99" w:rsidRPr="00AF699A" w:rsidRDefault="002E6B99"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2E6B99" w:rsidRPr="00AF699A" w:rsidRDefault="002E6B99"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2E6B99" w:rsidRPr="00AF699A" w:rsidRDefault="002E6B99"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2E6B99" w:rsidRPr="00AF699A" w:rsidRDefault="002E6B99"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2E6B99" w:rsidRPr="00AF699A" w:rsidRDefault="002E6B99"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2E6B99" w:rsidRPr="00AF699A" w:rsidRDefault="002E6B99" w:rsidP="001B56F1">
            <w:pPr>
              <w:pStyle w:val="TableColumnHeading"/>
              <w:ind w:right="28"/>
              <w:rPr>
                <w:rFonts w:cs="Arial"/>
                <w:sz w:val="18"/>
                <w:szCs w:val="18"/>
              </w:rPr>
            </w:pPr>
            <w:r w:rsidRPr="00AF699A">
              <w:rPr>
                <w:rFonts w:cs="Arial"/>
                <w:sz w:val="18"/>
                <w:szCs w:val="18"/>
              </w:rPr>
              <w:t>2011-12</w:t>
            </w:r>
          </w:p>
        </w:tc>
      </w:tr>
      <w:tr w:rsidR="002E6B99" w:rsidRPr="006C5A80" w:rsidTr="001B56F1">
        <w:tc>
          <w:tcPr>
            <w:tcW w:w="1960" w:type="pct"/>
            <w:tcBorders>
              <w:bottom w:val="single" w:sz="4" w:space="0" w:color="auto"/>
            </w:tcBorders>
            <w:vAlign w:val="bottom"/>
          </w:tcPr>
          <w:p w:rsidR="002E6B99" w:rsidRPr="00C944BA" w:rsidRDefault="002E6B99" w:rsidP="001B56F1">
            <w:pPr>
              <w:pStyle w:val="TableBodyText"/>
              <w:jc w:val="left"/>
            </w:pPr>
            <w:r>
              <w:t>Financial and insurance services</w:t>
            </w:r>
          </w:p>
        </w:tc>
        <w:tc>
          <w:tcPr>
            <w:tcW w:w="507" w:type="pct"/>
            <w:tcBorders>
              <w:bottom w:val="single" w:sz="4" w:space="0" w:color="auto"/>
            </w:tcBorders>
            <w:vAlign w:val="bottom"/>
          </w:tcPr>
          <w:p w:rsidR="002E6B99" w:rsidRDefault="002E6B99" w:rsidP="001B56F1">
            <w:pPr>
              <w:pStyle w:val="TableBodyText"/>
            </w:pPr>
            <w:r>
              <w:t>10.0</w:t>
            </w:r>
          </w:p>
        </w:tc>
        <w:tc>
          <w:tcPr>
            <w:tcW w:w="507" w:type="pct"/>
            <w:tcBorders>
              <w:bottom w:val="single" w:sz="4" w:space="0" w:color="auto"/>
            </w:tcBorders>
            <w:vAlign w:val="bottom"/>
          </w:tcPr>
          <w:p w:rsidR="002E6B99" w:rsidRDefault="002E6B99" w:rsidP="001B56F1">
            <w:pPr>
              <w:pStyle w:val="TableBodyText"/>
            </w:pPr>
            <w:r>
              <w:t>10.0</w:t>
            </w:r>
          </w:p>
        </w:tc>
        <w:tc>
          <w:tcPr>
            <w:tcW w:w="507" w:type="pct"/>
            <w:tcBorders>
              <w:bottom w:val="single" w:sz="4" w:space="0" w:color="auto"/>
            </w:tcBorders>
            <w:vAlign w:val="bottom"/>
          </w:tcPr>
          <w:p w:rsidR="002E6B99" w:rsidRDefault="002E6B99" w:rsidP="001B56F1">
            <w:pPr>
              <w:pStyle w:val="TableBodyText"/>
            </w:pPr>
            <w:r>
              <w:t>11.0</w:t>
            </w:r>
          </w:p>
        </w:tc>
        <w:tc>
          <w:tcPr>
            <w:tcW w:w="507" w:type="pct"/>
            <w:tcBorders>
              <w:bottom w:val="single" w:sz="4" w:space="0" w:color="auto"/>
            </w:tcBorders>
            <w:vAlign w:val="bottom"/>
          </w:tcPr>
          <w:p w:rsidR="002E6B99" w:rsidRDefault="002E6B99" w:rsidP="001B56F1">
            <w:pPr>
              <w:pStyle w:val="TableBodyText"/>
            </w:pPr>
            <w:r>
              <w:t>11.0</w:t>
            </w:r>
          </w:p>
        </w:tc>
        <w:tc>
          <w:tcPr>
            <w:tcW w:w="507" w:type="pct"/>
            <w:tcBorders>
              <w:bottom w:val="single" w:sz="4" w:space="0" w:color="auto"/>
            </w:tcBorders>
            <w:shd w:val="clear" w:color="auto" w:fill="auto"/>
            <w:vAlign w:val="bottom"/>
          </w:tcPr>
          <w:p w:rsidR="002E6B99" w:rsidRDefault="002E6B99" w:rsidP="001B56F1">
            <w:pPr>
              <w:pStyle w:val="TableBodyText"/>
            </w:pPr>
            <w:r>
              <w:t>11.0</w:t>
            </w:r>
          </w:p>
        </w:tc>
        <w:tc>
          <w:tcPr>
            <w:tcW w:w="505" w:type="pct"/>
            <w:tcBorders>
              <w:bottom w:val="single" w:sz="4" w:space="0" w:color="auto"/>
            </w:tcBorders>
            <w:shd w:val="clear" w:color="auto" w:fill="auto"/>
            <w:vAlign w:val="bottom"/>
          </w:tcPr>
          <w:p w:rsidR="002E6B99" w:rsidRDefault="002E6B99" w:rsidP="001B56F1">
            <w:pPr>
              <w:pStyle w:val="TableBodyText"/>
            </w:pPr>
            <w:r>
              <w:t>11.0</w:t>
            </w:r>
          </w:p>
        </w:tc>
      </w:tr>
    </w:tbl>
    <w:p w:rsidR="002E6B99" w:rsidRDefault="002E6B99" w:rsidP="002E6B99">
      <w:pPr>
        <w:pStyle w:val="Source"/>
      </w:pPr>
      <w:r>
        <w:rPr>
          <w:i/>
        </w:rPr>
        <w:t>Source</w:t>
      </w:r>
      <w:r>
        <w:t>: Commission estimates based on Tax Expenditure Statement 2012, Australian Government 2013, p. 92, item B56.</w:t>
      </w:r>
    </w:p>
    <w:p w:rsidR="0065042D" w:rsidRDefault="00FA09C3" w:rsidP="0065042D">
      <w:pPr>
        <w:pStyle w:val="Heading2"/>
      </w:pPr>
      <w:r>
        <w:t>A.</w:t>
      </w:r>
      <w:r>
        <w:rPr>
          <w:noProof/>
        </w:rPr>
        <w:t>73</w:t>
      </w:r>
      <w:r w:rsidR="0065042D">
        <w:tab/>
        <w:t>Premium Support Scheme</w:t>
      </w:r>
    </w:p>
    <w:p w:rsidR="0065042D" w:rsidRDefault="0065042D" w:rsidP="0065042D">
      <w:pPr>
        <w:pStyle w:val="BodyText"/>
      </w:pPr>
      <w:r>
        <w:t xml:space="preserve">The Premium Support </w:t>
      </w:r>
      <w:r w:rsidR="00123C1E">
        <w:t>S</w:t>
      </w:r>
      <w:r>
        <w:t>cheme assists eligible doctors</w:t>
      </w:r>
      <w:r w:rsidR="006454C4">
        <w:t xml:space="preserve"> by providing them with a subsidy towards the cost of medical indemnity insurance premiums</w:t>
      </w:r>
      <w:r>
        <w:t>. Under the scheme, where a doctor’s gross medical indemnity costs exceed 7.5 per cent of income then the doctor will only pay:</w:t>
      </w:r>
    </w:p>
    <w:p w:rsidR="0065042D" w:rsidRDefault="0065042D" w:rsidP="0065042D">
      <w:pPr>
        <w:pStyle w:val="ListBullet"/>
      </w:pPr>
      <w:r>
        <w:rPr>
          <w:lang w:val="en"/>
        </w:rPr>
        <w:t>for premium periods starting before 1 July 2012</w:t>
      </w:r>
      <w:r>
        <w:t>, 20 cents in the dollar for the cost of the premium beyond the 7.5 per cent threshold;</w:t>
      </w:r>
    </w:p>
    <w:p w:rsidR="0065042D" w:rsidRPr="00F327B7" w:rsidRDefault="0065042D" w:rsidP="0065042D">
      <w:pPr>
        <w:pStyle w:val="ListBullet"/>
      </w:pPr>
      <w:r>
        <w:rPr>
          <w:lang w:val="en"/>
        </w:rPr>
        <w:t>for premium periods starting on or after 1 July 2012 and before 1 July 2013, 30 cents in the dollar for the cost of the premium beyond the 7.5 per cent threshold; or.</w:t>
      </w:r>
    </w:p>
    <w:p w:rsidR="0065042D" w:rsidRDefault="0065042D" w:rsidP="0065042D">
      <w:pPr>
        <w:pStyle w:val="ListBullet"/>
      </w:pPr>
      <w:r>
        <w:rPr>
          <w:lang w:val="en"/>
        </w:rPr>
        <w:t>for premium periods starting on or after 1 July 2013, 40 cents in the dollar for the cost of the premium beyond the 7.5 per cent threshold.</w:t>
      </w:r>
    </w:p>
    <w:p w:rsidR="0065042D" w:rsidRDefault="0065042D" w:rsidP="0065042D">
      <w:pPr>
        <w:pStyle w:val="BodyText"/>
      </w:pPr>
      <w:r>
        <w:t>Payments under the scheme commenced in mid-2004 (</w:t>
      </w:r>
      <w:r w:rsidRPr="00DC0DD6">
        <w:t>Department of Health 2013b</w:t>
      </w:r>
      <w:r>
        <w:t>).</w:t>
      </w:r>
    </w:p>
    <w:p w:rsidR="0065042D" w:rsidRDefault="0065042D" w:rsidP="0065042D">
      <w:pPr>
        <w:pStyle w:val="BodyText"/>
      </w:pPr>
      <w:r>
        <w:t xml:space="preserve">The program selectively benefits doctors providing health services and has been allocated to the </w:t>
      </w:r>
      <w:r w:rsidRPr="004D7914">
        <w:rPr>
          <w:i/>
        </w:rPr>
        <w:t>Health care and social assistance</w:t>
      </w:r>
      <w:r>
        <w:t xml:space="preserve"> industry grouping in the Commission’s ANZSIC-based classification (table A.7</w:t>
      </w:r>
      <w:r w:rsidR="00C75068">
        <w:t>3</w:t>
      </w:r>
      <w:r>
        <w:t>).</w:t>
      </w:r>
    </w:p>
    <w:p w:rsidR="0065042D" w:rsidRDefault="0065042D" w:rsidP="0065042D">
      <w:pPr>
        <w:pStyle w:val="TableTitle"/>
      </w:pPr>
      <w:r>
        <w:rPr>
          <w:b w:val="0"/>
        </w:rPr>
        <w:t xml:space="preserve">Table </w:t>
      </w:r>
      <w:r w:rsidR="00FA09C3">
        <w:rPr>
          <w:b w:val="0"/>
        </w:rPr>
        <w:t>A.</w:t>
      </w:r>
      <w:r w:rsidR="00FA09C3">
        <w:rPr>
          <w:b w:val="0"/>
          <w:noProof/>
        </w:rPr>
        <w:t>73</w:t>
      </w:r>
      <w:r>
        <w:tab/>
        <w:t>Allocation of Premium Support Scheme</w:t>
      </w:r>
      <w:r w:rsidR="0013131E" w:rsidRPr="0013131E">
        <w:t xml:space="preserve"> to industry</w:t>
      </w:r>
      <w:r>
        <w:t>, 2006</w:t>
      </w:r>
      <w:r>
        <w:noBreakHyphen/>
        <w:t>07 to 2011</w:t>
      </w:r>
      <w:r>
        <w:noBreakHyphen/>
        <w:t>12</w:t>
      </w:r>
    </w:p>
    <w:p w:rsidR="0065042D" w:rsidRDefault="0065042D" w:rsidP="0065042D">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65042D" w:rsidRPr="00AF699A" w:rsidTr="001B56F1">
        <w:tc>
          <w:tcPr>
            <w:tcW w:w="1960" w:type="pct"/>
            <w:tcBorders>
              <w:top w:val="single" w:sz="6" w:space="0" w:color="auto"/>
              <w:bottom w:val="single" w:sz="6" w:space="0" w:color="auto"/>
            </w:tcBorders>
          </w:tcPr>
          <w:p w:rsidR="0065042D" w:rsidRPr="00AF699A" w:rsidRDefault="0065042D"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65042D" w:rsidRPr="00AF699A" w:rsidRDefault="0065042D"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65042D" w:rsidRPr="00AF699A" w:rsidRDefault="0065042D"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65042D" w:rsidRPr="00AF699A" w:rsidRDefault="0065042D"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65042D" w:rsidRPr="00AF699A" w:rsidRDefault="0065042D"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65042D" w:rsidRPr="00AF699A" w:rsidRDefault="0065042D"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65042D" w:rsidRPr="00AF699A" w:rsidRDefault="0065042D" w:rsidP="001B56F1">
            <w:pPr>
              <w:pStyle w:val="TableColumnHeading"/>
              <w:ind w:right="28"/>
              <w:rPr>
                <w:rFonts w:cs="Arial"/>
                <w:sz w:val="18"/>
                <w:szCs w:val="18"/>
              </w:rPr>
            </w:pPr>
            <w:r w:rsidRPr="00AF699A">
              <w:rPr>
                <w:rFonts w:cs="Arial"/>
                <w:sz w:val="18"/>
                <w:szCs w:val="18"/>
              </w:rPr>
              <w:t>2011-12</w:t>
            </w:r>
          </w:p>
        </w:tc>
      </w:tr>
      <w:tr w:rsidR="0065042D" w:rsidRPr="006C5A80" w:rsidTr="001B56F1">
        <w:tc>
          <w:tcPr>
            <w:tcW w:w="1960" w:type="pct"/>
            <w:tcBorders>
              <w:bottom w:val="single" w:sz="4" w:space="0" w:color="auto"/>
            </w:tcBorders>
            <w:vAlign w:val="bottom"/>
          </w:tcPr>
          <w:p w:rsidR="0065042D" w:rsidRPr="00C944BA" w:rsidRDefault="0065042D" w:rsidP="001B56F1">
            <w:pPr>
              <w:pStyle w:val="TableBodyText"/>
              <w:jc w:val="left"/>
            </w:pPr>
            <w:r>
              <w:t>Health care and social assistance</w:t>
            </w:r>
          </w:p>
        </w:tc>
        <w:tc>
          <w:tcPr>
            <w:tcW w:w="507" w:type="pct"/>
            <w:tcBorders>
              <w:bottom w:val="single" w:sz="4" w:space="0" w:color="auto"/>
            </w:tcBorders>
            <w:vAlign w:val="bottom"/>
          </w:tcPr>
          <w:p w:rsidR="0065042D" w:rsidRDefault="0065042D" w:rsidP="001B56F1">
            <w:pPr>
              <w:pStyle w:val="TableBodyText"/>
            </w:pPr>
            <w:r>
              <w:t>50.0</w:t>
            </w:r>
          </w:p>
        </w:tc>
        <w:tc>
          <w:tcPr>
            <w:tcW w:w="507" w:type="pct"/>
            <w:tcBorders>
              <w:bottom w:val="single" w:sz="4" w:space="0" w:color="auto"/>
            </w:tcBorders>
            <w:vAlign w:val="bottom"/>
          </w:tcPr>
          <w:p w:rsidR="0065042D" w:rsidRDefault="0065042D" w:rsidP="001B56F1">
            <w:pPr>
              <w:pStyle w:val="TableBodyText"/>
            </w:pPr>
            <w:r>
              <w:t>23.5</w:t>
            </w:r>
          </w:p>
        </w:tc>
        <w:tc>
          <w:tcPr>
            <w:tcW w:w="507" w:type="pct"/>
            <w:tcBorders>
              <w:bottom w:val="single" w:sz="4" w:space="0" w:color="auto"/>
            </w:tcBorders>
            <w:vAlign w:val="bottom"/>
          </w:tcPr>
          <w:p w:rsidR="0065042D" w:rsidRDefault="0065042D" w:rsidP="001B56F1">
            <w:pPr>
              <w:pStyle w:val="TableBodyText"/>
            </w:pPr>
            <w:r>
              <w:t>16.1</w:t>
            </w:r>
          </w:p>
        </w:tc>
        <w:tc>
          <w:tcPr>
            <w:tcW w:w="507" w:type="pct"/>
            <w:tcBorders>
              <w:bottom w:val="single" w:sz="4" w:space="0" w:color="auto"/>
            </w:tcBorders>
            <w:vAlign w:val="bottom"/>
          </w:tcPr>
          <w:p w:rsidR="0065042D" w:rsidRDefault="0065042D" w:rsidP="001B56F1">
            <w:pPr>
              <w:pStyle w:val="TableBodyText"/>
            </w:pPr>
            <w:r>
              <w:t>17.2</w:t>
            </w:r>
          </w:p>
        </w:tc>
        <w:tc>
          <w:tcPr>
            <w:tcW w:w="507" w:type="pct"/>
            <w:tcBorders>
              <w:bottom w:val="single" w:sz="4" w:space="0" w:color="auto"/>
            </w:tcBorders>
            <w:shd w:val="clear" w:color="auto" w:fill="auto"/>
            <w:vAlign w:val="bottom"/>
          </w:tcPr>
          <w:p w:rsidR="0065042D" w:rsidRDefault="0065042D" w:rsidP="001B56F1">
            <w:pPr>
              <w:pStyle w:val="TableBodyText"/>
            </w:pPr>
            <w:r>
              <w:t>13.1</w:t>
            </w:r>
          </w:p>
        </w:tc>
        <w:tc>
          <w:tcPr>
            <w:tcW w:w="505" w:type="pct"/>
            <w:tcBorders>
              <w:bottom w:val="single" w:sz="4" w:space="0" w:color="auto"/>
            </w:tcBorders>
            <w:shd w:val="clear" w:color="auto" w:fill="auto"/>
            <w:vAlign w:val="bottom"/>
          </w:tcPr>
          <w:p w:rsidR="0065042D" w:rsidRDefault="0065042D" w:rsidP="001B56F1">
            <w:pPr>
              <w:pStyle w:val="TableBodyText"/>
            </w:pPr>
            <w:r>
              <w:t>11.4</w:t>
            </w:r>
          </w:p>
        </w:tc>
      </w:tr>
    </w:tbl>
    <w:p w:rsidR="0065042D" w:rsidRPr="008E77FE" w:rsidRDefault="0065042D" w:rsidP="0065042D">
      <w:pPr>
        <w:pStyle w:val="Source"/>
      </w:pPr>
      <w:r>
        <w:rPr>
          <w:i/>
        </w:rPr>
        <w:t>Source</w:t>
      </w:r>
      <w:r>
        <w:t>: Commission estimates based on Department of Human Services Annual Report 2011</w:t>
      </w:r>
      <w:r>
        <w:noBreakHyphen/>
        <w:t>12 and Medicare Annual Report 2010-11 (and earlier years).</w:t>
      </w:r>
    </w:p>
    <w:p w:rsidR="00494FDA" w:rsidRDefault="00FA09C3" w:rsidP="00494FDA">
      <w:pPr>
        <w:pStyle w:val="Heading2"/>
      </w:pPr>
      <w:r>
        <w:t>A.</w:t>
      </w:r>
      <w:r>
        <w:rPr>
          <w:noProof/>
        </w:rPr>
        <w:t>74</w:t>
      </w:r>
      <w:r w:rsidR="00494FDA">
        <w:tab/>
        <w:t>CSL – Commonwealth assistance</w:t>
      </w:r>
    </w:p>
    <w:p w:rsidR="00494FDA" w:rsidRPr="00F50C00" w:rsidRDefault="00494FDA" w:rsidP="00494FDA">
      <w:pPr>
        <w:pStyle w:val="BodyText"/>
      </w:pPr>
      <w:r w:rsidRPr="00F50C00">
        <w:t xml:space="preserve">On 16 July 2010, the Australian and Victorian governments jointly announced a grant of $30 million over four years to assist CSL to build a new large-scale biopharmaceuticals R&amp;D facility worth $235 million at its existing site in Broadmeadows, Victoria. The new facility is intended to extend Australia’s biopharmaceutical R&amp;D capacity and value, and help build the infrastructure and develop the capabilities </w:t>
      </w:r>
      <w:r w:rsidR="006454C4">
        <w:t>to assist</w:t>
      </w:r>
      <w:r w:rsidRPr="00F50C00">
        <w:t xml:space="preserve"> Australian scientists to create complex, next-generation drugs and deal with future epidemic diseases.</w:t>
      </w:r>
    </w:p>
    <w:p w:rsidR="00494FDA" w:rsidRDefault="00494FDA" w:rsidP="00494FDA">
      <w:pPr>
        <w:pStyle w:val="BodyText"/>
      </w:pPr>
      <w:r>
        <w:t xml:space="preserve">Funding for the project has been allocated to the </w:t>
      </w:r>
      <w:r w:rsidRPr="00CC263A">
        <w:rPr>
          <w:i/>
        </w:rPr>
        <w:t>Petroleum, coal, chemical and rubber products</w:t>
      </w:r>
      <w:r>
        <w:t xml:space="preserve"> industry grouping in the Commission’s ANZSIC-based classification (table A.7</w:t>
      </w:r>
      <w:r w:rsidR="00C75068">
        <w:t>4</w:t>
      </w:r>
      <w:r>
        <w:t>).</w:t>
      </w:r>
    </w:p>
    <w:p w:rsidR="00494FDA" w:rsidRDefault="00494FDA" w:rsidP="00494FDA">
      <w:pPr>
        <w:pStyle w:val="TableTitle"/>
      </w:pPr>
      <w:r>
        <w:rPr>
          <w:b w:val="0"/>
        </w:rPr>
        <w:t xml:space="preserve">Table </w:t>
      </w:r>
      <w:r w:rsidR="00FA09C3">
        <w:rPr>
          <w:b w:val="0"/>
        </w:rPr>
        <w:t>A.</w:t>
      </w:r>
      <w:r w:rsidR="00FA09C3">
        <w:rPr>
          <w:b w:val="0"/>
          <w:noProof/>
        </w:rPr>
        <w:t>74</w:t>
      </w:r>
      <w:r>
        <w:tab/>
        <w:t>Allocation of CSL – Commonwealth assistance</w:t>
      </w:r>
      <w:r w:rsidR="0013131E" w:rsidRPr="0013131E">
        <w:t xml:space="preserve"> to industry</w:t>
      </w:r>
      <w:r>
        <w:t>, 2006</w:t>
      </w:r>
      <w:r>
        <w:noBreakHyphen/>
        <w:t>07 to 2011</w:t>
      </w:r>
      <w:r>
        <w:noBreakHyphen/>
        <w:t>12</w:t>
      </w:r>
    </w:p>
    <w:p w:rsidR="00494FDA" w:rsidRDefault="000E1A26" w:rsidP="00494FDA">
      <w:pPr>
        <w:pStyle w:val="Subtitle"/>
      </w:pPr>
      <w:r>
        <w:t>$ m</w:t>
      </w:r>
      <w:r w:rsidR="00494FDA">
        <w:t xml:space="preserve">illion (nominal) </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494FDA" w:rsidRPr="00AF699A" w:rsidTr="001B56F1">
        <w:trPr>
          <w:trHeight w:val="416"/>
        </w:trPr>
        <w:tc>
          <w:tcPr>
            <w:tcW w:w="1958" w:type="pct"/>
            <w:tcBorders>
              <w:top w:val="single" w:sz="6" w:space="0" w:color="auto"/>
              <w:bottom w:val="single" w:sz="6" w:space="0" w:color="auto"/>
            </w:tcBorders>
          </w:tcPr>
          <w:p w:rsidR="00494FDA" w:rsidRPr="00AF699A" w:rsidRDefault="00494FDA"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494FDA" w:rsidRPr="00AF699A" w:rsidRDefault="00494FDA"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494FDA" w:rsidRPr="00AF699A" w:rsidRDefault="00494FDA"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494FDA" w:rsidRPr="00AF699A" w:rsidRDefault="00494FDA"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494FDA" w:rsidRPr="00AF699A" w:rsidRDefault="00494FDA"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494FDA" w:rsidRPr="00AF699A" w:rsidRDefault="00494FDA" w:rsidP="001B56F1">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494FDA" w:rsidRPr="00AF699A" w:rsidRDefault="00494FDA" w:rsidP="001B56F1">
            <w:pPr>
              <w:pStyle w:val="TableColumnHeading"/>
              <w:ind w:right="28"/>
              <w:rPr>
                <w:rFonts w:cs="Arial"/>
                <w:sz w:val="18"/>
                <w:szCs w:val="18"/>
              </w:rPr>
            </w:pPr>
            <w:r w:rsidRPr="00AF699A">
              <w:rPr>
                <w:rFonts w:cs="Arial"/>
                <w:sz w:val="18"/>
                <w:szCs w:val="18"/>
              </w:rPr>
              <w:t>2011-12</w:t>
            </w:r>
          </w:p>
        </w:tc>
      </w:tr>
      <w:tr w:rsidR="00494FDA" w:rsidRPr="0046402A" w:rsidTr="001B56F1">
        <w:tc>
          <w:tcPr>
            <w:tcW w:w="1958" w:type="pct"/>
            <w:tcBorders>
              <w:bottom w:val="single" w:sz="4" w:space="0" w:color="auto"/>
            </w:tcBorders>
            <w:vAlign w:val="bottom"/>
          </w:tcPr>
          <w:p w:rsidR="00494FDA" w:rsidRPr="004D24C3" w:rsidRDefault="00494FDA" w:rsidP="001B56F1">
            <w:pPr>
              <w:pStyle w:val="TableBodyText"/>
              <w:jc w:val="left"/>
            </w:pPr>
            <w:r w:rsidRPr="004D24C3">
              <w:t>Petroleum, coal, chemical and rubber products</w:t>
            </w:r>
          </w:p>
        </w:tc>
        <w:tc>
          <w:tcPr>
            <w:tcW w:w="507" w:type="pct"/>
            <w:tcBorders>
              <w:bottom w:val="single" w:sz="4" w:space="0" w:color="auto"/>
            </w:tcBorders>
            <w:vAlign w:val="bottom"/>
          </w:tcPr>
          <w:p w:rsidR="00494FDA" w:rsidRPr="004D24C3" w:rsidRDefault="00494FDA" w:rsidP="001B56F1">
            <w:pPr>
              <w:pStyle w:val="TableBodyText"/>
            </w:pPr>
            <w:r>
              <w:noBreakHyphen/>
            </w:r>
          </w:p>
        </w:tc>
        <w:tc>
          <w:tcPr>
            <w:tcW w:w="507" w:type="pct"/>
            <w:tcBorders>
              <w:bottom w:val="single" w:sz="4" w:space="0" w:color="auto"/>
            </w:tcBorders>
            <w:vAlign w:val="bottom"/>
          </w:tcPr>
          <w:p w:rsidR="00494FDA" w:rsidRPr="004D24C3" w:rsidRDefault="00494FDA" w:rsidP="001B56F1">
            <w:pPr>
              <w:pStyle w:val="TableBodyText"/>
            </w:pPr>
            <w:r>
              <w:noBreakHyphen/>
            </w:r>
          </w:p>
        </w:tc>
        <w:tc>
          <w:tcPr>
            <w:tcW w:w="507" w:type="pct"/>
            <w:tcBorders>
              <w:bottom w:val="single" w:sz="4" w:space="0" w:color="auto"/>
            </w:tcBorders>
            <w:vAlign w:val="bottom"/>
          </w:tcPr>
          <w:p w:rsidR="00494FDA" w:rsidRPr="004D24C3" w:rsidRDefault="00494FDA" w:rsidP="001B56F1">
            <w:pPr>
              <w:pStyle w:val="TableBodyText"/>
            </w:pPr>
            <w:r>
              <w:noBreakHyphen/>
            </w:r>
          </w:p>
        </w:tc>
        <w:tc>
          <w:tcPr>
            <w:tcW w:w="507" w:type="pct"/>
            <w:tcBorders>
              <w:bottom w:val="single" w:sz="4" w:space="0" w:color="auto"/>
            </w:tcBorders>
            <w:vAlign w:val="bottom"/>
          </w:tcPr>
          <w:p w:rsidR="00494FDA" w:rsidRPr="004D24C3" w:rsidRDefault="00494FDA" w:rsidP="001B56F1">
            <w:pPr>
              <w:pStyle w:val="TableBodyText"/>
            </w:pPr>
            <w:r>
              <w:noBreakHyphen/>
            </w:r>
          </w:p>
        </w:tc>
        <w:tc>
          <w:tcPr>
            <w:tcW w:w="507" w:type="pct"/>
            <w:tcBorders>
              <w:bottom w:val="single" w:sz="4" w:space="0" w:color="auto"/>
            </w:tcBorders>
            <w:shd w:val="clear" w:color="auto" w:fill="auto"/>
            <w:vAlign w:val="bottom"/>
          </w:tcPr>
          <w:p w:rsidR="00494FDA" w:rsidRPr="004D24C3" w:rsidRDefault="00494FDA" w:rsidP="001B56F1">
            <w:pPr>
              <w:pStyle w:val="TableBodyText"/>
            </w:pPr>
            <w:r w:rsidRPr="004D24C3">
              <w:t>9.3</w:t>
            </w:r>
          </w:p>
        </w:tc>
        <w:tc>
          <w:tcPr>
            <w:tcW w:w="507" w:type="pct"/>
            <w:tcBorders>
              <w:bottom w:val="single" w:sz="4" w:space="0" w:color="auto"/>
            </w:tcBorders>
            <w:shd w:val="clear" w:color="auto" w:fill="auto"/>
            <w:vAlign w:val="bottom"/>
          </w:tcPr>
          <w:p w:rsidR="00494FDA" w:rsidRPr="004D24C3" w:rsidRDefault="00494FDA" w:rsidP="001B56F1">
            <w:pPr>
              <w:pStyle w:val="TableBodyText"/>
            </w:pPr>
            <w:r w:rsidRPr="004D24C3">
              <w:t>10.6</w:t>
            </w:r>
          </w:p>
        </w:tc>
      </w:tr>
    </w:tbl>
    <w:p w:rsidR="00494FDA" w:rsidRDefault="00494FDA" w:rsidP="00494FDA">
      <w:pPr>
        <w:pStyle w:val="Note"/>
      </w:pPr>
      <w:r w:rsidRPr="00A2379F">
        <w:noBreakHyphen/>
        <w:t xml:space="preserve"> </w:t>
      </w:r>
      <w:r>
        <w:t>Nil.</w:t>
      </w:r>
    </w:p>
    <w:p w:rsidR="00494FDA" w:rsidRDefault="00494FDA" w:rsidP="00494FDA">
      <w:pPr>
        <w:pStyle w:val="Source"/>
      </w:pPr>
      <w:r>
        <w:rPr>
          <w:i/>
        </w:rPr>
        <w:t>Source</w:t>
      </w:r>
      <w:r>
        <w:t>: Commission estimates based on detailed DIISR data by ANZSIC industry.</w:t>
      </w:r>
    </w:p>
    <w:p w:rsidR="0026233E" w:rsidRDefault="00FA09C3" w:rsidP="0026233E">
      <w:pPr>
        <w:pStyle w:val="Heading2"/>
      </w:pPr>
      <w:r>
        <w:t>A.</w:t>
      </w:r>
      <w:r>
        <w:rPr>
          <w:noProof/>
        </w:rPr>
        <w:t>75</w:t>
      </w:r>
      <w:r w:rsidR="0026233E">
        <w:tab/>
        <w:t>Grape and Wine Research and Development Corporation</w:t>
      </w:r>
    </w:p>
    <w:p w:rsidR="0026233E" w:rsidRDefault="0026233E" w:rsidP="0026233E">
      <w:pPr>
        <w:pStyle w:val="BodyText"/>
      </w:pPr>
      <w:r>
        <w:t xml:space="preserve">The Grape and Wine Research and Development Corporation (GWRDC) is a statutory authority established in 1991 under the </w:t>
      </w:r>
      <w:r w:rsidRPr="00123C1E">
        <w:rPr>
          <w:i/>
        </w:rPr>
        <w:t>Primary Industries and Energy Research and Development Act 1989</w:t>
      </w:r>
      <w:r>
        <w:t>. The GWRDC aims to support the development of the Australian wine industry by planning and funding collective R&amp;D programs and then facilitating the dissemination, adoption and commercialisation of the results throughout the industry (</w:t>
      </w:r>
      <w:r w:rsidRPr="00DC0DD6">
        <w:t>GWRDC 2013</w:t>
      </w:r>
      <w:r>
        <w:t>).</w:t>
      </w:r>
    </w:p>
    <w:p w:rsidR="0026233E" w:rsidRDefault="0026233E" w:rsidP="0026233E">
      <w:pPr>
        <w:pStyle w:val="BodyText"/>
      </w:pPr>
      <w:r>
        <w:t xml:space="preserve">The GWRDC is jointly funded by an industry levy and </w:t>
      </w:r>
      <w:r w:rsidR="006E0942">
        <w:t xml:space="preserve">Australian </w:t>
      </w:r>
      <w:r>
        <w:t xml:space="preserve">Government contributions and selectively assists activities in the viticulture industry, which is part of the </w:t>
      </w:r>
      <w:r w:rsidRPr="00243220">
        <w:rPr>
          <w:i/>
        </w:rPr>
        <w:t>Horticulture and fruit growing</w:t>
      </w:r>
      <w:r>
        <w:t xml:space="preserve"> industry grouping in the Commission’s ANZSIC-based classification (table A.7</w:t>
      </w:r>
      <w:r w:rsidR="00C75068">
        <w:t>5</w:t>
      </w:r>
      <w:r>
        <w:t>).</w:t>
      </w:r>
    </w:p>
    <w:p w:rsidR="0026233E" w:rsidRDefault="0026233E" w:rsidP="0026233E">
      <w:pPr>
        <w:pStyle w:val="TableTitle"/>
      </w:pPr>
      <w:r>
        <w:rPr>
          <w:b w:val="0"/>
        </w:rPr>
        <w:t xml:space="preserve">Table </w:t>
      </w:r>
      <w:r w:rsidR="00FA09C3">
        <w:rPr>
          <w:b w:val="0"/>
        </w:rPr>
        <w:t>A.</w:t>
      </w:r>
      <w:r w:rsidR="00FA09C3">
        <w:rPr>
          <w:b w:val="0"/>
          <w:noProof/>
        </w:rPr>
        <w:t>75</w:t>
      </w:r>
      <w:r>
        <w:tab/>
        <w:t>Allocation of Grape and Wine Research and Development Corporation</w:t>
      </w:r>
      <w:r w:rsidR="0013131E" w:rsidRPr="0013131E">
        <w:t xml:space="preserve"> to industry</w:t>
      </w:r>
      <w:r>
        <w:t>, 2006</w:t>
      </w:r>
      <w:r>
        <w:noBreakHyphen/>
        <w:t>07 to 2011</w:t>
      </w:r>
      <w:r>
        <w:noBreakHyphen/>
        <w:t>12</w:t>
      </w:r>
    </w:p>
    <w:p w:rsidR="0026233E" w:rsidRDefault="0026233E" w:rsidP="0026233E">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26233E" w:rsidRPr="00AF699A" w:rsidTr="001B56F1">
        <w:tc>
          <w:tcPr>
            <w:tcW w:w="1960" w:type="pct"/>
            <w:tcBorders>
              <w:top w:val="single" w:sz="6" w:space="0" w:color="auto"/>
              <w:bottom w:val="single" w:sz="6" w:space="0" w:color="auto"/>
            </w:tcBorders>
          </w:tcPr>
          <w:p w:rsidR="0026233E" w:rsidRPr="00AF699A" w:rsidRDefault="0026233E"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26233E" w:rsidRPr="00AF699A" w:rsidRDefault="0026233E"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26233E" w:rsidRPr="00AF699A" w:rsidRDefault="0026233E"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26233E" w:rsidRPr="00AF699A" w:rsidRDefault="0026233E"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26233E" w:rsidRPr="00AF699A" w:rsidRDefault="0026233E"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26233E" w:rsidRPr="00AF699A" w:rsidRDefault="0026233E"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26233E" w:rsidRPr="00AF699A" w:rsidRDefault="0026233E" w:rsidP="001B56F1">
            <w:pPr>
              <w:pStyle w:val="TableColumnHeading"/>
              <w:ind w:right="28"/>
              <w:rPr>
                <w:rFonts w:cs="Arial"/>
                <w:sz w:val="18"/>
                <w:szCs w:val="18"/>
              </w:rPr>
            </w:pPr>
            <w:r w:rsidRPr="00AF699A">
              <w:rPr>
                <w:rFonts w:cs="Arial"/>
                <w:sz w:val="18"/>
                <w:szCs w:val="18"/>
              </w:rPr>
              <w:t>2011-12</w:t>
            </w:r>
          </w:p>
        </w:tc>
      </w:tr>
      <w:tr w:rsidR="0026233E" w:rsidRPr="006C5A80" w:rsidTr="001B56F1">
        <w:tc>
          <w:tcPr>
            <w:tcW w:w="1960" w:type="pct"/>
            <w:tcBorders>
              <w:bottom w:val="single" w:sz="4" w:space="0" w:color="auto"/>
            </w:tcBorders>
            <w:vAlign w:val="bottom"/>
          </w:tcPr>
          <w:p w:rsidR="0026233E" w:rsidRPr="00C944BA" w:rsidRDefault="0026233E" w:rsidP="001B56F1">
            <w:pPr>
              <w:pStyle w:val="TableBodyText"/>
              <w:jc w:val="left"/>
            </w:pPr>
            <w:r>
              <w:t>Horticulture and fruit growing</w:t>
            </w:r>
          </w:p>
        </w:tc>
        <w:tc>
          <w:tcPr>
            <w:tcW w:w="507" w:type="pct"/>
            <w:tcBorders>
              <w:bottom w:val="single" w:sz="4" w:space="0" w:color="auto"/>
            </w:tcBorders>
            <w:vAlign w:val="bottom"/>
          </w:tcPr>
          <w:p w:rsidR="0026233E" w:rsidRPr="00AA5CE5" w:rsidRDefault="0026233E" w:rsidP="001B56F1">
            <w:pPr>
              <w:pStyle w:val="TableBodyText"/>
            </w:pPr>
            <w:r w:rsidRPr="00AA5CE5">
              <w:t>14.5</w:t>
            </w:r>
          </w:p>
        </w:tc>
        <w:tc>
          <w:tcPr>
            <w:tcW w:w="507" w:type="pct"/>
            <w:tcBorders>
              <w:bottom w:val="single" w:sz="4" w:space="0" w:color="auto"/>
            </w:tcBorders>
            <w:vAlign w:val="bottom"/>
          </w:tcPr>
          <w:p w:rsidR="0026233E" w:rsidRPr="00AA5CE5" w:rsidRDefault="0026233E" w:rsidP="001B56F1">
            <w:pPr>
              <w:pStyle w:val="TableBodyText"/>
            </w:pPr>
            <w:r w:rsidRPr="00AA5CE5">
              <w:t>11.4</w:t>
            </w:r>
          </w:p>
        </w:tc>
        <w:tc>
          <w:tcPr>
            <w:tcW w:w="507" w:type="pct"/>
            <w:tcBorders>
              <w:bottom w:val="single" w:sz="4" w:space="0" w:color="auto"/>
            </w:tcBorders>
            <w:vAlign w:val="bottom"/>
          </w:tcPr>
          <w:p w:rsidR="0026233E" w:rsidRPr="00AA5CE5" w:rsidRDefault="0026233E" w:rsidP="001B56F1">
            <w:pPr>
              <w:pStyle w:val="TableBodyText"/>
            </w:pPr>
            <w:r w:rsidRPr="00AA5CE5">
              <w:t>11.7</w:t>
            </w:r>
          </w:p>
        </w:tc>
        <w:tc>
          <w:tcPr>
            <w:tcW w:w="507" w:type="pct"/>
            <w:tcBorders>
              <w:bottom w:val="single" w:sz="4" w:space="0" w:color="auto"/>
            </w:tcBorders>
            <w:vAlign w:val="bottom"/>
          </w:tcPr>
          <w:p w:rsidR="0026233E" w:rsidRPr="00AA5CE5" w:rsidRDefault="0026233E" w:rsidP="001B56F1">
            <w:pPr>
              <w:pStyle w:val="TableBodyText"/>
            </w:pPr>
            <w:r w:rsidRPr="00AA5CE5">
              <w:t>13.7</w:t>
            </w:r>
          </w:p>
        </w:tc>
        <w:tc>
          <w:tcPr>
            <w:tcW w:w="507" w:type="pct"/>
            <w:tcBorders>
              <w:bottom w:val="single" w:sz="4" w:space="0" w:color="auto"/>
            </w:tcBorders>
            <w:shd w:val="clear" w:color="auto" w:fill="auto"/>
            <w:vAlign w:val="bottom"/>
          </w:tcPr>
          <w:p w:rsidR="0026233E" w:rsidRPr="00AA5CE5" w:rsidRDefault="0026233E" w:rsidP="001B56F1">
            <w:pPr>
              <w:pStyle w:val="TableBodyText"/>
            </w:pPr>
            <w:r w:rsidRPr="00AA5CE5">
              <w:t>12.3</w:t>
            </w:r>
          </w:p>
        </w:tc>
        <w:tc>
          <w:tcPr>
            <w:tcW w:w="505" w:type="pct"/>
            <w:tcBorders>
              <w:bottom w:val="single" w:sz="4" w:space="0" w:color="auto"/>
            </w:tcBorders>
            <w:shd w:val="clear" w:color="auto" w:fill="auto"/>
            <w:vAlign w:val="bottom"/>
          </w:tcPr>
          <w:p w:rsidR="0026233E" w:rsidRPr="00AA5CE5" w:rsidRDefault="0026233E" w:rsidP="001B56F1">
            <w:pPr>
              <w:pStyle w:val="TableBodyText"/>
            </w:pPr>
            <w:r w:rsidRPr="00AA5CE5">
              <w:t>10.3</w:t>
            </w:r>
          </w:p>
        </w:tc>
      </w:tr>
    </w:tbl>
    <w:p w:rsidR="0026233E" w:rsidRDefault="0026233E" w:rsidP="0026233E">
      <w:pPr>
        <w:pStyle w:val="Source"/>
      </w:pPr>
      <w:r>
        <w:rPr>
          <w:i/>
        </w:rPr>
        <w:t>Source</w:t>
      </w:r>
      <w:r>
        <w:t>: Commission estimates based on Grape and Wine Research and Development Corporation Annual Report 2011</w:t>
      </w:r>
      <w:r>
        <w:noBreakHyphen/>
        <w:t>12 (and earlier years).</w:t>
      </w:r>
    </w:p>
    <w:p w:rsidR="00CB2252" w:rsidRPr="00CB2252" w:rsidRDefault="00273F7E" w:rsidP="00273F7E">
      <w:pPr>
        <w:pStyle w:val="BodyText"/>
      </w:pPr>
      <w:r>
        <w:br w:type="page"/>
      </w:r>
    </w:p>
    <w:p w:rsidR="00B53C4F" w:rsidRDefault="00FA09C3" w:rsidP="00B53C4F">
      <w:pPr>
        <w:pStyle w:val="Heading2"/>
      </w:pPr>
      <w:r>
        <w:t>A.</w:t>
      </w:r>
      <w:r>
        <w:rPr>
          <w:noProof/>
        </w:rPr>
        <w:t>76</w:t>
      </w:r>
      <w:r w:rsidR="00B53C4F">
        <w:tab/>
        <w:t>Cotton Research and Development Corporation</w:t>
      </w:r>
    </w:p>
    <w:p w:rsidR="00B53C4F" w:rsidRDefault="00B53C4F" w:rsidP="00B53C4F">
      <w:pPr>
        <w:pStyle w:val="BodyText"/>
      </w:pPr>
      <w:r>
        <w:t xml:space="preserve">The Cotton Research and Development Corporation (CRDC) is one of the rural research and development organisations established in 1990 under the </w:t>
      </w:r>
      <w:r w:rsidRPr="00491059">
        <w:rPr>
          <w:i/>
        </w:rPr>
        <w:t>Primary Industries and Energy Research and Development Act 1989</w:t>
      </w:r>
      <w:r>
        <w:t xml:space="preserve"> </w:t>
      </w:r>
      <w:r w:rsidRPr="00EC76CA">
        <w:t>(</w:t>
      </w:r>
      <w:r w:rsidRPr="00DC0DD6">
        <w:t>CRDC 2012</w:t>
      </w:r>
      <w:r w:rsidRPr="00EC76CA">
        <w:t>)</w:t>
      </w:r>
      <w:r>
        <w:t xml:space="preserve">. The CRDC is jointly funded by an industry levy and matching </w:t>
      </w:r>
      <w:r w:rsidR="00ED55EB">
        <w:t xml:space="preserve">Australian </w:t>
      </w:r>
      <w:r>
        <w:t>Government contributions.</w:t>
      </w:r>
    </w:p>
    <w:p w:rsidR="00B53C4F" w:rsidRDefault="00B53C4F" w:rsidP="00B53C4F">
      <w:pPr>
        <w:pStyle w:val="BodyText"/>
      </w:pPr>
      <w:r>
        <w:t xml:space="preserve">The CRDC selectively assists the cotton farming industry, which is part of the </w:t>
      </w:r>
      <w:r w:rsidRPr="000A4C62">
        <w:rPr>
          <w:i/>
        </w:rPr>
        <w:t>Other crop growing</w:t>
      </w:r>
      <w:r>
        <w:t xml:space="preserve"> industry in the Commission’s ANZSIC-based industry groupings (table A.7</w:t>
      </w:r>
      <w:r w:rsidR="00C75068">
        <w:t>6</w:t>
      </w:r>
      <w:r>
        <w:t>).</w:t>
      </w:r>
    </w:p>
    <w:p w:rsidR="00B53C4F" w:rsidRDefault="00B53C4F" w:rsidP="00B53C4F">
      <w:pPr>
        <w:pStyle w:val="TableTitle"/>
      </w:pPr>
      <w:r>
        <w:rPr>
          <w:b w:val="0"/>
        </w:rPr>
        <w:t xml:space="preserve">Table </w:t>
      </w:r>
      <w:r w:rsidR="00FA09C3">
        <w:rPr>
          <w:b w:val="0"/>
        </w:rPr>
        <w:t>A.</w:t>
      </w:r>
      <w:r w:rsidR="00FA09C3">
        <w:rPr>
          <w:b w:val="0"/>
          <w:noProof/>
        </w:rPr>
        <w:t>76</w:t>
      </w:r>
      <w:r>
        <w:tab/>
        <w:t>Allocation of Cotton Research and Development Corporation funding</w:t>
      </w:r>
      <w:r w:rsidR="0013131E" w:rsidRPr="0013131E">
        <w:t xml:space="preserve"> to industry</w:t>
      </w:r>
      <w:r>
        <w:t>, 2006</w:t>
      </w:r>
      <w:r>
        <w:noBreakHyphen/>
        <w:t>07 to 2011</w:t>
      </w:r>
      <w:r>
        <w:noBreakHyphen/>
        <w:t>12</w:t>
      </w:r>
    </w:p>
    <w:p w:rsidR="00B53C4F" w:rsidRDefault="00B53C4F" w:rsidP="00B53C4F">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B53C4F" w:rsidRPr="00AF699A" w:rsidTr="001B56F1">
        <w:tc>
          <w:tcPr>
            <w:tcW w:w="1960" w:type="pct"/>
            <w:tcBorders>
              <w:top w:val="single" w:sz="6" w:space="0" w:color="auto"/>
              <w:bottom w:val="single" w:sz="6" w:space="0" w:color="auto"/>
            </w:tcBorders>
          </w:tcPr>
          <w:p w:rsidR="00B53C4F" w:rsidRPr="00AF699A" w:rsidRDefault="00B53C4F"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B53C4F" w:rsidRPr="00AF699A" w:rsidRDefault="00B53C4F"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B53C4F" w:rsidRPr="00AF699A" w:rsidRDefault="00B53C4F"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B53C4F" w:rsidRPr="00AF699A" w:rsidRDefault="00B53C4F"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B53C4F" w:rsidRPr="00AF699A" w:rsidRDefault="00B53C4F"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B53C4F" w:rsidRPr="00AF699A" w:rsidRDefault="00B53C4F"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B53C4F" w:rsidRPr="00AF699A" w:rsidRDefault="00B53C4F" w:rsidP="001B56F1">
            <w:pPr>
              <w:pStyle w:val="TableColumnHeading"/>
              <w:ind w:right="28"/>
              <w:rPr>
                <w:rFonts w:cs="Arial"/>
                <w:sz w:val="18"/>
                <w:szCs w:val="18"/>
              </w:rPr>
            </w:pPr>
            <w:r w:rsidRPr="00AF699A">
              <w:rPr>
                <w:rFonts w:cs="Arial"/>
                <w:sz w:val="18"/>
                <w:szCs w:val="18"/>
              </w:rPr>
              <w:t>2011-12</w:t>
            </w:r>
          </w:p>
        </w:tc>
      </w:tr>
      <w:tr w:rsidR="00B53C4F" w:rsidRPr="006C5A80" w:rsidTr="001B56F1">
        <w:tc>
          <w:tcPr>
            <w:tcW w:w="1960" w:type="pct"/>
            <w:tcBorders>
              <w:bottom w:val="single" w:sz="4" w:space="0" w:color="auto"/>
            </w:tcBorders>
            <w:vAlign w:val="bottom"/>
          </w:tcPr>
          <w:p w:rsidR="00B53C4F" w:rsidRPr="00C944BA" w:rsidRDefault="00B53C4F" w:rsidP="001B56F1">
            <w:pPr>
              <w:pStyle w:val="TableBodyText"/>
              <w:jc w:val="left"/>
            </w:pPr>
            <w:r>
              <w:t>Other crop growing</w:t>
            </w:r>
          </w:p>
        </w:tc>
        <w:tc>
          <w:tcPr>
            <w:tcW w:w="507" w:type="pct"/>
            <w:tcBorders>
              <w:bottom w:val="single" w:sz="4" w:space="0" w:color="auto"/>
            </w:tcBorders>
            <w:vAlign w:val="bottom"/>
          </w:tcPr>
          <w:p w:rsidR="00B53C4F" w:rsidRPr="00014DCD" w:rsidRDefault="00B53C4F" w:rsidP="001B56F1">
            <w:pPr>
              <w:pStyle w:val="TableBodyText"/>
            </w:pPr>
            <w:r w:rsidRPr="00014DCD">
              <w:t>4.6</w:t>
            </w:r>
          </w:p>
        </w:tc>
        <w:tc>
          <w:tcPr>
            <w:tcW w:w="507" w:type="pct"/>
            <w:tcBorders>
              <w:bottom w:val="single" w:sz="4" w:space="0" w:color="auto"/>
            </w:tcBorders>
            <w:vAlign w:val="bottom"/>
          </w:tcPr>
          <w:p w:rsidR="00B53C4F" w:rsidRPr="00014DCD" w:rsidRDefault="00B53C4F" w:rsidP="001B56F1">
            <w:pPr>
              <w:pStyle w:val="TableBodyText"/>
            </w:pPr>
            <w:r w:rsidRPr="00014DCD">
              <w:t>3.1</w:t>
            </w:r>
          </w:p>
        </w:tc>
        <w:tc>
          <w:tcPr>
            <w:tcW w:w="507" w:type="pct"/>
            <w:tcBorders>
              <w:bottom w:val="single" w:sz="4" w:space="0" w:color="auto"/>
            </w:tcBorders>
            <w:vAlign w:val="bottom"/>
          </w:tcPr>
          <w:p w:rsidR="00B53C4F" w:rsidRPr="00014DCD" w:rsidRDefault="00B53C4F" w:rsidP="001B56F1">
            <w:pPr>
              <w:pStyle w:val="TableBodyText"/>
            </w:pPr>
            <w:r w:rsidRPr="00014DCD">
              <w:t>2.4</w:t>
            </w:r>
          </w:p>
        </w:tc>
        <w:tc>
          <w:tcPr>
            <w:tcW w:w="507" w:type="pct"/>
            <w:tcBorders>
              <w:bottom w:val="single" w:sz="4" w:space="0" w:color="auto"/>
            </w:tcBorders>
            <w:vAlign w:val="bottom"/>
          </w:tcPr>
          <w:p w:rsidR="00B53C4F" w:rsidRPr="00014DCD" w:rsidRDefault="00B53C4F" w:rsidP="001B56F1">
            <w:pPr>
              <w:pStyle w:val="TableBodyText"/>
            </w:pPr>
            <w:r w:rsidRPr="00014DCD">
              <w:t>3.0</w:t>
            </w:r>
          </w:p>
        </w:tc>
        <w:tc>
          <w:tcPr>
            <w:tcW w:w="507" w:type="pct"/>
            <w:tcBorders>
              <w:bottom w:val="single" w:sz="4" w:space="0" w:color="auto"/>
            </w:tcBorders>
            <w:shd w:val="clear" w:color="auto" w:fill="auto"/>
            <w:vAlign w:val="bottom"/>
          </w:tcPr>
          <w:p w:rsidR="00B53C4F" w:rsidRPr="00014DCD" w:rsidRDefault="00B53C4F" w:rsidP="001B56F1">
            <w:pPr>
              <w:pStyle w:val="TableBodyText"/>
            </w:pPr>
            <w:r w:rsidRPr="00014DCD">
              <w:t>5.7</w:t>
            </w:r>
          </w:p>
        </w:tc>
        <w:tc>
          <w:tcPr>
            <w:tcW w:w="505" w:type="pct"/>
            <w:tcBorders>
              <w:bottom w:val="single" w:sz="4" w:space="0" w:color="auto"/>
            </w:tcBorders>
            <w:shd w:val="clear" w:color="auto" w:fill="auto"/>
            <w:vAlign w:val="bottom"/>
          </w:tcPr>
          <w:p w:rsidR="00B53C4F" w:rsidRPr="00014DCD" w:rsidRDefault="00B53C4F" w:rsidP="001B56F1">
            <w:pPr>
              <w:pStyle w:val="TableBodyText"/>
            </w:pPr>
            <w:r w:rsidRPr="00014DCD">
              <w:t>9.5</w:t>
            </w:r>
          </w:p>
        </w:tc>
      </w:tr>
    </w:tbl>
    <w:p w:rsidR="00B53C4F" w:rsidRDefault="00B53C4F" w:rsidP="00B53C4F">
      <w:pPr>
        <w:pStyle w:val="Source"/>
      </w:pPr>
      <w:r>
        <w:rPr>
          <w:i/>
        </w:rPr>
        <w:t>Source</w:t>
      </w:r>
      <w:r>
        <w:t>: Commission estimates based on Cotton Research and Development Corporation Annual Report 2011</w:t>
      </w:r>
      <w:r>
        <w:noBreakHyphen/>
        <w:t>12 (and earlier years).</w:t>
      </w:r>
    </w:p>
    <w:p w:rsidR="00B53C4F" w:rsidRDefault="00FA09C3" w:rsidP="00B53C4F">
      <w:pPr>
        <w:pStyle w:val="Heading2"/>
      </w:pPr>
      <w:r>
        <w:t>A.</w:t>
      </w:r>
      <w:r>
        <w:rPr>
          <w:noProof/>
        </w:rPr>
        <w:t>77</w:t>
      </w:r>
      <w:r w:rsidR="00B53C4F">
        <w:tab/>
        <w:t>Australian Tourism Development Program/TQUAL Grants Program</w:t>
      </w:r>
    </w:p>
    <w:p w:rsidR="007B0D98" w:rsidRDefault="00B53C4F" w:rsidP="00B53C4F">
      <w:pPr>
        <w:pStyle w:val="BodyText"/>
      </w:pPr>
      <w:r>
        <w:t>The Australian Tourism Development Program, renamed the TQUAL Grants Program from 2009</w:t>
      </w:r>
      <w:r>
        <w:noBreakHyphen/>
        <w:t>10, is a competitive merit-based grants program that aims to support the development of quality tourism products and experiences to stimulate sustainable economic growth in the tourism sector. The Program focuses on supply-side projects and offers two categories of funding. Tourism Quality Projects grants of up to $100 000 are available for small-scale industry development projects through annual grant rounds, and Strategic Tourism Investment grants of up to $1 million are available for a small number of larger scale projects to support Indigenous tourism, economic development and tourism employment (</w:t>
      </w:r>
      <w:r w:rsidRPr="00582F97">
        <w:t>DRET 2011</w:t>
      </w:r>
      <w:r>
        <w:t>).</w:t>
      </w:r>
    </w:p>
    <w:p w:rsidR="00B53C4F" w:rsidRDefault="00B53C4F" w:rsidP="00B53C4F">
      <w:pPr>
        <w:pStyle w:val="BodyText"/>
      </w:pPr>
      <w:r>
        <w:t xml:space="preserve">This program benefits a multitude of tourist-related businesses which predominantly operate in the services sector. However, information on the specific industry incidence of the program has not been readily available. Accordingly, the budgetary outlay has been allocated to </w:t>
      </w:r>
      <w:r w:rsidRPr="006D6988">
        <w:rPr>
          <w:i/>
        </w:rPr>
        <w:t xml:space="preserve">Unallocated </w:t>
      </w:r>
      <w:r>
        <w:rPr>
          <w:i/>
        </w:rPr>
        <w:t>services</w:t>
      </w:r>
      <w:r>
        <w:t xml:space="preserve"> in </w:t>
      </w:r>
      <w:r w:rsidRPr="001B77BF">
        <w:t xml:space="preserve">the Commission’s ANZSIC-based </w:t>
      </w:r>
      <w:r>
        <w:t>classification</w:t>
      </w:r>
      <w:r w:rsidRPr="001B77BF">
        <w:t xml:space="preserve"> (table A.</w:t>
      </w:r>
      <w:r>
        <w:t>7</w:t>
      </w:r>
      <w:r w:rsidR="00C75068">
        <w:t>7</w:t>
      </w:r>
      <w:r w:rsidRPr="001B77BF">
        <w:t>).</w:t>
      </w:r>
    </w:p>
    <w:p w:rsidR="00B53C4F" w:rsidRDefault="00B53C4F" w:rsidP="00B53C4F">
      <w:pPr>
        <w:pStyle w:val="TableTitle"/>
      </w:pPr>
      <w:r>
        <w:rPr>
          <w:b w:val="0"/>
        </w:rPr>
        <w:t xml:space="preserve">Table </w:t>
      </w:r>
      <w:r w:rsidR="00FA09C3">
        <w:rPr>
          <w:b w:val="0"/>
        </w:rPr>
        <w:t>A.</w:t>
      </w:r>
      <w:r w:rsidR="00FA09C3">
        <w:rPr>
          <w:b w:val="0"/>
          <w:noProof/>
        </w:rPr>
        <w:t>77</w:t>
      </w:r>
      <w:r>
        <w:tab/>
        <w:t>Allocation of Australian Tourism Development Program/TQUAL Grants Program</w:t>
      </w:r>
      <w:r w:rsidR="0013131E" w:rsidRPr="0013131E">
        <w:t xml:space="preserve"> to industry</w:t>
      </w:r>
      <w:r>
        <w:t>, 2006</w:t>
      </w:r>
      <w:r>
        <w:noBreakHyphen/>
        <w:t>07 to 2011</w:t>
      </w:r>
      <w:r>
        <w:noBreakHyphen/>
        <w:t>12</w:t>
      </w:r>
    </w:p>
    <w:p w:rsidR="00B53C4F" w:rsidRDefault="00B53C4F" w:rsidP="00B53C4F">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B53C4F" w:rsidRPr="00AF699A" w:rsidTr="001B56F1">
        <w:tc>
          <w:tcPr>
            <w:tcW w:w="1960" w:type="pct"/>
            <w:tcBorders>
              <w:top w:val="single" w:sz="6" w:space="0" w:color="auto"/>
              <w:bottom w:val="single" w:sz="6" w:space="0" w:color="auto"/>
            </w:tcBorders>
          </w:tcPr>
          <w:p w:rsidR="00B53C4F" w:rsidRPr="00AF699A" w:rsidRDefault="00B53C4F"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B53C4F" w:rsidRPr="00AF699A" w:rsidRDefault="00B53C4F"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B53C4F" w:rsidRPr="00AF699A" w:rsidRDefault="00B53C4F"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B53C4F" w:rsidRPr="00AF699A" w:rsidRDefault="00B53C4F"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B53C4F" w:rsidRPr="00AF699A" w:rsidRDefault="00B53C4F"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B53C4F" w:rsidRPr="00AF699A" w:rsidRDefault="00B53C4F"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B53C4F" w:rsidRPr="00AF699A" w:rsidRDefault="00B53C4F" w:rsidP="001B56F1">
            <w:pPr>
              <w:pStyle w:val="TableColumnHeading"/>
              <w:ind w:right="28"/>
              <w:rPr>
                <w:rFonts w:cs="Arial"/>
                <w:sz w:val="18"/>
                <w:szCs w:val="18"/>
              </w:rPr>
            </w:pPr>
            <w:r w:rsidRPr="00AF699A">
              <w:rPr>
                <w:rFonts w:cs="Arial"/>
                <w:sz w:val="18"/>
                <w:szCs w:val="18"/>
              </w:rPr>
              <w:t>2011-12</w:t>
            </w:r>
          </w:p>
        </w:tc>
      </w:tr>
      <w:tr w:rsidR="00B53C4F" w:rsidRPr="006C5A80" w:rsidTr="001B56F1">
        <w:tc>
          <w:tcPr>
            <w:tcW w:w="1960" w:type="pct"/>
            <w:tcBorders>
              <w:bottom w:val="single" w:sz="4" w:space="0" w:color="auto"/>
            </w:tcBorders>
            <w:vAlign w:val="bottom"/>
          </w:tcPr>
          <w:p w:rsidR="00B53C4F" w:rsidRPr="00C944BA" w:rsidRDefault="00B53C4F" w:rsidP="001B56F1">
            <w:pPr>
              <w:pStyle w:val="TableBodyText"/>
              <w:jc w:val="left"/>
            </w:pPr>
            <w:r>
              <w:t>Unallocated services</w:t>
            </w:r>
            <w:r w:rsidRPr="00BD3CDA">
              <w:rPr>
                <w:rStyle w:val="NoteLabel"/>
                <w:szCs w:val="18"/>
              </w:rPr>
              <w:t>a</w:t>
            </w:r>
          </w:p>
        </w:tc>
        <w:tc>
          <w:tcPr>
            <w:tcW w:w="507" w:type="pct"/>
            <w:tcBorders>
              <w:bottom w:val="single" w:sz="4" w:space="0" w:color="auto"/>
            </w:tcBorders>
            <w:vAlign w:val="bottom"/>
          </w:tcPr>
          <w:p w:rsidR="00B53C4F" w:rsidRPr="00D224A9" w:rsidRDefault="00B53C4F" w:rsidP="001B56F1">
            <w:pPr>
              <w:pStyle w:val="TableBodyText"/>
            </w:pPr>
            <w:r>
              <w:t>6.8</w:t>
            </w:r>
          </w:p>
        </w:tc>
        <w:tc>
          <w:tcPr>
            <w:tcW w:w="507" w:type="pct"/>
            <w:tcBorders>
              <w:bottom w:val="single" w:sz="4" w:space="0" w:color="auto"/>
            </w:tcBorders>
            <w:vAlign w:val="bottom"/>
          </w:tcPr>
          <w:p w:rsidR="00B53C4F" w:rsidRPr="00D224A9" w:rsidRDefault="00B53C4F" w:rsidP="001B56F1">
            <w:pPr>
              <w:pStyle w:val="TableBodyText"/>
            </w:pPr>
            <w:r>
              <w:noBreakHyphen/>
            </w:r>
          </w:p>
        </w:tc>
        <w:tc>
          <w:tcPr>
            <w:tcW w:w="507" w:type="pct"/>
            <w:tcBorders>
              <w:bottom w:val="single" w:sz="4" w:space="0" w:color="auto"/>
            </w:tcBorders>
            <w:vAlign w:val="bottom"/>
          </w:tcPr>
          <w:p w:rsidR="00B53C4F" w:rsidRPr="00D224A9" w:rsidRDefault="00B53C4F" w:rsidP="001B56F1">
            <w:pPr>
              <w:pStyle w:val="TableBodyText"/>
            </w:pPr>
            <w:r w:rsidRPr="00D224A9">
              <w:t>4.2</w:t>
            </w:r>
          </w:p>
        </w:tc>
        <w:tc>
          <w:tcPr>
            <w:tcW w:w="507" w:type="pct"/>
            <w:tcBorders>
              <w:bottom w:val="single" w:sz="4" w:space="0" w:color="auto"/>
            </w:tcBorders>
            <w:vAlign w:val="bottom"/>
          </w:tcPr>
          <w:p w:rsidR="00B53C4F" w:rsidRPr="00D224A9" w:rsidRDefault="00B53C4F" w:rsidP="001B56F1">
            <w:pPr>
              <w:pStyle w:val="TableBodyText"/>
            </w:pPr>
            <w:r w:rsidRPr="00D224A9">
              <w:t>8.6</w:t>
            </w:r>
          </w:p>
        </w:tc>
        <w:tc>
          <w:tcPr>
            <w:tcW w:w="507" w:type="pct"/>
            <w:tcBorders>
              <w:bottom w:val="single" w:sz="4" w:space="0" w:color="auto"/>
            </w:tcBorders>
            <w:shd w:val="clear" w:color="auto" w:fill="auto"/>
            <w:vAlign w:val="bottom"/>
          </w:tcPr>
          <w:p w:rsidR="00B53C4F" w:rsidRPr="00D224A9" w:rsidRDefault="00B53C4F" w:rsidP="001B56F1">
            <w:pPr>
              <w:pStyle w:val="TableBodyText"/>
            </w:pPr>
            <w:r w:rsidRPr="00D224A9">
              <w:t>3.3</w:t>
            </w:r>
          </w:p>
        </w:tc>
        <w:tc>
          <w:tcPr>
            <w:tcW w:w="505" w:type="pct"/>
            <w:tcBorders>
              <w:bottom w:val="single" w:sz="4" w:space="0" w:color="auto"/>
            </w:tcBorders>
            <w:shd w:val="clear" w:color="auto" w:fill="auto"/>
            <w:vAlign w:val="bottom"/>
          </w:tcPr>
          <w:p w:rsidR="00B53C4F" w:rsidRPr="00D224A9" w:rsidRDefault="00B53C4F" w:rsidP="001B56F1">
            <w:pPr>
              <w:pStyle w:val="TableBodyText"/>
            </w:pPr>
            <w:r w:rsidRPr="00D224A9">
              <w:t>9.0</w:t>
            </w:r>
          </w:p>
        </w:tc>
      </w:tr>
    </w:tbl>
    <w:p w:rsidR="00B53C4F" w:rsidRPr="00F60026" w:rsidRDefault="00B53C4F" w:rsidP="00B53C4F">
      <w:pPr>
        <w:pStyle w:val="Source"/>
        <w:spacing w:after="0"/>
        <w:rPr>
          <w:i/>
        </w:rPr>
      </w:pPr>
      <w:r w:rsidRPr="00A2379F">
        <w:noBreakHyphen/>
        <w:t xml:space="preserve"> </w:t>
      </w:r>
      <w:r>
        <w:t>Nil</w:t>
      </w:r>
      <w:r w:rsidRPr="00A2379F">
        <w:t>.</w:t>
      </w:r>
      <w:r w:rsidRPr="00B1392F">
        <w:t xml:space="preserve"> </w:t>
      </w:r>
      <w:r w:rsidRPr="009B56F1">
        <w:rPr>
          <w:rStyle w:val="NoteLabel"/>
        </w:rPr>
        <w:t>a</w:t>
      </w:r>
      <w:r w:rsidRPr="009B56F1">
        <w:t xml:space="preserve"> Unallocated includes general programs where detai</w:t>
      </w:r>
      <w:r>
        <w:t>ls of beneficiaries are unknown.</w:t>
      </w:r>
    </w:p>
    <w:p w:rsidR="002A0A03" w:rsidRPr="002A0A03" w:rsidRDefault="00B53C4F" w:rsidP="00CB2252">
      <w:pPr>
        <w:pStyle w:val="Source"/>
      </w:pPr>
      <w:r>
        <w:rPr>
          <w:i/>
        </w:rPr>
        <w:t>Source</w:t>
      </w:r>
      <w:r w:rsidR="007B0D98">
        <w:rPr>
          <w:i/>
        </w:rPr>
        <w:t>s</w:t>
      </w:r>
      <w:r>
        <w:t>: Commission estimates based on Department of Resources, Energy and Tourism Annual Report 2011</w:t>
      </w:r>
      <w:r>
        <w:noBreakHyphen/>
        <w:t>12 (and earlier years); DIISR Annual Report 2007</w:t>
      </w:r>
      <w:r>
        <w:noBreakHyphen/>
        <w:t>08; and Department of Industry, Tourism and Resources Annual Report 2006</w:t>
      </w:r>
      <w:r>
        <w:noBreakHyphen/>
        <w:t>07.</w:t>
      </w:r>
    </w:p>
    <w:p w:rsidR="0050282E" w:rsidRDefault="00FA09C3" w:rsidP="0050282E">
      <w:pPr>
        <w:pStyle w:val="Heading2"/>
      </w:pPr>
      <w:r>
        <w:t>A.</w:t>
      </w:r>
      <w:r>
        <w:rPr>
          <w:noProof/>
        </w:rPr>
        <w:t>78</w:t>
      </w:r>
      <w:r w:rsidR="0050282E">
        <w:tab/>
        <w:t>T</w:t>
      </w:r>
      <w:r w:rsidR="00EF4CE0">
        <w:t xml:space="preserve">extile, </w:t>
      </w:r>
      <w:r w:rsidR="0050282E">
        <w:t>C</w:t>
      </w:r>
      <w:r w:rsidR="00EF4CE0">
        <w:t xml:space="preserve">lothing and </w:t>
      </w:r>
      <w:r w:rsidR="0050282E">
        <w:t>F</w:t>
      </w:r>
      <w:r w:rsidR="00EF4CE0">
        <w:t>ootwear</w:t>
      </w:r>
      <w:r w:rsidR="0050282E">
        <w:t xml:space="preserve"> Strategic Capability Program</w:t>
      </w:r>
    </w:p>
    <w:p w:rsidR="0050282E" w:rsidRDefault="0050282E" w:rsidP="0050282E">
      <w:pPr>
        <w:pStyle w:val="BodyText"/>
      </w:pPr>
      <w:r>
        <w:t>The T</w:t>
      </w:r>
      <w:r w:rsidR="00F14A8F">
        <w:t xml:space="preserve">extile, </w:t>
      </w:r>
      <w:r>
        <w:t>C</w:t>
      </w:r>
      <w:r w:rsidR="00F14A8F">
        <w:t xml:space="preserve">lothing and </w:t>
      </w:r>
      <w:r>
        <w:t>F</w:t>
      </w:r>
      <w:r w:rsidR="00F14A8F">
        <w:t>ootwear</w:t>
      </w:r>
      <w:r>
        <w:t xml:space="preserve"> </w:t>
      </w:r>
      <w:r w:rsidR="00934CE6">
        <w:t xml:space="preserve">(TCF) </w:t>
      </w:r>
      <w:r>
        <w:t xml:space="preserve">Strategic Capability Program is a five-year, $35 million competitive grant program that aims to support large projects that build innovative capability at the enterprise and workplace level </w:t>
      </w:r>
      <w:r w:rsidRPr="0012599F">
        <w:t>(</w:t>
      </w:r>
      <w:r w:rsidRPr="00582F97">
        <w:t>DIISR 2011</w:t>
      </w:r>
      <w:r w:rsidRPr="0012599F">
        <w:t>).</w:t>
      </w:r>
      <w:r>
        <w:t xml:space="preserve"> Program </w:t>
      </w:r>
      <w:r w:rsidR="00F14A8F">
        <w:t xml:space="preserve">grants </w:t>
      </w:r>
      <w:r>
        <w:t xml:space="preserve">must be matched </w:t>
      </w:r>
      <w:r w:rsidR="00F14A8F">
        <w:t xml:space="preserve">by the grantee </w:t>
      </w:r>
      <w:r>
        <w:t xml:space="preserve">on a dollar-for-dollar basis. </w:t>
      </w:r>
      <w:r w:rsidRPr="00182A89">
        <w:t>Projects supported under the program include a pilot nanotechnology fibre plant, environmentally sensitive artificial turf production methods, new technical filter fabrics, a new model for mass customisation for the footwear industry, and a manufacturing and training networking hub for small businesses.</w:t>
      </w:r>
    </w:p>
    <w:p w:rsidR="0050282E" w:rsidRDefault="0050282E" w:rsidP="0050282E">
      <w:pPr>
        <w:pStyle w:val="BodyText"/>
      </w:pPr>
      <w:r>
        <w:t>Program funding</w:t>
      </w:r>
      <w:r w:rsidRPr="00987B85">
        <w:t xml:space="preserve"> has been allocated to the </w:t>
      </w:r>
      <w:r w:rsidRPr="00987B85">
        <w:rPr>
          <w:i/>
        </w:rPr>
        <w:t>Textile, leather, clothing and footwear</w:t>
      </w:r>
      <w:r w:rsidRPr="00987B85">
        <w:t xml:space="preserve"> industry grouping in the Commission’s ANZSIC-based classification (table</w:t>
      </w:r>
      <w:r w:rsidR="00C065C1">
        <w:t> </w:t>
      </w:r>
      <w:r w:rsidRPr="00987B85">
        <w:t>A.</w:t>
      </w:r>
      <w:r>
        <w:t>7</w:t>
      </w:r>
      <w:r w:rsidR="00C75068">
        <w:t>8</w:t>
      </w:r>
      <w:r w:rsidRPr="00987B85">
        <w:t>).</w:t>
      </w:r>
    </w:p>
    <w:p w:rsidR="0050282E" w:rsidRDefault="0050282E" w:rsidP="0050282E">
      <w:pPr>
        <w:pStyle w:val="TableTitle"/>
      </w:pPr>
      <w:r>
        <w:rPr>
          <w:b w:val="0"/>
        </w:rPr>
        <w:t xml:space="preserve">Table </w:t>
      </w:r>
      <w:r w:rsidR="00FA09C3">
        <w:rPr>
          <w:b w:val="0"/>
        </w:rPr>
        <w:t>A.</w:t>
      </w:r>
      <w:r w:rsidR="00FA09C3">
        <w:rPr>
          <w:b w:val="0"/>
          <w:noProof/>
        </w:rPr>
        <w:t>78</w:t>
      </w:r>
      <w:r>
        <w:tab/>
        <w:t xml:space="preserve">Allocation of </w:t>
      </w:r>
      <w:r w:rsidR="00C705B7">
        <w:t xml:space="preserve">Textile, Clothing and Footwear </w:t>
      </w:r>
      <w:r>
        <w:t>Strategic Capability Program</w:t>
      </w:r>
      <w:r w:rsidR="008F5A92" w:rsidRPr="008F5A92">
        <w:t xml:space="preserve"> to industry</w:t>
      </w:r>
      <w:r>
        <w:t>, 2006</w:t>
      </w:r>
      <w:r>
        <w:noBreakHyphen/>
        <w:t>07 to 2011</w:t>
      </w:r>
      <w:r>
        <w:noBreakHyphen/>
        <w:t>12</w:t>
      </w:r>
    </w:p>
    <w:p w:rsidR="0050282E" w:rsidRDefault="0050282E" w:rsidP="0050282E">
      <w:pPr>
        <w:pStyle w:val="Subtitle"/>
      </w:pPr>
      <w:r>
        <w:t>$</w:t>
      </w:r>
      <w:r w:rsidR="00F14A8F">
        <w:t xml:space="preserve"> </w:t>
      </w:r>
      <w:r>
        <w:t>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2C4E6A" w:rsidRPr="00AF699A" w:rsidTr="00CB219A">
        <w:trPr>
          <w:trHeight w:val="340"/>
        </w:trPr>
        <w:tc>
          <w:tcPr>
            <w:tcW w:w="1960" w:type="pct"/>
            <w:tcBorders>
              <w:top w:val="single" w:sz="6" w:space="0" w:color="auto"/>
              <w:bottom w:val="single" w:sz="6" w:space="0" w:color="auto"/>
            </w:tcBorders>
          </w:tcPr>
          <w:p w:rsidR="002C4E6A" w:rsidRPr="00AF699A" w:rsidRDefault="002C4E6A"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2C4E6A" w:rsidRPr="00AF699A" w:rsidRDefault="002C4E6A"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2C4E6A" w:rsidRPr="00AF699A" w:rsidRDefault="002C4E6A"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2C4E6A" w:rsidRPr="00AF699A" w:rsidRDefault="002C4E6A"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2C4E6A" w:rsidRPr="00AF699A" w:rsidRDefault="002C4E6A"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2C4E6A" w:rsidRPr="00AF699A" w:rsidRDefault="002C4E6A" w:rsidP="001B56F1">
            <w:pPr>
              <w:pStyle w:val="TableColumnHeading"/>
              <w:ind w:right="28"/>
              <w:rPr>
                <w:rFonts w:cs="Arial"/>
                <w:sz w:val="18"/>
                <w:szCs w:val="18"/>
              </w:rPr>
            </w:pPr>
            <w:r w:rsidRPr="00AF699A">
              <w:rPr>
                <w:rFonts w:cs="Arial"/>
                <w:sz w:val="18"/>
                <w:szCs w:val="18"/>
              </w:rPr>
              <w:t>2010-11</w:t>
            </w:r>
          </w:p>
        </w:tc>
        <w:tc>
          <w:tcPr>
            <w:tcW w:w="506" w:type="pct"/>
            <w:tcBorders>
              <w:top w:val="single" w:sz="6" w:space="0" w:color="auto"/>
              <w:bottom w:val="single" w:sz="6" w:space="0" w:color="auto"/>
            </w:tcBorders>
            <w:shd w:val="clear" w:color="auto" w:fill="auto"/>
          </w:tcPr>
          <w:p w:rsidR="002C4E6A" w:rsidRPr="00AF699A" w:rsidRDefault="002C4E6A" w:rsidP="001B56F1">
            <w:pPr>
              <w:pStyle w:val="TableColumnHeading"/>
              <w:ind w:right="28"/>
              <w:rPr>
                <w:rFonts w:cs="Arial"/>
                <w:sz w:val="18"/>
                <w:szCs w:val="18"/>
              </w:rPr>
            </w:pPr>
            <w:r w:rsidRPr="00AF699A">
              <w:rPr>
                <w:rFonts w:cs="Arial"/>
                <w:sz w:val="18"/>
                <w:szCs w:val="18"/>
              </w:rPr>
              <w:t>2011-12</w:t>
            </w:r>
          </w:p>
        </w:tc>
      </w:tr>
      <w:tr w:rsidR="002C4E6A" w:rsidRPr="00760683" w:rsidTr="002C4E6A">
        <w:tc>
          <w:tcPr>
            <w:tcW w:w="1960" w:type="pct"/>
            <w:tcBorders>
              <w:bottom w:val="single" w:sz="4" w:space="0" w:color="auto"/>
            </w:tcBorders>
            <w:vAlign w:val="bottom"/>
          </w:tcPr>
          <w:p w:rsidR="002C4E6A" w:rsidRPr="00117F1E" w:rsidRDefault="002C4E6A" w:rsidP="001B56F1">
            <w:pPr>
              <w:pStyle w:val="TableBodyText"/>
              <w:jc w:val="left"/>
            </w:pPr>
            <w:r w:rsidRPr="00117F1E">
              <w:t>Textile, leather, clothing and footwear</w:t>
            </w:r>
          </w:p>
        </w:tc>
        <w:tc>
          <w:tcPr>
            <w:tcW w:w="507" w:type="pct"/>
            <w:tcBorders>
              <w:bottom w:val="single" w:sz="4" w:space="0" w:color="auto"/>
            </w:tcBorders>
            <w:vAlign w:val="bottom"/>
          </w:tcPr>
          <w:p w:rsidR="002C4E6A" w:rsidRPr="00117F1E" w:rsidRDefault="002C4E6A" w:rsidP="001B56F1">
            <w:pPr>
              <w:pStyle w:val="TableBodyText"/>
            </w:pPr>
            <w:r>
              <w:noBreakHyphen/>
            </w:r>
          </w:p>
        </w:tc>
        <w:tc>
          <w:tcPr>
            <w:tcW w:w="507" w:type="pct"/>
            <w:tcBorders>
              <w:bottom w:val="single" w:sz="4" w:space="0" w:color="auto"/>
            </w:tcBorders>
            <w:vAlign w:val="bottom"/>
          </w:tcPr>
          <w:p w:rsidR="002C4E6A" w:rsidRPr="00117F1E" w:rsidRDefault="002C4E6A" w:rsidP="001B56F1">
            <w:pPr>
              <w:pStyle w:val="TableBodyText"/>
            </w:pPr>
            <w:r>
              <w:noBreakHyphen/>
            </w:r>
          </w:p>
        </w:tc>
        <w:tc>
          <w:tcPr>
            <w:tcW w:w="507" w:type="pct"/>
            <w:tcBorders>
              <w:bottom w:val="single" w:sz="4" w:space="0" w:color="auto"/>
            </w:tcBorders>
            <w:vAlign w:val="bottom"/>
          </w:tcPr>
          <w:p w:rsidR="002C4E6A" w:rsidRPr="00117F1E" w:rsidRDefault="002C4E6A" w:rsidP="001B56F1">
            <w:pPr>
              <w:pStyle w:val="TableBodyText"/>
            </w:pPr>
            <w:r>
              <w:noBreakHyphen/>
            </w:r>
          </w:p>
        </w:tc>
        <w:tc>
          <w:tcPr>
            <w:tcW w:w="507" w:type="pct"/>
            <w:tcBorders>
              <w:bottom w:val="single" w:sz="4" w:space="0" w:color="auto"/>
            </w:tcBorders>
            <w:vAlign w:val="bottom"/>
          </w:tcPr>
          <w:p w:rsidR="002C4E6A" w:rsidRPr="00117F1E" w:rsidRDefault="002C4E6A" w:rsidP="001B56F1">
            <w:pPr>
              <w:pStyle w:val="TableBodyText"/>
            </w:pPr>
            <w:r>
              <w:t>&lt;0.1</w:t>
            </w:r>
          </w:p>
        </w:tc>
        <w:tc>
          <w:tcPr>
            <w:tcW w:w="507" w:type="pct"/>
            <w:tcBorders>
              <w:bottom w:val="single" w:sz="4" w:space="0" w:color="auto"/>
            </w:tcBorders>
            <w:shd w:val="clear" w:color="auto" w:fill="auto"/>
            <w:vAlign w:val="bottom"/>
          </w:tcPr>
          <w:p w:rsidR="002C4E6A" w:rsidRPr="00117F1E" w:rsidRDefault="002C4E6A" w:rsidP="001B56F1">
            <w:pPr>
              <w:pStyle w:val="TableBodyText"/>
            </w:pPr>
            <w:r w:rsidRPr="00117F1E">
              <w:t>5.2</w:t>
            </w:r>
          </w:p>
        </w:tc>
        <w:tc>
          <w:tcPr>
            <w:tcW w:w="506" w:type="pct"/>
            <w:tcBorders>
              <w:bottom w:val="single" w:sz="4" w:space="0" w:color="auto"/>
            </w:tcBorders>
            <w:shd w:val="clear" w:color="auto" w:fill="auto"/>
            <w:vAlign w:val="bottom"/>
          </w:tcPr>
          <w:p w:rsidR="002C4E6A" w:rsidRPr="00117F1E" w:rsidRDefault="002C4E6A" w:rsidP="001B56F1">
            <w:pPr>
              <w:pStyle w:val="TableBodyText"/>
            </w:pPr>
            <w:r w:rsidRPr="00117F1E">
              <w:t>8.7</w:t>
            </w:r>
          </w:p>
        </w:tc>
      </w:tr>
    </w:tbl>
    <w:p w:rsidR="0050282E" w:rsidRDefault="0050282E" w:rsidP="0050282E">
      <w:pPr>
        <w:pStyle w:val="Note"/>
      </w:pPr>
      <w:r w:rsidRPr="00A2379F">
        <w:noBreakHyphen/>
        <w:t xml:space="preserve"> Nil</w:t>
      </w:r>
      <w:r>
        <w:t>.</w:t>
      </w:r>
    </w:p>
    <w:p w:rsidR="0050282E" w:rsidRDefault="0050282E" w:rsidP="0050282E">
      <w:pPr>
        <w:pStyle w:val="Source"/>
      </w:pPr>
      <w:r>
        <w:rPr>
          <w:i/>
        </w:rPr>
        <w:t>Sources</w:t>
      </w:r>
      <w:r>
        <w:t>: Commission estimates based on DIISR Portfolio Budget Statements 2011</w:t>
      </w:r>
      <w:r>
        <w:noBreakHyphen/>
        <w:t>12; DIISR Annual Report 2009</w:t>
      </w:r>
      <w:r>
        <w:noBreakHyphen/>
        <w:t>10; and detailed DIISR data by ANZSIC industry.</w:t>
      </w:r>
    </w:p>
    <w:p w:rsidR="001A0C4A" w:rsidRPr="001A0C4A" w:rsidRDefault="001A0C4A" w:rsidP="001A0C4A">
      <w:r>
        <w:br w:type="page"/>
      </w:r>
    </w:p>
    <w:p w:rsidR="00527613" w:rsidRDefault="00FA09C3" w:rsidP="00527613">
      <w:pPr>
        <w:pStyle w:val="Heading2"/>
      </w:pPr>
      <w:r>
        <w:t>A.</w:t>
      </w:r>
      <w:r>
        <w:rPr>
          <w:noProof/>
        </w:rPr>
        <w:t>79</w:t>
      </w:r>
      <w:r w:rsidR="00527613">
        <w:tab/>
        <w:t>Climate Change Adaptation Partnerships Program</w:t>
      </w:r>
    </w:p>
    <w:p w:rsidR="00527613" w:rsidRDefault="00527613" w:rsidP="00527613">
      <w:pPr>
        <w:pStyle w:val="BodyText"/>
      </w:pPr>
      <w:r>
        <w:t>In May 2008, the Australian Government announced the Australia’s Farming Future (AFF) program with funding of $130 million over four years. The program, which commenced in July 2008, is intended to assist primary producers in adapting and responding to climate change. It consists of a number of elements including the Climate Change Adapt</w:t>
      </w:r>
      <w:r w:rsidR="00B125F5">
        <w:t>at</w:t>
      </w:r>
      <w:r>
        <w:t xml:space="preserve">ion Partnerships Program. Other elements of the AFF program includes the </w:t>
      </w:r>
      <w:r>
        <w:rPr>
          <w:color w:val="000000"/>
        </w:rPr>
        <w:t xml:space="preserve">Climate Change Research and Productivity Program, </w:t>
      </w:r>
      <w:r>
        <w:t xml:space="preserve">Climate Change Adjustment Program and Community Networking and Capacity Building </w:t>
      </w:r>
      <w:r w:rsidRPr="009C1EC7">
        <w:t>(</w:t>
      </w:r>
      <w:r w:rsidRPr="00582F97">
        <w:t>Burke 2008a</w:t>
      </w:r>
      <w:r>
        <w:t>).</w:t>
      </w:r>
    </w:p>
    <w:p w:rsidR="00527613" w:rsidRDefault="00527613" w:rsidP="00527613">
      <w:pPr>
        <w:pStyle w:val="BodyText"/>
      </w:pPr>
      <w:r>
        <w:t>The Government’s intended aim for the Climate Change Adapt</w:t>
      </w:r>
      <w:r w:rsidR="00B125F5">
        <w:t>at</w:t>
      </w:r>
      <w:r>
        <w:t>ion Partnerships Program (CCAPP) is to:</w:t>
      </w:r>
    </w:p>
    <w:p w:rsidR="00527613" w:rsidRDefault="00527613" w:rsidP="00527613">
      <w:pPr>
        <w:pStyle w:val="ListBullet"/>
      </w:pPr>
      <w:r>
        <w:t>develop mitigation and adaptation measures through collaboration with research and farming organisations; and</w:t>
      </w:r>
    </w:p>
    <w:p w:rsidR="00527613" w:rsidRDefault="00527613" w:rsidP="00527613">
      <w:pPr>
        <w:pStyle w:val="ListBullet"/>
      </w:pPr>
      <w:r>
        <w:t>increase awareness among primary producers of options for responding to climate change and improving on-farm strategies.</w:t>
      </w:r>
    </w:p>
    <w:p w:rsidR="00ED671A" w:rsidRDefault="00527613" w:rsidP="00ED671A">
      <w:pPr>
        <w:pStyle w:val="BodyText"/>
      </w:pPr>
      <w:r w:rsidRPr="00582F97">
        <w:t xml:space="preserve">The CCAPP selectively benefits firms in the primary production sector. However, information on the specific industry incidence of the program has not been readily available. Accordingly, the budget outlay has been classified to the </w:t>
      </w:r>
      <w:r w:rsidRPr="00582F97">
        <w:rPr>
          <w:i/>
        </w:rPr>
        <w:t>Unallocated primary production</w:t>
      </w:r>
      <w:r w:rsidRPr="00582F97">
        <w:t xml:space="preserve"> industry grouping in the Commission’s ANZSIC-based classification</w:t>
      </w:r>
      <w:r>
        <w:t xml:space="preserve"> (table A.7</w:t>
      </w:r>
      <w:r w:rsidR="00C75068">
        <w:t>9</w:t>
      </w:r>
      <w:r>
        <w:t>).</w:t>
      </w:r>
    </w:p>
    <w:p w:rsidR="00527613" w:rsidRDefault="00527613" w:rsidP="00527613">
      <w:pPr>
        <w:pStyle w:val="TableTitle"/>
      </w:pPr>
      <w:r>
        <w:rPr>
          <w:b w:val="0"/>
        </w:rPr>
        <w:t xml:space="preserve">Table </w:t>
      </w:r>
      <w:r w:rsidR="00FA09C3">
        <w:rPr>
          <w:b w:val="0"/>
        </w:rPr>
        <w:t>A.</w:t>
      </w:r>
      <w:r w:rsidR="00FA09C3">
        <w:rPr>
          <w:b w:val="0"/>
          <w:noProof/>
        </w:rPr>
        <w:t>79</w:t>
      </w:r>
      <w:r>
        <w:tab/>
        <w:t>Allocation of Climate Change Adaptation Partnerships Program</w:t>
      </w:r>
      <w:r w:rsidR="008F5A92" w:rsidRPr="008F5A92">
        <w:t xml:space="preserve"> to industry</w:t>
      </w:r>
      <w:r>
        <w:t>, 2006</w:t>
      </w:r>
      <w:r>
        <w:noBreakHyphen/>
        <w:t>07 to 2011</w:t>
      </w:r>
      <w:r>
        <w:noBreakHyphen/>
        <w:t>12</w:t>
      </w:r>
    </w:p>
    <w:p w:rsidR="00527613" w:rsidRDefault="00527613" w:rsidP="00527613">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527613" w:rsidRPr="00AF699A" w:rsidTr="001B56F1">
        <w:tc>
          <w:tcPr>
            <w:tcW w:w="1960" w:type="pct"/>
            <w:tcBorders>
              <w:top w:val="single" w:sz="6" w:space="0" w:color="auto"/>
              <w:bottom w:val="single" w:sz="6" w:space="0" w:color="auto"/>
            </w:tcBorders>
          </w:tcPr>
          <w:p w:rsidR="00527613" w:rsidRPr="00AF699A" w:rsidRDefault="00527613"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527613" w:rsidRPr="00AF699A" w:rsidRDefault="00527613"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527613" w:rsidRPr="00AF699A" w:rsidRDefault="00527613"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527613" w:rsidRPr="00AF699A" w:rsidRDefault="00527613"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527613" w:rsidRPr="00AF699A" w:rsidRDefault="00527613"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527613" w:rsidRPr="00AF699A" w:rsidRDefault="00527613"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527613" w:rsidRPr="00AF699A" w:rsidRDefault="00527613" w:rsidP="001B56F1">
            <w:pPr>
              <w:pStyle w:val="TableColumnHeading"/>
              <w:ind w:right="28"/>
              <w:rPr>
                <w:rFonts w:cs="Arial"/>
                <w:sz w:val="18"/>
                <w:szCs w:val="18"/>
              </w:rPr>
            </w:pPr>
            <w:r w:rsidRPr="00AF699A">
              <w:rPr>
                <w:rFonts w:cs="Arial"/>
                <w:sz w:val="18"/>
                <w:szCs w:val="18"/>
              </w:rPr>
              <w:t>2011-12</w:t>
            </w:r>
          </w:p>
        </w:tc>
      </w:tr>
      <w:tr w:rsidR="00527613" w:rsidRPr="006C5A80" w:rsidTr="001B56F1">
        <w:tc>
          <w:tcPr>
            <w:tcW w:w="1960" w:type="pct"/>
            <w:tcBorders>
              <w:bottom w:val="single" w:sz="4" w:space="0" w:color="auto"/>
            </w:tcBorders>
            <w:vAlign w:val="bottom"/>
          </w:tcPr>
          <w:p w:rsidR="00527613" w:rsidRPr="00C944BA" w:rsidRDefault="00527613" w:rsidP="001B56F1">
            <w:pPr>
              <w:pStyle w:val="TableBodyText"/>
              <w:jc w:val="left"/>
            </w:pPr>
            <w:r>
              <w:t>Unallocated primary production</w:t>
            </w:r>
            <w:r w:rsidRPr="00BD3CDA">
              <w:rPr>
                <w:rStyle w:val="NoteLabel"/>
                <w:szCs w:val="18"/>
              </w:rPr>
              <w:t>a</w:t>
            </w:r>
          </w:p>
        </w:tc>
        <w:tc>
          <w:tcPr>
            <w:tcW w:w="507" w:type="pct"/>
            <w:tcBorders>
              <w:bottom w:val="single" w:sz="4" w:space="0" w:color="auto"/>
            </w:tcBorders>
            <w:vAlign w:val="bottom"/>
          </w:tcPr>
          <w:p w:rsidR="00527613" w:rsidRDefault="00527613" w:rsidP="001B56F1">
            <w:pPr>
              <w:pStyle w:val="TableBodyText"/>
            </w:pPr>
            <w:r w:rsidRPr="00A2379F">
              <w:noBreakHyphen/>
            </w:r>
          </w:p>
        </w:tc>
        <w:tc>
          <w:tcPr>
            <w:tcW w:w="507" w:type="pct"/>
            <w:tcBorders>
              <w:bottom w:val="single" w:sz="4" w:space="0" w:color="auto"/>
            </w:tcBorders>
            <w:vAlign w:val="bottom"/>
          </w:tcPr>
          <w:p w:rsidR="00527613" w:rsidRDefault="00527613" w:rsidP="001B56F1">
            <w:pPr>
              <w:pStyle w:val="TableBodyText"/>
            </w:pPr>
            <w:r w:rsidRPr="00A2379F">
              <w:noBreakHyphen/>
            </w:r>
          </w:p>
        </w:tc>
        <w:tc>
          <w:tcPr>
            <w:tcW w:w="507" w:type="pct"/>
            <w:tcBorders>
              <w:bottom w:val="single" w:sz="4" w:space="0" w:color="auto"/>
            </w:tcBorders>
            <w:vAlign w:val="bottom"/>
          </w:tcPr>
          <w:p w:rsidR="00527613" w:rsidRDefault="00527613" w:rsidP="001B56F1">
            <w:pPr>
              <w:pStyle w:val="TableBodyText"/>
            </w:pPr>
            <w:r>
              <w:t>10.1</w:t>
            </w:r>
          </w:p>
        </w:tc>
        <w:tc>
          <w:tcPr>
            <w:tcW w:w="507" w:type="pct"/>
            <w:tcBorders>
              <w:bottom w:val="single" w:sz="4" w:space="0" w:color="auto"/>
            </w:tcBorders>
            <w:vAlign w:val="bottom"/>
          </w:tcPr>
          <w:p w:rsidR="00527613" w:rsidRDefault="00527613" w:rsidP="001B56F1">
            <w:pPr>
              <w:pStyle w:val="TableBodyText"/>
            </w:pPr>
            <w:r>
              <w:t>19.3</w:t>
            </w:r>
          </w:p>
        </w:tc>
        <w:tc>
          <w:tcPr>
            <w:tcW w:w="507" w:type="pct"/>
            <w:tcBorders>
              <w:bottom w:val="single" w:sz="4" w:space="0" w:color="auto"/>
            </w:tcBorders>
            <w:shd w:val="clear" w:color="auto" w:fill="auto"/>
            <w:vAlign w:val="bottom"/>
          </w:tcPr>
          <w:p w:rsidR="00527613" w:rsidRDefault="00527613" w:rsidP="001B56F1">
            <w:pPr>
              <w:pStyle w:val="TableBodyText"/>
            </w:pPr>
            <w:r>
              <w:t>10.8</w:t>
            </w:r>
          </w:p>
        </w:tc>
        <w:tc>
          <w:tcPr>
            <w:tcW w:w="505" w:type="pct"/>
            <w:tcBorders>
              <w:bottom w:val="single" w:sz="4" w:space="0" w:color="auto"/>
            </w:tcBorders>
            <w:shd w:val="clear" w:color="auto" w:fill="auto"/>
            <w:vAlign w:val="bottom"/>
          </w:tcPr>
          <w:p w:rsidR="00527613" w:rsidRDefault="00527613" w:rsidP="001B56F1">
            <w:pPr>
              <w:pStyle w:val="TableBodyText"/>
            </w:pPr>
            <w:r>
              <w:t>8.5</w:t>
            </w:r>
          </w:p>
        </w:tc>
      </w:tr>
    </w:tbl>
    <w:p w:rsidR="00527613" w:rsidRPr="00F60026" w:rsidRDefault="00527613" w:rsidP="00527613">
      <w:pPr>
        <w:pStyle w:val="Source"/>
        <w:spacing w:after="0"/>
        <w:rPr>
          <w:i/>
        </w:rPr>
      </w:pPr>
      <w:r w:rsidRPr="00A2379F">
        <w:noBreakHyphen/>
        <w:t xml:space="preserve"> </w:t>
      </w:r>
      <w:r>
        <w:t>Nil</w:t>
      </w:r>
      <w:r w:rsidRPr="00A2379F">
        <w:t>.</w:t>
      </w:r>
      <w:r w:rsidRPr="00B1392F">
        <w:t xml:space="preserve"> </w:t>
      </w:r>
      <w:r w:rsidRPr="009B56F1">
        <w:rPr>
          <w:rStyle w:val="NoteLabel"/>
        </w:rPr>
        <w:t>a</w:t>
      </w:r>
      <w:r w:rsidRPr="009B56F1">
        <w:t xml:space="preserve"> Unallocated includes general programs where detai</w:t>
      </w:r>
      <w:r>
        <w:t>ls of beneficiaries are unknown.</w:t>
      </w:r>
    </w:p>
    <w:p w:rsidR="00527613" w:rsidRPr="008E77FE" w:rsidRDefault="00527613" w:rsidP="00527613">
      <w:pPr>
        <w:pStyle w:val="Source"/>
      </w:pPr>
      <w:r>
        <w:rPr>
          <w:i/>
        </w:rPr>
        <w:t>Source</w:t>
      </w:r>
      <w:r>
        <w:t>: Commission estimates based on DAFF Annual Report 2011</w:t>
      </w:r>
      <w:r>
        <w:noBreakHyphen/>
        <w:t>12 (and earlier years).</w:t>
      </w:r>
    </w:p>
    <w:p w:rsidR="00824462" w:rsidRDefault="00FA09C3" w:rsidP="00824462">
      <w:pPr>
        <w:pStyle w:val="Heading2"/>
      </w:pPr>
      <w:r>
        <w:t>A.</w:t>
      </w:r>
      <w:r>
        <w:rPr>
          <w:noProof/>
        </w:rPr>
        <w:t>80</w:t>
      </w:r>
      <w:r w:rsidR="00824462">
        <w:tab/>
        <w:t>Australian Animal Health Laboratory</w:t>
      </w:r>
    </w:p>
    <w:p w:rsidR="00824462" w:rsidRDefault="00824462" w:rsidP="00824462">
      <w:pPr>
        <w:pStyle w:val="BodyText"/>
      </w:pPr>
      <w:r>
        <w:t>The Australian Animal Health Laboratory (AAHL) is a CSIRO bio-containment facility that handles and stores infectious micro-organisms (exotic diseases). Such organisms are used in trialling vaccines and in training veterinarians to recognise diseases (</w:t>
      </w:r>
      <w:r w:rsidRPr="00582F97">
        <w:t>CSIRO 2013a</w:t>
      </w:r>
      <w:r>
        <w:t>).</w:t>
      </w:r>
    </w:p>
    <w:p w:rsidR="00824462" w:rsidRDefault="00824462" w:rsidP="00824462">
      <w:pPr>
        <w:pStyle w:val="BodyText"/>
      </w:pPr>
      <w:r>
        <w:t xml:space="preserve">The operations of the AAHL predominantly benefits primary producers. However, information on the </w:t>
      </w:r>
      <w:r w:rsidRPr="00582F97">
        <w:t xml:space="preserve">specific industry incidence of the program has not been readily available. Accordingly, the budget outlay has been classified to the </w:t>
      </w:r>
      <w:r w:rsidRPr="00582F97">
        <w:rPr>
          <w:i/>
        </w:rPr>
        <w:t>Unallocated primary production</w:t>
      </w:r>
      <w:r w:rsidRPr="00582F97">
        <w:t xml:space="preserve"> industry grouping in the Commission’s ANZSIC-based classification</w:t>
      </w:r>
      <w:r>
        <w:t xml:space="preserve"> (table A.</w:t>
      </w:r>
      <w:r w:rsidR="00C75068">
        <w:t>80</w:t>
      </w:r>
      <w:r>
        <w:t>).</w:t>
      </w:r>
    </w:p>
    <w:p w:rsidR="00824462" w:rsidRDefault="00824462" w:rsidP="00824462">
      <w:pPr>
        <w:pStyle w:val="TableTitle"/>
      </w:pPr>
      <w:r>
        <w:rPr>
          <w:b w:val="0"/>
        </w:rPr>
        <w:t xml:space="preserve">Table </w:t>
      </w:r>
      <w:r w:rsidR="00FA09C3">
        <w:rPr>
          <w:b w:val="0"/>
        </w:rPr>
        <w:t>A.</w:t>
      </w:r>
      <w:r w:rsidR="00FA09C3">
        <w:rPr>
          <w:b w:val="0"/>
          <w:noProof/>
        </w:rPr>
        <w:t>80</w:t>
      </w:r>
      <w:r>
        <w:tab/>
        <w:t>Allocation of Australian Animal Health Laboratory</w:t>
      </w:r>
      <w:r w:rsidR="008F5A92" w:rsidRPr="008F5A92">
        <w:t xml:space="preserve"> to industry</w:t>
      </w:r>
      <w:r>
        <w:t>, 2006</w:t>
      </w:r>
      <w:r>
        <w:noBreakHyphen/>
        <w:t>07 to 2011</w:t>
      </w:r>
      <w:r>
        <w:noBreakHyphen/>
        <w:t>12</w:t>
      </w:r>
    </w:p>
    <w:p w:rsidR="00824462" w:rsidRDefault="00824462" w:rsidP="00824462">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824462" w:rsidRPr="00AF699A" w:rsidTr="001B56F1">
        <w:tc>
          <w:tcPr>
            <w:tcW w:w="1960" w:type="pct"/>
            <w:tcBorders>
              <w:top w:val="single" w:sz="6" w:space="0" w:color="auto"/>
              <w:bottom w:val="single" w:sz="6" w:space="0" w:color="auto"/>
            </w:tcBorders>
          </w:tcPr>
          <w:p w:rsidR="00824462" w:rsidRPr="00AF699A" w:rsidRDefault="00824462"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824462" w:rsidRPr="00AF699A" w:rsidRDefault="00824462"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824462" w:rsidRPr="00AF699A" w:rsidRDefault="00824462"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824462" w:rsidRPr="00AF699A" w:rsidRDefault="00824462"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824462" w:rsidRPr="00AF699A" w:rsidRDefault="00824462"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824462" w:rsidRPr="00AF699A" w:rsidRDefault="00824462"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824462" w:rsidRPr="00AF699A" w:rsidRDefault="00824462" w:rsidP="001B56F1">
            <w:pPr>
              <w:pStyle w:val="TableColumnHeading"/>
              <w:ind w:right="28"/>
              <w:rPr>
                <w:rFonts w:cs="Arial"/>
                <w:sz w:val="18"/>
                <w:szCs w:val="18"/>
              </w:rPr>
            </w:pPr>
            <w:r w:rsidRPr="00AF699A">
              <w:rPr>
                <w:rFonts w:cs="Arial"/>
                <w:sz w:val="18"/>
                <w:szCs w:val="18"/>
              </w:rPr>
              <w:t>2011-12</w:t>
            </w:r>
          </w:p>
        </w:tc>
      </w:tr>
      <w:tr w:rsidR="00824462" w:rsidRPr="006C5A80" w:rsidTr="001B56F1">
        <w:tc>
          <w:tcPr>
            <w:tcW w:w="1960" w:type="pct"/>
            <w:tcBorders>
              <w:bottom w:val="single" w:sz="4" w:space="0" w:color="auto"/>
            </w:tcBorders>
            <w:vAlign w:val="bottom"/>
          </w:tcPr>
          <w:p w:rsidR="00824462" w:rsidRPr="00C944BA" w:rsidRDefault="00824462" w:rsidP="001B56F1">
            <w:pPr>
              <w:pStyle w:val="TableBodyText"/>
              <w:jc w:val="left"/>
            </w:pPr>
            <w:r>
              <w:t>Unallocated primary production</w:t>
            </w:r>
            <w:r w:rsidRPr="00BD3CDA">
              <w:rPr>
                <w:rStyle w:val="NoteLabel"/>
                <w:szCs w:val="18"/>
              </w:rPr>
              <w:t>a</w:t>
            </w:r>
          </w:p>
        </w:tc>
        <w:tc>
          <w:tcPr>
            <w:tcW w:w="507" w:type="pct"/>
            <w:tcBorders>
              <w:bottom w:val="single" w:sz="4" w:space="0" w:color="auto"/>
            </w:tcBorders>
            <w:vAlign w:val="bottom"/>
          </w:tcPr>
          <w:p w:rsidR="00824462" w:rsidRPr="00AD7F54" w:rsidRDefault="00824462" w:rsidP="001B56F1">
            <w:pPr>
              <w:pStyle w:val="TableBodyText"/>
            </w:pPr>
            <w:r w:rsidRPr="00AD7F54">
              <w:t>7.0</w:t>
            </w:r>
          </w:p>
        </w:tc>
        <w:tc>
          <w:tcPr>
            <w:tcW w:w="507" w:type="pct"/>
            <w:tcBorders>
              <w:bottom w:val="single" w:sz="4" w:space="0" w:color="auto"/>
            </w:tcBorders>
            <w:vAlign w:val="bottom"/>
          </w:tcPr>
          <w:p w:rsidR="00824462" w:rsidRPr="00AD7F54" w:rsidRDefault="00824462" w:rsidP="001B56F1">
            <w:pPr>
              <w:pStyle w:val="TableBodyText"/>
            </w:pPr>
            <w:r w:rsidRPr="00AD7F54">
              <w:t>7.2</w:t>
            </w:r>
          </w:p>
        </w:tc>
        <w:tc>
          <w:tcPr>
            <w:tcW w:w="507" w:type="pct"/>
            <w:tcBorders>
              <w:bottom w:val="single" w:sz="4" w:space="0" w:color="auto"/>
            </w:tcBorders>
            <w:vAlign w:val="bottom"/>
          </w:tcPr>
          <w:p w:rsidR="00824462" w:rsidRPr="00AD7F54" w:rsidRDefault="00824462" w:rsidP="001B56F1">
            <w:pPr>
              <w:pStyle w:val="TableBodyText"/>
            </w:pPr>
            <w:r w:rsidRPr="00AD7F54">
              <w:t>7.1</w:t>
            </w:r>
          </w:p>
        </w:tc>
        <w:tc>
          <w:tcPr>
            <w:tcW w:w="507" w:type="pct"/>
            <w:tcBorders>
              <w:bottom w:val="single" w:sz="4" w:space="0" w:color="auto"/>
            </w:tcBorders>
            <w:vAlign w:val="bottom"/>
          </w:tcPr>
          <w:p w:rsidR="00824462" w:rsidRPr="00AD7F54" w:rsidRDefault="00824462" w:rsidP="001B56F1">
            <w:pPr>
              <w:pStyle w:val="TableBodyText"/>
            </w:pPr>
            <w:r w:rsidRPr="00AD7F54">
              <w:t>7.2</w:t>
            </w:r>
          </w:p>
        </w:tc>
        <w:tc>
          <w:tcPr>
            <w:tcW w:w="507" w:type="pct"/>
            <w:tcBorders>
              <w:bottom w:val="single" w:sz="4" w:space="0" w:color="auto"/>
            </w:tcBorders>
            <w:shd w:val="clear" w:color="auto" w:fill="auto"/>
            <w:vAlign w:val="bottom"/>
          </w:tcPr>
          <w:p w:rsidR="00824462" w:rsidRPr="00AD7F54" w:rsidRDefault="00824462" w:rsidP="001B56F1">
            <w:pPr>
              <w:pStyle w:val="TableBodyText"/>
            </w:pPr>
            <w:r w:rsidRPr="00AD7F54">
              <w:t>7.3</w:t>
            </w:r>
          </w:p>
        </w:tc>
        <w:tc>
          <w:tcPr>
            <w:tcW w:w="505" w:type="pct"/>
            <w:tcBorders>
              <w:bottom w:val="single" w:sz="4" w:space="0" w:color="auto"/>
            </w:tcBorders>
            <w:shd w:val="clear" w:color="auto" w:fill="auto"/>
            <w:vAlign w:val="bottom"/>
          </w:tcPr>
          <w:p w:rsidR="00824462" w:rsidRPr="00AD7F54" w:rsidRDefault="00824462" w:rsidP="001B56F1">
            <w:pPr>
              <w:pStyle w:val="TableBodyText"/>
            </w:pPr>
            <w:r w:rsidRPr="00AD7F54">
              <w:t>7.4</w:t>
            </w:r>
          </w:p>
        </w:tc>
      </w:tr>
    </w:tbl>
    <w:p w:rsidR="00824462" w:rsidRPr="00F60026" w:rsidRDefault="00824462" w:rsidP="00824462">
      <w:pPr>
        <w:pStyle w:val="Source"/>
        <w:spacing w:after="0"/>
        <w:rPr>
          <w:i/>
        </w:rPr>
      </w:pPr>
      <w:r w:rsidRPr="009B56F1">
        <w:rPr>
          <w:rStyle w:val="NoteLabel"/>
        </w:rPr>
        <w:t>a</w:t>
      </w:r>
      <w:r w:rsidRPr="009B56F1">
        <w:t xml:space="preserve"> Unallocated includes general programs where detai</w:t>
      </w:r>
      <w:r>
        <w:t>ls of beneficiaries are unknown.</w:t>
      </w:r>
    </w:p>
    <w:p w:rsidR="002A0A03" w:rsidRPr="002A0A03" w:rsidRDefault="00824462" w:rsidP="00CC78E1">
      <w:pPr>
        <w:pStyle w:val="Source"/>
      </w:pPr>
      <w:r>
        <w:rPr>
          <w:i/>
        </w:rPr>
        <w:t>Source</w:t>
      </w:r>
      <w:r>
        <w:t>: Commission estimates based on DAFF Annual Report 2011</w:t>
      </w:r>
      <w:r>
        <w:noBreakHyphen/>
        <w:t>12 (and earlier years).</w:t>
      </w:r>
    </w:p>
    <w:p w:rsidR="00824462" w:rsidRDefault="00FA09C3" w:rsidP="00824462">
      <w:pPr>
        <w:pStyle w:val="Heading2"/>
      </w:pPr>
      <w:r>
        <w:t>A.</w:t>
      </w:r>
      <w:r>
        <w:rPr>
          <w:noProof/>
        </w:rPr>
        <w:t>81</w:t>
      </w:r>
      <w:r w:rsidR="00824462">
        <w:tab/>
        <w:t>Carbon Capture and Storage Flagships Program</w:t>
      </w:r>
    </w:p>
    <w:p w:rsidR="00824462" w:rsidRDefault="00824462" w:rsidP="00824462">
      <w:pPr>
        <w:pStyle w:val="BodyText"/>
      </w:pPr>
      <w:r w:rsidRPr="00466660">
        <w:t>The $1.68</w:t>
      </w:r>
      <w:r>
        <w:t> </w:t>
      </w:r>
      <w:r w:rsidRPr="00466660">
        <w:t>billion Carbon Capture and Storage Flagships Program aims to support the construction and demonstration of large-scale integrated carbon capture and storage projects in Australia</w:t>
      </w:r>
      <w:r>
        <w:t xml:space="preserve"> </w:t>
      </w:r>
      <w:r w:rsidRPr="0012599F">
        <w:t>(</w:t>
      </w:r>
      <w:r w:rsidRPr="00582F97">
        <w:t>DRET 2012</w:t>
      </w:r>
      <w:r w:rsidRPr="0012599F">
        <w:t>)</w:t>
      </w:r>
      <w:r>
        <w:t xml:space="preserve">. In doing so, it aims to </w:t>
      </w:r>
      <w:r w:rsidRPr="00466660">
        <w:t>promote the wider dissemination of carbon capture and storage technologies from fossil fuel power generation and industrial processes to safely store carbon dioxide underground in stable geological formations</w:t>
      </w:r>
      <w:r>
        <w:t>.</w:t>
      </w:r>
    </w:p>
    <w:p w:rsidR="00824462" w:rsidRDefault="00824462" w:rsidP="00824462">
      <w:pPr>
        <w:pStyle w:val="BodyText"/>
      </w:pPr>
      <w:r w:rsidRPr="00412AD0">
        <w:t xml:space="preserve">Funding for the </w:t>
      </w:r>
      <w:r>
        <w:t>program</w:t>
      </w:r>
      <w:r w:rsidRPr="00412AD0">
        <w:t xml:space="preserve"> has been allocated to the </w:t>
      </w:r>
      <w:r w:rsidRPr="00412AD0">
        <w:rPr>
          <w:i/>
        </w:rPr>
        <w:t>Electricity, gas, water and waste services</w:t>
      </w:r>
      <w:r w:rsidRPr="00412AD0">
        <w:t xml:space="preserve"> industry grouping in the Commission’s ANZSIC-based </w:t>
      </w:r>
      <w:r>
        <w:t xml:space="preserve">industry </w:t>
      </w:r>
      <w:r w:rsidRPr="00412AD0">
        <w:t>classification (table</w:t>
      </w:r>
      <w:r w:rsidR="00C065C1">
        <w:t> </w:t>
      </w:r>
      <w:r w:rsidRPr="00412AD0">
        <w:t>A.</w:t>
      </w:r>
      <w:r>
        <w:t>8</w:t>
      </w:r>
      <w:r w:rsidR="00C75068">
        <w:t>1</w:t>
      </w:r>
      <w:r w:rsidRPr="00412AD0">
        <w:t>).</w:t>
      </w:r>
    </w:p>
    <w:p w:rsidR="00824462" w:rsidRDefault="00824462" w:rsidP="00824462">
      <w:pPr>
        <w:pStyle w:val="TableTitle"/>
      </w:pPr>
      <w:r>
        <w:rPr>
          <w:b w:val="0"/>
        </w:rPr>
        <w:t xml:space="preserve">Table </w:t>
      </w:r>
      <w:r w:rsidR="00FA09C3">
        <w:rPr>
          <w:b w:val="0"/>
        </w:rPr>
        <w:t>A.</w:t>
      </w:r>
      <w:r w:rsidR="00FA09C3">
        <w:rPr>
          <w:b w:val="0"/>
          <w:noProof/>
        </w:rPr>
        <w:t>81</w:t>
      </w:r>
      <w:r>
        <w:tab/>
        <w:t>Allocation of Carbon Capture and Storage Flagships Program</w:t>
      </w:r>
      <w:r w:rsidR="008F5A92" w:rsidRPr="008F5A92">
        <w:t xml:space="preserve"> to industry</w:t>
      </w:r>
      <w:r>
        <w:t>, 2006</w:t>
      </w:r>
      <w:r>
        <w:noBreakHyphen/>
        <w:t>07 to 2011</w:t>
      </w:r>
      <w:r>
        <w:noBreakHyphen/>
        <w:t>12</w:t>
      </w:r>
    </w:p>
    <w:p w:rsidR="00824462" w:rsidRDefault="000E1A26" w:rsidP="00824462">
      <w:pPr>
        <w:pStyle w:val="Subtitle"/>
      </w:pPr>
      <w:r>
        <w:t>$ m</w:t>
      </w:r>
      <w:r w:rsidR="00824462">
        <w:t xml:space="preserve">illion (nominal) </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824462" w:rsidRPr="00AF699A" w:rsidTr="001B56F1">
        <w:tc>
          <w:tcPr>
            <w:tcW w:w="1958" w:type="pct"/>
            <w:tcBorders>
              <w:top w:val="single" w:sz="6" w:space="0" w:color="auto"/>
              <w:bottom w:val="single" w:sz="6" w:space="0" w:color="auto"/>
            </w:tcBorders>
          </w:tcPr>
          <w:p w:rsidR="00824462" w:rsidRPr="00AF699A" w:rsidRDefault="00824462"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824462" w:rsidRPr="00AF699A" w:rsidRDefault="00824462"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824462" w:rsidRPr="00AF699A" w:rsidRDefault="00824462"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824462" w:rsidRPr="00AF699A" w:rsidRDefault="00824462"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824462" w:rsidRPr="00AF699A" w:rsidRDefault="00824462"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824462" w:rsidRPr="00AF699A" w:rsidRDefault="00824462" w:rsidP="001B56F1">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824462" w:rsidRPr="00AF699A" w:rsidRDefault="00824462" w:rsidP="001B56F1">
            <w:pPr>
              <w:pStyle w:val="TableColumnHeading"/>
              <w:ind w:right="28"/>
              <w:rPr>
                <w:rFonts w:cs="Arial"/>
                <w:sz w:val="18"/>
                <w:szCs w:val="18"/>
              </w:rPr>
            </w:pPr>
            <w:r w:rsidRPr="00AF699A">
              <w:rPr>
                <w:rFonts w:cs="Arial"/>
                <w:sz w:val="18"/>
                <w:szCs w:val="18"/>
              </w:rPr>
              <w:t>2011-12</w:t>
            </w:r>
          </w:p>
        </w:tc>
      </w:tr>
      <w:tr w:rsidR="00824462" w:rsidRPr="00EB51A6" w:rsidTr="001B56F1">
        <w:tc>
          <w:tcPr>
            <w:tcW w:w="1958" w:type="pct"/>
            <w:tcBorders>
              <w:bottom w:val="single" w:sz="4" w:space="0" w:color="auto"/>
            </w:tcBorders>
            <w:vAlign w:val="bottom"/>
          </w:tcPr>
          <w:p w:rsidR="00824462" w:rsidRPr="000252BD" w:rsidRDefault="00824462" w:rsidP="001B56F1">
            <w:pPr>
              <w:pStyle w:val="TableBodyText"/>
              <w:jc w:val="left"/>
            </w:pPr>
            <w:r w:rsidRPr="000252BD">
              <w:t>Electricity, gas, water and waste services</w:t>
            </w:r>
          </w:p>
        </w:tc>
        <w:tc>
          <w:tcPr>
            <w:tcW w:w="507" w:type="pct"/>
            <w:tcBorders>
              <w:bottom w:val="single" w:sz="4" w:space="0" w:color="auto"/>
            </w:tcBorders>
            <w:vAlign w:val="bottom"/>
          </w:tcPr>
          <w:p w:rsidR="00824462" w:rsidRPr="000252BD" w:rsidRDefault="00824462" w:rsidP="001B56F1">
            <w:pPr>
              <w:pStyle w:val="TableBodyText"/>
            </w:pPr>
            <w:r>
              <w:noBreakHyphen/>
            </w:r>
          </w:p>
        </w:tc>
        <w:tc>
          <w:tcPr>
            <w:tcW w:w="507" w:type="pct"/>
            <w:tcBorders>
              <w:bottom w:val="single" w:sz="4" w:space="0" w:color="auto"/>
            </w:tcBorders>
            <w:vAlign w:val="bottom"/>
          </w:tcPr>
          <w:p w:rsidR="00824462" w:rsidRPr="000252BD" w:rsidRDefault="00824462" w:rsidP="001B56F1">
            <w:pPr>
              <w:pStyle w:val="TableBodyText"/>
            </w:pPr>
            <w:r>
              <w:noBreakHyphen/>
            </w:r>
          </w:p>
        </w:tc>
        <w:tc>
          <w:tcPr>
            <w:tcW w:w="507" w:type="pct"/>
            <w:tcBorders>
              <w:bottom w:val="single" w:sz="4" w:space="0" w:color="auto"/>
            </w:tcBorders>
            <w:vAlign w:val="bottom"/>
          </w:tcPr>
          <w:p w:rsidR="00824462" w:rsidRPr="000252BD" w:rsidRDefault="00824462" w:rsidP="001B56F1">
            <w:pPr>
              <w:pStyle w:val="TableBodyText"/>
            </w:pPr>
            <w:r>
              <w:noBreakHyphen/>
            </w:r>
          </w:p>
        </w:tc>
        <w:tc>
          <w:tcPr>
            <w:tcW w:w="507" w:type="pct"/>
            <w:tcBorders>
              <w:bottom w:val="single" w:sz="4" w:space="0" w:color="auto"/>
            </w:tcBorders>
            <w:vAlign w:val="bottom"/>
          </w:tcPr>
          <w:p w:rsidR="00824462" w:rsidRPr="000252BD" w:rsidRDefault="00824462" w:rsidP="001B56F1">
            <w:pPr>
              <w:pStyle w:val="TableBodyText"/>
            </w:pPr>
            <w:r w:rsidRPr="000252BD">
              <w:t>61.</w:t>
            </w:r>
            <w:r>
              <w:t>8</w:t>
            </w:r>
          </w:p>
        </w:tc>
        <w:tc>
          <w:tcPr>
            <w:tcW w:w="507" w:type="pct"/>
            <w:tcBorders>
              <w:bottom w:val="single" w:sz="4" w:space="0" w:color="auto"/>
            </w:tcBorders>
            <w:shd w:val="clear" w:color="auto" w:fill="auto"/>
            <w:vAlign w:val="bottom"/>
          </w:tcPr>
          <w:p w:rsidR="00824462" w:rsidRPr="000252BD" w:rsidRDefault="00824462" w:rsidP="001B56F1">
            <w:pPr>
              <w:pStyle w:val="TableBodyText"/>
            </w:pPr>
            <w:r w:rsidRPr="000252BD">
              <w:t>7.1</w:t>
            </w:r>
          </w:p>
        </w:tc>
        <w:tc>
          <w:tcPr>
            <w:tcW w:w="507" w:type="pct"/>
            <w:tcBorders>
              <w:bottom w:val="single" w:sz="4" w:space="0" w:color="auto"/>
            </w:tcBorders>
            <w:shd w:val="clear" w:color="auto" w:fill="auto"/>
            <w:vAlign w:val="bottom"/>
          </w:tcPr>
          <w:p w:rsidR="00824462" w:rsidRPr="000252BD" w:rsidRDefault="00824462" w:rsidP="001B56F1">
            <w:pPr>
              <w:pStyle w:val="TableBodyText"/>
            </w:pPr>
            <w:r w:rsidRPr="000252BD">
              <w:t>6.</w:t>
            </w:r>
            <w:r>
              <w:t>8</w:t>
            </w:r>
          </w:p>
        </w:tc>
      </w:tr>
    </w:tbl>
    <w:p w:rsidR="00824462" w:rsidRDefault="00824462" w:rsidP="00824462">
      <w:pPr>
        <w:pStyle w:val="Note"/>
      </w:pPr>
      <w:r w:rsidRPr="00A2379F">
        <w:noBreakHyphen/>
        <w:t xml:space="preserve"> Nil</w:t>
      </w:r>
      <w:r>
        <w:t>.</w:t>
      </w:r>
    </w:p>
    <w:p w:rsidR="00824462" w:rsidRPr="008E77FE" w:rsidRDefault="00824462" w:rsidP="00824462">
      <w:pPr>
        <w:pStyle w:val="Source"/>
      </w:pPr>
      <w:r>
        <w:rPr>
          <w:i/>
        </w:rPr>
        <w:t>Source</w:t>
      </w:r>
      <w:r>
        <w:t>: Commission estimates based on Department of Resources, Energy and Tourism Annual Report 2011</w:t>
      </w:r>
      <w:r>
        <w:noBreakHyphen/>
        <w:t>12 (and earlier years).</w:t>
      </w:r>
    </w:p>
    <w:p w:rsidR="00F01B8F" w:rsidRDefault="00FA09C3" w:rsidP="00F01B8F">
      <w:pPr>
        <w:pStyle w:val="Heading2"/>
      </w:pPr>
      <w:r>
        <w:t>A.</w:t>
      </w:r>
      <w:r>
        <w:rPr>
          <w:noProof/>
        </w:rPr>
        <w:t>82</w:t>
      </w:r>
      <w:r w:rsidR="00F01B8F">
        <w:tab/>
        <w:t>Exceptional Circumstances – relief payments</w:t>
      </w:r>
    </w:p>
    <w:p w:rsidR="00F01B8F" w:rsidRDefault="00F01B8F" w:rsidP="00F01B8F">
      <w:pPr>
        <w:pStyle w:val="BodyText"/>
      </w:pPr>
      <w:r>
        <w:t>The Exceptional Circumstances (EC) arrangements are the Australian Government’s primary mechanism for assisting farmers and small business operators affected by drought. The two main forms of assistance available under the arrangements</w:t>
      </w:r>
      <w:r w:rsidR="00C84702">
        <w:t xml:space="preserve"> are </w:t>
      </w:r>
      <w:r>
        <w:t xml:space="preserve">interest rate subsidies (see </w:t>
      </w:r>
      <w:r w:rsidRPr="00ED671A">
        <w:t>item A.</w:t>
      </w:r>
      <w:r w:rsidR="00ED671A" w:rsidRPr="00ED671A">
        <w:t>44</w:t>
      </w:r>
      <w:r w:rsidRPr="00ED671A">
        <w:t>,</w:t>
      </w:r>
      <w:r>
        <w:t xml:space="preserve"> above) and income support.</w:t>
      </w:r>
    </w:p>
    <w:p w:rsidR="00F01B8F" w:rsidRDefault="00F01B8F" w:rsidP="00F01B8F">
      <w:pPr>
        <w:pStyle w:val="BodyText"/>
      </w:pPr>
      <w:r>
        <w:t>The income support, or EC relief payments, provides eligible farmers and small business operators with a fortnightly payment at a rate equivalent to the Newstart allowance, including additional benefits (such as a healthcare card). The Australian Government funds all income support payments.</w:t>
      </w:r>
    </w:p>
    <w:p w:rsidR="00F01B8F" w:rsidRDefault="00F01B8F" w:rsidP="00F01B8F">
      <w:pPr>
        <w:pStyle w:val="BodyText"/>
      </w:pPr>
      <w:r w:rsidRPr="002F40A7">
        <w:t xml:space="preserve">The EC </w:t>
      </w:r>
      <w:r>
        <w:t xml:space="preserve">relief payments </w:t>
      </w:r>
      <w:r w:rsidRPr="002F40A7">
        <w:t>arrangements ceased on 30</w:t>
      </w:r>
      <w:r>
        <w:t> </w:t>
      </w:r>
      <w:r w:rsidRPr="002F40A7">
        <w:t>June</w:t>
      </w:r>
      <w:r>
        <w:t> </w:t>
      </w:r>
      <w:r w:rsidRPr="002F40A7">
        <w:t xml:space="preserve">2012 </w:t>
      </w:r>
      <w:r w:rsidRPr="00DD3B0A">
        <w:t>(</w:t>
      </w:r>
      <w:r w:rsidRPr="00582F97">
        <w:t>DAFF 2012</w:t>
      </w:r>
      <w:r w:rsidRPr="00DD3B0A">
        <w:t>)</w:t>
      </w:r>
      <w:r w:rsidRPr="002F40A7">
        <w:t xml:space="preserve">. The Department of Agriculture, Fisheries and Forestry (DAFF) has provided a breakdown of EC </w:t>
      </w:r>
      <w:r>
        <w:t>relief payments</w:t>
      </w:r>
      <w:r w:rsidRPr="002F40A7">
        <w:t xml:space="preserve"> by ANZSIC industry (table</w:t>
      </w:r>
      <w:r w:rsidR="00C065C1">
        <w:t> </w:t>
      </w:r>
      <w:r w:rsidRPr="002F40A7">
        <w:t>A.</w:t>
      </w:r>
      <w:r>
        <w:t>8</w:t>
      </w:r>
      <w:r w:rsidR="00C75068">
        <w:t>2</w:t>
      </w:r>
      <w:r w:rsidRPr="002F40A7">
        <w:t>).</w:t>
      </w:r>
    </w:p>
    <w:p w:rsidR="00F01B8F" w:rsidRDefault="00F01B8F" w:rsidP="00F01B8F">
      <w:pPr>
        <w:pStyle w:val="TableTitle"/>
      </w:pPr>
      <w:r>
        <w:rPr>
          <w:b w:val="0"/>
        </w:rPr>
        <w:t xml:space="preserve">Table </w:t>
      </w:r>
      <w:r w:rsidR="00FA09C3">
        <w:rPr>
          <w:b w:val="0"/>
        </w:rPr>
        <w:t>A.</w:t>
      </w:r>
      <w:r w:rsidR="00FA09C3">
        <w:rPr>
          <w:b w:val="0"/>
          <w:noProof/>
        </w:rPr>
        <w:t>82</w:t>
      </w:r>
      <w:r>
        <w:tab/>
        <w:t xml:space="preserve">Allocation of Exceptional Circumstances – relief payments </w:t>
      </w:r>
      <w:r w:rsidR="008F5A92" w:rsidRPr="008F5A92">
        <w:t>to industry</w:t>
      </w:r>
      <w:r>
        <w:t>, 2006</w:t>
      </w:r>
      <w:r>
        <w:noBreakHyphen/>
        <w:t>07 to 2011</w:t>
      </w:r>
      <w:r>
        <w:noBreakHyphen/>
        <w:t>12</w:t>
      </w:r>
    </w:p>
    <w:p w:rsidR="00F01B8F" w:rsidRDefault="00F01B8F" w:rsidP="00F01B8F">
      <w:pPr>
        <w:pStyle w:val="Subtitle"/>
      </w:pPr>
      <w:r>
        <w:t>$ million (nominal)</w:t>
      </w:r>
    </w:p>
    <w:tbl>
      <w:tblPr>
        <w:tblW w:w="5000" w:type="pct"/>
        <w:tblCellMar>
          <w:left w:w="0" w:type="dxa"/>
          <w:right w:w="0" w:type="dxa"/>
        </w:tblCellMar>
        <w:tblLook w:val="0000" w:firstRow="0" w:lastRow="0" w:firstColumn="0" w:lastColumn="0" w:noHBand="0" w:noVBand="0"/>
      </w:tblPr>
      <w:tblGrid>
        <w:gridCol w:w="3445"/>
        <w:gridCol w:w="891"/>
        <w:gridCol w:w="891"/>
        <w:gridCol w:w="891"/>
        <w:gridCol w:w="891"/>
        <w:gridCol w:w="891"/>
        <w:gridCol w:w="889"/>
      </w:tblGrid>
      <w:tr w:rsidR="00F01B8F" w:rsidRPr="00AF699A" w:rsidTr="001B56F1">
        <w:tc>
          <w:tcPr>
            <w:tcW w:w="1959" w:type="pct"/>
            <w:tcBorders>
              <w:top w:val="single" w:sz="6" w:space="0" w:color="auto"/>
              <w:bottom w:val="single" w:sz="6" w:space="0" w:color="auto"/>
            </w:tcBorders>
          </w:tcPr>
          <w:p w:rsidR="00F01B8F" w:rsidRPr="00AF699A" w:rsidRDefault="00F01B8F"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F01B8F" w:rsidRPr="00AF699A" w:rsidRDefault="00F01B8F"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F01B8F" w:rsidRPr="00AF699A" w:rsidRDefault="00F01B8F"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F01B8F" w:rsidRPr="00AF699A" w:rsidRDefault="00F01B8F"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F01B8F" w:rsidRPr="00AF699A" w:rsidRDefault="00F01B8F"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F01B8F" w:rsidRPr="00AF699A" w:rsidRDefault="00F01B8F" w:rsidP="001B56F1">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F01B8F" w:rsidRPr="00AF699A" w:rsidRDefault="00F01B8F" w:rsidP="001B56F1">
            <w:pPr>
              <w:pStyle w:val="TableColumnHeading"/>
              <w:ind w:right="28"/>
              <w:rPr>
                <w:rFonts w:cs="Arial"/>
                <w:sz w:val="18"/>
                <w:szCs w:val="18"/>
              </w:rPr>
            </w:pPr>
            <w:r w:rsidRPr="00AF699A">
              <w:rPr>
                <w:rFonts w:cs="Arial"/>
                <w:sz w:val="18"/>
                <w:szCs w:val="18"/>
              </w:rPr>
              <w:t>2011-12</w:t>
            </w:r>
          </w:p>
        </w:tc>
      </w:tr>
      <w:tr w:rsidR="00F01B8F" w:rsidRPr="006C5A80" w:rsidTr="001B56F1">
        <w:tc>
          <w:tcPr>
            <w:tcW w:w="1959" w:type="pct"/>
            <w:vAlign w:val="bottom"/>
          </w:tcPr>
          <w:p w:rsidR="00F01B8F" w:rsidRPr="00E45340" w:rsidRDefault="00F01B8F" w:rsidP="001B56F1">
            <w:pPr>
              <w:pStyle w:val="TableBodyText"/>
              <w:jc w:val="left"/>
              <w:rPr>
                <w:b/>
                <w:sz w:val="18"/>
                <w:szCs w:val="18"/>
              </w:rPr>
            </w:pPr>
            <w:r w:rsidRPr="00E45340">
              <w:rPr>
                <w:b/>
                <w:sz w:val="18"/>
                <w:szCs w:val="18"/>
              </w:rPr>
              <w:t>Primary production</w:t>
            </w:r>
          </w:p>
        </w:tc>
        <w:tc>
          <w:tcPr>
            <w:tcW w:w="507" w:type="pct"/>
            <w:vAlign w:val="bottom"/>
          </w:tcPr>
          <w:p w:rsidR="00F01B8F" w:rsidRPr="00E45340" w:rsidRDefault="00F01B8F" w:rsidP="001B56F1">
            <w:pPr>
              <w:pStyle w:val="TableBodyText"/>
              <w:rPr>
                <w:b/>
                <w:sz w:val="18"/>
                <w:szCs w:val="18"/>
              </w:rPr>
            </w:pPr>
            <w:r w:rsidRPr="00E45340">
              <w:rPr>
                <w:b/>
                <w:sz w:val="18"/>
                <w:szCs w:val="18"/>
              </w:rPr>
              <w:t>254.9</w:t>
            </w:r>
          </w:p>
        </w:tc>
        <w:tc>
          <w:tcPr>
            <w:tcW w:w="507" w:type="pct"/>
            <w:vAlign w:val="bottom"/>
          </w:tcPr>
          <w:p w:rsidR="00F01B8F" w:rsidRPr="00E45340" w:rsidRDefault="00F01B8F" w:rsidP="001B56F1">
            <w:pPr>
              <w:pStyle w:val="TableBodyText"/>
              <w:rPr>
                <w:b/>
                <w:sz w:val="18"/>
                <w:szCs w:val="18"/>
              </w:rPr>
            </w:pPr>
            <w:r w:rsidRPr="00E45340">
              <w:rPr>
                <w:b/>
                <w:sz w:val="18"/>
                <w:szCs w:val="18"/>
              </w:rPr>
              <w:t>378.8</w:t>
            </w:r>
          </w:p>
        </w:tc>
        <w:tc>
          <w:tcPr>
            <w:tcW w:w="507" w:type="pct"/>
            <w:vAlign w:val="bottom"/>
          </w:tcPr>
          <w:p w:rsidR="00F01B8F" w:rsidRPr="00E45340" w:rsidRDefault="00F01B8F" w:rsidP="001B56F1">
            <w:pPr>
              <w:pStyle w:val="TableBodyText"/>
              <w:rPr>
                <w:b/>
                <w:sz w:val="18"/>
                <w:szCs w:val="18"/>
              </w:rPr>
            </w:pPr>
            <w:r w:rsidRPr="00E45340">
              <w:rPr>
                <w:b/>
                <w:sz w:val="18"/>
                <w:szCs w:val="18"/>
              </w:rPr>
              <w:t>321.7</w:t>
            </w:r>
          </w:p>
        </w:tc>
        <w:tc>
          <w:tcPr>
            <w:tcW w:w="507" w:type="pct"/>
            <w:vAlign w:val="bottom"/>
          </w:tcPr>
          <w:p w:rsidR="00F01B8F" w:rsidRPr="00E45340" w:rsidRDefault="00F01B8F" w:rsidP="001B56F1">
            <w:pPr>
              <w:pStyle w:val="TableBodyText"/>
              <w:rPr>
                <w:b/>
                <w:sz w:val="18"/>
                <w:szCs w:val="18"/>
              </w:rPr>
            </w:pPr>
            <w:r w:rsidRPr="00E45340">
              <w:rPr>
                <w:b/>
                <w:sz w:val="18"/>
                <w:szCs w:val="18"/>
              </w:rPr>
              <w:t>242.5</w:t>
            </w:r>
          </w:p>
        </w:tc>
        <w:tc>
          <w:tcPr>
            <w:tcW w:w="507" w:type="pct"/>
            <w:shd w:val="clear" w:color="auto" w:fill="auto"/>
            <w:vAlign w:val="bottom"/>
          </w:tcPr>
          <w:p w:rsidR="00F01B8F" w:rsidRPr="00E45340" w:rsidRDefault="00F01B8F" w:rsidP="001B56F1">
            <w:pPr>
              <w:pStyle w:val="TableBodyText"/>
              <w:rPr>
                <w:b/>
                <w:sz w:val="18"/>
                <w:szCs w:val="18"/>
              </w:rPr>
            </w:pPr>
            <w:r w:rsidRPr="00E45340">
              <w:rPr>
                <w:b/>
                <w:sz w:val="18"/>
                <w:szCs w:val="18"/>
              </w:rPr>
              <w:t>145.1</w:t>
            </w:r>
          </w:p>
        </w:tc>
        <w:tc>
          <w:tcPr>
            <w:tcW w:w="507" w:type="pct"/>
            <w:shd w:val="clear" w:color="auto" w:fill="auto"/>
            <w:vAlign w:val="bottom"/>
          </w:tcPr>
          <w:p w:rsidR="00F01B8F" w:rsidRPr="00E45340" w:rsidRDefault="00F01B8F" w:rsidP="001B56F1">
            <w:pPr>
              <w:pStyle w:val="TableBodyText"/>
              <w:rPr>
                <w:b/>
                <w:sz w:val="18"/>
                <w:szCs w:val="18"/>
              </w:rPr>
            </w:pPr>
            <w:r w:rsidRPr="00E45340">
              <w:rPr>
                <w:b/>
                <w:sz w:val="18"/>
                <w:szCs w:val="18"/>
              </w:rPr>
              <w:t>6.4</w:t>
            </w:r>
          </w:p>
        </w:tc>
      </w:tr>
      <w:tr w:rsidR="00F01B8F" w:rsidRPr="006C5A80" w:rsidTr="001B56F1">
        <w:tc>
          <w:tcPr>
            <w:tcW w:w="1959" w:type="pct"/>
            <w:vAlign w:val="bottom"/>
          </w:tcPr>
          <w:p w:rsidR="00F01B8F" w:rsidRPr="00E45340" w:rsidRDefault="00F01B8F" w:rsidP="001B56F1">
            <w:pPr>
              <w:pStyle w:val="TableBodyText"/>
              <w:jc w:val="left"/>
              <w:rPr>
                <w:sz w:val="18"/>
                <w:szCs w:val="18"/>
              </w:rPr>
            </w:pPr>
            <w:r w:rsidRPr="00E45340">
              <w:rPr>
                <w:sz w:val="18"/>
                <w:szCs w:val="18"/>
              </w:rPr>
              <w:t>Horticulture and fruit growing</w:t>
            </w:r>
          </w:p>
        </w:tc>
        <w:tc>
          <w:tcPr>
            <w:tcW w:w="507" w:type="pct"/>
            <w:vAlign w:val="bottom"/>
          </w:tcPr>
          <w:p w:rsidR="00F01B8F" w:rsidRPr="00E45340" w:rsidRDefault="00F01B8F" w:rsidP="001B56F1">
            <w:pPr>
              <w:pStyle w:val="TableBodyText"/>
              <w:rPr>
                <w:sz w:val="18"/>
                <w:szCs w:val="18"/>
              </w:rPr>
            </w:pPr>
            <w:r w:rsidRPr="00E45340">
              <w:rPr>
                <w:sz w:val="18"/>
                <w:szCs w:val="18"/>
              </w:rPr>
              <w:noBreakHyphen/>
            </w:r>
          </w:p>
        </w:tc>
        <w:tc>
          <w:tcPr>
            <w:tcW w:w="507" w:type="pct"/>
            <w:vAlign w:val="bottom"/>
          </w:tcPr>
          <w:p w:rsidR="00F01B8F" w:rsidRPr="00E45340" w:rsidRDefault="00F01B8F" w:rsidP="001B56F1">
            <w:pPr>
              <w:pStyle w:val="TableBodyText"/>
              <w:rPr>
                <w:sz w:val="18"/>
                <w:szCs w:val="18"/>
              </w:rPr>
            </w:pPr>
            <w:r w:rsidRPr="00E45340">
              <w:rPr>
                <w:sz w:val="18"/>
                <w:szCs w:val="18"/>
              </w:rPr>
              <w:noBreakHyphen/>
            </w:r>
          </w:p>
        </w:tc>
        <w:tc>
          <w:tcPr>
            <w:tcW w:w="507" w:type="pct"/>
            <w:vAlign w:val="bottom"/>
          </w:tcPr>
          <w:p w:rsidR="00F01B8F" w:rsidRPr="00E45340" w:rsidRDefault="00F01B8F" w:rsidP="001B56F1">
            <w:pPr>
              <w:pStyle w:val="TableBodyText"/>
              <w:rPr>
                <w:sz w:val="18"/>
                <w:szCs w:val="18"/>
              </w:rPr>
            </w:pPr>
            <w:r w:rsidRPr="00E45340">
              <w:rPr>
                <w:sz w:val="18"/>
                <w:szCs w:val="18"/>
              </w:rPr>
              <w:t>26.6</w:t>
            </w:r>
          </w:p>
        </w:tc>
        <w:tc>
          <w:tcPr>
            <w:tcW w:w="507" w:type="pct"/>
            <w:vAlign w:val="bottom"/>
          </w:tcPr>
          <w:p w:rsidR="00F01B8F" w:rsidRPr="00E45340" w:rsidRDefault="00F01B8F" w:rsidP="001B56F1">
            <w:pPr>
              <w:pStyle w:val="TableBodyText"/>
              <w:rPr>
                <w:sz w:val="18"/>
                <w:szCs w:val="18"/>
              </w:rPr>
            </w:pPr>
            <w:r w:rsidRPr="00E45340">
              <w:rPr>
                <w:sz w:val="18"/>
                <w:szCs w:val="18"/>
              </w:rPr>
              <w:t>23.2</w:t>
            </w:r>
          </w:p>
        </w:tc>
        <w:tc>
          <w:tcPr>
            <w:tcW w:w="507" w:type="pct"/>
            <w:shd w:val="clear" w:color="auto" w:fill="auto"/>
            <w:vAlign w:val="bottom"/>
          </w:tcPr>
          <w:p w:rsidR="00F01B8F" w:rsidRPr="00E45340" w:rsidRDefault="00F01B8F" w:rsidP="001B56F1">
            <w:pPr>
              <w:pStyle w:val="TableBodyText"/>
              <w:rPr>
                <w:sz w:val="18"/>
                <w:szCs w:val="18"/>
              </w:rPr>
            </w:pPr>
            <w:r w:rsidRPr="00E45340">
              <w:rPr>
                <w:sz w:val="18"/>
                <w:szCs w:val="18"/>
              </w:rPr>
              <w:t>17.6</w:t>
            </w:r>
          </w:p>
        </w:tc>
        <w:tc>
          <w:tcPr>
            <w:tcW w:w="507" w:type="pct"/>
            <w:shd w:val="clear" w:color="auto" w:fill="auto"/>
            <w:vAlign w:val="bottom"/>
          </w:tcPr>
          <w:p w:rsidR="00F01B8F" w:rsidRPr="00E45340" w:rsidRDefault="00F01B8F" w:rsidP="001B56F1">
            <w:pPr>
              <w:pStyle w:val="TableBodyText"/>
              <w:rPr>
                <w:sz w:val="18"/>
                <w:szCs w:val="18"/>
              </w:rPr>
            </w:pPr>
            <w:r w:rsidRPr="00E45340">
              <w:rPr>
                <w:sz w:val="18"/>
                <w:szCs w:val="18"/>
              </w:rPr>
              <w:t>0.8</w:t>
            </w:r>
          </w:p>
        </w:tc>
      </w:tr>
      <w:tr w:rsidR="00F01B8F" w:rsidRPr="006C5A80" w:rsidTr="001B56F1">
        <w:tc>
          <w:tcPr>
            <w:tcW w:w="1959" w:type="pct"/>
            <w:vAlign w:val="bottom"/>
          </w:tcPr>
          <w:p w:rsidR="00F01B8F" w:rsidRPr="00E45340" w:rsidRDefault="00F01B8F" w:rsidP="001B56F1">
            <w:pPr>
              <w:pStyle w:val="TableBodyText"/>
              <w:jc w:val="left"/>
              <w:rPr>
                <w:sz w:val="18"/>
                <w:szCs w:val="18"/>
              </w:rPr>
            </w:pPr>
            <w:r w:rsidRPr="00E45340">
              <w:rPr>
                <w:sz w:val="18"/>
                <w:szCs w:val="18"/>
              </w:rPr>
              <w:t>Sheep, beef cattle and grain farming</w:t>
            </w:r>
          </w:p>
        </w:tc>
        <w:tc>
          <w:tcPr>
            <w:tcW w:w="507" w:type="pct"/>
            <w:vAlign w:val="bottom"/>
          </w:tcPr>
          <w:p w:rsidR="00F01B8F" w:rsidRPr="00E45340" w:rsidRDefault="00F01B8F" w:rsidP="001B56F1">
            <w:pPr>
              <w:pStyle w:val="TableBodyText"/>
              <w:rPr>
                <w:sz w:val="18"/>
                <w:szCs w:val="18"/>
              </w:rPr>
            </w:pPr>
            <w:r w:rsidRPr="00E45340">
              <w:rPr>
                <w:sz w:val="18"/>
                <w:szCs w:val="18"/>
              </w:rPr>
              <w:t>154.3</w:t>
            </w:r>
          </w:p>
        </w:tc>
        <w:tc>
          <w:tcPr>
            <w:tcW w:w="507" w:type="pct"/>
            <w:vAlign w:val="bottom"/>
          </w:tcPr>
          <w:p w:rsidR="00F01B8F" w:rsidRPr="00E45340" w:rsidRDefault="00F01B8F" w:rsidP="001B56F1">
            <w:pPr>
              <w:pStyle w:val="TableBodyText"/>
              <w:rPr>
                <w:sz w:val="18"/>
                <w:szCs w:val="18"/>
              </w:rPr>
            </w:pPr>
            <w:r w:rsidRPr="00E45340">
              <w:rPr>
                <w:sz w:val="18"/>
                <w:szCs w:val="18"/>
              </w:rPr>
              <w:t>229.3</w:t>
            </w:r>
          </w:p>
        </w:tc>
        <w:tc>
          <w:tcPr>
            <w:tcW w:w="507" w:type="pct"/>
            <w:vAlign w:val="bottom"/>
          </w:tcPr>
          <w:p w:rsidR="00F01B8F" w:rsidRPr="00E45340" w:rsidRDefault="00F01B8F" w:rsidP="001B56F1">
            <w:pPr>
              <w:pStyle w:val="TableBodyText"/>
              <w:rPr>
                <w:sz w:val="18"/>
                <w:szCs w:val="18"/>
              </w:rPr>
            </w:pPr>
            <w:r w:rsidRPr="00E45340">
              <w:rPr>
                <w:sz w:val="18"/>
                <w:szCs w:val="18"/>
              </w:rPr>
              <w:t>230.3</w:t>
            </w:r>
          </w:p>
        </w:tc>
        <w:tc>
          <w:tcPr>
            <w:tcW w:w="507" w:type="pct"/>
            <w:vAlign w:val="bottom"/>
          </w:tcPr>
          <w:p w:rsidR="00F01B8F" w:rsidRPr="00E45340" w:rsidRDefault="00F01B8F" w:rsidP="001B56F1">
            <w:pPr>
              <w:pStyle w:val="TableBodyText"/>
              <w:rPr>
                <w:sz w:val="18"/>
                <w:szCs w:val="18"/>
              </w:rPr>
            </w:pPr>
            <w:r w:rsidRPr="00E45340">
              <w:rPr>
                <w:sz w:val="18"/>
                <w:szCs w:val="18"/>
              </w:rPr>
              <w:t>168.3</w:t>
            </w:r>
          </w:p>
        </w:tc>
        <w:tc>
          <w:tcPr>
            <w:tcW w:w="507" w:type="pct"/>
            <w:shd w:val="clear" w:color="auto" w:fill="auto"/>
            <w:vAlign w:val="bottom"/>
          </w:tcPr>
          <w:p w:rsidR="00F01B8F" w:rsidRPr="00E45340" w:rsidRDefault="00F01B8F" w:rsidP="001B56F1">
            <w:pPr>
              <w:pStyle w:val="TableBodyText"/>
              <w:rPr>
                <w:sz w:val="18"/>
                <w:szCs w:val="18"/>
              </w:rPr>
            </w:pPr>
            <w:r w:rsidRPr="00E45340">
              <w:rPr>
                <w:sz w:val="18"/>
                <w:szCs w:val="18"/>
              </w:rPr>
              <w:t>93.4</w:t>
            </w:r>
          </w:p>
        </w:tc>
        <w:tc>
          <w:tcPr>
            <w:tcW w:w="507" w:type="pct"/>
            <w:shd w:val="clear" w:color="auto" w:fill="auto"/>
            <w:vAlign w:val="bottom"/>
          </w:tcPr>
          <w:p w:rsidR="00F01B8F" w:rsidRPr="00E45340" w:rsidRDefault="00F01B8F" w:rsidP="001B56F1">
            <w:pPr>
              <w:pStyle w:val="TableBodyText"/>
              <w:rPr>
                <w:sz w:val="18"/>
                <w:szCs w:val="18"/>
              </w:rPr>
            </w:pPr>
            <w:r w:rsidRPr="00E45340">
              <w:rPr>
                <w:sz w:val="18"/>
                <w:szCs w:val="18"/>
              </w:rPr>
              <w:t>4.1</w:t>
            </w:r>
          </w:p>
        </w:tc>
      </w:tr>
      <w:tr w:rsidR="00F01B8F" w:rsidRPr="006C5A80" w:rsidTr="001B56F1">
        <w:tc>
          <w:tcPr>
            <w:tcW w:w="1959" w:type="pct"/>
            <w:vAlign w:val="bottom"/>
          </w:tcPr>
          <w:p w:rsidR="00F01B8F" w:rsidRPr="00E45340" w:rsidRDefault="00F01B8F" w:rsidP="001B56F1">
            <w:pPr>
              <w:pStyle w:val="TableBodyText"/>
              <w:jc w:val="left"/>
              <w:rPr>
                <w:sz w:val="18"/>
                <w:szCs w:val="18"/>
              </w:rPr>
            </w:pPr>
            <w:r w:rsidRPr="00E45340">
              <w:rPr>
                <w:sz w:val="18"/>
                <w:szCs w:val="18"/>
              </w:rPr>
              <w:t>Other crop growing</w:t>
            </w:r>
          </w:p>
        </w:tc>
        <w:tc>
          <w:tcPr>
            <w:tcW w:w="507" w:type="pct"/>
            <w:vAlign w:val="bottom"/>
          </w:tcPr>
          <w:p w:rsidR="00F01B8F" w:rsidRPr="00E45340" w:rsidRDefault="00F01B8F" w:rsidP="001B56F1">
            <w:pPr>
              <w:pStyle w:val="TableBodyText"/>
              <w:rPr>
                <w:sz w:val="18"/>
                <w:szCs w:val="18"/>
              </w:rPr>
            </w:pPr>
            <w:r w:rsidRPr="00E45340">
              <w:rPr>
                <w:sz w:val="18"/>
                <w:szCs w:val="18"/>
              </w:rPr>
              <w:t>22.1</w:t>
            </w:r>
          </w:p>
        </w:tc>
        <w:tc>
          <w:tcPr>
            <w:tcW w:w="507" w:type="pct"/>
            <w:vAlign w:val="bottom"/>
          </w:tcPr>
          <w:p w:rsidR="00F01B8F" w:rsidRPr="00E45340" w:rsidRDefault="00F01B8F" w:rsidP="001B56F1">
            <w:pPr>
              <w:pStyle w:val="TableBodyText"/>
              <w:rPr>
                <w:sz w:val="18"/>
                <w:szCs w:val="18"/>
              </w:rPr>
            </w:pPr>
            <w:r w:rsidRPr="00E45340">
              <w:rPr>
                <w:sz w:val="18"/>
                <w:szCs w:val="18"/>
              </w:rPr>
              <w:t>32.8</w:t>
            </w:r>
          </w:p>
        </w:tc>
        <w:tc>
          <w:tcPr>
            <w:tcW w:w="507" w:type="pct"/>
            <w:vAlign w:val="bottom"/>
          </w:tcPr>
          <w:p w:rsidR="00F01B8F" w:rsidRPr="00E45340" w:rsidRDefault="00F01B8F" w:rsidP="001B56F1">
            <w:pPr>
              <w:pStyle w:val="TableBodyText"/>
              <w:rPr>
                <w:sz w:val="18"/>
                <w:szCs w:val="18"/>
              </w:rPr>
            </w:pPr>
            <w:r w:rsidRPr="00E45340">
              <w:rPr>
                <w:sz w:val="18"/>
                <w:szCs w:val="18"/>
              </w:rPr>
              <w:t>0.9</w:t>
            </w:r>
          </w:p>
        </w:tc>
        <w:tc>
          <w:tcPr>
            <w:tcW w:w="507" w:type="pct"/>
            <w:vAlign w:val="bottom"/>
          </w:tcPr>
          <w:p w:rsidR="00F01B8F" w:rsidRPr="00E45340" w:rsidRDefault="00F01B8F" w:rsidP="001B56F1">
            <w:pPr>
              <w:pStyle w:val="TableBodyText"/>
              <w:rPr>
                <w:sz w:val="18"/>
                <w:szCs w:val="18"/>
              </w:rPr>
            </w:pPr>
            <w:r>
              <w:rPr>
                <w:sz w:val="18"/>
                <w:szCs w:val="18"/>
              </w:rPr>
              <w:t>&lt;0.1</w:t>
            </w:r>
          </w:p>
        </w:tc>
        <w:tc>
          <w:tcPr>
            <w:tcW w:w="507" w:type="pct"/>
            <w:shd w:val="clear" w:color="auto" w:fill="auto"/>
            <w:vAlign w:val="bottom"/>
          </w:tcPr>
          <w:p w:rsidR="00F01B8F" w:rsidRPr="00E45340" w:rsidRDefault="00F01B8F" w:rsidP="001B56F1">
            <w:pPr>
              <w:pStyle w:val="TableBodyText"/>
              <w:rPr>
                <w:sz w:val="18"/>
                <w:szCs w:val="18"/>
              </w:rPr>
            </w:pPr>
            <w:r w:rsidRPr="00E45340">
              <w:rPr>
                <w:sz w:val="18"/>
                <w:szCs w:val="18"/>
              </w:rPr>
              <w:noBreakHyphen/>
            </w:r>
          </w:p>
        </w:tc>
        <w:tc>
          <w:tcPr>
            <w:tcW w:w="507" w:type="pct"/>
            <w:shd w:val="clear" w:color="auto" w:fill="auto"/>
            <w:vAlign w:val="bottom"/>
          </w:tcPr>
          <w:p w:rsidR="00F01B8F" w:rsidRPr="00E45340" w:rsidRDefault="00F01B8F" w:rsidP="001B56F1">
            <w:pPr>
              <w:pStyle w:val="TableBodyText"/>
              <w:rPr>
                <w:sz w:val="18"/>
                <w:szCs w:val="18"/>
              </w:rPr>
            </w:pPr>
            <w:r>
              <w:rPr>
                <w:sz w:val="18"/>
                <w:szCs w:val="18"/>
              </w:rPr>
              <w:t>&lt;0.1</w:t>
            </w:r>
          </w:p>
        </w:tc>
      </w:tr>
      <w:tr w:rsidR="00F01B8F" w:rsidRPr="006C5A80" w:rsidTr="001B56F1">
        <w:tc>
          <w:tcPr>
            <w:tcW w:w="1959" w:type="pct"/>
            <w:vAlign w:val="bottom"/>
          </w:tcPr>
          <w:p w:rsidR="00F01B8F" w:rsidRPr="00E45340" w:rsidRDefault="00F01B8F" w:rsidP="001B56F1">
            <w:pPr>
              <w:pStyle w:val="TableBodyText"/>
              <w:jc w:val="left"/>
              <w:rPr>
                <w:sz w:val="18"/>
                <w:szCs w:val="18"/>
              </w:rPr>
            </w:pPr>
            <w:r w:rsidRPr="00E45340">
              <w:rPr>
                <w:sz w:val="18"/>
                <w:szCs w:val="18"/>
              </w:rPr>
              <w:t>Dairy cattle farming</w:t>
            </w:r>
          </w:p>
        </w:tc>
        <w:tc>
          <w:tcPr>
            <w:tcW w:w="507" w:type="pct"/>
            <w:vAlign w:val="bottom"/>
          </w:tcPr>
          <w:p w:rsidR="00F01B8F" w:rsidRPr="00E45340" w:rsidRDefault="00F01B8F" w:rsidP="001B56F1">
            <w:pPr>
              <w:pStyle w:val="TableBodyText"/>
              <w:rPr>
                <w:sz w:val="18"/>
                <w:szCs w:val="18"/>
              </w:rPr>
            </w:pPr>
            <w:r w:rsidRPr="00E45340">
              <w:rPr>
                <w:sz w:val="18"/>
                <w:szCs w:val="18"/>
              </w:rPr>
              <w:t>73.2</w:t>
            </w:r>
          </w:p>
        </w:tc>
        <w:tc>
          <w:tcPr>
            <w:tcW w:w="507" w:type="pct"/>
            <w:vAlign w:val="bottom"/>
          </w:tcPr>
          <w:p w:rsidR="00F01B8F" w:rsidRPr="00E45340" w:rsidRDefault="00F01B8F" w:rsidP="001B56F1">
            <w:pPr>
              <w:pStyle w:val="TableBodyText"/>
              <w:rPr>
                <w:sz w:val="18"/>
                <w:szCs w:val="18"/>
              </w:rPr>
            </w:pPr>
            <w:r w:rsidRPr="00E45340">
              <w:rPr>
                <w:sz w:val="18"/>
                <w:szCs w:val="18"/>
              </w:rPr>
              <w:t>108.8</w:t>
            </w:r>
          </w:p>
        </w:tc>
        <w:tc>
          <w:tcPr>
            <w:tcW w:w="507" w:type="pct"/>
            <w:vAlign w:val="bottom"/>
          </w:tcPr>
          <w:p w:rsidR="00F01B8F" w:rsidRPr="00E45340" w:rsidRDefault="00F01B8F" w:rsidP="001B56F1">
            <w:pPr>
              <w:pStyle w:val="TableBodyText"/>
              <w:rPr>
                <w:sz w:val="18"/>
                <w:szCs w:val="18"/>
              </w:rPr>
            </w:pPr>
            <w:r w:rsidRPr="00E45340">
              <w:rPr>
                <w:sz w:val="18"/>
                <w:szCs w:val="18"/>
              </w:rPr>
              <w:t>36.5</w:t>
            </w:r>
          </w:p>
        </w:tc>
        <w:tc>
          <w:tcPr>
            <w:tcW w:w="507" w:type="pct"/>
            <w:vAlign w:val="bottom"/>
          </w:tcPr>
          <w:p w:rsidR="00F01B8F" w:rsidRPr="00E45340" w:rsidRDefault="00F01B8F" w:rsidP="001B56F1">
            <w:pPr>
              <w:pStyle w:val="TableBodyText"/>
              <w:rPr>
                <w:sz w:val="18"/>
                <w:szCs w:val="18"/>
              </w:rPr>
            </w:pPr>
            <w:r w:rsidRPr="00E45340">
              <w:rPr>
                <w:sz w:val="18"/>
                <w:szCs w:val="18"/>
              </w:rPr>
              <w:t>35.0</w:t>
            </w:r>
          </w:p>
        </w:tc>
        <w:tc>
          <w:tcPr>
            <w:tcW w:w="507" w:type="pct"/>
            <w:shd w:val="clear" w:color="auto" w:fill="auto"/>
            <w:vAlign w:val="bottom"/>
          </w:tcPr>
          <w:p w:rsidR="00F01B8F" w:rsidRPr="00E45340" w:rsidRDefault="00F01B8F" w:rsidP="001B56F1">
            <w:pPr>
              <w:pStyle w:val="TableBodyText"/>
              <w:rPr>
                <w:sz w:val="18"/>
                <w:szCs w:val="18"/>
              </w:rPr>
            </w:pPr>
            <w:r w:rsidRPr="00E45340">
              <w:rPr>
                <w:sz w:val="18"/>
                <w:szCs w:val="18"/>
              </w:rPr>
              <w:t>17.9</w:t>
            </w:r>
          </w:p>
        </w:tc>
        <w:tc>
          <w:tcPr>
            <w:tcW w:w="507" w:type="pct"/>
            <w:shd w:val="clear" w:color="auto" w:fill="auto"/>
            <w:vAlign w:val="bottom"/>
          </w:tcPr>
          <w:p w:rsidR="00F01B8F" w:rsidRPr="00E45340" w:rsidRDefault="00F01B8F" w:rsidP="001B56F1">
            <w:pPr>
              <w:pStyle w:val="TableBodyText"/>
              <w:rPr>
                <w:sz w:val="18"/>
                <w:szCs w:val="18"/>
              </w:rPr>
            </w:pPr>
            <w:r w:rsidRPr="00E45340">
              <w:rPr>
                <w:sz w:val="18"/>
                <w:szCs w:val="18"/>
              </w:rPr>
              <w:t>0.8</w:t>
            </w:r>
          </w:p>
        </w:tc>
      </w:tr>
      <w:tr w:rsidR="00F01B8F" w:rsidRPr="006C5A80" w:rsidTr="001B56F1">
        <w:tc>
          <w:tcPr>
            <w:tcW w:w="1959" w:type="pct"/>
            <w:vAlign w:val="bottom"/>
          </w:tcPr>
          <w:p w:rsidR="00F01B8F" w:rsidRPr="00E45340" w:rsidRDefault="00F01B8F" w:rsidP="001B56F1">
            <w:pPr>
              <w:pStyle w:val="TableBodyText"/>
              <w:jc w:val="left"/>
              <w:rPr>
                <w:sz w:val="18"/>
                <w:szCs w:val="18"/>
              </w:rPr>
            </w:pPr>
            <w:r w:rsidRPr="00E45340">
              <w:rPr>
                <w:sz w:val="18"/>
                <w:szCs w:val="18"/>
              </w:rPr>
              <w:t>Other livestock farming</w:t>
            </w:r>
          </w:p>
        </w:tc>
        <w:tc>
          <w:tcPr>
            <w:tcW w:w="507" w:type="pct"/>
            <w:vAlign w:val="bottom"/>
          </w:tcPr>
          <w:p w:rsidR="00F01B8F" w:rsidRPr="00E45340" w:rsidRDefault="00F01B8F" w:rsidP="001B56F1">
            <w:pPr>
              <w:pStyle w:val="TableBodyText"/>
              <w:rPr>
                <w:sz w:val="18"/>
                <w:szCs w:val="18"/>
              </w:rPr>
            </w:pPr>
            <w:r w:rsidRPr="00E45340">
              <w:rPr>
                <w:sz w:val="18"/>
                <w:szCs w:val="18"/>
              </w:rPr>
              <w:t>5.3</w:t>
            </w:r>
          </w:p>
        </w:tc>
        <w:tc>
          <w:tcPr>
            <w:tcW w:w="507" w:type="pct"/>
            <w:vAlign w:val="bottom"/>
          </w:tcPr>
          <w:p w:rsidR="00F01B8F" w:rsidRPr="00E45340" w:rsidRDefault="00F01B8F" w:rsidP="001B56F1">
            <w:pPr>
              <w:pStyle w:val="TableBodyText"/>
              <w:rPr>
                <w:sz w:val="18"/>
                <w:szCs w:val="18"/>
              </w:rPr>
            </w:pPr>
            <w:r w:rsidRPr="00E45340">
              <w:rPr>
                <w:sz w:val="18"/>
                <w:szCs w:val="18"/>
              </w:rPr>
              <w:t>7.8</w:t>
            </w:r>
          </w:p>
        </w:tc>
        <w:tc>
          <w:tcPr>
            <w:tcW w:w="507" w:type="pct"/>
            <w:vAlign w:val="bottom"/>
          </w:tcPr>
          <w:p w:rsidR="00F01B8F" w:rsidRPr="00E45340" w:rsidRDefault="00F01B8F" w:rsidP="001B56F1">
            <w:pPr>
              <w:pStyle w:val="TableBodyText"/>
              <w:rPr>
                <w:sz w:val="18"/>
                <w:szCs w:val="18"/>
              </w:rPr>
            </w:pPr>
            <w:r w:rsidRPr="00E45340">
              <w:rPr>
                <w:sz w:val="18"/>
                <w:szCs w:val="18"/>
              </w:rPr>
              <w:t>4.3</w:t>
            </w:r>
          </w:p>
        </w:tc>
        <w:tc>
          <w:tcPr>
            <w:tcW w:w="507" w:type="pct"/>
            <w:vAlign w:val="bottom"/>
          </w:tcPr>
          <w:p w:rsidR="00F01B8F" w:rsidRPr="00E45340" w:rsidRDefault="00F01B8F" w:rsidP="001B56F1">
            <w:pPr>
              <w:pStyle w:val="TableBodyText"/>
              <w:rPr>
                <w:sz w:val="18"/>
                <w:szCs w:val="18"/>
              </w:rPr>
            </w:pPr>
            <w:r w:rsidRPr="00E45340">
              <w:rPr>
                <w:sz w:val="18"/>
                <w:szCs w:val="18"/>
              </w:rPr>
              <w:t>2.0</w:t>
            </w:r>
          </w:p>
        </w:tc>
        <w:tc>
          <w:tcPr>
            <w:tcW w:w="507" w:type="pct"/>
            <w:shd w:val="clear" w:color="auto" w:fill="auto"/>
            <w:vAlign w:val="bottom"/>
          </w:tcPr>
          <w:p w:rsidR="00F01B8F" w:rsidRPr="00E45340" w:rsidRDefault="00F01B8F" w:rsidP="001B56F1">
            <w:pPr>
              <w:pStyle w:val="TableBodyText"/>
              <w:rPr>
                <w:sz w:val="18"/>
                <w:szCs w:val="18"/>
              </w:rPr>
            </w:pPr>
            <w:r w:rsidRPr="00E45340">
              <w:rPr>
                <w:sz w:val="18"/>
                <w:szCs w:val="18"/>
              </w:rPr>
              <w:t>1.5</w:t>
            </w:r>
          </w:p>
        </w:tc>
        <w:tc>
          <w:tcPr>
            <w:tcW w:w="507" w:type="pct"/>
            <w:shd w:val="clear" w:color="auto" w:fill="auto"/>
            <w:vAlign w:val="bottom"/>
          </w:tcPr>
          <w:p w:rsidR="00F01B8F" w:rsidRPr="00E45340" w:rsidRDefault="00F01B8F" w:rsidP="001B56F1">
            <w:pPr>
              <w:pStyle w:val="TableBodyText"/>
              <w:rPr>
                <w:sz w:val="18"/>
                <w:szCs w:val="18"/>
              </w:rPr>
            </w:pPr>
            <w:r>
              <w:rPr>
                <w:sz w:val="18"/>
                <w:szCs w:val="18"/>
              </w:rPr>
              <w:t>&lt;</w:t>
            </w:r>
            <w:r w:rsidRPr="00E45340">
              <w:rPr>
                <w:sz w:val="18"/>
                <w:szCs w:val="18"/>
              </w:rPr>
              <w:t>0.1</w:t>
            </w:r>
          </w:p>
        </w:tc>
      </w:tr>
      <w:tr w:rsidR="00F01B8F" w:rsidRPr="006C5A80" w:rsidTr="001B56F1">
        <w:tc>
          <w:tcPr>
            <w:tcW w:w="1959" w:type="pct"/>
            <w:vAlign w:val="bottom"/>
          </w:tcPr>
          <w:p w:rsidR="00F01B8F" w:rsidRPr="00E45340" w:rsidRDefault="00F01B8F" w:rsidP="001B56F1">
            <w:pPr>
              <w:pStyle w:val="TableBodyText"/>
              <w:jc w:val="left"/>
              <w:rPr>
                <w:sz w:val="18"/>
                <w:szCs w:val="18"/>
              </w:rPr>
            </w:pPr>
            <w:r w:rsidRPr="00E45340">
              <w:rPr>
                <w:sz w:val="18"/>
                <w:szCs w:val="18"/>
              </w:rPr>
              <w:t>Aquaculture and fishing</w:t>
            </w:r>
          </w:p>
        </w:tc>
        <w:tc>
          <w:tcPr>
            <w:tcW w:w="507" w:type="pct"/>
            <w:vAlign w:val="bottom"/>
          </w:tcPr>
          <w:p w:rsidR="00F01B8F" w:rsidRPr="00E45340" w:rsidRDefault="00F01B8F" w:rsidP="001B56F1">
            <w:pPr>
              <w:pStyle w:val="TableBodyText"/>
              <w:rPr>
                <w:sz w:val="18"/>
                <w:szCs w:val="18"/>
              </w:rPr>
            </w:pPr>
            <w:r w:rsidRPr="00E45340">
              <w:rPr>
                <w:sz w:val="18"/>
                <w:szCs w:val="18"/>
              </w:rPr>
              <w:noBreakHyphen/>
            </w:r>
          </w:p>
        </w:tc>
        <w:tc>
          <w:tcPr>
            <w:tcW w:w="507" w:type="pct"/>
            <w:vAlign w:val="bottom"/>
          </w:tcPr>
          <w:p w:rsidR="00F01B8F" w:rsidRPr="00E45340" w:rsidRDefault="00F01B8F" w:rsidP="001B56F1">
            <w:pPr>
              <w:pStyle w:val="TableBodyText"/>
              <w:rPr>
                <w:sz w:val="18"/>
                <w:szCs w:val="18"/>
              </w:rPr>
            </w:pPr>
            <w:r w:rsidRPr="00E45340">
              <w:rPr>
                <w:sz w:val="18"/>
                <w:szCs w:val="18"/>
              </w:rPr>
              <w:noBreakHyphen/>
            </w:r>
          </w:p>
        </w:tc>
        <w:tc>
          <w:tcPr>
            <w:tcW w:w="507" w:type="pct"/>
            <w:vAlign w:val="bottom"/>
          </w:tcPr>
          <w:p w:rsidR="00F01B8F" w:rsidRPr="00E45340" w:rsidRDefault="00F01B8F" w:rsidP="001B56F1">
            <w:pPr>
              <w:pStyle w:val="TableBodyText"/>
              <w:rPr>
                <w:sz w:val="18"/>
                <w:szCs w:val="18"/>
              </w:rPr>
            </w:pPr>
            <w:r w:rsidRPr="00E45340">
              <w:rPr>
                <w:sz w:val="18"/>
                <w:szCs w:val="18"/>
              </w:rPr>
              <w:t>0.2</w:t>
            </w:r>
          </w:p>
        </w:tc>
        <w:tc>
          <w:tcPr>
            <w:tcW w:w="507" w:type="pct"/>
            <w:vAlign w:val="bottom"/>
          </w:tcPr>
          <w:p w:rsidR="00F01B8F" w:rsidRPr="00E45340" w:rsidRDefault="00F01B8F" w:rsidP="001B56F1">
            <w:pPr>
              <w:pStyle w:val="TableBodyText"/>
              <w:rPr>
                <w:sz w:val="18"/>
                <w:szCs w:val="18"/>
              </w:rPr>
            </w:pPr>
            <w:r w:rsidRPr="00E45340">
              <w:rPr>
                <w:sz w:val="18"/>
                <w:szCs w:val="18"/>
              </w:rPr>
              <w:t>0.2</w:t>
            </w:r>
          </w:p>
        </w:tc>
        <w:tc>
          <w:tcPr>
            <w:tcW w:w="507" w:type="pct"/>
            <w:shd w:val="clear" w:color="auto" w:fill="auto"/>
            <w:vAlign w:val="bottom"/>
          </w:tcPr>
          <w:p w:rsidR="00F01B8F" w:rsidRPr="00E45340" w:rsidRDefault="00F01B8F" w:rsidP="001B56F1">
            <w:pPr>
              <w:pStyle w:val="TableBodyText"/>
              <w:rPr>
                <w:sz w:val="18"/>
                <w:szCs w:val="18"/>
              </w:rPr>
            </w:pPr>
            <w:r>
              <w:rPr>
                <w:sz w:val="18"/>
                <w:szCs w:val="18"/>
              </w:rPr>
              <w:t>&lt;</w:t>
            </w:r>
            <w:r w:rsidRPr="00E45340">
              <w:rPr>
                <w:sz w:val="18"/>
                <w:szCs w:val="18"/>
              </w:rPr>
              <w:t>0.1</w:t>
            </w:r>
          </w:p>
        </w:tc>
        <w:tc>
          <w:tcPr>
            <w:tcW w:w="507" w:type="pct"/>
            <w:shd w:val="clear" w:color="auto" w:fill="auto"/>
            <w:vAlign w:val="bottom"/>
          </w:tcPr>
          <w:p w:rsidR="00F01B8F" w:rsidRPr="00E45340" w:rsidRDefault="00F01B8F" w:rsidP="001B56F1">
            <w:pPr>
              <w:pStyle w:val="TableBodyText"/>
              <w:rPr>
                <w:sz w:val="18"/>
                <w:szCs w:val="18"/>
              </w:rPr>
            </w:pPr>
            <w:r>
              <w:rPr>
                <w:sz w:val="18"/>
                <w:szCs w:val="18"/>
              </w:rPr>
              <w:t>&lt;0.1</w:t>
            </w:r>
          </w:p>
        </w:tc>
      </w:tr>
      <w:tr w:rsidR="00F01B8F" w:rsidRPr="006C5A80" w:rsidTr="001B56F1">
        <w:tc>
          <w:tcPr>
            <w:tcW w:w="1959" w:type="pct"/>
            <w:vAlign w:val="bottom"/>
          </w:tcPr>
          <w:p w:rsidR="00F01B8F" w:rsidRPr="00E45340" w:rsidRDefault="00F01B8F" w:rsidP="001B56F1">
            <w:pPr>
              <w:pStyle w:val="TableBodyText"/>
              <w:jc w:val="left"/>
              <w:rPr>
                <w:sz w:val="18"/>
                <w:szCs w:val="18"/>
              </w:rPr>
            </w:pPr>
            <w:r w:rsidRPr="00E45340">
              <w:rPr>
                <w:sz w:val="18"/>
                <w:szCs w:val="18"/>
              </w:rPr>
              <w:t>Primary production support services</w:t>
            </w:r>
          </w:p>
        </w:tc>
        <w:tc>
          <w:tcPr>
            <w:tcW w:w="507" w:type="pct"/>
            <w:vAlign w:val="bottom"/>
          </w:tcPr>
          <w:p w:rsidR="00F01B8F" w:rsidRPr="00E45340" w:rsidRDefault="00F01B8F" w:rsidP="001B56F1">
            <w:pPr>
              <w:pStyle w:val="TableBodyText"/>
              <w:rPr>
                <w:sz w:val="18"/>
                <w:szCs w:val="18"/>
              </w:rPr>
            </w:pPr>
            <w:r w:rsidRPr="00E45340">
              <w:rPr>
                <w:sz w:val="18"/>
                <w:szCs w:val="18"/>
              </w:rPr>
              <w:noBreakHyphen/>
            </w:r>
          </w:p>
        </w:tc>
        <w:tc>
          <w:tcPr>
            <w:tcW w:w="507" w:type="pct"/>
            <w:vAlign w:val="bottom"/>
          </w:tcPr>
          <w:p w:rsidR="00F01B8F" w:rsidRPr="00E45340" w:rsidRDefault="00F01B8F" w:rsidP="001B56F1">
            <w:pPr>
              <w:pStyle w:val="TableBodyText"/>
              <w:rPr>
                <w:sz w:val="18"/>
                <w:szCs w:val="18"/>
              </w:rPr>
            </w:pPr>
            <w:r w:rsidRPr="00E45340">
              <w:rPr>
                <w:sz w:val="18"/>
                <w:szCs w:val="18"/>
              </w:rPr>
              <w:noBreakHyphen/>
            </w:r>
          </w:p>
        </w:tc>
        <w:tc>
          <w:tcPr>
            <w:tcW w:w="507" w:type="pct"/>
            <w:vAlign w:val="bottom"/>
          </w:tcPr>
          <w:p w:rsidR="00F01B8F" w:rsidRPr="00E45340" w:rsidRDefault="00F01B8F" w:rsidP="001B56F1">
            <w:pPr>
              <w:pStyle w:val="TableBodyText"/>
              <w:rPr>
                <w:sz w:val="18"/>
                <w:szCs w:val="18"/>
              </w:rPr>
            </w:pPr>
            <w:r w:rsidRPr="00E45340">
              <w:rPr>
                <w:sz w:val="18"/>
                <w:szCs w:val="18"/>
              </w:rPr>
              <w:noBreakHyphen/>
            </w:r>
          </w:p>
        </w:tc>
        <w:tc>
          <w:tcPr>
            <w:tcW w:w="507" w:type="pct"/>
            <w:vAlign w:val="bottom"/>
          </w:tcPr>
          <w:p w:rsidR="00F01B8F" w:rsidRPr="00E45340" w:rsidRDefault="00F01B8F" w:rsidP="001B56F1">
            <w:pPr>
              <w:pStyle w:val="TableBodyText"/>
              <w:rPr>
                <w:sz w:val="18"/>
                <w:szCs w:val="18"/>
              </w:rPr>
            </w:pPr>
            <w:r w:rsidRPr="00E45340">
              <w:rPr>
                <w:sz w:val="18"/>
                <w:szCs w:val="18"/>
              </w:rPr>
              <w:noBreakHyphen/>
            </w:r>
          </w:p>
        </w:tc>
        <w:tc>
          <w:tcPr>
            <w:tcW w:w="507" w:type="pct"/>
            <w:shd w:val="clear" w:color="auto" w:fill="auto"/>
            <w:vAlign w:val="bottom"/>
          </w:tcPr>
          <w:p w:rsidR="00F01B8F" w:rsidRPr="00E45340" w:rsidRDefault="00F01B8F" w:rsidP="001B56F1">
            <w:pPr>
              <w:pStyle w:val="TableBodyText"/>
              <w:rPr>
                <w:sz w:val="18"/>
                <w:szCs w:val="18"/>
              </w:rPr>
            </w:pPr>
            <w:r w:rsidRPr="00E45340">
              <w:rPr>
                <w:sz w:val="18"/>
                <w:szCs w:val="18"/>
              </w:rPr>
              <w:noBreakHyphen/>
            </w:r>
          </w:p>
        </w:tc>
        <w:tc>
          <w:tcPr>
            <w:tcW w:w="507" w:type="pct"/>
            <w:shd w:val="clear" w:color="auto" w:fill="auto"/>
            <w:vAlign w:val="bottom"/>
          </w:tcPr>
          <w:p w:rsidR="00F01B8F" w:rsidRPr="00E45340" w:rsidRDefault="00F01B8F" w:rsidP="001B56F1">
            <w:pPr>
              <w:pStyle w:val="TableBodyText"/>
              <w:rPr>
                <w:sz w:val="18"/>
                <w:szCs w:val="18"/>
              </w:rPr>
            </w:pPr>
            <w:r w:rsidRPr="00E45340">
              <w:rPr>
                <w:sz w:val="18"/>
                <w:szCs w:val="18"/>
              </w:rPr>
              <w:t>0.3</w:t>
            </w:r>
          </w:p>
        </w:tc>
      </w:tr>
      <w:tr w:rsidR="00F01B8F" w:rsidRPr="006C5A80" w:rsidTr="001B56F1">
        <w:tc>
          <w:tcPr>
            <w:tcW w:w="1959" w:type="pct"/>
            <w:vAlign w:val="bottom"/>
          </w:tcPr>
          <w:p w:rsidR="00F01B8F" w:rsidRPr="00E45340" w:rsidRDefault="00F01B8F" w:rsidP="001B56F1">
            <w:pPr>
              <w:pStyle w:val="TableBodyText"/>
              <w:jc w:val="left"/>
              <w:rPr>
                <w:sz w:val="18"/>
                <w:szCs w:val="18"/>
              </w:rPr>
            </w:pPr>
            <w:r w:rsidRPr="00E45340">
              <w:rPr>
                <w:sz w:val="18"/>
                <w:szCs w:val="18"/>
              </w:rPr>
              <w:t>Unallocated primary production</w:t>
            </w:r>
            <w:r w:rsidRPr="00E45340">
              <w:rPr>
                <w:rStyle w:val="NoteLabel"/>
                <w:szCs w:val="18"/>
              </w:rPr>
              <w:t>a</w:t>
            </w:r>
          </w:p>
        </w:tc>
        <w:tc>
          <w:tcPr>
            <w:tcW w:w="507" w:type="pct"/>
            <w:vAlign w:val="bottom"/>
          </w:tcPr>
          <w:p w:rsidR="00F01B8F" w:rsidRPr="00E45340" w:rsidRDefault="00F01B8F" w:rsidP="001B56F1">
            <w:pPr>
              <w:pStyle w:val="TableBodyText"/>
              <w:rPr>
                <w:sz w:val="18"/>
                <w:szCs w:val="18"/>
              </w:rPr>
            </w:pPr>
            <w:r w:rsidRPr="00E45340">
              <w:rPr>
                <w:sz w:val="18"/>
                <w:szCs w:val="18"/>
              </w:rPr>
              <w:noBreakHyphen/>
            </w:r>
          </w:p>
        </w:tc>
        <w:tc>
          <w:tcPr>
            <w:tcW w:w="507" w:type="pct"/>
            <w:vAlign w:val="bottom"/>
          </w:tcPr>
          <w:p w:rsidR="00F01B8F" w:rsidRPr="00E45340" w:rsidRDefault="00F01B8F" w:rsidP="001B56F1">
            <w:pPr>
              <w:pStyle w:val="TableBodyText"/>
              <w:rPr>
                <w:sz w:val="18"/>
                <w:szCs w:val="18"/>
              </w:rPr>
            </w:pPr>
            <w:r w:rsidRPr="00E45340">
              <w:rPr>
                <w:sz w:val="18"/>
                <w:szCs w:val="18"/>
              </w:rPr>
              <w:noBreakHyphen/>
            </w:r>
          </w:p>
        </w:tc>
        <w:tc>
          <w:tcPr>
            <w:tcW w:w="507" w:type="pct"/>
            <w:vAlign w:val="bottom"/>
          </w:tcPr>
          <w:p w:rsidR="00F01B8F" w:rsidRPr="00E45340" w:rsidRDefault="00F01B8F" w:rsidP="001B56F1">
            <w:pPr>
              <w:pStyle w:val="TableBodyText"/>
              <w:rPr>
                <w:sz w:val="18"/>
                <w:szCs w:val="18"/>
              </w:rPr>
            </w:pPr>
            <w:r w:rsidRPr="00E45340">
              <w:rPr>
                <w:sz w:val="18"/>
                <w:szCs w:val="18"/>
              </w:rPr>
              <w:t>22.8</w:t>
            </w:r>
          </w:p>
        </w:tc>
        <w:tc>
          <w:tcPr>
            <w:tcW w:w="507" w:type="pct"/>
            <w:vAlign w:val="bottom"/>
          </w:tcPr>
          <w:p w:rsidR="00F01B8F" w:rsidRPr="00E45340" w:rsidRDefault="00F01B8F" w:rsidP="001B56F1">
            <w:pPr>
              <w:pStyle w:val="TableBodyText"/>
              <w:rPr>
                <w:sz w:val="18"/>
                <w:szCs w:val="18"/>
              </w:rPr>
            </w:pPr>
            <w:r w:rsidRPr="00E45340">
              <w:rPr>
                <w:sz w:val="18"/>
                <w:szCs w:val="18"/>
              </w:rPr>
              <w:t>13.9</w:t>
            </w:r>
          </w:p>
        </w:tc>
        <w:tc>
          <w:tcPr>
            <w:tcW w:w="507" w:type="pct"/>
            <w:shd w:val="clear" w:color="auto" w:fill="auto"/>
            <w:vAlign w:val="bottom"/>
          </w:tcPr>
          <w:p w:rsidR="00F01B8F" w:rsidRPr="00E45340" w:rsidRDefault="00F01B8F" w:rsidP="001B56F1">
            <w:pPr>
              <w:pStyle w:val="TableBodyText"/>
              <w:rPr>
                <w:sz w:val="18"/>
                <w:szCs w:val="18"/>
              </w:rPr>
            </w:pPr>
            <w:r w:rsidRPr="00E45340">
              <w:rPr>
                <w:sz w:val="18"/>
                <w:szCs w:val="18"/>
              </w:rPr>
              <w:t>14.6</w:t>
            </w:r>
          </w:p>
        </w:tc>
        <w:tc>
          <w:tcPr>
            <w:tcW w:w="507" w:type="pct"/>
            <w:shd w:val="clear" w:color="auto" w:fill="auto"/>
            <w:vAlign w:val="bottom"/>
          </w:tcPr>
          <w:p w:rsidR="00F01B8F" w:rsidRPr="00E45340" w:rsidRDefault="00F01B8F" w:rsidP="001B56F1">
            <w:pPr>
              <w:pStyle w:val="TableBodyText"/>
              <w:rPr>
                <w:sz w:val="18"/>
                <w:szCs w:val="18"/>
              </w:rPr>
            </w:pPr>
            <w:r w:rsidRPr="00E45340">
              <w:rPr>
                <w:sz w:val="18"/>
                <w:szCs w:val="18"/>
              </w:rPr>
              <w:t>0.3</w:t>
            </w:r>
          </w:p>
        </w:tc>
      </w:tr>
      <w:tr w:rsidR="00F01B8F" w:rsidRPr="006C5A80" w:rsidTr="001B56F1">
        <w:tc>
          <w:tcPr>
            <w:tcW w:w="1959" w:type="pct"/>
            <w:vAlign w:val="bottom"/>
          </w:tcPr>
          <w:p w:rsidR="00F01B8F" w:rsidRPr="00E45340" w:rsidRDefault="00F01B8F" w:rsidP="001B56F1">
            <w:pPr>
              <w:pStyle w:val="TableBodyText"/>
              <w:jc w:val="left"/>
              <w:rPr>
                <w:b/>
                <w:sz w:val="18"/>
                <w:szCs w:val="18"/>
              </w:rPr>
            </w:pPr>
            <w:r w:rsidRPr="00E45340">
              <w:rPr>
                <w:b/>
                <w:sz w:val="18"/>
                <w:szCs w:val="18"/>
              </w:rPr>
              <w:t>Services</w:t>
            </w:r>
          </w:p>
        </w:tc>
        <w:tc>
          <w:tcPr>
            <w:tcW w:w="507" w:type="pct"/>
            <w:vAlign w:val="bottom"/>
          </w:tcPr>
          <w:p w:rsidR="00F01B8F" w:rsidRPr="00E45340" w:rsidRDefault="00F01B8F" w:rsidP="001B56F1">
            <w:pPr>
              <w:pStyle w:val="TableBodyText"/>
              <w:rPr>
                <w:b/>
                <w:sz w:val="18"/>
                <w:szCs w:val="18"/>
              </w:rPr>
            </w:pPr>
            <w:r w:rsidRPr="00E45340">
              <w:rPr>
                <w:b/>
                <w:sz w:val="18"/>
                <w:szCs w:val="18"/>
              </w:rPr>
              <w:noBreakHyphen/>
            </w:r>
          </w:p>
        </w:tc>
        <w:tc>
          <w:tcPr>
            <w:tcW w:w="507" w:type="pct"/>
            <w:vAlign w:val="bottom"/>
          </w:tcPr>
          <w:p w:rsidR="00F01B8F" w:rsidRPr="00E45340" w:rsidRDefault="00F01B8F" w:rsidP="001B56F1">
            <w:pPr>
              <w:pStyle w:val="TableBodyText"/>
              <w:rPr>
                <w:b/>
                <w:sz w:val="18"/>
                <w:szCs w:val="18"/>
              </w:rPr>
            </w:pPr>
            <w:r w:rsidRPr="00E45340">
              <w:rPr>
                <w:b/>
                <w:sz w:val="18"/>
                <w:szCs w:val="18"/>
              </w:rPr>
              <w:noBreakHyphen/>
            </w:r>
          </w:p>
        </w:tc>
        <w:tc>
          <w:tcPr>
            <w:tcW w:w="507" w:type="pct"/>
            <w:vAlign w:val="bottom"/>
          </w:tcPr>
          <w:p w:rsidR="00F01B8F" w:rsidRPr="00E45340" w:rsidRDefault="00F01B8F" w:rsidP="001B56F1">
            <w:pPr>
              <w:pStyle w:val="TableBodyText"/>
              <w:rPr>
                <w:b/>
                <w:sz w:val="18"/>
                <w:szCs w:val="18"/>
              </w:rPr>
            </w:pPr>
            <w:r w:rsidRPr="00E45340">
              <w:rPr>
                <w:b/>
                <w:sz w:val="18"/>
                <w:szCs w:val="18"/>
              </w:rPr>
              <w:noBreakHyphen/>
            </w:r>
          </w:p>
        </w:tc>
        <w:tc>
          <w:tcPr>
            <w:tcW w:w="507" w:type="pct"/>
            <w:vAlign w:val="bottom"/>
          </w:tcPr>
          <w:p w:rsidR="00F01B8F" w:rsidRPr="00E45340" w:rsidRDefault="00F01B8F" w:rsidP="001B56F1">
            <w:pPr>
              <w:pStyle w:val="TableBodyText"/>
              <w:rPr>
                <w:b/>
                <w:sz w:val="18"/>
                <w:szCs w:val="18"/>
              </w:rPr>
            </w:pPr>
            <w:r w:rsidRPr="00E45340">
              <w:rPr>
                <w:b/>
                <w:sz w:val="18"/>
                <w:szCs w:val="18"/>
              </w:rPr>
              <w:noBreakHyphen/>
            </w:r>
          </w:p>
        </w:tc>
        <w:tc>
          <w:tcPr>
            <w:tcW w:w="507" w:type="pct"/>
            <w:shd w:val="clear" w:color="auto" w:fill="auto"/>
            <w:vAlign w:val="bottom"/>
          </w:tcPr>
          <w:p w:rsidR="00F01B8F" w:rsidRPr="00E45340" w:rsidRDefault="00F01B8F" w:rsidP="001B56F1">
            <w:pPr>
              <w:pStyle w:val="TableBodyText"/>
              <w:rPr>
                <w:b/>
                <w:sz w:val="18"/>
                <w:szCs w:val="18"/>
              </w:rPr>
            </w:pPr>
            <w:r w:rsidRPr="00E45340">
              <w:rPr>
                <w:b/>
                <w:sz w:val="18"/>
                <w:szCs w:val="18"/>
              </w:rPr>
              <w:t>0.9</w:t>
            </w:r>
          </w:p>
        </w:tc>
        <w:tc>
          <w:tcPr>
            <w:tcW w:w="507" w:type="pct"/>
            <w:shd w:val="clear" w:color="auto" w:fill="auto"/>
            <w:vAlign w:val="bottom"/>
          </w:tcPr>
          <w:p w:rsidR="00F01B8F" w:rsidRPr="00E45340" w:rsidRDefault="00F01B8F" w:rsidP="001B56F1">
            <w:pPr>
              <w:pStyle w:val="TableBodyText"/>
              <w:rPr>
                <w:b/>
                <w:sz w:val="18"/>
                <w:szCs w:val="18"/>
              </w:rPr>
            </w:pPr>
            <w:r w:rsidRPr="00600848">
              <w:rPr>
                <w:b/>
                <w:sz w:val="18"/>
                <w:szCs w:val="18"/>
              </w:rPr>
              <w:t>&lt;0.1</w:t>
            </w:r>
          </w:p>
        </w:tc>
      </w:tr>
      <w:tr w:rsidR="00F01B8F" w:rsidRPr="006C5A80" w:rsidTr="001B56F1">
        <w:tc>
          <w:tcPr>
            <w:tcW w:w="1959" w:type="pct"/>
            <w:vAlign w:val="bottom"/>
          </w:tcPr>
          <w:p w:rsidR="00F01B8F" w:rsidRPr="00E45340" w:rsidRDefault="00F01B8F" w:rsidP="001B56F1">
            <w:pPr>
              <w:pStyle w:val="TableBodyText"/>
              <w:jc w:val="left"/>
              <w:rPr>
                <w:sz w:val="18"/>
                <w:szCs w:val="18"/>
              </w:rPr>
            </w:pPr>
            <w:r w:rsidRPr="00E45340">
              <w:rPr>
                <w:sz w:val="18"/>
                <w:szCs w:val="18"/>
              </w:rPr>
              <w:t>Transport, postal and warehousing</w:t>
            </w:r>
          </w:p>
        </w:tc>
        <w:tc>
          <w:tcPr>
            <w:tcW w:w="507" w:type="pct"/>
            <w:vAlign w:val="bottom"/>
          </w:tcPr>
          <w:p w:rsidR="00F01B8F" w:rsidRPr="00E45340" w:rsidRDefault="00F01B8F" w:rsidP="001B56F1">
            <w:pPr>
              <w:pStyle w:val="TableBodyText"/>
              <w:rPr>
                <w:sz w:val="18"/>
                <w:szCs w:val="18"/>
              </w:rPr>
            </w:pPr>
            <w:r w:rsidRPr="00E45340">
              <w:rPr>
                <w:sz w:val="18"/>
                <w:szCs w:val="18"/>
              </w:rPr>
              <w:noBreakHyphen/>
            </w:r>
          </w:p>
        </w:tc>
        <w:tc>
          <w:tcPr>
            <w:tcW w:w="507" w:type="pct"/>
            <w:vAlign w:val="bottom"/>
          </w:tcPr>
          <w:p w:rsidR="00F01B8F" w:rsidRPr="00E45340" w:rsidRDefault="00F01B8F" w:rsidP="001B56F1">
            <w:pPr>
              <w:pStyle w:val="TableBodyText"/>
              <w:rPr>
                <w:sz w:val="18"/>
                <w:szCs w:val="18"/>
              </w:rPr>
            </w:pPr>
            <w:r w:rsidRPr="00E45340">
              <w:rPr>
                <w:sz w:val="18"/>
                <w:szCs w:val="18"/>
              </w:rPr>
              <w:noBreakHyphen/>
            </w:r>
          </w:p>
        </w:tc>
        <w:tc>
          <w:tcPr>
            <w:tcW w:w="507" w:type="pct"/>
            <w:vAlign w:val="bottom"/>
          </w:tcPr>
          <w:p w:rsidR="00F01B8F" w:rsidRPr="00E45340" w:rsidRDefault="00F01B8F" w:rsidP="001B56F1">
            <w:pPr>
              <w:pStyle w:val="TableBodyText"/>
              <w:rPr>
                <w:sz w:val="18"/>
                <w:szCs w:val="18"/>
              </w:rPr>
            </w:pPr>
            <w:r w:rsidRPr="00E45340">
              <w:rPr>
                <w:sz w:val="18"/>
                <w:szCs w:val="18"/>
              </w:rPr>
              <w:noBreakHyphen/>
            </w:r>
          </w:p>
        </w:tc>
        <w:tc>
          <w:tcPr>
            <w:tcW w:w="507" w:type="pct"/>
            <w:vAlign w:val="bottom"/>
          </w:tcPr>
          <w:p w:rsidR="00F01B8F" w:rsidRPr="00E45340" w:rsidRDefault="00F01B8F" w:rsidP="001B56F1">
            <w:pPr>
              <w:pStyle w:val="TableBodyText"/>
              <w:rPr>
                <w:sz w:val="18"/>
                <w:szCs w:val="18"/>
              </w:rPr>
            </w:pPr>
            <w:r w:rsidRPr="00E45340">
              <w:rPr>
                <w:sz w:val="18"/>
                <w:szCs w:val="18"/>
              </w:rPr>
              <w:noBreakHyphen/>
            </w:r>
          </w:p>
        </w:tc>
        <w:tc>
          <w:tcPr>
            <w:tcW w:w="507" w:type="pct"/>
            <w:shd w:val="clear" w:color="auto" w:fill="auto"/>
            <w:vAlign w:val="bottom"/>
          </w:tcPr>
          <w:p w:rsidR="00F01B8F" w:rsidRPr="00E45340" w:rsidRDefault="00F01B8F" w:rsidP="001B56F1">
            <w:pPr>
              <w:pStyle w:val="TableBodyText"/>
              <w:rPr>
                <w:sz w:val="18"/>
                <w:szCs w:val="18"/>
              </w:rPr>
            </w:pPr>
            <w:r w:rsidRPr="00E45340">
              <w:rPr>
                <w:sz w:val="18"/>
                <w:szCs w:val="18"/>
              </w:rPr>
              <w:t>0.9</w:t>
            </w:r>
          </w:p>
        </w:tc>
        <w:tc>
          <w:tcPr>
            <w:tcW w:w="507" w:type="pct"/>
            <w:shd w:val="clear" w:color="auto" w:fill="auto"/>
            <w:vAlign w:val="bottom"/>
          </w:tcPr>
          <w:p w:rsidR="00F01B8F" w:rsidRPr="00E45340" w:rsidRDefault="00F01B8F" w:rsidP="001B56F1">
            <w:pPr>
              <w:pStyle w:val="TableBodyText"/>
              <w:rPr>
                <w:sz w:val="18"/>
                <w:szCs w:val="18"/>
              </w:rPr>
            </w:pPr>
            <w:r>
              <w:rPr>
                <w:sz w:val="18"/>
                <w:szCs w:val="18"/>
              </w:rPr>
              <w:t>&lt;0.1</w:t>
            </w:r>
          </w:p>
        </w:tc>
      </w:tr>
      <w:tr w:rsidR="00F01B8F" w:rsidRPr="006C5A80" w:rsidTr="001B56F1">
        <w:tc>
          <w:tcPr>
            <w:tcW w:w="1959" w:type="pct"/>
            <w:tcBorders>
              <w:bottom w:val="single" w:sz="4" w:space="0" w:color="auto"/>
            </w:tcBorders>
            <w:vAlign w:val="bottom"/>
          </w:tcPr>
          <w:p w:rsidR="00F01B8F" w:rsidRPr="00E45340" w:rsidRDefault="00F01B8F" w:rsidP="001B56F1">
            <w:pPr>
              <w:pStyle w:val="TableBodyText"/>
              <w:jc w:val="left"/>
              <w:rPr>
                <w:b/>
                <w:bCs/>
                <w:sz w:val="18"/>
                <w:szCs w:val="18"/>
              </w:rPr>
            </w:pPr>
            <w:r w:rsidRPr="00E45340">
              <w:rPr>
                <w:b/>
                <w:bCs/>
                <w:sz w:val="18"/>
                <w:szCs w:val="18"/>
              </w:rPr>
              <w:t>Total</w:t>
            </w:r>
          </w:p>
        </w:tc>
        <w:tc>
          <w:tcPr>
            <w:tcW w:w="507" w:type="pct"/>
            <w:tcBorders>
              <w:bottom w:val="single" w:sz="4" w:space="0" w:color="auto"/>
            </w:tcBorders>
            <w:vAlign w:val="bottom"/>
          </w:tcPr>
          <w:p w:rsidR="00F01B8F" w:rsidRPr="00E45340" w:rsidRDefault="00F01B8F" w:rsidP="001B56F1">
            <w:pPr>
              <w:pStyle w:val="TableBodyText"/>
              <w:rPr>
                <w:b/>
                <w:bCs/>
                <w:sz w:val="18"/>
                <w:szCs w:val="18"/>
              </w:rPr>
            </w:pPr>
            <w:r w:rsidRPr="00E45340">
              <w:rPr>
                <w:b/>
                <w:bCs/>
                <w:sz w:val="18"/>
                <w:szCs w:val="18"/>
              </w:rPr>
              <w:t>254.9</w:t>
            </w:r>
          </w:p>
        </w:tc>
        <w:tc>
          <w:tcPr>
            <w:tcW w:w="507" w:type="pct"/>
            <w:tcBorders>
              <w:bottom w:val="single" w:sz="4" w:space="0" w:color="auto"/>
            </w:tcBorders>
            <w:vAlign w:val="bottom"/>
          </w:tcPr>
          <w:p w:rsidR="00F01B8F" w:rsidRPr="00E45340" w:rsidRDefault="00F01B8F" w:rsidP="001B56F1">
            <w:pPr>
              <w:pStyle w:val="TableBodyText"/>
              <w:rPr>
                <w:b/>
                <w:bCs/>
                <w:sz w:val="18"/>
                <w:szCs w:val="18"/>
              </w:rPr>
            </w:pPr>
            <w:r w:rsidRPr="00E45340">
              <w:rPr>
                <w:b/>
                <w:bCs/>
                <w:sz w:val="18"/>
                <w:szCs w:val="18"/>
              </w:rPr>
              <w:t>378.8</w:t>
            </w:r>
          </w:p>
        </w:tc>
        <w:tc>
          <w:tcPr>
            <w:tcW w:w="507" w:type="pct"/>
            <w:tcBorders>
              <w:bottom w:val="single" w:sz="4" w:space="0" w:color="auto"/>
            </w:tcBorders>
            <w:vAlign w:val="bottom"/>
          </w:tcPr>
          <w:p w:rsidR="00F01B8F" w:rsidRPr="00E45340" w:rsidRDefault="00F01B8F" w:rsidP="001B56F1">
            <w:pPr>
              <w:pStyle w:val="TableBodyText"/>
              <w:rPr>
                <w:b/>
                <w:bCs/>
                <w:sz w:val="18"/>
                <w:szCs w:val="18"/>
              </w:rPr>
            </w:pPr>
            <w:r w:rsidRPr="00E45340">
              <w:rPr>
                <w:b/>
                <w:bCs/>
                <w:sz w:val="18"/>
                <w:szCs w:val="18"/>
              </w:rPr>
              <w:t>321.7</w:t>
            </w:r>
          </w:p>
        </w:tc>
        <w:tc>
          <w:tcPr>
            <w:tcW w:w="507" w:type="pct"/>
            <w:tcBorders>
              <w:bottom w:val="single" w:sz="4" w:space="0" w:color="auto"/>
            </w:tcBorders>
            <w:vAlign w:val="bottom"/>
          </w:tcPr>
          <w:p w:rsidR="00F01B8F" w:rsidRPr="00E45340" w:rsidRDefault="00F01B8F" w:rsidP="001B56F1">
            <w:pPr>
              <w:pStyle w:val="TableBodyText"/>
              <w:rPr>
                <w:b/>
                <w:bCs/>
                <w:sz w:val="18"/>
                <w:szCs w:val="18"/>
              </w:rPr>
            </w:pPr>
            <w:r w:rsidRPr="00E45340">
              <w:rPr>
                <w:b/>
                <w:bCs/>
                <w:sz w:val="18"/>
                <w:szCs w:val="18"/>
              </w:rPr>
              <w:t>242.5</w:t>
            </w:r>
          </w:p>
        </w:tc>
        <w:tc>
          <w:tcPr>
            <w:tcW w:w="507" w:type="pct"/>
            <w:tcBorders>
              <w:bottom w:val="single" w:sz="4" w:space="0" w:color="auto"/>
            </w:tcBorders>
            <w:shd w:val="clear" w:color="auto" w:fill="auto"/>
            <w:vAlign w:val="bottom"/>
          </w:tcPr>
          <w:p w:rsidR="00F01B8F" w:rsidRPr="00E45340" w:rsidRDefault="00F01B8F" w:rsidP="001B56F1">
            <w:pPr>
              <w:pStyle w:val="TableBodyText"/>
              <w:rPr>
                <w:b/>
                <w:bCs/>
                <w:sz w:val="18"/>
                <w:szCs w:val="18"/>
              </w:rPr>
            </w:pPr>
            <w:r w:rsidRPr="00E45340">
              <w:rPr>
                <w:b/>
                <w:bCs/>
                <w:sz w:val="18"/>
                <w:szCs w:val="18"/>
              </w:rPr>
              <w:t>146.0</w:t>
            </w:r>
          </w:p>
        </w:tc>
        <w:tc>
          <w:tcPr>
            <w:tcW w:w="507" w:type="pct"/>
            <w:tcBorders>
              <w:bottom w:val="single" w:sz="4" w:space="0" w:color="auto"/>
            </w:tcBorders>
            <w:shd w:val="clear" w:color="auto" w:fill="auto"/>
            <w:vAlign w:val="bottom"/>
          </w:tcPr>
          <w:p w:rsidR="00F01B8F" w:rsidRPr="00E45340" w:rsidRDefault="00F01B8F" w:rsidP="001B56F1">
            <w:pPr>
              <w:pStyle w:val="TableBodyText"/>
              <w:rPr>
                <w:b/>
                <w:bCs/>
                <w:sz w:val="18"/>
                <w:szCs w:val="18"/>
              </w:rPr>
            </w:pPr>
            <w:r w:rsidRPr="00E45340">
              <w:rPr>
                <w:b/>
                <w:bCs/>
                <w:sz w:val="18"/>
                <w:szCs w:val="18"/>
              </w:rPr>
              <w:t>6.5</w:t>
            </w:r>
          </w:p>
        </w:tc>
      </w:tr>
    </w:tbl>
    <w:p w:rsidR="00F01B8F" w:rsidRDefault="00F01B8F" w:rsidP="00F01B8F">
      <w:pPr>
        <w:pStyle w:val="Note"/>
      </w:pPr>
      <w:r>
        <w:t xml:space="preserve">– Nil. </w:t>
      </w:r>
      <w:r w:rsidRPr="008E77FE">
        <w:rPr>
          <w:rStyle w:val="NoteLabel"/>
        </w:rPr>
        <w:t>a</w:t>
      </w:r>
      <w:r>
        <w:t xml:space="preserve"> Unallocated includes general programs where details of beneficiaries are unknown.</w:t>
      </w:r>
    </w:p>
    <w:p w:rsidR="00F01B8F" w:rsidRDefault="00F01B8F" w:rsidP="00F01B8F">
      <w:pPr>
        <w:pStyle w:val="Source"/>
      </w:pPr>
      <w:r>
        <w:rPr>
          <w:i/>
        </w:rPr>
        <w:t>Source</w:t>
      </w:r>
      <w:r>
        <w:t xml:space="preserve">: </w:t>
      </w:r>
      <w:r w:rsidRPr="00101E55">
        <w:t>Commission estimates based on detailed DAFF data by ANZSIC industry</w:t>
      </w:r>
      <w:r>
        <w:t>.</w:t>
      </w:r>
    </w:p>
    <w:p w:rsidR="001A0C4A" w:rsidRPr="001A0C4A" w:rsidRDefault="001A0C4A" w:rsidP="001A0C4A">
      <w:pPr>
        <w:pStyle w:val="Source"/>
      </w:pPr>
      <w:r>
        <w:br w:type="page"/>
      </w:r>
    </w:p>
    <w:p w:rsidR="00860587" w:rsidRDefault="00FA09C3" w:rsidP="00860587">
      <w:pPr>
        <w:pStyle w:val="Heading2"/>
      </w:pPr>
      <w:r>
        <w:t>A.</w:t>
      </w:r>
      <w:r>
        <w:rPr>
          <w:noProof/>
        </w:rPr>
        <w:t>83</w:t>
      </w:r>
      <w:r w:rsidR="00860587">
        <w:tab/>
        <w:t>Procurement Strategy — strengthening the Australian Industry Participation National Framework and streamlining AusTender</w:t>
      </w:r>
    </w:p>
    <w:p w:rsidR="00860587" w:rsidRPr="005C75B2" w:rsidRDefault="00860587" w:rsidP="00860587">
      <w:pPr>
        <w:pStyle w:val="BodyText"/>
      </w:pPr>
      <w:r w:rsidRPr="005C75B2">
        <w:t xml:space="preserve">In November 2009, the Australian Government announced that it would provide $19.1 million over four years to strengthen the Australian Industry Participation (AIP) National Framework and for related initiatives to help ensure that Australian industry can participate in investment projects and government procurement </w:t>
      </w:r>
      <w:r w:rsidRPr="002F5C9C">
        <w:t>(</w:t>
      </w:r>
      <w:r w:rsidRPr="00582F97">
        <w:t>Australian Government 2009</w:t>
      </w:r>
      <w:r w:rsidRPr="002F5C9C">
        <w:t>)</w:t>
      </w:r>
      <w:r w:rsidRPr="005C75B2">
        <w:t>. Under the AIP National Framework, all levels of government are encouraged to adopt a consistent national approach to maximising Australian industry participation in Australian and overseas investment projects.</w:t>
      </w:r>
    </w:p>
    <w:p w:rsidR="00860587" w:rsidRDefault="00860587" w:rsidP="00860587">
      <w:pPr>
        <w:pStyle w:val="BodyText"/>
      </w:pPr>
      <w:r w:rsidRPr="005C75B2">
        <w:t xml:space="preserve">Information </w:t>
      </w:r>
      <w:r>
        <w:t xml:space="preserve">on the industry incidence of the program has not been readily available. Accordingly, the budget outlay has </w:t>
      </w:r>
      <w:r w:rsidRPr="005C75B2">
        <w:t xml:space="preserve">been </w:t>
      </w:r>
      <w:r>
        <w:t>classifie</w:t>
      </w:r>
      <w:r w:rsidRPr="005C75B2">
        <w:t xml:space="preserve">d to the </w:t>
      </w:r>
      <w:r w:rsidRPr="005C75B2">
        <w:rPr>
          <w:i/>
        </w:rPr>
        <w:t xml:space="preserve">Unallocated </w:t>
      </w:r>
      <w:r>
        <w:rPr>
          <w:i/>
        </w:rPr>
        <w:t>other</w:t>
      </w:r>
      <w:r w:rsidRPr="005C75B2">
        <w:t xml:space="preserve"> </w:t>
      </w:r>
      <w:r>
        <w:t>industry</w:t>
      </w:r>
      <w:r w:rsidRPr="005C75B2">
        <w:t xml:space="preserve"> grouping</w:t>
      </w:r>
      <w:r>
        <w:t xml:space="preserve"> in the Commission’s ANZSIC-based classification (table A.8</w:t>
      </w:r>
      <w:r w:rsidR="00C75068">
        <w:t>3</w:t>
      </w:r>
      <w:r>
        <w:t>)</w:t>
      </w:r>
      <w:r w:rsidRPr="005C75B2">
        <w:t>.</w:t>
      </w:r>
    </w:p>
    <w:p w:rsidR="00860587" w:rsidRDefault="00860587" w:rsidP="00860587">
      <w:pPr>
        <w:pStyle w:val="TableTitle"/>
      </w:pPr>
      <w:r>
        <w:rPr>
          <w:b w:val="0"/>
        </w:rPr>
        <w:t xml:space="preserve">Table </w:t>
      </w:r>
      <w:r w:rsidR="00FA09C3">
        <w:rPr>
          <w:b w:val="0"/>
        </w:rPr>
        <w:t>A.</w:t>
      </w:r>
      <w:r w:rsidR="00FA09C3">
        <w:rPr>
          <w:b w:val="0"/>
          <w:noProof/>
        </w:rPr>
        <w:t>83</w:t>
      </w:r>
      <w:r>
        <w:tab/>
        <w:t>Allocation of Procurement Strategy</w:t>
      </w:r>
      <w:r w:rsidR="008F5A92">
        <w:t xml:space="preserve"> </w:t>
      </w:r>
      <w:r w:rsidR="00CF21E7">
        <w:t>–</w:t>
      </w:r>
      <w:r w:rsidR="008F5A92">
        <w:t xml:space="preserve"> strengthening the Australian Industry Participation National Framework and streamlining Aus Tender</w:t>
      </w:r>
      <w:r w:rsidR="008F5A92" w:rsidRPr="008F5A92">
        <w:t xml:space="preserve"> to industry</w:t>
      </w:r>
      <w:r>
        <w:t>, 2006</w:t>
      </w:r>
      <w:r>
        <w:noBreakHyphen/>
        <w:t>07 to 2011</w:t>
      </w:r>
      <w:r>
        <w:noBreakHyphen/>
        <w:t>12</w:t>
      </w:r>
    </w:p>
    <w:p w:rsidR="00860587" w:rsidRDefault="00860587" w:rsidP="00860587">
      <w:pPr>
        <w:pStyle w:val="Subtitle"/>
      </w:pPr>
      <w:r>
        <w:t>$</w:t>
      </w:r>
      <w:r w:rsidR="00533F6F">
        <w:t xml:space="preserve"> </w:t>
      </w:r>
      <w:r>
        <w:t>million (nominal)</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860587" w:rsidRPr="00AF699A" w:rsidTr="00CB219A">
        <w:trPr>
          <w:trHeight w:val="340"/>
        </w:trPr>
        <w:tc>
          <w:tcPr>
            <w:tcW w:w="1958" w:type="pct"/>
            <w:tcBorders>
              <w:top w:val="single" w:sz="6" w:space="0" w:color="auto"/>
              <w:bottom w:val="single" w:sz="6" w:space="0" w:color="auto"/>
            </w:tcBorders>
          </w:tcPr>
          <w:p w:rsidR="00860587" w:rsidRPr="00AF699A" w:rsidRDefault="00860587"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860587" w:rsidRPr="00AF699A" w:rsidRDefault="00860587"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860587" w:rsidRPr="00AF699A" w:rsidRDefault="00860587"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860587" w:rsidRPr="00AF699A" w:rsidRDefault="00860587"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860587" w:rsidRPr="00AF699A" w:rsidRDefault="00860587"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860587" w:rsidRPr="00AF699A" w:rsidRDefault="00860587" w:rsidP="001B56F1">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860587" w:rsidRPr="00AF699A" w:rsidRDefault="00860587" w:rsidP="001B56F1">
            <w:pPr>
              <w:pStyle w:val="TableColumnHeading"/>
              <w:ind w:right="28"/>
              <w:rPr>
                <w:rFonts w:cs="Arial"/>
                <w:sz w:val="18"/>
                <w:szCs w:val="18"/>
              </w:rPr>
            </w:pPr>
            <w:r w:rsidRPr="00AF699A">
              <w:rPr>
                <w:rFonts w:cs="Arial"/>
                <w:sz w:val="18"/>
                <w:szCs w:val="18"/>
              </w:rPr>
              <w:t>2011-12</w:t>
            </w:r>
          </w:p>
        </w:tc>
      </w:tr>
      <w:tr w:rsidR="00860587" w:rsidRPr="00BF0233" w:rsidTr="001B56F1">
        <w:tc>
          <w:tcPr>
            <w:tcW w:w="1958" w:type="pct"/>
            <w:tcBorders>
              <w:bottom w:val="single" w:sz="4" w:space="0" w:color="auto"/>
            </w:tcBorders>
            <w:vAlign w:val="bottom"/>
          </w:tcPr>
          <w:p w:rsidR="00860587" w:rsidRPr="00193404" w:rsidRDefault="00860587" w:rsidP="001B56F1">
            <w:pPr>
              <w:pStyle w:val="TableBodyText"/>
              <w:jc w:val="left"/>
            </w:pPr>
            <w:r w:rsidRPr="00193404">
              <w:t>Unallocated other</w:t>
            </w:r>
            <w:r w:rsidRPr="00BD3CDA">
              <w:rPr>
                <w:rStyle w:val="NoteLabel"/>
                <w:szCs w:val="18"/>
              </w:rPr>
              <w:t>a</w:t>
            </w:r>
          </w:p>
        </w:tc>
        <w:tc>
          <w:tcPr>
            <w:tcW w:w="507" w:type="pct"/>
            <w:tcBorders>
              <w:bottom w:val="single" w:sz="4" w:space="0" w:color="auto"/>
            </w:tcBorders>
            <w:vAlign w:val="bottom"/>
          </w:tcPr>
          <w:p w:rsidR="00860587" w:rsidRPr="00193404" w:rsidRDefault="00860587" w:rsidP="001B56F1">
            <w:pPr>
              <w:pStyle w:val="TableBodyText"/>
            </w:pPr>
            <w:r w:rsidRPr="00193404">
              <w:noBreakHyphen/>
            </w:r>
          </w:p>
        </w:tc>
        <w:tc>
          <w:tcPr>
            <w:tcW w:w="507" w:type="pct"/>
            <w:tcBorders>
              <w:bottom w:val="single" w:sz="4" w:space="0" w:color="auto"/>
            </w:tcBorders>
            <w:vAlign w:val="bottom"/>
          </w:tcPr>
          <w:p w:rsidR="00860587" w:rsidRPr="00193404" w:rsidRDefault="00860587" w:rsidP="001B56F1">
            <w:pPr>
              <w:pStyle w:val="TableBodyText"/>
            </w:pPr>
            <w:r w:rsidRPr="00193404">
              <w:noBreakHyphen/>
            </w:r>
          </w:p>
        </w:tc>
        <w:tc>
          <w:tcPr>
            <w:tcW w:w="507" w:type="pct"/>
            <w:tcBorders>
              <w:bottom w:val="single" w:sz="4" w:space="0" w:color="auto"/>
            </w:tcBorders>
            <w:vAlign w:val="bottom"/>
          </w:tcPr>
          <w:p w:rsidR="00860587" w:rsidRPr="00193404" w:rsidRDefault="00860587" w:rsidP="001B56F1">
            <w:pPr>
              <w:pStyle w:val="TableBodyText"/>
            </w:pPr>
            <w:r w:rsidRPr="00193404">
              <w:noBreakHyphen/>
            </w:r>
          </w:p>
        </w:tc>
        <w:tc>
          <w:tcPr>
            <w:tcW w:w="507" w:type="pct"/>
            <w:tcBorders>
              <w:bottom w:val="single" w:sz="4" w:space="0" w:color="auto"/>
            </w:tcBorders>
            <w:vAlign w:val="bottom"/>
          </w:tcPr>
          <w:p w:rsidR="00860587" w:rsidRPr="00193404" w:rsidRDefault="00860587" w:rsidP="001B56F1">
            <w:pPr>
              <w:pStyle w:val="TableBodyText"/>
            </w:pPr>
            <w:r w:rsidRPr="00193404">
              <w:t>1.8</w:t>
            </w:r>
          </w:p>
        </w:tc>
        <w:tc>
          <w:tcPr>
            <w:tcW w:w="507" w:type="pct"/>
            <w:tcBorders>
              <w:bottom w:val="single" w:sz="4" w:space="0" w:color="auto"/>
            </w:tcBorders>
            <w:shd w:val="clear" w:color="auto" w:fill="auto"/>
            <w:vAlign w:val="bottom"/>
          </w:tcPr>
          <w:p w:rsidR="00860587" w:rsidRPr="00193404" w:rsidRDefault="00860587" w:rsidP="001B56F1">
            <w:pPr>
              <w:pStyle w:val="TableBodyText"/>
            </w:pPr>
            <w:r w:rsidRPr="00193404">
              <w:t>3.5</w:t>
            </w:r>
          </w:p>
        </w:tc>
        <w:tc>
          <w:tcPr>
            <w:tcW w:w="507" w:type="pct"/>
            <w:tcBorders>
              <w:bottom w:val="single" w:sz="4" w:space="0" w:color="auto"/>
            </w:tcBorders>
            <w:shd w:val="clear" w:color="auto" w:fill="auto"/>
            <w:vAlign w:val="bottom"/>
          </w:tcPr>
          <w:p w:rsidR="00860587" w:rsidRPr="00193404" w:rsidRDefault="00860587" w:rsidP="001B56F1">
            <w:pPr>
              <w:pStyle w:val="TableBodyText"/>
            </w:pPr>
            <w:r w:rsidRPr="00193404">
              <w:t>6.4</w:t>
            </w:r>
          </w:p>
        </w:tc>
      </w:tr>
    </w:tbl>
    <w:p w:rsidR="00860587" w:rsidRDefault="00860587" w:rsidP="00860587">
      <w:pPr>
        <w:pStyle w:val="Note"/>
      </w:pPr>
      <w:r w:rsidRPr="00A2379F">
        <w:noBreakHyphen/>
        <w:t xml:space="preserve"> Nil</w:t>
      </w:r>
      <w:r>
        <w:t>.</w:t>
      </w:r>
      <w:r w:rsidRPr="008E77FE">
        <w:rPr>
          <w:rStyle w:val="NoteLabel"/>
        </w:rPr>
        <w:t xml:space="preserve"> a</w:t>
      </w:r>
      <w:r>
        <w:t xml:space="preserve"> </w:t>
      </w:r>
      <w:r w:rsidRPr="009B56F1">
        <w:t>Unallocated includes general programs where detai</w:t>
      </w:r>
      <w:r>
        <w:t>ls of beneficiaries are unknown.</w:t>
      </w:r>
    </w:p>
    <w:p w:rsidR="00860587" w:rsidRPr="008E77FE" w:rsidRDefault="00860587" w:rsidP="00860587">
      <w:pPr>
        <w:pStyle w:val="Source"/>
      </w:pPr>
      <w:r>
        <w:rPr>
          <w:i/>
        </w:rPr>
        <w:t>Sources</w:t>
      </w:r>
      <w:r>
        <w:t>: Commission estimates based on DIISR Annual Report 2009</w:t>
      </w:r>
      <w:r>
        <w:noBreakHyphen/>
        <w:t xml:space="preserve">10; and </w:t>
      </w:r>
      <w:r w:rsidRPr="00D236A7">
        <w:t>DIISR Portfolio Budget Statements 2012</w:t>
      </w:r>
      <w:r>
        <w:noBreakHyphen/>
      </w:r>
      <w:r w:rsidRPr="00D236A7">
        <w:t>13 (</w:t>
      </w:r>
      <w:r>
        <w:t>and earlier</w:t>
      </w:r>
      <w:r w:rsidRPr="00D236A7">
        <w:t xml:space="preserve"> years)</w:t>
      </w:r>
      <w:r>
        <w:t>.</w:t>
      </w:r>
    </w:p>
    <w:p w:rsidR="00D677B3" w:rsidRDefault="00FA09C3" w:rsidP="00D677B3">
      <w:pPr>
        <w:pStyle w:val="Heading2"/>
      </w:pPr>
      <w:r>
        <w:t>A.</w:t>
      </w:r>
      <w:r>
        <w:rPr>
          <w:noProof/>
        </w:rPr>
        <w:t>84</w:t>
      </w:r>
      <w:r w:rsidR="00D677B3">
        <w:tab/>
        <w:t>Illawarra Region Innovation and Investment Fund</w:t>
      </w:r>
    </w:p>
    <w:p w:rsidR="00D677B3" w:rsidRPr="00741843" w:rsidRDefault="00D677B3" w:rsidP="00750CB0">
      <w:pPr>
        <w:pStyle w:val="BodyText"/>
      </w:pPr>
      <w:r w:rsidRPr="00741843">
        <w:t>The Illawarra Region Innovation Investment Fund (IRIIF) was established by the Australian and New South Wales governments, together with BlueScope Steel, following BlueScope’s announcement of a restructure of its operations and subsequent job losses in the Illawarra region. The IRIIF aims to support new investment to create new or additional business capacity to enhance employment, business and economic opportunities in the Illawarra Region (</w:t>
      </w:r>
      <w:r w:rsidRPr="00582F97">
        <w:t>AusIndustry 2013g</w:t>
      </w:r>
      <w:r w:rsidRPr="00741843">
        <w:t>).</w:t>
      </w:r>
    </w:p>
    <w:p w:rsidR="00D677B3" w:rsidRDefault="00D677B3" w:rsidP="00D677B3">
      <w:pPr>
        <w:pStyle w:val="BodyText"/>
      </w:pPr>
      <w:r>
        <w:t>The Commission has obtained information from the Department of Innovation, Industry, Science and Research detailing program funding according to ANZSIC industry. This information has been used to allocate the Department’s estimate of total program expenditure to the Commission’s ANZSIC-based industry groupings (table</w:t>
      </w:r>
      <w:r w:rsidR="00C065C1">
        <w:t> </w:t>
      </w:r>
      <w:r>
        <w:t>A.8</w:t>
      </w:r>
      <w:r w:rsidR="00C75068">
        <w:t>4</w:t>
      </w:r>
      <w:r>
        <w:t>).</w:t>
      </w:r>
    </w:p>
    <w:p w:rsidR="00D677B3" w:rsidRDefault="00D677B3" w:rsidP="00D677B3">
      <w:pPr>
        <w:pStyle w:val="TableTitle"/>
      </w:pPr>
      <w:r>
        <w:rPr>
          <w:b w:val="0"/>
        </w:rPr>
        <w:t xml:space="preserve">Table </w:t>
      </w:r>
      <w:r w:rsidR="00FA09C3">
        <w:rPr>
          <w:b w:val="0"/>
        </w:rPr>
        <w:t>A.</w:t>
      </w:r>
      <w:r w:rsidR="00FA09C3">
        <w:rPr>
          <w:b w:val="0"/>
          <w:noProof/>
        </w:rPr>
        <w:t>84</w:t>
      </w:r>
      <w:r>
        <w:tab/>
        <w:t xml:space="preserve">Allocation of Illawarra Region Innovation and Investment Fund </w:t>
      </w:r>
      <w:r w:rsidR="008F5A92" w:rsidRPr="008F5A92">
        <w:t>to industry</w:t>
      </w:r>
      <w:r>
        <w:t>, 2006</w:t>
      </w:r>
      <w:r>
        <w:noBreakHyphen/>
        <w:t>07 to 2011</w:t>
      </w:r>
      <w:r>
        <w:noBreakHyphen/>
        <w:t>12</w:t>
      </w:r>
    </w:p>
    <w:p w:rsidR="00D677B3" w:rsidRDefault="00D677B3" w:rsidP="00D677B3">
      <w:pPr>
        <w:pStyle w:val="Subtitle"/>
      </w:pPr>
      <w:r>
        <w:t>$</w:t>
      </w:r>
      <w:r w:rsidR="00533F6F">
        <w:t xml:space="preserve"> </w:t>
      </w:r>
      <w:r>
        <w:t xml:space="preserve">million (nominal) </w:t>
      </w:r>
    </w:p>
    <w:tbl>
      <w:tblPr>
        <w:tblW w:w="5000" w:type="pct"/>
        <w:tblCellMar>
          <w:left w:w="0" w:type="dxa"/>
          <w:right w:w="0" w:type="dxa"/>
        </w:tblCellMar>
        <w:tblLook w:val="0000" w:firstRow="0" w:lastRow="0" w:firstColumn="0" w:lastColumn="0" w:noHBand="0" w:noVBand="0"/>
      </w:tblPr>
      <w:tblGrid>
        <w:gridCol w:w="3445"/>
        <w:gridCol w:w="891"/>
        <w:gridCol w:w="891"/>
        <w:gridCol w:w="891"/>
        <w:gridCol w:w="891"/>
        <w:gridCol w:w="891"/>
        <w:gridCol w:w="889"/>
      </w:tblGrid>
      <w:tr w:rsidR="00D677B3" w:rsidRPr="00AF699A" w:rsidTr="00CB219A">
        <w:trPr>
          <w:trHeight w:val="340"/>
        </w:trPr>
        <w:tc>
          <w:tcPr>
            <w:tcW w:w="1959" w:type="pct"/>
            <w:tcBorders>
              <w:top w:val="single" w:sz="6" w:space="0" w:color="auto"/>
              <w:bottom w:val="single" w:sz="6" w:space="0" w:color="auto"/>
            </w:tcBorders>
          </w:tcPr>
          <w:p w:rsidR="00D677B3" w:rsidRPr="00AF699A" w:rsidRDefault="00D677B3"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D677B3" w:rsidRPr="00AF699A" w:rsidRDefault="00D677B3"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D677B3" w:rsidRPr="00AF699A" w:rsidRDefault="00D677B3"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D677B3" w:rsidRPr="00AF699A" w:rsidRDefault="00D677B3"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D677B3" w:rsidRPr="00AF699A" w:rsidRDefault="00D677B3"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D677B3" w:rsidRPr="00AF699A" w:rsidRDefault="00D677B3" w:rsidP="001B56F1">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D677B3" w:rsidRPr="00AF699A" w:rsidRDefault="00D677B3" w:rsidP="001B56F1">
            <w:pPr>
              <w:pStyle w:val="TableColumnHeading"/>
              <w:ind w:right="28"/>
              <w:rPr>
                <w:rFonts w:cs="Arial"/>
                <w:sz w:val="18"/>
                <w:szCs w:val="18"/>
              </w:rPr>
            </w:pPr>
            <w:r w:rsidRPr="00AF699A">
              <w:rPr>
                <w:rFonts w:cs="Arial"/>
                <w:sz w:val="18"/>
                <w:szCs w:val="18"/>
              </w:rPr>
              <w:t>2011-12</w:t>
            </w:r>
          </w:p>
        </w:tc>
      </w:tr>
      <w:tr w:rsidR="00D677B3" w:rsidRPr="00D61E53" w:rsidTr="001B56F1">
        <w:tc>
          <w:tcPr>
            <w:tcW w:w="1959" w:type="pct"/>
            <w:vAlign w:val="bottom"/>
          </w:tcPr>
          <w:p w:rsidR="00D677B3" w:rsidRPr="00D04898" w:rsidRDefault="00D677B3" w:rsidP="001B56F1">
            <w:pPr>
              <w:pStyle w:val="TableBodyText"/>
              <w:jc w:val="left"/>
              <w:rPr>
                <w:b/>
                <w:sz w:val="18"/>
                <w:szCs w:val="18"/>
              </w:rPr>
            </w:pPr>
            <w:r w:rsidRPr="00D04898">
              <w:rPr>
                <w:b/>
                <w:sz w:val="18"/>
                <w:szCs w:val="18"/>
              </w:rPr>
              <w:t>Manufacturing</w:t>
            </w:r>
          </w:p>
        </w:tc>
        <w:tc>
          <w:tcPr>
            <w:tcW w:w="507" w:type="pct"/>
            <w:vAlign w:val="bottom"/>
          </w:tcPr>
          <w:p w:rsidR="00D677B3" w:rsidRPr="00D04898" w:rsidRDefault="00D677B3" w:rsidP="001B56F1">
            <w:pPr>
              <w:pStyle w:val="TableBodyText"/>
              <w:rPr>
                <w:b/>
                <w:sz w:val="18"/>
                <w:szCs w:val="18"/>
              </w:rPr>
            </w:pPr>
            <w:r w:rsidRPr="00D04898">
              <w:rPr>
                <w:b/>
                <w:sz w:val="18"/>
                <w:szCs w:val="18"/>
              </w:rPr>
              <w:noBreakHyphen/>
            </w:r>
          </w:p>
        </w:tc>
        <w:tc>
          <w:tcPr>
            <w:tcW w:w="507" w:type="pct"/>
            <w:vAlign w:val="bottom"/>
          </w:tcPr>
          <w:p w:rsidR="00D677B3" w:rsidRPr="00D04898" w:rsidRDefault="00D677B3" w:rsidP="001B56F1">
            <w:pPr>
              <w:pStyle w:val="TableBodyText"/>
              <w:rPr>
                <w:b/>
                <w:sz w:val="18"/>
                <w:szCs w:val="18"/>
              </w:rPr>
            </w:pPr>
            <w:r w:rsidRPr="00D04898">
              <w:rPr>
                <w:b/>
                <w:sz w:val="18"/>
                <w:szCs w:val="18"/>
              </w:rPr>
              <w:noBreakHyphen/>
            </w:r>
          </w:p>
        </w:tc>
        <w:tc>
          <w:tcPr>
            <w:tcW w:w="507" w:type="pct"/>
            <w:vAlign w:val="bottom"/>
          </w:tcPr>
          <w:p w:rsidR="00D677B3" w:rsidRPr="00D04898" w:rsidRDefault="00D677B3" w:rsidP="001B56F1">
            <w:pPr>
              <w:pStyle w:val="TableBodyText"/>
              <w:rPr>
                <w:b/>
                <w:sz w:val="18"/>
                <w:szCs w:val="18"/>
              </w:rPr>
            </w:pPr>
            <w:r w:rsidRPr="00D04898">
              <w:rPr>
                <w:b/>
                <w:sz w:val="18"/>
                <w:szCs w:val="18"/>
              </w:rPr>
              <w:noBreakHyphen/>
            </w:r>
          </w:p>
        </w:tc>
        <w:tc>
          <w:tcPr>
            <w:tcW w:w="507" w:type="pct"/>
            <w:vAlign w:val="bottom"/>
          </w:tcPr>
          <w:p w:rsidR="00D677B3" w:rsidRPr="00D04898" w:rsidRDefault="00D677B3" w:rsidP="001B56F1">
            <w:pPr>
              <w:pStyle w:val="TableBodyText"/>
              <w:rPr>
                <w:b/>
                <w:sz w:val="18"/>
                <w:szCs w:val="18"/>
              </w:rPr>
            </w:pPr>
            <w:r w:rsidRPr="00D04898">
              <w:rPr>
                <w:b/>
                <w:sz w:val="18"/>
                <w:szCs w:val="18"/>
              </w:rPr>
              <w:noBreakHyphen/>
            </w:r>
          </w:p>
        </w:tc>
        <w:tc>
          <w:tcPr>
            <w:tcW w:w="507" w:type="pct"/>
            <w:shd w:val="clear" w:color="auto" w:fill="auto"/>
            <w:vAlign w:val="bottom"/>
          </w:tcPr>
          <w:p w:rsidR="00D677B3" w:rsidRPr="00D04898" w:rsidRDefault="00D677B3" w:rsidP="001B56F1">
            <w:pPr>
              <w:pStyle w:val="TableBodyText"/>
              <w:rPr>
                <w:b/>
                <w:sz w:val="18"/>
                <w:szCs w:val="18"/>
              </w:rPr>
            </w:pPr>
            <w:r w:rsidRPr="00D04898">
              <w:rPr>
                <w:b/>
                <w:sz w:val="18"/>
                <w:szCs w:val="18"/>
              </w:rPr>
              <w:noBreakHyphen/>
            </w:r>
          </w:p>
        </w:tc>
        <w:tc>
          <w:tcPr>
            <w:tcW w:w="507" w:type="pct"/>
            <w:shd w:val="clear" w:color="auto" w:fill="auto"/>
            <w:vAlign w:val="bottom"/>
          </w:tcPr>
          <w:p w:rsidR="00D677B3" w:rsidRPr="00D04898" w:rsidRDefault="00D677B3" w:rsidP="001B56F1">
            <w:pPr>
              <w:pStyle w:val="TableBodyText"/>
              <w:rPr>
                <w:b/>
                <w:sz w:val="18"/>
                <w:szCs w:val="18"/>
              </w:rPr>
            </w:pPr>
            <w:r w:rsidRPr="00D04898">
              <w:rPr>
                <w:b/>
                <w:sz w:val="18"/>
                <w:szCs w:val="18"/>
              </w:rPr>
              <w:t>4.0</w:t>
            </w:r>
          </w:p>
        </w:tc>
      </w:tr>
      <w:tr w:rsidR="00D677B3" w:rsidRPr="00D61E53" w:rsidTr="001B56F1">
        <w:tc>
          <w:tcPr>
            <w:tcW w:w="1959" w:type="pct"/>
            <w:vAlign w:val="bottom"/>
          </w:tcPr>
          <w:p w:rsidR="00D677B3" w:rsidRPr="00D04898" w:rsidRDefault="00D677B3" w:rsidP="001B56F1">
            <w:pPr>
              <w:pStyle w:val="TableBodyText"/>
              <w:jc w:val="left"/>
              <w:rPr>
                <w:sz w:val="18"/>
                <w:szCs w:val="18"/>
              </w:rPr>
            </w:pPr>
            <w:r w:rsidRPr="00D04898">
              <w:rPr>
                <w:sz w:val="18"/>
                <w:szCs w:val="18"/>
              </w:rPr>
              <w:t>Printing and recorded media</w:t>
            </w:r>
          </w:p>
        </w:tc>
        <w:tc>
          <w:tcPr>
            <w:tcW w:w="507" w:type="pct"/>
            <w:vAlign w:val="bottom"/>
          </w:tcPr>
          <w:p w:rsidR="00D677B3" w:rsidRPr="00D04898" w:rsidRDefault="00D677B3" w:rsidP="001B56F1">
            <w:pPr>
              <w:pStyle w:val="TableBodyText"/>
              <w:rPr>
                <w:sz w:val="18"/>
                <w:szCs w:val="18"/>
              </w:rPr>
            </w:pPr>
            <w:r w:rsidRPr="00D04898">
              <w:rPr>
                <w:sz w:val="18"/>
                <w:szCs w:val="18"/>
              </w:rPr>
              <w:noBreakHyphen/>
            </w:r>
          </w:p>
        </w:tc>
        <w:tc>
          <w:tcPr>
            <w:tcW w:w="507" w:type="pct"/>
            <w:vAlign w:val="bottom"/>
          </w:tcPr>
          <w:p w:rsidR="00D677B3" w:rsidRPr="00D04898" w:rsidRDefault="00D677B3" w:rsidP="001B56F1">
            <w:pPr>
              <w:pStyle w:val="TableBodyText"/>
              <w:rPr>
                <w:sz w:val="18"/>
                <w:szCs w:val="18"/>
              </w:rPr>
            </w:pPr>
            <w:r w:rsidRPr="00D04898">
              <w:rPr>
                <w:sz w:val="18"/>
                <w:szCs w:val="18"/>
              </w:rPr>
              <w:noBreakHyphen/>
            </w:r>
          </w:p>
        </w:tc>
        <w:tc>
          <w:tcPr>
            <w:tcW w:w="507" w:type="pct"/>
            <w:vAlign w:val="bottom"/>
          </w:tcPr>
          <w:p w:rsidR="00D677B3" w:rsidRPr="00D04898" w:rsidRDefault="00D677B3" w:rsidP="001B56F1">
            <w:pPr>
              <w:pStyle w:val="TableBodyText"/>
              <w:rPr>
                <w:sz w:val="18"/>
                <w:szCs w:val="18"/>
              </w:rPr>
            </w:pPr>
            <w:r w:rsidRPr="00D04898">
              <w:rPr>
                <w:sz w:val="18"/>
                <w:szCs w:val="18"/>
              </w:rPr>
              <w:noBreakHyphen/>
            </w:r>
          </w:p>
        </w:tc>
        <w:tc>
          <w:tcPr>
            <w:tcW w:w="507" w:type="pct"/>
            <w:vAlign w:val="bottom"/>
          </w:tcPr>
          <w:p w:rsidR="00D677B3" w:rsidRPr="00D04898" w:rsidRDefault="00D677B3" w:rsidP="001B56F1">
            <w:pPr>
              <w:pStyle w:val="TableBodyText"/>
              <w:rPr>
                <w:sz w:val="18"/>
                <w:szCs w:val="18"/>
              </w:rPr>
            </w:pPr>
            <w:r w:rsidRPr="00D04898">
              <w:rPr>
                <w:sz w:val="18"/>
                <w:szCs w:val="18"/>
              </w:rPr>
              <w:noBreakHyphen/>
            </w:r>
          </w:p>
        </w:tc>
        <w:tc>
          <w:tcPr>
            <w:tcW w:w="507" w:type="pct"/>
            <w:shd w:val="clear" w:color="auto" w:fill="auto"/>
            <w:vAlign w:val="bottom"/>
          </w:tcPr>
          <w:p w:rsidR="00D677B3" w:rsidRPr="00D04898" w:rsidRDefault="00D677B3" w:rsidP="001B56F1">
            <w:pPr>
              <w:pStyle w:val="TableBodyText"/>
              <w:rPr>
                <w:sz w:val="18"/>
                <w:szCs w:val="18"/>
              </w:rPr>
            </w:pPr>
            <w:r w:rsidRPr="00D04898">
              <w:rPr>
                <w:sz w:val="18"/>
                <w:szCs w:val="18"/>
              </w:rPr>
              <w:noBreakHyphen/>
            </w:r>
          </w:p>
        </w:tc>
        <w:tc>
          <w:tcPr>
            <w:tcW w:w="507" w:type="pct"/>
            <w:shd w:val="clear" w:color="auto" w:fill="auto"/>
            <w:vAlign w:val="bottom"/>
          </w:tcPr>
          <w:p w:rsidR="00D677B3" w:rsidRPr="00D04898" w:rsidRDefault="00D677B3" w:rsidP="001B56F1">
            <w:pPr>
              <w:pStyle w:val="TableBodyText"/>
              <w:rPr>
                <w:sz w:val="18"/>
                <w:szCs w:val="18"/>
              </w:rPr>
            </w:pPr>
            <w:r w:rsidRPr="00D04898">
              <w:rPr>
                <w:sz w:val="18"/>
                <w:szCs w:val="18"/>
              </w:rPr>
              <w:t>2.9</w:t>
            </w:r>
          </w:p>
        </w:tc>
      </w:tr>
      <w:tr w:rsidR="00D677B3" w:rsidRPr="00D61E53" w:rsidTr="001B56F1">
        <w:tc>
          <w:tcPr>
            <w:tcW w:w="1959" w:type="pct"/>
            <w:vAlign w:val="bottom"/>
          </w:tcPr>
          <w:p w:rsidR="00D677B3" w:rsidRPr="00D04898" w:rsidRDefault="00D677B3" w:rsidP="001B56F1">
            <w:pPr>
              <w:pStyle w:val="TableBodyText"/>
              <w:jc w:val="left"/>
              <w:rPr>
                <w:sz w:val="18"/>
                <w:szCs w:val="18"/>
              </w:rPr>
            </w:pPr>
            <w:r w:rsidRPr="00D04898">
              <w:rPr>
                <w:sz w:val="18"/>
                <w:szCs w:val="18"/>
              </w:rPr>
              <w:t>Machinery and equipment manufacturing</w:t>
            </w:r>
          </w:p>
        </w:tc>
        <w:tc>
          <w:tcPr>
            <w:tcW w:w="507" w:type="pct"/>
            <w:vAlign w:val="bottom"/>
          </w:tcPr>
          <w:p w:rsidR="00D677B3" w:rsidRPr="00D04898" w:rsidRDefault="00D677B3" w:rsidP="001B56F1">
            <w:pPr>
              <w:pStyle w:val="TableBodyText"/>
              <w:rPr>
                <w:sz w:val="18"/>
                <w:szCs w:val="18"/>
              </w:rPr>
            </w:pPr>
            <w:r w:rsidRPr="00D04898">
              <w:rPr>
                <w:sz w:val="18"/>
                <w:szCs w:val="18"/>
              </w:rPr>
              <w:noBreakHyphen/>
            </w:r>
          </w:p>
        </w:tc>
        <w:tc>
          <w:tcPr>
            <w:tcW w:w="507" w:type="pct"/>
            <w:vAlign w:val="bottom"/>
          </w:tcPr>
          <w:p w:rsidR="00D677B3" w:rsidRPr="00D04898" w:rsidRDefault="00D677B3" w:rsidP="001B56F1">
            <w:pPr>
              <w:pStyle w:val="TableBodyText"/>
              <w:rPr>
                <w:sz w:val="18"/>
                <w:szCs w:val="18"/>
              </w:rPr>
            </w:pPr>
            <w:r w:rsidRPr="00D04898">
              <w:rPr>
                <w:sz w:val="18"/>
                <w:szCs w:val="18"/>
              </w:rPr>
              <w:noBreakHyphen/>
            </w:r>
          </w:p>
        </w:tc>
        <w:tc>
          <w:tcPr>
            <w:tcW w:w="507" w:type="pct"/>
            <w:vAlign w:val="bottom"/>
          </w:tcPr>
          <w:p w:rsidR="00D677B3" w:rsidRPr="00D04898" w:rsidRDefault="00D677B3" w:rsidP="001B56F1">
            <w:pPr>
              <w:pStyle w:val="TableBodyText"/>
              <w:rPr>
                <w:sz w:val="18"/>
                <w:szCs w:val="18"/>
              </w:rPr>
            </w:pPr>
            <w:r w:rsidRPr="00D04898">
              <w:rPr>
                <w:sz w:val="18"/>
                <w:szCs w:val="18"/>
              </w:rPr>
              <w:noBreakHyphen/>
            </w:r>
          </w:p>
        </w:tc>
        <w:tc>
          <w:tcPr>
            <w:tcW w:w="507" w:type="pct"/>
            <w:vAlign w:val="bottom"/>
          </w:tcPr>
          <w:p w:rsidR="00D677B3" w:rsidRPr="00D04898" w:rsidRDefault="00D677B3" w:rsidP="001B56F1">
            <w:pPr>
              <w:pStyle w:val="TableBodyText"/>
              <w:rPr>
                <w:sz w:val="18"/>
                <w:szCs w:val="18"/>
              </w:rPr>
            </w:pPr>
            <w:r w:rsidRPr="00D04898">
              <w:rPr>
                <w:sz w:val="18"/>
                <w:szCs w:val="18"/>
              </w:rPr>
              <w:noBreakHyphen/>
            </w:r>
          </w:p>
        </w:tc>
        <w:tc>
          <w:tcPr>
            <w:tcW w:w="507" w:type="pct"/>
            <w:shd w:val="clear" w:color="auto" w:fill="auto"/>
            <w:vAlign w:val="bottom"/>
          </w:tcPr>
          <w:p w:rsidR="00D677B3" w:rsidRPr="00D04898" w:rsidRDefault="00D677B3" w:rsidP="001B56F1">
            <w:pPr>
              <w:pStyle w:val="TableBodyText"/>
              <w:rPr>
                <w:sz w:val="18"/>
                <w:szCs w:val="18"/>
              </w:rPr>
            </w:pPr>
            <w:r w:rsidRPr="00D04898">
              <w:rPr>
                <w:sz w:val="18"/>
                <w:szCs w:val="18"/>
              </w:rPr>
              <w:noBreakHyphen/>
            </w:r>
          </w:p>
        </w:tc>
        <w:tc>
          <w:tcPr>
            <w:tcW w:w="507" w:type="pct"/>
            <w:shd w:val="clear" w:color="auto" w:fill="auto"/>
            <w:vAlign w:val="bottom"/>
          </w:tcPr>
          <w:p w:rsidR="00D677B3" w:rsidRPr="00D04898" w:rsidRDefault="00D677B3" w:rsidP="001B56F1">
            <w:pPr>
              <w:pStyle w:val="TableBodyText"/>
              <w:rPr>
                <w:sz w:val="18"/>
                <w:szCs w:val="18"/>
              </w:rPr>
            </w:pPr>
            <w:r w:rsidRPr="00D04898">
              <w:rPr>
                <w:sz w:val="18"/>
                <w:szCs w:val="18"/>
              </w:rPr>
              <w:t>0.7</w:t>
            </w:r>
          </w:p>
        </w:tc>
      </w:tr>
      <w:tr w:rsidR="00D677B3" w:rsidRPr="00D61E53" w:rsidTr="001B56F1">
        <w:tc>
          <w:tcPr>
            <w:tcW w:w="1959" w:type="pct"/>
            <w:vAlign w:val="bottom"/>
          </w:tcPr>
          <w:p w:rsidR="00D677B3" w:rsidRPr="00D04898" w:rsidRDefault="00D677B3" w:rsidP="001B56F1">
            <w:pPr>
              <w:pStyle w:val="TableBodyText"/>
              <w:jc w:val="left"/>
              <w:rPr>
                <w:sz w:val="18"/>
                <w:szCs w:val="18"/>
              </w:rPr>
            </w:pPr>
            <w:r w:rsidRPr="00D04898">
              <w:rPr>
                <w:sz w:val="18"/>
                <w:szCs w:val="18"/>
              </w:rPr>
              <w:t>Furniture and other manufacturing</w:t>
            </w:r>
          </w:p>
        </w:tc>
        <w:tc>
          <w:tcPr>
            <w:tcW w:w="507" w:type="pct"/>
            <w:vAlign w:val="bottom"/>
          </w:tcPr>
          <w:p w:rsidR="00D677B3" w:rsidRPr="00D04898" w:rsidRDefault="00D677B3" w:rsidP="001B56F1">
            <w:pPr>
              <w:pStyle w:val="TableBodyText"/>
              <w:rPr>
                <w:sz w:val="18"/>
                <w:szCs w:val="18"/>
              </w:rPr>
            </w:pPr>
            <w:r w:rsidRPr="00D04898">
              <w:rPr>
                <w:sz w:val="18"/>
                <w:szCs w:val="18"/>
              </w:rPr>
              <w:noBreakHyphen/>
            </w:r>
          </w:p>
        </w:tc>
        <w:tc>
          <w:tcPr>
            <w:tcW w:w="507" w:type="pct"/>
            <w:vAlign w:val="bottom"/>
          </w:tcPr>
          <w:p w:rsidR="00D677B3" w:rsidRPr="00D04898" w:rsidRDefault="00D677B3" w:rsidP="001B56F1">
            <w:pPr>
              <w:pStyle w:val="TableBodyText"/>
              <w:rPr>
                <w:sz w:val="18"/>
                <w:szCs w:val="18"/>
              </w:rPr>
            </w:pPr>
            <w:r w:rsidRPr="00D04898">
              <w:rPr>
                <w:sz w:val="18"/>
                <w:szCs w:val="18"/>
              </w:rPr>
              <w:noBreakHyphen/>
            </w:r>
          </w:p>
        </w:tc>
        <w:tc>
          <w:tcPr>
            <w:tcW w:w="507" w:type="pct"/>
            <w:vAlign w:val="bottom"/>
          </w:tcPr>
          <w:p w:rsidR="00D677B3" w:rsidRPr="00D04898" w:rsidRDefault="00D677B3" w:rsidP="001B56F1">
            <w:pPr>
              <w:pStyle w:val="TableBodyText"/>
              <w:rPr>
                <w:sz w:val="18"/>
                <w:szCs w:val="18"/>
              </w:rPr>
            </w:pPr>
            <w:r w:rsidRPr="00D04898">
              <w:rPr>
                <w:sz w:val="18"/>
                <w:szCs w:val="18"/>
              </w:rPr>
              <w:noBreakHyphen/>
            </w:r>
          </w:p>
        </w:tc>
        <w:tc>
          <w:tcPr>
            <w:tcW w:w="507" w:type="pct"/>
            <w:vAlign w:val="bottom"/>
          </w:tcPr>
          <w:p w:rsidR="00D677B3" w:rsidRPr="00D04898" w:rsidRDefault="00D677B3" w:rsidP="001B56F1">
            <w:pPr>
              <w:pStyle w:val="TableBodyText"/>
              <w:rPr>
                <w:sz w:val="18"/>
                <w:szCs w:val="18"/>
              </w:rPr>
            </w:pPr>
            <w:r w:rsidRPr="00D04898">
              <w:rPr>
                <w:sz w:val="18"/>
                <w:szCs w:val="18"/>
              </w:rPr>
              <w:noBreakHyphen/>
            </w:r>
          </w:p>
        </w:tc>
        <w:tc>
          <w:tcPr>
            <w:tcW w:w="507" w:type="pct"/>
            <w:shd w:val="clear" w:color="auto" w:fill="auto"/>
            <w:vAlign w:val="bottom"/>
          </w:tcPr>
          <w:p w:rsidR="00D677B3" w:rsidRPr="00D04898" w:rsidRDefault="00D677B3" w:rsidP="001B56F1">
            <w:pPr>
              <w:pStyle w:val="TableBodyText"/>
              <w:rPr>
                <w:sz w:val="18"/>
                <w:szCs w:val="18"/>
              </w:rPr>
            </w:pPr>
            <w:r w:rsidRPr="00D04898">
              <w:rPr>
                <w:sz w:val="18"/>
                <w:szCs w:val="18"/>
              </w:rPr>
              <w:noBreakHyphen/>
            </w:r>
          </w:p>
        </w:tc>
        <w:tc>
          <w:tcPr>
            <w:tcW w:w="507" w:type="pct"/>
            <w:shd w:val="clear" w:color="auto" w:fill="auto"/>
            <w:vAlign w:val="bottom"/>
          </w:tcPr>
          <w:p w:rsidR="00D677B3" w:rsidRPr="00D04898" w:rsidRDefault="00D677B3" w:rsidP="001B56F1">
            <w:pPr>
              <w:pStyle w:val="TableBodyText"/>
              <w:rPr>
                <w:sz w:val="18"/>
                <w:szCs w:val="18"/>
              </w:rPr>
            </w:pPr>
            <w:r w:rsidRPr="00D04898">
              <w:rPr>
                <w:sz w:val="18"/>
                <w:szCs w:val="18"/>
              </w:rPr>
              <w:t>0.3</w:t>
            </w:r>
          </w:p>
        </w:tc>
      </w:tr>
      <w:tr w:rsidR="00D677B3" w:rsidRPr="00D61E53" w:rsidTr="001B56F1">
        <w:tc>
          <w:tcPr>
            <w:tcW w:w="1959" w:type="pct"/>
            <w:vAlign w:val="bottom"/>
          </w:tcPr>
          <w:p w:rsidR="00D677B3" w:rsidRPr="00D04898" w:rsidRDefault="00D677B3" w:rsidP="001B56F1">
            <w:pPr>
              <w:pStyle w:val="TableBodyText"/>
              <w:jc w:val="left"/>
              <w:rPr>
                <w:b/>
                <w:sz w:val="18"/>
                <w:szCs w:val="18"/>
              </w:rPr>
            </w:pPr>
            <w:r w:rsidRPr="00D04898">
              <w:rPr>
                <w:b/>
                <w:sz w:val="18"/>
                <w:szCs w:val="18"/>
              </w:rPr>
              <w:t>Services</w:t>
            </w:r>
          </w:p>
        </w:tc>
        <w:tc>
          <w:tcPr>
            <w:tcW w:w="507" w:type="pct"/>
            <w:vAlign w:val="bottom"/>
          </w:tcPr>
          <w:p w:rsidR="00D677B3" w:rsidRPr="00D04898" w:rsidRDefault="00D677B3" w:rsidP="001B56F1">
            <w:pPr>
              <w:pStyle w:val="TableBodyText"/>
              <w:rPr>
                <w:b/>
                <w:sz w:val="18"/>
                <w:szCs w:val="18"/>
              </w:rPr>
            </w:pPr>
            <w:r w:rsidRPr="00D04898">
              <w:rPr>
                <w:b/>
                <w:sz w:val="18"/>
                <w:szCs w:val="18"/>
              </w:rPr>
              <w:noBreakHyphen/>
            </w:r>
          </w:p>
        </w:tc>
        <w:tc>
          <w:tcPr>
            <w:tcW w:w="507" w:type="pct"/>
            <w:vAlign w:val="bottom"/>
          </w:tcPr>
          <w:p w:rsidR="00D677B3" w:rsidRPr="00D04898" w:rsidRDefault="00D677B3" w:rsidP="001B56F1">
            <w:pPr>
              <w:pStyle w:val="TableBodyText"/>
              <w:rPr>
                <w:b/>
                <w:sz w:val="18"/>
                <w:szCs w:val="18"/>
              </w:rPr>
            </w:pPr>
            <w:r w:rsidRPr="00D04898">
              <w:rPr>
                <w:b/>
                <w:sz w:val="18"/>
                <w:szCs w:val="18"/>
              </w:rPr>
              <w:noBreakHyphen/>
            </w:r>
          </w:p>
        </w:tc>
        <w:tc>
          <w:tcPr>
            <w:tcW w:w="507" w:type="pct"/>
            <w:vAlign w:val="bottom"/>
          </w:tcPr>
          <w:p w:rsidR="00D677B3" w:rsidRPr="00D04898" w:rsidRDefault="00D677B3" w:rsidP="001B56F1">
            <w:pPr>
              <w:pStyle w:val="TableBodyText"/>
              <w:rPr>
                <w:b/>
                <w:sz w:val="18"/>
                <w:szCs w:val="18"/>
              </w:rPr>
            </w:pPr>
            <w:r w:rsidRPr="00D04898">
              <w:rPr>
                <w:b/>
                <w:sz w:val="18"/>
                <w:szCs w:val="18"/>
              </w:rPr>
              <w:noBreakHyphen/>
            </w:r>
          </w:p>
        </w:tc>
        <w:tc>
          <w:tcPr>
            <w:tcW w:w="507" w:type="pct"/>
            <w:vAlign w:val="bottom"/>
          </w:tcPr>
          <w:p w:rsidR="00D677B3" w:rsidRPr="00D04898" w:rsidRDefault="00D677B3" w:rsidP="001B56F1">
            <w:pPr>
              <w:pStyle w:val="TableBodyText"/>
              <w:rPr>
                <w:b/>
                <w:sz w:val="18"/>
                <w:szCs w:val="18"/>
              </w:rPr>
            </w:pPr>
            <w:r w:rsidRPr="00D04898">
              <w:rPr>
                <w:b/>
                <w:sz w:val="18"/>
                <w:szCs w:val="18"/>
              </w:rPr>
              <w:noBreakHyphen/>
            </w:r>
          </w:p>
        </w:tc>
        <w:tc>
          <w:tcPr>
            <w:tcW w:w="507" w:type="pct"/>
            <w:shd w:val="clear" w:color="auto" w:fill="auto"/>
            <w:vAlign w:val="bottom"/>
          </w:tcPr>
          <w:p w:rsidR="00D677B3" w:rsidRPr="00D04898" w:rsidRDefault="00D677B3" w:rsidP="001B56F1">
            <w:pPr>
              <w:pStyle w:val="TableBodyText"/>
              <w:rPr>
                <w:b/>
                <w:sz w:val="18"/>
                <w:szCs w:val="18"/>
              </w:rPr>
            </w:pPr>
            <w:r w:rsidRPr="00D04898">
              <w:rPr>
                <w:b/>
                <w:sz w:val="18"/>
                <w:szCs w:val="18"/>
              </w:rPr>
              <w:noBreakHyphen/>
            </w:r>
          </w:p>
        </w:tc>
        <w:tc>
          <w:tcPr>
            <w:tcW w:w="507" w:type="pct"/>
            <w:shd w:val="clear" w:color="auto" w:fill="auto"/>
            <w:vAlign w:val="bottom"/>
          </w:tcPr>
          <w:p w:rsidR="00D677B3" w:rsidRPr="00D04898" w:rsidRDefault="00D677B3" w:rsidP="001B56F1">
            <w:pPr>
              <w:pStyle w:val="TableBodyText"/>
              <w:rPr>
                <w:b/>
                <w:sz w:val="18"/>
                <w:szCs w:val="18"/>
              </w:rPr>
            </w:pPr>
            <w:r w:rsidRPr="00D04898">
              <w:rPr>
                <w:b/>
                <w:sz w:val="18"/>
                <w:szCs w:val="18"/>
              </w:rPr>
              <w:t>2.4</w:t>
            </w:r>
          </w:p>
        </w:tc>
      </w:tr>
      <w:tr w:rsidR="00D677B3" w:rsidRPr="00D61E53" w:rsidTr="001B56F1">
        <w:tc>
          <w:tcPr>
            <w:tcW w:w="1959" w:type="pct"/>
            <w:vAlign w:val="bottom"/>
          </w:tcPr>
          <w:p w:rsidR="00D677B3" w:rsidRPr="00D04898" w:rsidRDefault="00D677B3" w:rsidP="001B56F1">
            <w:pPr>
              <w:pStyle w:val="TableBodyText"/>
              <w:jc w:val="left"/>
              <w:rPr>
                <w:sz w:val="18"/>
                <w:szCs w:val="18"/>
              </w:rPr>
            </w:pPr>
            <w:r w:rsidRPr="00D04898">
              <w:rPr>
                <w:sz w:val="18"/>
                <w:szCs w:val="18"/>
              </w:rPr>
              <w:t>Electricity, gas, water and waste services</w:t>
            </w:r>
          </w:p>
        </w:tc>
        <w:tc>
          <w:tcPr>
            <w:tcW w:w="507" w:type="pct"/>
            <w:vAlign w:val="bottom"/>
          </w:tcPr>
          <w:p w:rsidR="00D677B3" w:rsidRPr="00D04898" w:rsidRDefault="00D677B3" w:rsidP="001B56F1">
            <w:pPr>
              <w:pStyle w:val="TableBodyText"/>
              <w:rPr>
                <w:sz w:val="18"/>
                <w:szCs w:val="18"/>
              </w:rPr>
            </w:pPr>
            <w:r w:rsidRPr="00D04898">
              <w:rPr>
                <w:sz w:val="18"/>
                <w:szCs w:val="18"/>
              </w:rPr>
              <w:noBreakHyphen/>
            </w:r>
          </w:p>
        </w:tc>
        <w:tc>
          <w:tcPr>
            <w:tcW w:w="507" w:type="pct"/>
            <w:vAlign w:val="bottom"/>
          </w:tcPr>
          <w:p w:rsidR="00D677B3" w:rsidRPr="00D04898" w:rsidRDefault="00D677B3" w:rsidP="001B56F1">
            <w:pPr>
              <w:pStyle w:val="TableBodyText"/>
              <w:rPr>
                <w:sz w:val="18"/>
                <w:szCs w:val="18"/>
              </w:rPr>
            </w:pPr>
            <w:r w:rsidRPr="00D04898">
              <w:rPr>
                <w:sz w:val="18"/>
                <w:szCs w:val="18"/>
              </w:rPr>
              <w:noBreakHyphen/>
            </w:r>
          </w:p>
        </w:tc>
        <w:tc>
          <w:tcPr>
            <w:tcW w:w="507" w:type="pct"/>
            <w:vAlign w:val="bottom"/>
          </w:tcPr>
          <w:p w:rsidR="00D677B3" w:rsidRPr="00D04898" w:rsidRDefault="00D677B3" w:rsidP="001B56F1">
            <w:pPr>
              <w:pStyle w:val="TableBodyText"/>
              <w:rPr>
                <w:sz w:val="18"/>
                <w:szCs w:val="18"/>
              </w:rPr>
            </w:pPr>
            <w:r w:rsidRPr="00D04898">
              <w:rPr>
                <w:sz w:val="18"/>
                <w:szCs w:val="18"/>
              </w:rPr>
              <w:noBreakHyphen/>
            </w:r>
          </w:p>
        </w:tc>
        <w:tc>
          <w:tcPr>
            <w:tcW w:w="507" w:type="pct"/>
            <w:vAlign w:val="bottom"/>
          </w:tcPr>
          <w:p w:rsidR="00D677B3" w:rsidRPr="00D04898" w:rsidRDefault="00D677B3" w:rsidP="001B56F1">
            <w:pPr>
              <w:pStyle w:val="TableBodyText"/>
              <w:rPr>
                <w:sz w:val="18"/>
                <w:szCs w:val="18"/>
              </w:rPr>
            </w:pPr>
            <w:r w:rsidRPr="00D04898">
              <w:rPr>
                <w:sz w:val="18"/>
                <w:szCs w:val="18"/>
              </w:rPr>
              <w:noBreakHyphen/>
            </w:r>
          </w:p>
        </w:tc>
        <w:tc>
          <w:tcPr>
            <w:tcW w:w="507" w:type="pct"/>
            <w:shd w:val="clear" w:color="auto" w:fill="auto"/>
            <w:vAlign w:val="bottom"/>
          </w:tcPr>
          <w:p w:rsidR="00D677B3" w:rsidRPr="00D04898" w:rsidRDefault="00D677B3" w:rsidP="001B56F1">
            <w:pPr>
              <w:pStyle w:val="TableBodyText"/>
              <w:rPr>
                <w:sz w:val="18"/>
                <w:szCs w:val="18"/>
              </w:rPr>
            </w:pPr>
            <w:r w:rsidRPr="00D04898">
              <w:rPr>
                <w:sz w:val="18"/>
                <w:szCs w:val="18"/>
              </w:rPr>
              <w:noBreakHyphen/>
            </w:r>
          </w:p>
        </w:tc>
        <w:tc>
          <w:tcPr>
            <w:tcW w:w="507" w:type="pct"/>
            <w:shd w:val="clear" w:color="auto" w:fill="auto"/>
            <w:vAlign w:val="bottom"/>
          </w:tcPr>
          <w:p w:rsidR="00D677B3" w:rsidRPr="00D04898" w:rsidRDefault="00D677B3" w:rsidP="001B56F1">
            <w:pPr>
              <w:pStyle w:val="TableBodyText"/>
              <w:rPr>
                <w:sz w:val="18"/>
                <w:szCs w:val="18"/>
              </w:rPr>
            </w:pPr>
            <w:r w:rsidRPr="00D04898">
              <w:rPr>
                <w:sz w:val="18"/>
                <w:szCs w:val="18"/>
              </w:rPr>
              <w:t>0.2</w:t>
            </w:r>
          </w:p>
        </w:tc>
      </w:tr>
      <w:tr w:rsidR="00D677B3" w:rsidRPr="00D61E53" w:rsidTr="001B56F1">
        <w:tc>
          <w:tcPr>
            <w:tcW w:w="1959" w:type="pct"/>
            <w:vAlign w:val="bottom"/>
          </w:tcPr>
          <w:p w:rsidR="00D677B3" w:rsidRPr="00D04898" w:rsidRDefault="00D677B3" w:rsidP="001B56F1">
            <w:pPr>
              <w:pStyle w:val="TableBodyText"/>
              <w:jc w:val="left"/>
              <w:rPr>
                <w:sz w:val="18"/>
                <w:szCs w:val="18"/>
              </w:rPr>
            </w:pPr>
            <w:r w:rsidRPr="00D04898">
              <w:rPr>
                <w:sz w:val="18"/>
                <w:szCs w:val="18"/>
              </w:rPr>
              <w:t>Property, professional and administrative services</w:t>
            </w:r>
          </w:p>
        </w:tc>
        <w:tc>
          <w:tcPr>
            <w:tcW w:w="507" w:type="pct"/>
            <w:vAlign w:val="bottom"/>
          </w:tcPr>
          <w:p w:rsidR="00D677B3" w:rsidRPr="00D04898" w:rsidRDefault="00D677B3" w:rsidP="001B56F1">
            <w:pPr>
              <w:pStyle w:val="TableBodyText"/>
              <w:rPr>
                <w:sz w:val="18"/>
                <w:szCs w:val="18"/>
              </w:rPr>
            </w:pPr>
            <w:r w:rsidRPr="00D04898">
              <w:rPr>
                <w:sz w:val="18"/>
                <w:szCs w:val="18"/>
              </w:rPr>
              <w:noBreakHyphen/>
            </w:r>
          </w:p>
        </w:tc>
        <w:tc>
          <w:tcPr>
            <w:tcW w:w="507" w:type="pct"/>
            <w:vAlign w:val="bottom"/>
          </w:tcPr>
          <w:p w:rsidR="00D677B3" w:rsidRPr="00D04898" w:rsidRDefault="00D677B3" w:rsidP="001B56F1">
            <w:pPr>
              <w:pStyle w:val="TableBodyText"/>
              <w:rPr>
                <w:sz w:val="18"/>
                <w:szCs w:val="18"/>
              </w:rPr>
            </w:pPr>
            <w:r w:rsidRPr="00D04898">
              <w:rPr>
                <w:sz w:val="18"/>
                <w:szCs w:val="18"/>
              </w:rPr>
              <w:noBreakHyphen/>
            </w:r>
          </w:p>
        </w:tc>
        <w:tc>
          <w:tcPr>
            <w:tcW w:w="507" w:type="pct"/>
            <w:vAlign w:val="bottom"/>
          </w:tcPr>
          <w:p w:rsidR="00D677B3" w:rsidRPr="00D04898" w:rsidRDefault="00D677B3" w:rsidP="001B56F1">
            <w:pPr>
              <w:pStyle w:val="TableBodyText"/>
              <w:rPr>
                <w:sz w:val="18"/>
                <w:szCs w:val="18"/>
              </w:rPr>
            </w:pPr>
            <w:r w:rsidRPr="00D04898">
              <w:rPr>
                <w:sz w:val="18"/>
                <w:szCs w:val="18"/>
              </w:rPr>
              <w:noBreakHyphen/>
            </w:r>
          </w:p>
        </w:tc>
        <w:tc>
          <w:tcPr>
            <w:tcW w:w="507" w:type="pct"/>
            <w:vAlign w:val="bottom"/>
          </w:tcPr>
          <w:p w:rsidR="00D677B3" w:rsidRPr="00D04898" w:rsidRDefault="00D677B3" w:rsidP="001B56F1">
            <w:pPr>
              <w:pStyle w:val="TableBodyText"/>
              <w:rPr>
                <w:sz w:val="18"/>
                <w:szCs w:val="18"/>
              </w:rPr>
            </w:pPr>
            <w:r w:rsidRPr="00D04898">
              <w:rPr>
                <w:sz w:val="18"/>
                <w:szCs w:val="18"/>
              </w:rPr>
              <w:noBreakHyphen/>
            </w:r>
          </w:p>
        </w:tc>
        <w:tc>
          <w:tcPr>
            <w:tcW w:w="507" w:type="pct"/>
            <w:shd w:val="clear" w:color="auto" w:fill="auto"/>
            <w:vAlign w:val="bottom"/>
          </w:tcPr>
          <w:p w:rsidR="00D677B3" w:rsidRPr="00D04898" w:rsidRDefault="00D677B3" w:rsidP="001B56F1">
            <w:pPr>
              <w:pStyle w:val="TableBodyText"/>
              <w:rPr>
                <w:sz w:val="18"/>
                <w:szCs w:val="18"/>
              </w:rPr>
            </w:pPr>
            <w:r w:rsidRPr="00D04898">
              <w:rPr>
                <w:sz w:val="18"/>
                <w:szCs w:val="18"/>
              </w:rPr>
              <w:noBreakHyphen/>
            </w:r>
          </w:p>
        </w:tc>
        <w:tc>
          <w:tcPr>
            <w:tcW w:w="507" w:type="pct"/>
            <w:shd w:val="clear" w:color="auto" w:fill="auto"/>
            <w:vAlign w:val="bottom"/>
          </w:tcPr>
          <w:p w:rsidR="00D677B3" w:rsidRPr="00D04898" w:rsidRDefault="00D677B3" w:rsidP="001B56F1">
            <w:pPr>
              <w:pStyle w:val="TableBodyText"/>
              <w:rPr>
                <w:sz w:val="18"/>
                <w:szCs w:val="18"/>
              </w:rPr>
            </w:pPr>
            <w:r w:rsidRPr="00D04898">
              <w:rPr>
                <w:sz w:val="18"/>
                <w:szCs w:val="18"/>
              </w:rPr>
              <w:t>0.3</w:t>
            </w:r>
          </w:p>
        </w:tc>
      </w:tr>
      <w:tr w:rsidR="00D677B3" w:rsidRPr="00D61E53" w:rsidTr="001B56F1">
        <w:tc>
          <w:tcPr>
            <w:tcW w:w="1959" w:type="pct"/>
            <w:vAlign w:val="bottom"/>
          </w:tcPr>
          <w:p w:rsidR="00D677B3" w:rsidRPr="00D04898" w:rsidRDefault="00D677B3" w:rsidP="001B56F1">
            <w:pPr>
              <w:pStyle w:val="TableBodyText"/>
              <w:jc w:val="left"/>
              <w:rPr>
                <w:sz w:val="18"/>
                <w:szCs w:val="18"/>
              </w:rPr>
            </w:pPr>
            <w:r w:rsidRPr="00D04898">
              <w:rPr>
                <w:sz w:val="18"/>
                <w:szCs w:val="18"/>
              </w:rPr>
              <w:t>Arts and recreation services</w:t>
            </w:r>
          </w:p>
        </w:tc>
        <w:tc>
          <w:tcPr>
            <w:tcW w:w="507" w:type="pct"/>
            <w:vAlign w:val="bottom"/>
          </w:tcPr>
          <w:p w:rsidR="00D677B3" w:rsidRPr="00D04898" w:rsidRDefault="00D677B3" w:rsidP="001B56F1">
            <w:pPr>
              <w:pStyle w:val="TableBodyText"/>
              <w:rPr>
                <w:sz w:val="18"/>
                <w:szCs w:val="18"/>
              </w:rPr>
            </w:pPr>
            <w:r w:rsidRPr="00D04898">
              <w:rPr>
                <w:sz w:val="18"/>
                <w:szCs w:val="18"/>
              </w:rPr>
              <w:noBreakHyphen/>
            </w:r>
          </w:p>
        </w:tc>
        <w:tc>
          <w:tcPr>
            <w:tcW w:w="507" w:type="pct"/>
            <w:vAlign w:val="bottom"/>
          </w:tcPr>
          <w:p w:rsidR="00D677B3" w:rsidRPr="00D04898" w:rsidRDefault="00D677B3" w:rsidP="001B56F1">
            <w:pPr>
              <w:pStyle w:val="TableBodyText"/>
              <w:rPr>
                <w:sz w:val="18"/>
                <w:szCs w:val="18"/>
              </w:rPr>
            </w:pPr>
            <w:r w:rsidRPr="00D04898">
              <w:rPr>
                <w:sz w:val="18"/>
                <w:szCs w:val="18"/>
              </w:rPr>
              <w:noBreakHyphen/>
            </w:r>
          </w:p>
        </w:tc>
        <w:tc>
          <w:tcPr>
            <w:tcW w:w="507" w:type="pct"/>
            <w:vAlign w:val="bottom"/>
          </w:tcPr>
          <w:p w:rsidR="00D677B3" w:rsidRPr="00D04898" w:rsidRDefault="00D677B3" w:rsidP="001B56F1">
            <w:pPr>
              <w:pStyle w:val="TableBodyText"/>
              <w:rPr>
                <w:sz w:val="18"/>
                <w:szCs w:val="18"/>
              </w:rPr>
            </w:pPr>
            <w:r w:rsidRPr="00D04898">
              <w:rPr>
                <w:sz w:val="18"/>
                <w:szCs w:val="18"/>
              </w:rPr>
              <w:noBreakHyphen/>
            </w:r>
          </w:p>
        </w:tc>
        <w:tc>
          <w:tcPr>
            <w:tcW w:w="507" w:type="pct"/>
            <w:vAlign w:val="bottom"/>
          </w:tcPr>
          <w:p w:rsidR="00D677B3" w:rsidRPr="00D04898" w:rsidRDefault="00D677B3" w:rsidP="001B56F1">
            <w:pPr>
              <w:pStyle w:val="TableBodyText"/>
              <w:rPr>
                <w:sz w:val="18"/>
                <w:szCs w:val="18"/>
              </w:rPr>
            </w:pPr>
            <w:r w:rsidRPr="00D04898">
              <w:rPr>
                <w:sz w:val="18"/>
                <w:szCs w:val="18"/>
              </w:rPr>
              <w:noBreakHyphen/>
            </w:r>
          </w:p>
        </w:tc>
        <w:tc>
          <w:tcPr>
            <w:tcW w:w="507" w:type="pct"/>
            <w:shd w:val="clear" w:color="auto" w:fill="auto"/>
            <w:vAlign w:val="bottom"/>
          </w:tcPr>
          <w:p w:rsidR="00D677B3" w:rsidRPr="00D04898" w:rsidRDefault="00D677B3" w:rsidP="001B56F1">
            <w:pPr>
              <w:pStyle w:val="TableBodyText"/>
              <w:rPr>
                <w:sz w:val="18"/>
                <w:szCs w:val="18"/>
              </w:rPr>
            </w:pPr>
            <w:r w:rsidRPr="00D04898">
              <w:rPr>
                <w:sz w:val="18"/>
                <w:szCs w:val="18"/>
              </w:rPr>
              <w:noBreakHyphen/>
            </w:r>
          </w:p>
        </w:tc>
        <w:tc>
          <w:tcPr>
            <w:tcW w:w="507" w:type="pct"/>
            <w:shd w:val="clear" w:color="auto" w:fill="auto"/>
            <w:vAlign w:val="bottom"/>
          </w:tcPr>
          <w:p w:rsidR="00D677B3" w:rsidRPr="00D04898" w:rsidRDefault="00D677B3" w:rsidP="001B56F1">
            <w:pPr>
              <w:pStyle w:val="TableBodyText"/>
              <w:rPr>
                <w:sz w:val="18"/>
                <w:szCs w:val="18"/>
              </w:rPr>
            </w:pPr>
            <w:r w:rsidRPr="00D04898">
              <w:rPr>
                <w:sz w:val="18"/>
                <w:szCs w:val="18"/>
              </w:rPr>
              <w:t>1.9</w:t>
            </w:r>
          </w:p>
        </w:tc>
      </w:tr>
      <w:tr w:rsidR="00D677B3" w:rsidRPr="00D61E53" w:rsidTr="001B56F1">
        <w:tc>
          <w:tcPr>
            <w:tcW w:w="1959" w:type="pct"/>
            <w:tcBorders>
              <w:bottom w:val="single" w:sz="4" w:space="0" w:color="auto"/>
            </w:tcBorders>
            <w:vAlign w:val="bottom"/>
          </w:tcPr>
          <w:p w:rsidR="00D677B3" w:rsidRPr="00D04898" w:rsidRDefault="00D677B3" w:rsidP="001B56F1">
            <w:pPr>
              <w:pStyle w:val="TableBodyText"/>
              <w:jc w:val="left"/>
              <w:rPr>
                <w:b/>
                <w:sz w:val="18"/>
                <w:szCs w:val="18"/>
              </w:rPr>
            </w:pPr>
            <w:r w:rsidRPr="00D04898">
              <w:rPr>
                <w:b/>
                <w:sz w:val="18"/>
                <w:szCs w:val="18"/>
              </w:rPr>
              <w:t>Total</w:t>
            </w:r>
          </w:p>
        </w:tc>
        <w:tc>
          <w:tcPr>
            <w:tcW w:w="507" w:type="pct"/>
            <w:tcBorders>
              <w:bottom w:val="single" w:sz="4" w:space="0" w:color="auto"/>
            </w:tcBorders>
            <w:vAlign w:val="bottom"/>
          </w:tcPr>
          <w:p w:rsidR="00D677B3" w:rsidRPr="00D04898" w:rsidRDefault="00D677B3" w:rsidP="001B56F1">
            <w:pPr>
              <w:pStyle w:val="TableBodyText"/>
              <w:rPr>
                <w:b/>
                <w:sz w:val="18"/>
                <w:szCs w:val="18"/>
              </w:rPr>
            </w:pPr>
            <w:r w:rsidRPr="00D04898">
              <w:rPr>
                <w:b/>
                <w:sz w:val="18"/>
                <w:szCs w:val="18"/>
              </w:rPr>
              <w:noBreakHyphen/>
            </w:r>
          </w:p>
        </w:tc>
        <w:tc>
          <w:tcPr>
            <w:tcW w:w="507" w:type="pct"/>
            <w:tcBorders>
              <w:bottom w:val="single" w:sz="4" w:space="0" w:color="auto"/>
            </w:tcBorders>
            <w:vAlign w:val="bottom"/>
          </w:tcPr>
          <w:p w:rsidR="00D677B3" w:rsidRPr="00D04898" w:rsidRDefault="00D677B3" w:rsidP="001B56F1">
            <w:pPr>
              <w:pStyle w:val="TableBodyText"/>
              <w:rPr>
                <w:b/>
                <w:sz w:val="18"/>
                <w:szCs w:val="18"/>
              </w:rPr>
            </w:pPr>
            <w:r w:rsidRPr="00D04898">
              <w:rPr>
                <w:b/>
                <w:sz w:val="18"/>
                <w:szCs w:val="18"/>
              </w:rPr>
              <w:noBreakHyphen/>
            </w:r>
          </w:p>
        </w:tc>
        <w:tc>
          <w:tcPr>
            <w:tcW w:w="507" w:type="pct"/>
            <w:tcBorders>
              <w:bottom w:val="single" w:sz="4" w:space="0" w:color="auto"/>
            </w:tcBorders>
            <w:vAlign w:val="bottom"/>
          </w:tcPr>
          <w:p w:rsidR="00D677B3" w:rsidRPr="00D04898" w:rsidRDefault="00D677B3" w:rsidP="001B56F1">
            <w:pPr>
              <w:pStyle w:val="TableBodyText"/>
              <w:rPr>
                <w:b/>
                <w:sz w:val="18"/>
                <w:szCs w:val="18"/>
              </w:rPr>
            </w:pPr>
            <w:r w:rsidRPr="00D04898">
              <w:rPr>
                <w:b/>
                <w:sz w:val="18"/>
                <w:szCs w:val="18"/>
              </w:rPr>
              <w:noBreakHyphen/>
            </w:r>
          </w:p>
        </w:tc>
        <w:tc>
          <w:tcPr>
            <w:tcW w:w="507" w:type="pct"/>
            <w:tcBorders>
              <w:bottom w:val="single" w:sz="4" w:space="0" w:color="auto"/>
            </w:tcBorders>
            <w:vAlign w:val="bottom"/>
          </w:tcPr>
          <w:p w:rsidR="00D677B3" w:rsidRPr="00D04898" w:rsidRDefault="00D677B3" w:rsidP="001B56F1">
            <w:pPr>
              <w:pStyle w:val="TableBodyText"/>
              <w:rPr>
                <w:b/>
                <w:sz w:val="18"/>
                <w:szCs w:val="18"/>
              </w:rPr>
            </w:pPr>
            <w:r w:rsidRPr="00D04898">
              <w:rPr>
                <w:b/>
                <w:sz w:val="18"/>
                <w:szCs w:val="18"/>
              </w:rPr>
              <w:noBreakHyphen/>
            </w:r>
          </w:p>
        </w:tc>
        <w:tc>
          <w:tcPr>
            <w:tcW w:w="507" w:type="pct"/>
            <w:tcBorders>
              <w:bottom w:val="single" w:sz="4" w:space="0" w:color="auto"/>
            </w:tcBorders>
            <w:shd w:val="clear" w:color="auto" w:fill="auto"/>
            <w:vAlign w:val="bottom"/>
          </w:tcPr>
          <w:p w:rsidR="00D677B3" w:rsidRPr="00D04898" w:rsidRDefault="00D677B3" w:rsidP="001B56F1">
            <w:pPr>
              <w:pStyle w:val="TableBodyText"/>
              <w:rPr>
                <w:b/>
                <w:sz w:val="18"/>
                <w:szCs w:val="18"/>
              </w:rPr>
            </w:pPr>
            <w:r w:rsidRPr="00D04898">
              <w:rPr>
                <w:b/>
                <w:sz w:val="18"/>
                <w:szCs w:val="18"/>
              </w:rPr>
              <w:noBreakHyphen/>
            </w:r>
          </w:p>
        </w:tc>
        <w:tc>
          <w:tcPr>
            <w:tcW w:w="507" w:type="pct"/>
            <w:tcBorders>
              <w:bottom w:val="single" w:sz="4" w:space="0" w:color="auto"/>
            </w:tcBorders>
            <w:shd w:val="clear" w:color="auto" w:fill="auto"/>
            <w:vAlign w:val="bottom"/>
          </w:tcPr>
          <w:p w:rsidR="00D677B3" w:rsidRPr="00D04898" w:rsidRDefault="00D677B3" w:rsidP="001B56F1">
            <w:pPr>
              <w:pStyle w:val="TableBodyText"/>
              <w:rPr>
                <w:b/>
                <w:sz w:val="18"/>
                <w:szCs w:val="18"/>
              </w:rPr>
            </w:pPr>
            <w:r w:rsidRPr="00D04898">
              <w:rPr>
                <w:b/>
                <w:sz w:val="18"/>
                <w:szCs w:val="18"/>
              </w:rPr>
              <w:t>6.4</w:t>
            </w:r>
          </w:p>
        </w:tc>
      </w:tr>
    </w:tbl>
    <w:p w:rsidR="00D677B3" w:rsidRDefault="00D677B3" w:rsidP="00D677B3">
      <w:pPr>
        <w:pStyle w:val="Note"/>
      </w:pPr>
      <w:r w:rsidRPr="00A2379F">
        <w:noBreakHyphen/>
        <w:t xml:space="preserve"> Nil</w:t>
      </w:r>
      <w:r>
        <w:t>.</w:t>
      </w:r>
    </w:p>
    <w:p w:rsidR="00D677B3" w:rsidRDefault="00D677B3" w:rsidP="00D677B3">
      <w:pPr>
        <w:pStyle w:val="Source"/>
      </w:pPr>
      <w:r>
        <w:rPr>
          <w:i/>
        </w:rPr>
        <w:t>Source</w:t>
      </w:r>
      <w:r>
        <w:t>: Commission estimates based on detailed DIISR data by ANZSIC industry.</w:t>
      </w:r>
    </w:p>
    <w:p w:rsidR="00E65991" w:rsidRDefault="00FA09C3" w:rsidP="00E65991">
      <w:pPr>
        <w:pStyle w:val="Heading2"/>
      </w:pPr>
      <w:r>
        <w:t>A.</w:t>
      </w:r>
      <w:r>
        <w:rPr>
          <w:noProof/>
        </w:rPr>
        <w:t>85</w:t>
      </w:r>
      <w:r w:rsidR="00E65991">
        <w:tab/>
        <w:t>Climate Change Research and Productivity Program</w:t>
      </w:r>
    </w:p>
    <w:p w:rsidR="00E65991" w:rsidRDefault="00E65991" w:rsidP="00E65991">
      <w:pPr>
        <w:pStyle w:val="BodyText"/>
      </w:pPr>
      <w:r>
        <w:t xml:space="preserve">In May 2008, the Australian Government announced the Australia’s Farming Future (AFF) program with funding of $130 million over four years. The program, which commenced in July 2008, is intended to assist primary producers in adapting and responding to climate change. It consists of a number of elements including the Climate Change Research and Productivity Program. Other elements of the AFF program include the Climate Change Adaption Partnerships Program, </w:t>
      </w:r>
      <w:r w:rsidR="00123C1E">
        <w:t xml:space="preserve">the </w:t>
      </w:r>
      <w:r>
        <w:t xml:space="preserve">Climate Change Adjustment Program, and </w:t>
      </w:r>
      <w:r w:rsidR="00833A07">
        <w:t xml:space="preserve">the </w:t>
      </w:r>
      <w:r>
        <w:t>Community Networking and Capacity Building (</w:t>
      </w:r>
      <w:r w:rsidRPr="00504EC1">
        <w:t>Burke 2008a</w:t>
      </w:r>
      <w:r>
        <w:t>).</w:t>
      </w:r>
    </w:p>
    <w:p w:rsidR="00E65991" w:rsidRDefault="00E65991" w:rsidP="00E65991">
      <w:pPr>
        <w:pStyle w:val="BodyText"/>
      </w:pPr>
      <w:r>
        <w:t xml:space="preserve">The Climate Change Research and Productivity (CCRP) </w:t>
      </w:r>
      <w:r w:rsidR="00833A07">
        <w:t xml:space="preserve">Program </w:t>
      </w:r>
      <w:r>
        <w:t>funds research projects and on-farm demonstration pilots to help prepare Australia’s primary industries for climate change. The projects focus on:</w:t>
      </w:r>
    </w:p>
    <w:p w:rsidR="00E65991" w:rsidRDefault="00E65991" w:rsidP="00E65991">
      <w:pPr>
        <w:pStyle w:val="ListBullet"/>
      </w:pPr>
      <w:r>
        <w:t>reducing greenhouse gas emissions such as methane and nitrous oxide;</w:t>
      </w:r>
    </w:p>
    <w:p w:rsidR="00E65991" w:rsidRDefault="00E65991" w:rsidP="00E65991">
      <w:pPr>
        <w:pStyle w:val="ListBullet"/>
      </w:pPr>
      <w:r>
        <w:t>improving soil management and determining the potential of sequestration of carbon in agricultural soils — in a variety of soil types, locations and under differing management practices; and</w:t>
      </w:r>
    </w:p>
    <w:p w:rsidR="00E65991" w:rsidRDefault="00E65991" w:rsidP="00E65991">
      <w:pPr>
        <w:pStyle w:val="ListBullet"/>
      </w:pPr>
      <w:r>
        <w:t>research into alternative management practices and the development of adaptation tools and techniques.</w:t>
      </w:r>
    </w:p>
    <w:p w:rsidR="00E65991" w:rsidRDefault="00E65991" w:rsidP="00E65991">
      <w:pPr>
        <w:pStyle w:val="BodyText"/>
      </w:pPr>
      <w:r>
        <w:t>The CCRP Program ended on 30 June 2012.</w:t>
      </w:r>
    </w:p>
    <w:p w:rsidR="00E65991" w:rsidRDefault="00E65991" w:rsidP="00E65991">
      <w:pPr>
        <w:pStyle w:val="BodyText"/>
      </w:pPr>
      <w:r w:rsidRPr="00EA6777">
        <w:t xml:space="preserve">The CCRP </w:t>
      </w:r>
      <w:r w:rsidR="00833A07">
        <w:t>P</w:t>
      </w:r>
      <w:r w:rsidR="00833A07" w:rsidRPr="00EA6777">
        <w:t xml:space="preserve">rogram </w:t>
      </w:r>
      <w:r w:rsidRPr="00EA6777">
        <w:t xml:space="preserve">selectively benefits firms in the primary production sector. However, information on the specific industry incidence of the program has not been readily available. Accordingly, the budget outlay has been classified to the </w:t>
      </w:r>
      <w:r w:rsidRPr="00EA6777">
        <w:rPr>
          <w:i/>
        </w:rPr>
        <w:t>Unallocated primary</w:t>
      </w:r>
      <w:r w:rsidRPr="00EA6777">
        <w:t xml:space="preserve"> production industry grouping in the Commission’s ANZSIC-based classification</w:t>
      </w:r>
      <w:r>
        <w:rPr>
          <w:u w:val="dotted"/>
        </w:rPr>
        <w:t xml:space="preserve"> </w:t>
      </w:r>
      <w:r>
        <w:t>(table A.8</w:t>
      </w:r>
      <w:r w:rsidR="00C065C1">
        <w:t>5</w:t>
      </w:r>
      <w:r>
        <w:t>).</w:t>
      </w:r>
    </w:p>
    <w:p w:rsidR="00E65991" w:rsidRDefault="00E65991" w:rsidP="00E65991">
      <w:pPr>
        <w:pStyle w:val="TableTitle"/>
      </w:pPr>
      <w:r>
        <w:rPr>
          <w:b w:val="0"/>
        </w:rPr>
        <w:t xml:space="preserve">Table </w:t>
      </w:r>
      <w:r w:rsidR="00FA09C3">
        <w:rPr>
          <w:b w:val="0"/>
        </w:rPr>
        <w:t>A.</w:t>
      </w:r>
      <w:r w:rsidR="00FA09C3">
        <w:rPr>
          <w:b w:val="0"/>
          <w:noProof/>
        </w:rPr>
        <w:t>85</w:t>
      </w:r>
      <w:r>
        <w:tab/>
        <w:t>Allocation of Climate Change Research and Productivity Program</w:t>
      </w:r>
      <w:r w:rsidR="008F5A92" w:rsidRPr="008F5A92">
        <w:t xml:space="preserve"> to industry</w:t>
      </w:r>
      <w:r>
        <w:t>, 2006</w:t>
      </w:r>
      <w:r>
        <w:noBreakHyphen/>
        <w:t>07 to 2011</w:t>
      </w:r>
      <w:r>
        <w:noBreakHyphen/>
        <w:t>12</w:t>
      </w:r>
    </w:p>
    <w:p w:rsidR="00E65991" w:rsidRDefault="00E65991" w:rsidP="00E65991">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E65991" w:rsidRPr="00AF699A" w:rsidTr="00160387">
        <w:tc>
          <w:tcPr>
            <w:tcW w:w="1960" w:type="pct"/>
            <w:tcBorders>
              <w:top w:val="single" w:sz="6" w:space="0" w:color="auto"/>
              <w:bottom w:val="single" w:sz="6" w:space="0" w:color="auto"/>
            </w:tcBorders>
          </w:tcPr>
          <w:p w:rsidR="00E65991" w:rsidRPr="00AF699A" w:rsidRDefault="00E65991" w:rsidP="00160387">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E65991" w:rsidRPr="00AF699A" w:rsidRDefault="00E65991" w:rsidP="00160387">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E65991" w:rsidRPr="00AF699A" w:rsidRDefault="00E65991" w:rsidP="00160387">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E65991" w:rsidRPr="00AF699A" w:rsidRDefault="00E65991" w:rsidP="00160387">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E65991" w:rsidRPr="00AF699A" w:rsidRDefault="00E65991" w:rsidP="00160387">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E65991" w:rsidRPr="00AF699A" w:rsidRDefault="00E65991" w:rsidP="00160387">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E65991" w:rsidRPr="00AF699A" w:rsidRDefault="00E65991" w:rsidP="00160387">
            <w:pPr>
              <w:pStyle w:val="TableColumnHeading"/>
              <w:ind w:right="28"/>
              <w:rPr>
                <w:rFonts w:cs="Arial"/>
                <w:sz w:val="18"/>
                <w:szCs w:val="18"/>
              </w:rPr>
            </w:pPr>
            <w:r w:rsidRPr="00AF699A">
              <w:rPr>
                <w:rFonts w:cs="Arial"/>
                <w:sz w:val="18"/>
                <w:szCs w:val="18"/>
              </w:rPr>
              <w:t>2011-12</w:t>
            </w:r>
          </w:p>
        </w:tc>
      </w:tr>
      <w:tr w:rsidR="00E65991" w:rsidRPr="006C5A80" w:rsidTr="00160387">
        <w:tc>
          <w:tcPr>
            <w:tcW w:w="1960" w:type="pct"/>
            <w:tcBorders>
              <w:bottom w:val="single" w:sz="4" w:space="0" w:color="auto"/>
            </w:tcBorders>
            <w:vAlign w:val="bottom"/>
          </w:tcPr>
          <w:p w:rsidR="00E65991" w:rsidRPr="00C944BA" w:rsidRDefault="00E65991" w:rsidP="00160387">
            <w:pPr>
              <w:pStyle w:val="TableBodyText"/>
              <w:jc w:val="left"/>
            </w:pPr>
            <w:r>
              <w:t>Unallocated primary production</w:t>
            </w:r>
            <w:r w:rsidRPr="00BD3CDA">
              <w:rPr>
                <w:rStyle w:val="NoteLabel"/>
                <w:szCs w:val="18"/>
              </w:rPr>
              <w:t>a</w:t>
            </w:r>
          </w:p>
        </w:tc>
        <w:tc>
          <w:tcPr>
            <w:tcW w:w="507" w:type="pct"/>
            <w:tcBorders>
              <w:bottom w:val="single" w:sz="4" w:space="0" w:color="auto"/>
            </w:tcBorders>
            <w:vAlign w:val="bottom"/>
          </w:tcPr>
          <w:p w:rsidR="00E65991" w:rsidRDefault="00E65991" w:rsidP="00160387">
            <w:pPr>
              <w:pStyle w:val="TableBodyText"/>
            </w:pPr>
            <w:r>
              <w:noBreakHyphen/>
            </w:r>
          </w:p>
        </w:tc>
        <w:tc>
          <w:tcPr>
            <w:tcW w:w="507" w:type="pct"/>
            <w:tcBorders>
              <w:bottom w:val="single" w:sz="4" w:space="0" w:color="auto"/>
            </w:tcBorders>
            <w:vAlign w:val="bottom"/>
          </w:tcPr>
          <w:p w:rsidR="00E65991" w:rsidRDefault="00E65991" w:rsidP="00160387">
            <w:pPr>
              <w:pStyle w:val="TableBodyText"/>
            </w:pPr>
            <w:r>
              <w:noBreakHyphen/>
            </w:r>
          </w:p>
        </w:tc>
        <w:tc>
          <w:tcPr>
            <w:tcW w:w="507" w:type="pct"/>
            <w:tcBorders>
              <w:bottom w:val="single" w:sz="4" w:space="0" w:color="auto"/>
            </w:tcBorders>
            <w:vAlign w:val="bottom"/>
          </w:tcPr>
          <w:p w:rsidR="00E65991" w:rsidRDefault="00E65991" w:rsidP="00160387">
            <w:pPr>
              <w:pStyle w:val="TableBodyText"/>
            </w:pPr>
            <w:r>
              <w:t>10.0</w:t>
            </w:r>
          </w:p>
        </w:tc>
        <w:tc>
          <w:tcPr>
            <w:tcW w:w="507" w:type="pct"/>
            <w:tcBorders>
              <w:bottom w:val="single" w:sz="4" w:space="0" w:color="auto"/>
            </w:tcBorders>
            <w:vAlign w:val="bottom"/>
          </w:tcPr>
          <w:p w:rsidR="00E65991" w:rsidRDefault="00E65991" w:rsidP="00160387">
            <w:pPr>
              <w:pStyle w:val="TableBodyText"/>
            </w:pPr>
            <w:r>
              <w:t>15.0</w:t>
            </w:r>
          </w:p>
        </w:tc>
        <w:tc>
          <w:tcPr>
            <w:tcW w:w="507" w:type="pct"/>
            <w:tcBorders>
              <w:bottom w:val="single" w:sz="4" w:space="0" w:color="auto"/>
            </w:tcBorders>
            <w:shd w:val="clear" w:color="auto" w:fill="auto"/>
            <w:vAlign w:val="bottom"/>
          </w:tcPr>
          <w:p w:rsidR="00E65991" w:rsidRDefault="00E65991" w:rsidP="00160387">
            <w:pPr>
              <w:pStyle w:val="TableBodyText"/>
            </w:pPr>
            <w:r>
              <w:t>15.0</w:t>
            </w:r>
          </w:p>
        </w:tc>
        <w:tc>
          <w:tcPr>
            <w:tcW w:w="505" w:type="pct"/>
            <w:tcBorders>
              <w:bottom w:val="single" w:sz="4" w:space="0" w:color="auto"/>
            </w:tcBorders>
            <w:shd w:val="clear" w:color="auto" w:fill="auto"/>
            <w:vAlign w:val="bottom"/>
          </w:tcPr>
          <w:p w:rsidR="00E65991" w:rsidRDefault="00E65991" w:rsidP="00160387">
            <w:pPr>
              <w:pStyle w:val="TableBodyText"/>
            </w:pPr>
            <w:r>
              <w:t>6.2</w:t>
            </w:r>
          </w:p>
        </w:tc>
      </w:tr>
    </w:tbl>
    <w:p w:rsidR="00E65991" w:rsidRPr="00F60026" w:rsidRDefault="00E65991" w:rsidP="00E65991">
      <w:pPr>
        <w:pStyle w:val="Source"/>
        <w:spacing w:after="0"/>
        <w:rPr>
          <w:i/>
        </w:rPr>
      </w:pPr>
      <w:r w:rsidRPr="00A2379F">
        <w:noBreakHyphen/>
        <w:t xml:space="preserve"> </w:t>
      </w:r>
      <w:r>
        <w:t>Nil</w:t>
      </w:r>
      <w:r w:rsidRPr="00A2379F">
        <w:t>.</w:t>
      </w:r>
      <w:r w:rsidRPr="00B1392F">
        <w:t xml:space="preserve"> </w:t>
      </w:r>
      <w:r w:rsidRPr="009B56F1">
        <w:rPr>
          <w:rStyle w:val="NoteLabel"/>
        </w:rPr>
        <w:t>a</w:t>
      </w:r>
      <w:r w:rsidRPr="009B56F1">
        <w:t xml:space="preserve"> Unallocated includes general programs where detai</w:t>
      </w:r>
      <w:r>
        <w:t>ls of beneficiaries are unknown.</w:t>
      </w:r>
    </w:p>
    <w:p w:rsidR="00E65991" w:rsidRDefault="00E65991" w:rsidP="00E65991">
      <w:pPr>
        <w:pStyle w:val="Source"/>
      </w:pPr>
      <w:r>
        <w:rPr>
          <w:i/>
        </w:rPr>
        <w:t>Source</w:t>
      </w:r>
      <w:r>
        <w:t>: Commission estimates based on DAFF Annual Report 2011</w:t>
      </w:r>
      <w:r>
        <w:noBreakHyphen/>
        <w:t>12 (and earlier years).</w:t>
      </w:r>
    </w:p>
    <w:p w:rsidR="00573D74" w:rsidRDefault="00FA09C3" w:rsidP="00573D74">
      <w:pPr>
        <w:pStyle w:val="Heading2"/>
      </w:pPr>
      <w:r>
        <w:t>A.</w:t>
      </w:r>
      <w:r>
        <w:rPr>
          <w:noProof/>
        </w:rPr>
        <w:t>86</w:t>
      </w:r>
      <w:r w:rsidR="00573D74">
        <w:tab/>
        <w:t>T</w:t>
      </w:r>
      <w:r w:rsidR="00AA70E7">
        <w:t xml:space="preserve">extile, </w:t>
      </w:r>
      <w:r w:rsidR="00573D74">
        <w:t>C</w:t>
      </w:r>
      <w:r w:rsidR="00AA70E7">
        <w:t xml:space="preserve">lothing and </w:t>
      </w:r>
      <w:r w:rsidR="00573D74">
        <w:t>F</w:t>
      </w:r>
      <w:r w:rsidR="00AA70E7">
        <w:t>ootwear</w:t>
      </w:r>
      <w:r w:rsidR="00573D74">
        <w:t xml:space="preserve"> Structural Adjustment Program</w:t>
      </w:r>
    </w:p>
    <w:p w:rsidR="00573D74" w:rsidRDefault="00573D74" w:rsidP="00573D74">
      <w:pPr>
        <w:pStyle w:val="BodyText"/>
      </w:pPr>
      <w:r>
        <w:t>The Textile, Clothing and Footwear (TCF) Structural Adjustment Program provides financial support to encourage restructuring and reduce the burden of transition experienced by firms, workers and communities in the TCF industry. The program has two main parts.</w:t>
      </w:r>
    </w:p>
    <w:p w:rsidR="00573D74" w:rsidRDefault="00573D74" w:rsidP="00573D74">
      <w:pPr>
        <w:pStyle w:val="ListBullet"/>
      </w:pPr>
      <w:r>
        <w:t xml:space="preserve">Labour market adjustment assistance, to TCF employees </w:t>
      </w:r>
      <w:r w:rsidRPr="00673756">
        <w:t>who have been retrenched by an eligible TCF business, to secure alternative employment through Job Services Australia with support from community-based service providers</w:t>
      </w:r>
      <w:r>
        <w:t xml:space="preserve">. This component also aims to increase awareness of existing programs and services, such as Job Services Australia, </w:t>
      </w:r>
      <w:r w:rsidRPr="00827583">
        <w:t>to support any requirement for major labour adjustment</w:t>
      </w:r>
      <w:r>
        <w:t>.</w:t>
      </w:r>
    </w:p>
    <w:p w:rsidR="00573D74" w:rsidRDefault="00573D74" w:rsidP="00573D74">
      <w:pPr>
        <w:pStyle w:val="ListBullet"/>
      </w:pPr>
      <w:r>
        <w:t xml:space="preserve">Restructuring initiative grants to eligible TCF firms – this component ceased in June 2013 </w:t>
      </w:r>
      <w:r w:rsidRPr="00206E90">
        <w:t>(</w:t>
      </w:r>
      <w:r w:rsidRPr="00582F97">
        <w:t>DIICCSRTE 2013</w:t>
      </w:r>
      <w:r w:rsidRPr="00206E90">
        <w:t>)</w:t>
      </w:r>
      <w:r>
        <w:t>.</w:t>
      </w:r>
    </w:p>
    <w:p w:rsidR="00573D74" w:rsidRDefault="00573D74" w:rsidP="00573D74">
      <w:pPr>
        <w:pStyle w:val="BodyText"/>
      </w:pPr>
      <w:r>
        <w:t xml:space="preserve">The program selectively benefits textile, clothing and footwear activities and funding from the program has been allocated to the </w:t>
      </w:r>
      <w:r w:rsidRPr="00370CE8">
        <w:rPr>
          <w:i/>
        </w:rPr>
        <w:t>Textile, leather, clothing and footwear</w:t>
      </w:r>
      <w:r>
        <w:t xml:space="preserve"> industry in the Commission’s ANZSIC-based industry groupings (table A.8</w:t>
      </w:r>
      <w:r w:rsidR="00C065C1">
        <w:t>6</w:t>
      </w:r>
      <w:r>
        <w:t>).</w:t>
      </w:r>
    </w:p>
    <w:p w:rsidR="00573D74" w:rsidRDefault="00573D74" w:rsidP="00573D74">
      <w:pPr>
        <w:pStyle w:val="TableTitle"/>
      </w:pPr>
      <w:r>
        <w:rPr>
          <w:b w:val="0"/>
        </w:rPr>
        <w:t xml:space="preserve">Table </w:t>
      </w:r>
      <w:r w:rsidR="00FA09C3">
        <w:rPr>
          <w:b w:val="0"/>
        </w:rPr>
        <w:t>A.</w:t>
      </w:r>
      <w:r w:rsidR="00FA09C3">
        <w:rPr>
          <w:b w:val="0"/>
          <w:noProof/>
        </w:rPr>
        <w:t>86</w:t>
      </w:r>
      <w:r>
        <w:tab/>
        <w:t xml:space="preserve">Allocation of </w:t>
      </w:r>
      <w:r w:rsidR="00C705B7">
        <w:t xml:space="preserve">Textile, Clothing and Footwear </w:t>
      </w:r>
      <w:r>
        <w:t>Structural Adjustment Program</w:t>
      </w:r>
      <w:r w:rsidR="008F5A92" w:rsidRPr="008F5A92">
        <w:t xml:space="preserve"> to industry</w:t>
      </w:r>
      <w:r>
        <w:t>, 2006</w:t>
      </w:r>
      <w:r>
        <w:noBreakHyphen/>
        <w:t>07 to 2011</w:t>
      </w:r>
      <w:r>
        <w:noBreakHyphen/>
        <w:t>12</w:t>
      </w:r>
    </w:p>
    <w:p w:rsidR="00573D74" w:rsidRDefault="00573D74" w:rsidP="00573D74">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573D74" w:rsidRPr="00AF699A" w:rsidTr="001B56F1">
        <w:tc>
          <w:tcPr>
            <w:tcW w:w="1960" w:type="pct"/>
            <w:tcBorders>
              <w:top w:val="single" w:sz="6" w:space="0" w:color="auto"/>
              <w:bottom w:val="single" w:sz="6" w:space="0" w:color="auto"/>
            </w:tcBorders>
          </w:tcPr>
          <w:p w:rsidR="00573D74" w:rsidRPr="00AF699A" w:rsidRDefault="00573D74"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573D74" w:rsidRPr="00AF699A" w:rsidRDefault="00573D74"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573D74" w:rsidRPr="00AF699A" w:rsidRDefault="00573D74"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573D74" w:rsidRPr="00AF699A" w:rsidRDefault="00573D74"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573D74" w:rsidRPr="00AF699A" w:rsidRDefault="00573D74"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573D74" w:rsidRPr="00AF699A" w:rsidRDefault="00573D74"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573D74" w:rsidRPr="00AF699A" w:rsidRDefault="00573D74" w:rsidP="001B56F1">
            <w:pPr>
              <w:pStyle w:val="TableColumnHeading"/>
              <w:ind w:right="28"/>
              <w:rPr>
                <w:rFonts w:cs="Arial"/>
                <w:sz w:val="18"/>
                <w:szCs w:val="18"/>
              </w:rPr>
            </w:pPr>
            <w:r w:rsidRPr="00AF699A">
              <w:rPr>
                <w:rFonts w:cs="Arial"/>
                <w:sz w:val="18"/>
                <w:szCs w:val="18"/>
              </w:rPr>
              <w:t>2011-12</w:t>
            </w:r>
          </w:p>
        </w:tc>
      </w:tr>
      <w:tr w:rsidR="00573D74" w:rsidRPr="006C5A80" w:rsidTr="001B56F1">
        <w:tc>
          <w:tcPr>
            <w:tcW w:w="1960" w:type="pct"/>
            <w:tcBorders>
              <w:bottom w:val="single" w:sz="4" w:space="0" w:color="auto"/>
            </w:tcBorders>
            <w:vAlign w:val="bottom"/>
          </w:tcPr>
          <w:p w:rsidR="00573D74" w:rsidRPr="00C944BA" w:rsidRDefault="00573D74" w:rsidP="001B56F1">
            <w:pPr>
              <w:pStyle w:val="TableBodyText"/>
              <w:jc w:val="left"/>
            </w:pPr>
            <w:r>
              <w:t>Textile, leather, clothing and footwear</w:t>
            </w:r>
          </w:p>
        </w:tc>
        <w:tc>
          <w:tcPr>
            <w:tcW w:w="507" w:type="pct"/>
            <w:tcBorders>
              <w:bottom w:val="single" w:sz="4" w:space="0" w:color="auto"/>
            </w:tcBorders>
            <w:vAlign w:val="bottom"/>
          </w:tcPr>
          <w:p w:rsidR="00573D74" w:rsidRDefault="00573D74" w:rsidP="001B56F1">
            <w:pPr>
              <w:pStyle w:val="TableBodyText"/>
            </w:pPr>
            <w:r>
              <w:t>3.0</w:t>
            </w:r>
          </w:p>
        </w:tc>
        <w:tc>
          <w:tcPr>
            <w:tcW w:w="507" w:type="pct"/>
            <w:tcBorders>
              <w:bottom w:val="single" w:sz="4" w:space="0" w:color="auto"/>
            </w:tcBorders>
            <w:vAlign w:val="bottom"/>
          </w:tcPr>
          <w:p w:rsidR="00573D74" w:rsidRDefault="00573D74" w:rsidP="001B56F1">
            <w:pPr>
              <w:pStyle w:val="TableBodyText"/>
            </w:pPr>
            <w:r>
              <w:t>2.3</w:t>
            </w:r>
          </w:p>
        </w:tc>
        <w:tc>
          <w:tcPr>
            <w:tcW w:w="507" w:type="pct"/>
            <w:tcBorders>
              <w:bottom w:val="single" w:sz="4" w:space="0" w:color="auto"/>
            </w:tcBorders>
            <w:vAlign w:val="bottom"/>
          </w:tcPr>
          <w:p w:rsidR="00573D74" w:rsidRDefault="00573D74" w:rsidP="001B56F1">
            <w:pPr>
              <w:pStyle w:val="TableBodyText"/>
            </w:pPr>
            <w:r>
              <w:t>1.3</w:t>
            </w:r>
          </w:p>
        </w:tc>
        <w:tc>
          <w:tcPr>
            <w:tcW w:w="507" w:type="pct"/>
            <w:tcBorders>
              <w:bottom w:val="single" w:sz="4" w:space="0" w:color="auto"/>
            </w:tcBorders>
            <w:vAlign w:val="bottom"/>
          </w:tcPr>
          <w:p w:rsidR="00573D74" w:rsidRDefault="00573D74" w:rsidP="001B56F1">
            <w:pPr>
              <w:pStyle w:val="TableBodyText"/>
            </w:pPr>
            <w:r>
              <w:t>5.9</w:t>
            </w:r>
          </w:p>
        </w:tc>
        <w:tc>
          <w:tcPr>
            <w:tcW w:w="507" w:type="pct"/>
            <w:tcBorders>
              <w:bottom w:val="single" w:sz="4" w:space="0" w:color="auto"/>
            </w:tcBorders>
            <w:shd w:val="clear" w:color="auto" w:fill="auto"/>
            <w:vAlign w:val="bottom"/>
          </w:tcPr>
          <w:p w:rsidR="00573D74" w:rsidRDefault="00573D74" w:rsidP="001B56F1">
            <w:pPr>
              <w:pStyle w:val="TableBodyText"/>
            </w:pPr>
            <w:r>
              <w:t>2.3</w:t>
            </w:r>
          </w:p>
        </w:tc>
        <w:tc>
          <w:tcPr>
            <w:tcW w:w="505" w:type="pct"/>
            <w:tcBorders>
              <w:bottom w:val="single" w:sz="4" w:space="0" w:color="auto"/>
            </w:tcBorders>
            <w:shd w:val="clear" w:color="auto" w:fill="auto"/>
            <w:vAlign w:val="bottom"/>
          </w:tcPr>
          <w:p w:rsidR="00573D74" w:rsidRDefault="00573D74" w:rsidP="001B56F1">
            <w:pPr>
              <w:pStyle w:val="TableBodyText"/>
            </w:pPr>
            <w:r>
              <w:t>6.2</w:t>
            </w:r>
          </w:p>
        </w:tc>
      </w:tr>
    </w:tbl>
    <w:p w:rsidR="00573D74" w:rsidRDefault="00573D74" w:rsidP="00573D74">
      <w:pPr>
        <w:pStyle w:val="Source"/>
      </w:pPr>
      <w:r>
        <w:rPr>
          <w:i/>
        </w:rPr>
        <w:t>Source</w:t>
      </w:r>
      <w:r w:rsidR="00085C3F">
        <w:rPr>
          <w:i/>
        </w:rPr>
        <w:t>s</w:t>
      </w:r>
      <w:r>
        <w:t>: Commission estimates based on DIISR Annual Report 2009</w:t>
      </w:r>
      <w:r w:rsidR="00085C3F">
        <w:noBreakHyphen/>
      </w:r>
      <w:r>
        <w:t>10 (and earlier years); Department of Industry, Tourism and Resources Annual Report 2006</w:t>
      </w:r>
      <w:r w:rsidR="00085C3F">
        <w:noBreakHyphen/>
      </w:r>
      <w:r>
        <w:t>07; and detailed DIISR data by ANZSIC industry.</w:t>
      </w:r>
    </w:p>
    <w:p w:rsidR="007419CC" w:rsidRDefault="00FA09C3" w:rsidP="007419CC">
      <w:pPr>
        <w:pStyle w:val="Heading2"/>
      </w:pPr>
      <w:r>
        <w:t>A.</w:t>
      </w:r>
      <w:r>
        <w:rPr>
          <w:noProof/>
        </w:rPr>
        <w:t>87</w:t>
      </w:r>
      <w:r w:rsidR="007419CC">
        <w:tab/>
        <w:t>Tax Deduction for horticultural plantations</w:t>
      </w:r>
    </w:p>
    <w:p w:rsidR="007419CC" w:rsidRDefault="007419CC" w:rsidP="007419CC">
      <w:pPr>
        <w:pStyle w:val="BodyText"/>
      </w:pPr>
      <w:r>
        <w:t xml:space="preserve">The tax deduction for horticultural plantations allows for capital expenditure incurred in establishing horticultural plants to be written off using an accelerated depreciation regime, with deductions available from the first commercial season. The cost of establishing plants with an effective life of less than three years can be written off in the first commercial year. Plants with an effective life of more than three years can be depreciated over a shorter period than their effective life using the maximum write-off periods set out in the legislation </w:t>
      </w:r>
      <w:r w:rsidRPr="00812D24">
        <w:t>(</w:t>
      </w:r>
      <w:r w:rsidRPr="00582F97">
        <w:t>Tax Expenditure Statement, Australian Government</w:t>
      </w:r>
      <w:r>
        <w:t> </w:t>
      </w:r>
      <w:r w:rsidRPr="00582F97">
        <w:t>2013, Item B 83</w:t>
      </w:r>
      <w:r w:rsidRPr="00812D24">
        <w:t>)</w:t>
      </w:r>
      <w:r>
        <w:t>.</w:t>
      </w:r>
    </w:p>
    <w:p w:rsidR="007419CC" w:rsidRDefault="007419CC" w:rsidP="007419CC">
      <w:pPr>
        <w:pStyle w:val="BodyText"/>
      </w:pPr>
      <w:r>
        <w:t xml:space="preserve">The tax concession is targeted at horticultural growers and has been classified to the </w:t>
      </w:r>
      <w:r w:rsidRPr="009876E5">
        <w:rPr>
          <w:i/>
        </w:rPr>
        <w:t>Horticulture and fruit growing</w:t>
      </w:r>
      <w:r>
        <w:t xml:space="preserve"> industry grouping in the Commission’s ANZSIC-based classification (table A.8</w:t>
      </w:r>
      <w:r w:rsidR="00C065C1">
        <w:t>7</w:t>
      </w:r>
      <w:r>
        <w:t>).</w:t>
      </w:r>
    </w:p>
    <w:p w:rsidR="007419CC" w:rsidRDefault="007419CC" w:rsidP="007419CC">
      <w:pPr>
        <w:pStyle w:val="TableTitle"/>
      </w:pPr>
      <w:r>
        <w:rPr>
          <w:b w:val="0"/>
        </w:rPr>
        <w:t xml:space="preserve">Table </w:t>
      </w:r>
      <w:r w:rsidR="00FA09C3">
        <w:rPr>
          <w:b w:val="0"/>
        </w:rPr>
        <w:t>A.</w:t>
      </w:r>
      <w:r w:rsidR="00FA09C3">
        <w:rPr>
          <w:b w:val="0"/>
          <w:noProof/>
        </w:rPr>
        <w:t>87</w:t>
      </w:r>
      <w:r>
        <w:tab/>
        <w:t>Allocation of Tax deduction for horticultural plantations</w:t>
      </w:r>
      <w:r w:rsidR="008F5A92" w:rsidRPr="008F5A92">
        <w:t xml:space="preserve"> to industry</w:t>
      </w:r>
      <w:r>
        <w:t>, 2006</w:t>
      </w:r>
      <w:r>
        <w:noBreakHyphen/>
        <w:t>07 to 2011</w:t>
      </w:r>
      <w:r>
        <w:noBreakHyphen/>
        <w:t>12</w:t>
      </w:r>
    </w:p>
    <w:p w:rsidR="007419CC" w:rsidRDefault="007419CC" w:rsidP="007419CC">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7419CC" w:rsidRPr="00AF699A" w:rsidTr="001B56F1">
        <w:tc>
          <w:tcPr>
            <w:tcW w:w="1960" w:type="pct"/>
            <w:tcBorders>
              <w:top w:val="single" w:sz="6" w:space="0" w:color="auto"/>
              <w:bottom w:val="single" w:sz="6" w:space="0" w:color="auto"/>
            </w:tcBorders>
          </w:tcPr>
          <w:p w:rsidR="007419CC" w:rsidRPr="00AF699A" w:rsidRDefault="007419CC"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7419CC" w:rsidRPr="00AF699A" w:rsidRDefault="007419CC"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7419CC" w:rsidRPr="00AF699A" w:rsidRDefault="007419CC"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7419CC" w:rsidRPr="00AF699A" w:rsidRDefault="007419CC"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7419CC" w:rsidRPr="00AF699A" w:rsidRDefault="007419CC"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7419CC" w:rsidRPr="00AF699A" w:rsidRDefault="007419CC"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7419CC" w:rsidRPr="00AF699A" w:rsidRDefault="007419CC" w:rsidP="001B56F1">
            <w:pPr>
              <w:pStyle w:val="TableColumnHeading"/>
              <w:ind w:right="28"/>
              <w:rPr>
                <w:rFonts w:cs="Arial"/>
                <w:sz w:val="18"/>
                <w:szCs w:val="18"/>
              </w:rPr>
            </w:pPr>
            <w:r w:rsidRPr="00AF699A">
              <w:rPr>
                <w:rFonts w:cs="Arial"/>
                <w:sz w:val="18"/>
                <w:szCs w:val="18"/>
              </w:rPr>
              <w:t>2011-12</w:t>
            </w:r>
          </w:p>
        </w:tc>
      </w:tr>
      <w:tr w:rsidR="007419CC" w:rsidRPr="006C5A80" w:rsidTr="001B56F1">
        <w:tc>
          <w:tcPr>
            <w:tcW w:w="1960" w:type="pct"/>
            <w:tcBorders>
              <w:bottom w:val="single" w:sz="4" w:space="0" w:color="auto"/>
            </w:tcBorders>
            <w:vAlign w:val="bottom"/>
          </w:tcPr>
          <w:p w:rsidR="007419CC" w:rsidRPr="00C944BA" w:rsidRDefault="007419CC" w:rsidP="001B56F1">
            <w:pPr>
              <w:pStyle w:val="TableBodyText"/>
              <w:jc w:val="left"/>
            </w:pPr>
            <w:r>
              <w:t>Horticulture and fruit growing</w:t>
            </w:r>
          </w:p>
        </w:tc>
        <w:tc>
          <w:tcPr>
            <w:tcW w:w="507" w:type="pct"/>
            <w:tcBorders>
              <w:bottom w:val="single" w:sz="4" w:space="0" w:color="auto"/>
            </w:tcBorders>
            <w:vAlign w:val="bottom"/>
          </w:tcPr>
          <w:p w:rsidR="007419CC" w:rsidRPr="00F3726A" w:rsidRDefault="007419CC" w:rsidP="001B56F1">
            <w:pPr>
              <w:pStyle w:val="TableBodyText"/>
            </w:pPr>
            <w:r w:rsidRPr="00F3726A">
              <w:t>4.0</w:t>
            </w:r>
          </w:p>
        </w:tc>
        <w:tc>
          <w:tcPr>
            <w:tcW w:w="507" w:type="pct"/>
            <w:tcBorders>
              <w:bottom w:val="single" w:sz="4" w:space="0" w:color="auto"/>
            </w:tcBorders>
            <w:vAlign w:val="bottom"/>
          </w:tcPr>
          <w:p w:rsidR="007419CC" w:rsidRPr="00F3726A" w:rsidRDefault="007419CC" w:rsidP="001B56F1">
            <w:pPr>
              <w:pStyle w:val="TableBodyText"/>
            </w:pPr>
            <w:r w:rsidRPr="00F3726A">
              <w:t>5.0</w:t>
            </w:r>
          </w:p>
        </w:tc>
        <w:tc>
          <w:tcPr>
            <w:tcW w:w="507" w:type="pct"/>
            <w:tcBorders>
              <w:bottom w:val="single" w:sz="4" w:space="0" w:color="auto"/>
            </w:tcBorders>
            <w:vAlign w:val="bottom"/>
          </w:tcPr>
          <w:p w:rsidR="007419CC" w:rsidRPr="00F3726A" w:rsidRDefault="007419CC" w:rsidP="001B56F1">
            <w:pPr>
              <w:pStyle w:val="TableBodyText"/>
            </w:pPr>
            <w:r w:rsidRPr="00F3726A">
              <w:t>5.0</w:t>
            </w:r>
          </w:p>
        </w:tc>
        <w:tc>
          <w:tcPr>
            <w:tcW w:w="507" w:type="pct"/>
            <w:tcBorders>
              <w:bottom w:val="single" w:sz="4" w:space="0" w:color="auto"/>
            </w:tcBorders>
            <w:vAlign w:val="bottom"/>
          </w:tcPr>
          <w:p w:rsidR="007419CC" w:rsidRPr="00F3726A" w:rsidRDefault="007419CC" w:rsidP="001B56F1">
            <w:pPr>
              <w:pStyle w:val="TableBodyText"/>
            </w:pPr>
            <w:r w:rsidRPr="00F3726A">
              <w:t>5.0</w:t>
            </w:r>
          </w:p>
        </w:tc>
        <w:tc>
          <w:tcPr>
            <w:tcW w:w="507" w:type="pct"/>
            <w:tcBorders>
              <w:bottom w:val="single" w:sz="4" w:space="0" w:color="auto"/>
            </w:tcBorders>
            <w:shd w:val="clear" w:color="auto" w:fill="auto"/>
            <w:vAlign w:val="bottom"/>
          </w:tcPr>
          <w:p w:rsidR="007419CC" w:rsidRPr="00F3726A" w:rsidRDefault="007419CC" w:rsidP="001B56F1">
            <w:pPr>
              <w:pStyle w:val="TableBodyText"/>
            </w:pPr>
            <w:r w:rsidRPr="00F3726A">
              <w:t>6.0</w:t>
            </w:r>
          </w:p>
        </w:tc>
        <w:tc>
          <w:tcPr>
            <w:tcW w:w="505" w:type="pct"/>
            <w:tcBorders>
              <w:bottom w:val="single" w:sz="4" w:space="0" w:color="auto"/>
            </w:tcBorders>
            <w:shd w:val="clear" w:color="auto" w:fill="auto"/>
            <w:vAlign w:val="bottom"/>
          </w:tcPr>
          <w:p w:rsidR="007419CC" w:rsidRPr="00F3726A" w:rsidRDefault="007419CC" w:rsidP="001B56F1">
            <w:pPr>
              <w:pStyle w:val="TableBodyText"/>
            </w:pPr>
            <w:r w:rsidRPr="00F3726A">
              <w:t>6.0</w:t>
            </w:r>
          </w:p>
        </w:tc>
      </w:tr>
    </w:tbl>
    <w:p w:rsidR="007419CC" w:rsidRDefault="007419CC" w:rsidP="007419CC">
      <w:pPr>
        <w:pStyle w:val="Source"/>
      </w:pPr>
      <w:r>
        <w:rPr>
          <w:i/>
        </w:rPr>
        <w:t>Source</w:t>
      </w:r>
      <w:r>
        <w:t>: Commission estimates based on Tax Expenditure Statement 2012, Australian Government 2013, p</w:t>
      </w:r>
      <w:r w:rsidR="00582F97">
        <w:t>. </w:t>
      </w:r>
      <w:r>
        <w:t>105, item B83.</w:t>
      </w:r>
    </w:p>
    <w:p w:rsidR="00813CBC" w:rsidRDefault="00FA09C3" w:rsidP="00813CBC">
      <w:pPr>
        <w:pStyle w:val="Heading2"/>
      </w:pPr>
      <w:r>
        <w:t>A.</w:t>
      </w:r>
      <w:r>
        <w:rPr>
          <w:noProof/>
        </w:rPr>
        <w:t>88</w:t>
      </w:r>
      <w:r w:rsidR="00813CBC">
        <w:tab/>
        <w:t>Automotive Supply Chain Development Program</w:t>
      </w:r>
    </w:p>
    <w:p w:rsidR="00813CBC" w:rsidRDefault="00813CBC" w:rsidP="00813CBC">
      <w:pPr>
        <w:pStyle w:val="BodyText"/>
      </w:pPr>
      <w:r>
        <w:t xml:space="preserve">The Automotive Supply Chain Development Program (ASCDP) provides funding to assist the automotive components sector to enhance its capabilities and to better integrate </w:t>
      </w:r>
      <w:r w:rsidR="00B616BC">
        <w:t xml:space="preserve">it </w:t>
      </w:r>
      <w:r>
        <w:t>into local and global supply chains. The ASCDP was to provide $20 million in grants until 30 June 2013 (</w:t>
      </w:r>
      <w:r w:rsidRPr="00582F97">
        <w:t>Department of Industry 2013c</w:t>
      </w:r>
      <w:r>
        <w:t>).</w:t>
      </w:r>
    </w:p>
    <w:p w:rsidR="00813CBC" w:rsidRDefault="00813CBC" w:rsidP="00813CBC">
      <w:pPr>
        <w:pStyle w:val="BodyText"/>
      </w:pPr>
      <w:r>
        <w:t xml:space="preserve">The ASCDP selectively benefits activities in the automotive components industry and funding from the program has been allocated to the </w:t>
      </w:r>
      <w:r w:rsidRPr="002009DD">
        <w:rPr>
          <w:i/>
        </w:rPr>
        <w:t>Motor vehicles and parts</w:t>
      </w:r>
      <w:r>
        <w:t xml:space="preserve"> industry grouping in the Commission’s ANZSIC-based classification (table A.8</w:t>
      </w:r>
      <w:r w:rsidR="00C065C1">
        <w:t>8</w:t>
      </w:r>
      <w:r>
        <w:t>).</w:t>
      </w:r>
    </w:p>
    <w:p w:rsidR="00813CBC" w:rsidRDefault="00813CBC" w:rsidP="00813CBC">
      <w:pPr>
        <w:pStyle w:val="TableTitle"/>
      </w:pPr>
      <w:r>
        <w:rPr>
          <w:b w:val="0"/>
        </w:rPr>
        <w:t xml:space="preserve">Table </w:t>
      </w:r>
      <w:r w:rsidR="00FA09C3">
        <w:rPr>
          <w:b w:val="0"/>
        </w:rPr>
        <w:t>A.</w:t>
      </w:r>
      <w:r w:rsidR="00FA09C3">
        <w:rPr>
          <w:b w:val="0"/>
          <w:noProof/>
        </w:rPr>
        <w:t>88</w:t>
      </w:r>
      <w:r>
        <w:tab/>
        <w:t>Allocation of Automotive Supply Chain Development Program</w:t>
      </w:r>
      <w:r w:rsidR="008F5A92" w:rsidRPr="008F5A92">
        <w:t xml:space="preserve"> to industry</w:t>
      </w:r>
      <w:r>
        <w:t>, 2006</w:t>
      </w:r>
      <w:r>
        <w:noBreakHyphen/>
        <w:t>07 to 2011</w:t>
      </w:r>
      <w:r>
        <w:noBreakHyphen/>
        <w:t>12</w:t>
      </w:r>
    </w:p>
    <w:p w:rsidR="00813CBC" w:rsidRDefault="00813CBC" w:rsidP="00813CBC">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813CBC" w:rsidRPr="00AF699A" w:rsidTr="001B56F1">
        <w:tc>
          <w:tcPr>
            <w:tcW w:w="1960" w:type="pct"/>
            <w:tcBorders>
              <w:top w:val="single" w:sz="6" w:space="0" w:color="auto"/>
              <w:bottom w:val="single" w:sz="6" w:space="0" w:color="auto"/>
            </w:tcBorders>
          </w:tcPr>
          <w:p w:rsidR="00813CBC" w:rsidRPr="00AF699A" w:rsidRDefault="00813CBC"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813CBC" w:rsidRPr="00AF699A" w:rsidRDefault="00813CBC"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813CBC" w:rsidRPr="00AF699A" w:rsidRDefault="00813CBC"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813CBC" w:rsidRPr="00AF699A" w:rsidRDefault="00813CBC"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813CBC" w:rsidRPr="00AF699A" w:rsidRDefault="00813CBC"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813CBC" w:rsidRPr="00AF699A" w:rsidRDefault="00813CBC"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813CBC" w:rsidRPr="00AF699A" w:rsidRDefault="00813CBC" w:rsidP="001B56F1">
            <w:pPr>
              <w:pStyle w:val="TableColumnHeading"/>
              <w:ind w:right="28"/>
              <w:rPr>
                <w:rFonts w:cs="Arial"/>
                <w:sz w:val="18"/>
                <w:szCs w:val="18"/>
              </w:rPr>
            </w:pPr>
            <w:r w:rsidRPr="00AF699A">
              <w:rPr>
                <w:rFonts w:cs="Arial"/>
                <w:sz w:val="18"/>
                <w:szCs w:val="18"/>
              </w:rPr>
              <w:t>2011-12</w:t>
            </w:r>
          </w:p>
        </w:tc>
      </w:tr>
      <w:tr w:rsidR="00813CBC" w:rsidRPr="006C5A80" w:rsidTr="001B56F1">
        <w:tc>
          <w:tcPr>
            <w:tcW w:w="1960" w:type="pct"/>
            <w:tcBorders>
              <w:bottom w:val="single" w:sz="4" w:space="0" w:color="auto"/>
            </w:tcBorders>
            <w:vAlign w:val="bottom"/>
          </w:tcPr>
          <w:p w:rsidR="00813CBC" w:rsidRPr="00C944BA" w:rsidRDefault="00813CBC" w:rsidP="001B56F1">
            <w:pPr>
              <w:pStyle w:val="TableBodyText"/>
              <w:jc w:val="left"/>
            </w:pPr>
            <w:r>
              <w:t>Motor vehicles and parts</w:t>
            </w:r>
          </w:p>
        </w:tc>
        <w:tc>
          <w:tcPr>
            <w:tcW w:w="507" w:type="pct"/>
            <w:tcBorders>
              <w:bottom w:val="single" w:sz="4" w:space="0" w:color="auto"/>
            </w:tcBorders>
            <w:vAlign w:val="bottom"/>
          </w:tcPr>
          <w:p w:rsidR="00813CBC" w:rsidRPr="003112E9" w:rsidRDefault="00813CBC" w:rsidP="001B56F1">
            <w:pPr>
              <w:pStyle w:val="TableBodyText"/>
            </w:pPr>
            <w:r>
              <w:noBreakHyphen/>
            </w:r>
          </w:p>
        </w:tc>
        <w:tc>
          <w:tcPr>
            <w:tcW w:w="507" w:type="pct"/>
            <w:tcBorders>
              <w:bottom w:val="single" w:sz="4" w:space="0" w:color="auto"/>
            </w:tcBorders>
            <w:vAlign w:val="bottom"/>
          </w:tcPr>
          <w:p w:rsidR="00813CBC" w:rsidRPr="003112E9" w:rsidRDefault="00813CBC" w:rsidP="001B56F1">
            <w:pPr>
              <w:pStyle w:val="TableBodyText"/>
            </w:pPr>
            <w:r>
              <w:noBreakHyphen/>
            </w:r>
          </w:p>
        </w:tc>
        <w:tc>
          <w:tcPr>
            <w:tcW w:w="507" w:type="pct"/>
            <w:tcBorders>
              <w:bottom w:val="single" w:sz="4" w:space="0" w:color="auto"/>
            </w:tcBorders>
            <w:vAlign w:val="bottom"/>
          </w:tcPr>
          <w:p w:rsidR="00813CBC" w:rsidRPr="003112E9" w:rsidRDefault="00813CBC" w:rsidP="001B56F1">
            <w:pPr>
              <w:pStyle w:val="TableBodyText"/>
            </w:pPr>
            <w:r>
              <w:t>&lt;</w:t>
            </w:r>
            <w:r w:rsidRPr="003112E9">
              <w:t>0.1</w:t>
            </w:r>
          </w:p>
        </w:tc>
        <w:tc>
          <w:tcPr>
            <w:tcW w:w="507" w:type="pct"/>
            <w:tcBorders>
              <w:bottom w:val="single" w:sz="4" w:space="0" w:color="auto"/>
            </w:tcBorders>
            <w:vAlign w:val="bottom"/>
          </w:tcPr>
          <w:p w:rsidR="00813CBC" w:rsidRPr="003112E9" w:rsidRDefault="00813CBC" w:rsidP="001B56F1">
            <w:pPr>
              <w:pStyle w:val="TableBodyText"/>
            </w:pPr>
            <w:r w:rsidRPr="003112E9">
              <w:t>3.9</w:t>
            </w:r>
          </w:p>
        </w:tc>
        <w:tc>
          <w:tcPr>
            <w:tcW w:w="507" w:type="pct"/>
            <w:tcBorders>
              <w:bottom w:val="single" w:sz="4" w:space="0" w:color="auto"/>
            </w:tcBorders>
            <w:shd w:val="clear" w:color="auto" w:fill="auto"/>
            <w:vAlign w:val="bottom"/>
          </w:tcPr>
          <w:p w:rsidR="00813CBC" w:rsidRPr="003112E9" w:rsidRDefault="00813CBC" w:rsidP="001B56F1">
            <w:pPr>
              <w:pStyle w:val="TableBodyText"/>
            </w:pPr>
            <w:r w:rsidRPr="003112E9">
              <w:t>5.8</w:t>
            </w:r>
          </w:p>
        </w:tc>
        <w:tc>
          <w:tcPr>
            <w:tcW w:w="505" w:type="pct"/>
            <w:tcBorders>
              <w:bottom w:val="single" w:sz="4" w:space="0" w:color="auto"/>
            </w:tcBorders>
            <w:shd w:val="clear" w:color="auto" w:fill="auto"/>
            <w:vAlign w:val="bottom"/>
          </w:tcPr>
          <w:p w:rsidR="00813CBC" w:rsidRPr="003112E9" w:rsidRDefault="00813CBC" w:rsidP="001B56F1">
            <w:pPr>
              <w:pStyle w:val="TableBodyText"/>
            </w:pPr>
            <w:r w:rsidRPr="003112E9">
              <w:t>5.4</w:t>
            </w:r>
          </w:p>
        </w:tc>
      </w:tr>
    </w:tbl>
    <w:p w:rsidR="00813CBC" w:rsidRPr="00F60026" w:rsidRDefault="00813CBC" w:rsidP="00813CBC">
      <w:pPr>
        <w:pStyle w:val="Source"/>
        <w:spacing w:after="0"/>
        <w:rPr>
          <w:i/>
        </w:rPr>
      </w:pPr>
      <w:r w:rsidRPr="00A2379F">
        <w:noBreakHyphen/>
        <w:t xml:space="preserve"> </w:t>
      </w:r>
      <w:r>
        <w:t>Nil</w:t>
      </w:r>
      <w:r w:rsidRPr="00A2379F">
        <w:t>.</w:t>
      </w:r>
    </w:p>
    <w:p w:rsidR="00813CBC" w:rsidRDefault="00813CBC" w:rsidP="00813CBC">
      <w:pPr>
        <w:pStyle w:val="Source"/>
      </w:pPr>
      <w:r>
        <w:rPr>
          <w:i/>
        </w:rPr>
        <w:t>Sources</w:t>
      </w:r>
      <w:r>
        <w:t>: Commission estimates based on DIISR Portfolio Budget Statements 2012</w:t>
      </w:r>
      <w:r>
        <w:noBreakHyphen/>
        <w:t>13 (and earlier years); DIISR Annual Report 2009</w:t>
      </w:r>
      <w:r>
        <w:noBreakHyphen/>
        <w:t>10 (and earlier years); and detailed DIISR data by ANZSIC industry.</w:t>
      </w:r>
    </w:p>
    <w:p w:rsidR="00E451B6" w:rsidRDefault="00FA09C3" w:rsidP="00E451B6">
      <w:pPr>
        <w:pStyle w:val="Heading2"/>
      </w:pPr>
      <w:r>
        <w:t>A.</w:t>
      </w:r>
      <w:r>
        <w:rPr>
          <w:noProof/>
        </w:rPr>
        <w:t>89</w:t>
      </w:r>
      <w:r w:rsidR="00E451B6">
        <w:tab/>
        <w:t>Sugar Research and Development Corporation</w:t>
      </w:r>
    </w:p>
    <w:p w:rsidR="00E451B6" w:rsidRDefault="00E451B6" w:rsidP="00E451B6">
      <w:pPr>
        <w:pStyle w:val="BodyText"/>
      </w:pPr>
      <w:r>
        <w:t xml:space="preserve">The Sugar Research and Development Corporation (SRDC) is one of the rural research and development organisations established in 1990 under the </w:t>
      </w:r>
      <w:r w:rsidRPr="00D469B8">
        <w:rPr>
          <w:i/>
        </w:rPr>
        <w:t>Primary Industries and Energy Research and Development Act 1989</w:t>
      </w:r>
      <w:r>
        <w:t>. The SRDC funds research and development projects in Australia with the aim of fostering an internationally competitive and sustainable sugar industry (</w:t>
      </w:r>
      <w:r w:rsidRPr="00582F97">
        <w:t>SRDC 2012</w:t>
      </w:r>
      <w:r>
        <w:t>).</w:t>
      </w:r>
    </w:p>
    <w:p w:rsidR="00E451B6" w:rsidRDefault="00E451B6" w:rsidP="00E451B6">
      <w:pPr>
        <w:pStyle w:val="BodyText"/>
      </w:pPr>
      <w:r>
        <w:t xml:space="preserve">The SRDC is jointly funded by an industry levy and </w:t>
      </w:r>
      <w:r w:rsidR="00B616BC">
        <w:t xml:space="preserve">Australian </w:t>
      </w:r>
      <w:r>
        <w:t xml:space="preserve">Government contributions and selectively assists the sugar farming activities which is part of the </w:t>
      </w:r>
      <w:r w:rsidRPr="003B076E">
        <w:rPr>
          <w:i/>
        </w:rPr>
        <w:t>Other crop growing</w:t>
      </w:r>
      <w:r>
        <w:t xml:space="preserve"> industry grouping in the Commission’s ANZSIC-based classification (table A.8</w:t>
      </w:r>
      <w:r w:rsidR="00C065C1">
        <w:t>9</w:t>
      </w:r>
      <w:r>
        <w:t>).</w:t>
      </w:r>
    </w:p>
    <w:p w:rsidR="00E451B6" w:rsidRDefault="00E451B6" w:rsidP="00E451B6">
      <w:pPr>
        <w:pStyle w:val="TableTitle"/>
      </w:pPr>
      <w:r>
        <w:rPr>
          <w:b w:val="0"/>
        </w:rPr>
        <w:t xml:space="preserve">Table </w:t>
      </w:r>
      <w:r w:rsidR="00FA09C3">
        <w:rPr>
          <w:b w:val="0"/>
        </w:rPr>
        <w:t>A.</w:t>
      </w:r>
      <w:r w:rsidR="00FA09C3">
        <w:rPr>
          <w:b w:val="0"/>
          <w:noProof/>
        </w:rPr>
        <w:t>89</w:t>
      </w:r>
      <w:r>
        <w:tab/>
        <w:t>Allocation of Sugar Research and Development Corporation funding</w:t>
      </w:r>
      <w:r w:rsidR="008F5A92" w:rsidRPr="008F5A92">
        <w:t xml:space="preserve"> to industry</w:t>
      </w:r>
      <w:r>
        <w:t>, 2006</w:t>
      </w:r>
      <w:r>
        <w:noBreakHyphen/>
        <w:t>07 to 2011</w:t>
      </w:r>
      <w:r>
        <w:noBreakHyphen/>
        <w:t>12</w:t>
      </w:r>
    </w:p>
    <w:p w:rsidR="00E451B6" w:rsidRDefault="00E451B6" w:rsidP="00E451B6">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E451B6" w:rsidRPr="00AF699A" w:rsidTr="001B56F1">
        <w:tc>
          <w:tcPr>
            <w:tcW w:w="1960" w:type="pct"/>
            <w:tcBorders>
              <w:top w:val="single" w:sz="6" w:space="0" w:color="auto"/>
              <w:bottom w:val="single" w:sz="6" w:space="0" w:color="auto"/>
            </w:tcBorders>
          </w:tcPr>
          <w:p w:rsidR="00E451B6" w:rsidRPr="00AF699A" w:rsidRDefault="00E451B6"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E451B6" w:rsidRPr="00AF699A" w:rsidRDefault="00E451B6"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E451B6" w:rsidRPr="00AF699A" w:rsidRDefault="00E451B6"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E451B6" w:rsidRPr="00AF699A" w:rsidRDefault="00E451B6"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E451B6" w:rsidRPr="00AF699A" w:rsidRDefault="00E451B6"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E451B6" w:rsidRPr="00AF699A" w:rsidRDefault="00E451B6"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E451B6" w:rsidRPr="00AF699A" w:rsidRDefault="00E451B6" w:rsidP="001B56F1">
            <w:pPr>
              <w:pStyle w:val="TableColumnHeading"/>
              <w:ind w:right="28"/>
              <w:rPr>
                <w:rFonts w:cs="Arial"/>
                <w:sz w:val="18"/>
                <w:szCs w:val="18"/>
              </w:rPr>
            </w:pPr>
            <w:r w:rsidRPr="00AF699A">
              <w:rPr>
                <w:rFonts w:cs="Arial"/>
                <w:sz w:val="18"/>
                <w:szCs w:val="18"/>
              </w:rPr>
              <w:t>2011-12</w:t>
            </w:r>
          </w:p>
        </w:tc>
      </w:tr>
      <w:tr w:rsidR="00E451B6" w:rsidRPr="006C5A80" w:rsidTr="001B56F1">
        <w:tc>
          <w:tcPr>
            <w:tcW w:w="1960" w:type="pct"/>
            <w:tcBorders>
              <w:bottom w:val="single" w:sz="4" w:space="0" w:color="auto"/>
            </w:tcBorders>
            <w:vAlign w:val="bottom"/>
          </w:tcPr>
          <w:p w:rsidR="00E451B6" w:rsidRPr="00C944BA" w:rsidRDefault="00E451B6" w:rsidP="001B56F1">
            <w:pPr>
              <w:pStyle w:val="TableBodyText"/>
              <w:jc w:val="left"/>
            </w:pPr>
            <w:r>
              <w:t>Other crop growing</w:t>
            </w:r>
          </w:p>
        </w:tc>
        <w:tc>
          <w:tcPr>
            <w:tcW w:w="507" w:type="pct"/>
            <w:tcBorders>
              <w:bottom w:val="single" w:sz="4" w:space="0" w:color="auto"/>
            </w:tcBorders>
            <w:vAlign w:val="bottom"/>
          </w:tcPr>
          <w:p w:rsidR="00E451B6" w:rsidRPr="00BC452F" w:rsidRDefault="00E451B6" w:rsidP="001B56F1">
            <w:pPr>
              <w:pStyle w:val="TableBodyText"/>
            </w:pPr>
            <w:r w:rsidRPr="00BC452F">
              <w:t>5.5</w:t>
            </w:r>
          </w:p>
        </w:tc>
        <w:tc>
          <w:tcPr>
            <w:tcW w:w="507" w:type="pct"/>
            <w:tcBorders>
              <w:bottom w:val="single" w:sz="4" w:space="0" w:color="auto"/>
            </w:tcBorders>
            <w:vAlign w:val="bottom"/>
          </w:tcPr>
          <w:p w:rsidR="00E451B6" w:rsidRPr="00BC452F" w:rsidRDefault="00E451B6" w:rsidP="001B56F1">
            <w:pPr>
              <w:pStyle w:val="TableBodyText"/>
            </w:pPr>
            <w:r w:rsidRPr="00BC452F">
              <w:t>6.3</w:t>
            </w:r>
          </w:p>
        </w:tc>
        <w:tc>
          <w:tcPr>
            <w:tcW w:w="507" w:type="pct"/>
            <w:tcBorders>
              <w:bottom w:val="single" w:sz="4" w:space="0" w:color="auto"/>
            </w:tcBorders>
            <w:vAlign w:val="bottom"/>
          </w:tcPr>
          <w:p w:rsidR="00E451B6" w:rsidRPr="00BC452F" w:rsidRDefault="00E451B6" w:rsidP="001B56F1">
            <w:pPr>
              <w:pStyle w:val="TableBodyText"/>
            </w:pPr>
            <w:r w:rsidRPr="00BC452F">
              <w:t>6.1</w:t>
            </w:r>
          </w:p>
        </w:tc>
        <w:tc>
          <w:tcPr>
            <w:tcW w:w="507" w:type="pct"/>
            <w:tcBorders>
              <w:bottom w:val="single" w:sz="4" w:space="0" w:color="auto"/>
            </w:tcBorders>
            <w:vAlign w:val="bottom"/>
          </w:tcPr>
          <w:p w:rsidR="00E451B6" w:rsidRPr="00BC452F" w:rsidRDefault="00E451B6" w:rsidP="001B56F1">
            <w:pPr>
              <w:pStyle w:val="TableBodyText"/>
            </w:pPr>
            <w:r w:rsidRPr="00BC452F">
              <w:t>5.8</w:t>
            </w:r>
          </w:p>
        </w:tc>
        <w:tc>
          <w:tcPr>
            <w:tcW w:w="507" w:type="pct"/>
            <w:tcBorders>
              <w:bottom w:val="single" w:sz="4" w:space="0" w:color="auto"/>
            </w:tcBorders>
            <w:shd w:val="clear" w:color="auto" w:fill="auto"/>
            <w:vAlign w:val="bottom"/>
          </w:tcPr>
          <w:p w:rsidR="00E451B6" w:rsidRPr="00BC452F" w:rsidRDefault="00E451B6" w:rsidP="001B56F1">
            <w:pPr>
              <w:pStyle w:val="TableBodyText"/>
            </w:pPr>
            <w:r w:rsidRPr="00BC452F">
              <w:t>5.9</w:t>
            </w:r>
          </w:p>
        </w:tc>
        <w:tc>
          <w:tcPr>
            <w:tcW w:w="505" w:type="pct"/>
            <w:tcBorders>
              <w:bottom w:val="single" w:sz="4" w:space="0" w:color="auto"/>
            </w:tcBorders>
            <w:shd w:val="clear" w:color="auto" w:fill="auto"/>
            <w:vAlign w:val="bottom"/>
          </w:tcPr>
          <w:p w:rsidR="00E451B6" w:rsidRPr="00BC452F" w:rsidRDefault="00E451B6" w:rsidP="001B56F1">
            <w:pPr>
              <w:pStyle w:val="TableBodyText"/>
            </w:pPr>
            <w:r w:rsidRPr="00BC452F">
              <w:t>5.4</w:t>
            </w:r>
          </w:p>
        </w:tc>
      </w:tr>
    </w:tbl>
    <w:p w:rsidR="00E451B6" w:rsidRDefault="00E451B6" w:rsidP="00E451B6">
      <w:pPr>
        <w:pStyle w:val="Source"/>
      </w:pPr>
      <w:r>
        <w:rPr>
          <w:i/>
        </w:rPr>
        <w:t>Source</w:t>
      </w:r>
      <w:r>
        <w:t>: Commission estimates based on Sugar Industries Research and Development Corporation Annual Report 2011</w:t>
      </w:r>
      <w:r>
        <w:noBreakHyphen/>
        <w:t>12 (and earlier years).</w:t>
      </w:r>
    </w:p>
    <w:p w:rsidR="00B16DB8" w:rsidRDefault="00FA09C3" w:rsidP="00B16DB8">
      <w:pPr>
        <w:pStyle w:val="Heading2"/>
      </w:pPr>
      <w:r>
        <w:t>A.</w:t>
      </w:r>
      <w:r>
        <w:rPr>
          <w:noProof/>
        </w:rPr>
        <w:t>90</w:t>
      </w:r>
      <w:r w:rsidR="00B16DB8">
        <w:tab/>
        <w:t>Clean Energy Trade and Investment Strategy</w:t>
      </w:r>
    </w:p>
    <w:p w:rsidR="00B16DB8" w:rsidRDefault="00B16DB8" w:rsidP="00B16DB8">
      <w:pPr>
        <w:pStyle w:val="BodyText"/>
      </w:pPr>
      <w:r>
        <w:t>In the 2009-10 Budget, the Australian Government announced a $14.9 million three</w:t>
      </w:r>
      <w:r>
        <w:noBreakHyphen/>
        <w:t>year Clean Energy Trade and Investment Strategy. The Strategy was designed to support Australia’s clean energy sector in capitalising on trade and investment opportunities from global efforts to tackle climate change and address energy security. It aimed to attract new investment into Australia to help expand Australian industry capability, providing a broader base for exports in the future. Priority was placed on the attraction of new technologies, expertise, capital and potential partnerships for Australian companies from offshore markets (</w:t>
      </w:r>
      <w:r w:rsidRPr="00582F97">
        <w:t>Austrade 2010</w:t>
      </w:r>
      <w:r>
        <w:t>).</w:t>
      </w:r>
    </w:p>
    <w:p w:rsidR="00B16DB8" w:rsidRDefault="00B16DB8" w:rsidP="00B16DB8">
      <w:pPr>
        <w:pStyle w:val="BodyText"/>
      </w:pPr>
      <w:r>
        <w:t>The Strategy ended on 30 June 2012 (</w:t>
      </w:r>
      <w:r w:rsidRPr="00582F97">
        <w:t>Austrade 2012</w:t>
      </w:r>
      <w:r>
        <w:t>).</w:t>
      </w:r>
    </w:p>
    <w:p w:rsidR="00B16DB8" w:rsidRDefault="00B16DB8" w:rsidP="00B16DB8">
      <w:pPr>
        <w:pStyle w:val="BodyText"/>
      </w:pPr>
      <w:r>
        <w:t xml:space="preserve">Information on </w:t>
      </w:r>
      <w:r w:rsidRPr="009B7CE5">
        <w:t xml:space="preserve">the industry incidence of the </w:t>
      </w:r>
      <w:r>
        <w:t>program</w:t>
      </w:r>
      <w:r w:rsidRPr="009B7CE5">
        <w:t xml:space="preserve"> </w:t>
      </w:r>
      <w:r>
        <w:t xml:space="preserve">has not been readily available. Accordingly, the budget outlay </w:t>
      </w:r>
      <w:r w:rsidRPr="009B7CE5">
        <w:t xml:space="preserve">has been </w:t>
      </w:r>
      <w:r>
        <w:t>classifi</w:t>
      </w:r>
      <w:r w:rsidRPr="009B7CE5">
        <w:t xml:space="preserve">ed to the </w:t>
      </w:r>
      <w:r w:rsidRPr="009B7CE5">
        <w:rPr>
          <w:i/>
        </w:rPr>
        <w:t>Unallocated other</w:t>
      </w:r>
      <w:r w:rsidRPr="009B7CE5">
        <w:t xml:space="preserve"> </w:t>
      </w:r>
      <w:r>
        <w:t xml:space="preserve">industry </w:t>
      </w:r>
      <w:r w:rsidRPr="009B7CE5">
        <w:t>grouping in the Commission’s ANZSIC-based classification (table</w:t>
      </w:r>
      <w:r>
        <w:t> </w:t>
      </w:r>
      <w:r w:rsidRPr="009B7CE5">
        <w:t>A.</w:t>
      </w:r>
      <w:r w:rsidR="00C065C1">
        <w:t>90</w:t>
      </w:r>
      <w:r w:rsidRPr="009B7CE5">
        <w:t>)</w:t>
      </w:r>
      <w:r>
        <w:t>.</w:t>
      </w:r>
    </w:p>
    <w:p w:rsidR="00B16DB8" w:rsidRDefault="00B16DB8" w:rsidP="00B16DB8">
      <w:pPr>
        <w:pStyle w:val="TableTitle"/>
      </w:pPr>
      <w:r>
        <w:rPr>
          <w:b w:val="0"/>
        </w:rPr>
        <w:t xml:space="preserve">Table </w:t>
      </w:r>
      <w:r w:rsidR="00FA09C3">
        <w:rPr>
          <w:b w:val="0"/>
        </w:rPr>
        <w:t>A.</w:t>
      </w:r>
      <w:r w:rsidR="00FA09C3">
        <w:rPr>
          <w:b w:val="0"/>
          <w:noProof/>
        </w:rPr>
        <w:t>90</w:t>
      </w:r>
      <w:r>
        <w:tab/>
        <w:t>Allocation of Clean Energy Trade and Investment Strategy</w:t>
      </w:r>
      <w:r w:rsidR="008F5A92" w:rsidRPr="008F5A92">
        <w:t xml:space="preserve"> to industry</w:t>
      </w:r>
      <w:r>
        <w:t>, 2006</w:t>
      </w:r>
      <w:r>
        <w:noBreakHyphen/>
        <w:t>07 to 2011</w:t>
      </w:r>
      <w:r>
        <w:noBreakHyphen/>
        <w:t>12</w:t>
      </w:r>
    </w:p>
    <w:p w:rsidR="00B16DB8" w:rsidRDefault="00B16DB8" w:rsidP="00B16DB8">
      <w:pPr>
        <w:pStyle w:val="Subtitle"/>
      </w:pPr>
      <w:r>
        <w:t>$</w:t>
      </w:r>
      <w:r w:rsidR="00B616BC">
        <w:t xml:space="preserve"> </w:t>
      </w:r>
      <w:r>
        <w:t xml:space="preserve">million (nominal) </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B16DB8" w:rsidRPr="00AF699A" w:rsidTr="00CB219A">
        <w:trPr>
          <w:trHeight w:val="340"/>
        </w:trPr>
        <w:tc>
          <w:tcPr>
            <w:tcW w:w="1958" w:type="pct"/>
            <w:tcBorders>
              <w:top w:val="single" w:sz="6" w:space="0" w:color="auto"/>
              <w:bottom w:val="single" w:sz="6" w:space="0" w:color="auto"/>
            </w:tcBorders>
          </w:tcPr>
          <w:p w:rsidR="00B16DB8" w:rsidRPr="00AF699A" w:rsidRDefault="00B16DB8"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B16DB8" w:rsidRPr="00AF699A" w:rsidRDefault="00B16DB8"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B16DB8" w:rsidRPr="00AF699A" w:rsidRDefault="00B16DB8"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B16DB8" w:rsidRPr="00AF699A" w:rsidRDefault="00B16DB8"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B16DB8" w:rsidRPr="00AF699A" w:rsidRDefault="00B16DB8"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B16DB8" w:rsidRPr="00AF699A" w:rsidRDefault="00B16DB8" w:rsidP="001B56F1">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B16DB8" w:rsidRPr="00AF699A" w:rsidRDefault="00B16DB8" w:rsidP="001B56F1">
            <w:pPr>
              <w:pStyle w:val="TableColumnHeading"/>
              <w:ind w:right="28"/>
              <w:rPr>
                <w:rFonts w:cs="Arial"/>
                <w:sz w:val="18"/>
                <w:szCs w:val="18"/>
              </w:rPr>
            </w:pPr>
            <w:r w:rsidRPr="00AF699A">
              <w:rPr>
                <w:rFonts w:cs="Arial"/>
                <w:sz w:val="18"/>
                <w:szCs w:val="18"/>
              </w:rPr>
              <w:t>2011-12</w:t>
            </w:r>
          </w:p>
        </w:tc>
      </w:tr>
      <w:tr w:rsidR="00B16DB8" w:rsidRPr="003E46CD" w:rsidTr="001B56F1">
        <w:tc>
          <w:tcPr>
            <w:tcW w:w="1958" w:type="pct"/>
            <w:tcBorders>
              <w:bottom w:val="single" w:sz="4" w:space="0" w:color="auto"/>
            </w:tcBorders>
            <w:vAlign w:val="bottom"/>
          </w:tcPr>
          <w:p w:rsidR="00B16DB8" w:rsidRPr="004A4F30" w:rsidRDefault="00B16DB8" w:rsidP="001B56F1">
            <w:pPr>
              <w:pStyle w:val="TableBodyText"/>
              <w:jc w:val="left"/>
            </w:pPr>
            <w:r>
              <w:t>Unallocated other</w:t>
            </w:r>
            <w:r w:rsidRPr="00BD3CDA">
              <w:rPr>
                <w:rStyle w:val="NoteLabel"/>
                <w:szCs w:val="18"/>
              </w:rPr>
              <w:t>a</w:t>
            </w:r>
          </w:p>
        </w:tc>
        <w:tc>
          <w:tcPr>
            <w:tcW w:w="507" w:type="pct"/>
            <w:tcBorders>
              <w:bottom w:val="single" w:sz="4" w:space="0" w:color="auto"/>
            </w:tcBorders>
            <w:vAlign w:val="bottom"/>
          </w:tcPr>
          <w:p w:rsidR="00B16DB8" w:rsidRPr="004A4F30" w:rsidRDefault="00B16DB8" w:rsidP="001B56F1">
            <w:pPr>
              <w:pStyle w:val="TableBodyText"/>
            </w:pPr>
            <w:r>
              <w:noBreakHyphen/>
            </w:r>
          </w:p>
        </w:tc>
        <w:tc>
          <w:tcPr>
            <w:tcW w:w="507" w:type="pct"/>
            <w:tcBorders>
              <w:bottom w:val="single" w:sz="4" w:space="0" w:color="auto"/>
            </w:tcBorders>
            <w:vAlign w:val="bottom"/>
          </w:tcPr>
          <w:p w:rsidR="00B16DB8" w:rsidRPr="004A4F30" w:rsidRDefault="00B16DB8" w:rsidP="001B56F1">
            <w:pPr>
              <w:pStyle w:val="TableBodyText"/>
            </w:pPr>
            <w:r>
              <w:noBreakHyphen/>
            </w:r>
          </w:p>
        </w:tc>
        <w:tc>
          <w:tcPr>
            <w:tcW w:w="507" w:type="pct"/>
            <w:tcBorders>
              <w:bottom w:val="single" w:sz="4" w:space="0" w:color="auto"/>
            </w:tcBorders>
            <w:vAlign w:val="bottom"/>
          </w:tcPr>
          <w:p w:rsidR="00B16DB8" w:rsidRPr="004A4F30" w:rsidRDefault="00B16DB8" w:rsidP="001B56F1">
            <w:pPr>
              <w:pStyle w:val="TableBodyText"/>
            </w:pPr>
            <w:r>
              <w:noBreakHyphen/>
            </w:r>
          </w:p>
        </w:tc>
        <w:tc>
          <w:tcPr>
            <w:tcW w:w="507" w:type="pct"/>
            <w:tcBorders>
              <w:bottom w:val="single" w:sz="4" w:space="0" w:color="auto"/>
            </w:tcBorders>
            <w:vAlign w:val="bottom"/>
          </w:tcPr>
          <w:p w:rsidR="00B16DB8" w:rsidRPr="004A4F30" w:rsidRDefault="00B16DB8" w:rsidP="001B56F1">
            <w:pPr>
              <w:pStyle w:val="TableBodyText"/>
            </w:pPr>
            <w:r>
              <w:t>5.0</w:t>
            </w:r>
          </w:p>
        </w:tc>
        <w:tc>
          <w:tcPr>
            <w:tcW w:w="507" w:type="pct"/>
            <w:tcBorders>
              <w:bottom w:val="single" w:sz="4" w:space="0" w:color="auto"/>
            </w:tcBorders>
            <w:shd w:val="clear" w:color="auto" w:fill="auto"/>
            <w:vAlign w:val="bottom"/>
          </w:tcPr>
          <w:p w:rsidR="00B16DB8" w:rsidRPr="004A4F30" w:rsidRDefault="00B16DB8" w:rsidP="001B56F1">
            <w:pPr>
              <w:pStyle w:val="TableBodyText"/>
            </w:pPr>
            <w:r>
              <w:t>5.0</w:t>
            </w:r>
          </w:p>
        </w:tc>
        <w:tc>
          <w:tcPr>
            <w:tcW w:w="507" w:type="pct"/>
            <w:tcBorders>
              <w:bottom w:val="single" w:sz="4" w:space="0" w:color="auto"/>
            </w:tcBorders>
            <w:shd w:val="clear" w:color="auto" w:fill="auto"/>
            <w:vAlign w:val="bottom"/>
          </w:tcPr>
          <w:p w:rsidR="00B16DB8" w:rsidRPr="004A4F30" w:rsidRDefault="00B16DB8" w:rsidP="001B56F1">
            <w:pPr>
              <w:pStyle w:val="TableBodyText"/>
            </w:pPr>
            <w:r>
              <w:t>4.9</w:t>
            </w:r>
          </w:p>
        </w:tc>
      </w:tr>
    </w:tbl>
    <w:p w:rsidR="00B16DB8" w:rsidRDefault="00B16DB8" w:rsidP="00B16DB8">
      <w:pPr>
        <w:pStyle w:val="Note"/>
      </w:pPr>
      <w:r w:rsidRPr="00A2379F">
        <w:noBreakHyphen/>
        <w:t xml:space="preserve"> </w:t>
      </w:r>
      <w:r>
        <w:t>Nil</w:t>
      </w:r>
      <w:r w:rsidRPr="00A2379F">
        <w:t>.</w:t>
      </w:r>
      <w:r>
        <w:t xml:space="preserve"> </w:t>
      </w:r>
      <w:r w:rsidRPr="008E77FE">
        <w:rPr>
          <w:rStyle w:val="NoteLabel"/>
        </w:rPr>
        <w:t>a</w:t>
      </w:r>
      <w:r>
        <w:t xml:space="preserve"> </w:t>
      </w:r>
      <w:r w:rsidRPr="009B56F1">
        <w:t>Unallocated includes general programs where detai</w:t>
      </w:r>
      <w:r>
        <w:t>ls of beneficiaries are unknown.</w:t>
      </w:r>
    </w:p>
    <w:p w:rsidR="00B16DB8" w:rsidRPr="008E77FE" w:rsidRDefault="00B16DB8" w:rsidP="00B16DB8">
      <w:pPr>
        <w:pStyle w:val="Source"/>
      </w:pPr>
      <w:r>
        <w:rPr>
          <w:i/>
        </w:rPr>
        <w:t>Source</w:t>
      </w:r>
      <w:r>
        <w:t>: Commission estimates based on Austrade Annual Report 2011</w:t>
      </w:r>
      <w:r>
        <w:noBreakHyphen/>
        <w:t>12 (and earlier years).</w:t>
      </w:r>
    </w:p>
    <w:p w:rsidR="005815C5" w:rsidRPr="00741843" w:rsidRDefault="00FA09C3" w:rsidP="005815C5">
      <w:pPr>
        <w:pStyle w:val="Heading2"/>
      </w:pPr>
      <w:r w:rsidRPr="00741843">
        <w:t>A.91</w:t>
      </w:r>
      <w:r w:rsidR="003F466C" w:rsidRPr="00741843">
        <w:tab/>
        <w:t>Clean Business Australia – Climate Ready Program</w:t>
      </w:r>
    </w:p>
    <w:p w:rsidR="003F466C" w:rsidRPr="005815C5" w:rsidRDefault="003F466C" w:rsidP="005815C5">
      <w:pPr>
        <w:pStyle w:val="BodyText"/>
      </w:pPr>
      <w:r w:rsidRPr="005815C5">
        <w:t>The Climate Ready Program is a competitive grants program that aims to support the development and commercialisation of innovative products, processes and services that address the possible effects of climate change (DIISR 2011). Successful projects represent a range of research and development, proof-of-concept and early-stage commercialisation activities. Funding has been provided for projects including</w:t>
      </w:r>
      <w:r w:rsidR="00B616BC" w:rsidRPr="005815C5">
        <w:t>:</w:t>
      </w:r>
      <w:r w:rsidRPr="005815C5">
        <w:t xml:space="preserve"> wind turbine production; native tree plantations to reduce carbon pollution; water saving solutions; and technology for saving power in standby mode.</w:t>
      </w:r>
    </w:p>
    <w:p w:rsidR="003F466C" w:rsidRPr="005815C5" w:rsidRDefault="003F466C" w:rsidP="005815C5">
      <w:pPr>
        <w:pStyle w:val="BodyText"/>
      </w:pPr>
      <w:r w:rsidRPr="005815C5">
        <w:t>The Commission has obtained information from the Department of Innovation, Industry, Science and Research detailing program funding according to ANZSIC industry. This information has been used to allocate the Department’s estimate of total program expenditure to the Commission’s ANZSIC-based industry groupings (table</w:t>
      </w:r>
      <w:r w:rsidR="00C065C1" w:rsidRPr="005815C5">
        <w:t> </w:t>
      </w:r>
      <w:r w:rsidRPr="005815C5">
        <w:t>A.9</w:t>
      </w:r>
      <w:r w:rsidR="00C065C1" w:rsidRPr="005815C5">
        <w:t>1</w:t>
      </w:r>
      <w:r w:rsidRPr="005815C5">
        <w:t>).</w:t>
      </w:r>
    </w:p>
    <w:p w:rsidR="003F466C" w:rsidRDefault="003F466C" w:rsidP="003F466C">
      <w:pPr>
        <w:pStyle w:val="TableTitle"/>
      </w:pPr>
      <w:r>
        <w:rPr>
          <w:b w:val="0"/>
        </w:rPr>
        <w:t xml:space="preserve">Table </w:t>
      </w:r>
      <w:r w:rsidR="00FA09C3">
        <w:rPr>
          <w:b w:val="0"/>
        </w:rPr>
        <w:t>A.</w:t>
      </w:r>
      <w:r w:rsidR="00FA09C3">
        <w:rPr>
          <w:b w:val="0"/>
          <w:noProof/>
        </w:rPr>
        <w:t>91</w:t>
      </w:r>
      <w:r>
        <w:tab/>
        <w:t xml:space="preserve">Allocation of Clean Business Australia – Climate Ready Program </w:t>
      </w:r>
      <w:r w:rsidR="008F5A92" w:rsidRPr="008F5A92">
        <w:t>to industry</w:t>
      </w:r>
      <w:r>
        <w:t>, 2006</w:t>
      </w:r>
      <w:r>
        <w:noBreakHyphen/>
        <w:t>07 to 2011</w:t>
      </w:r>
      <w:r>
        <w:noBreakHyphen/>
        <w:t>12</w:t>
      </w:r>
    </w:p>
    <w:p w:rsidR="003F466C" w:rsidRDefault="003F466C" w:rsidP="003F466C">
      <w:pPr>
        <w:pStyle w:val="Subtitle"/>
      </w:pPr>
      <w:r>
        <w:t>$</w:t>
      </w:r>
      <w:r w:rsidR="00B616BC">
        <w:t xml:space="preserve"> </w:t>
      </w:r>
      <w:r>
        <w:t xml:space="preserve">million (nominal) </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3F466C" w:rsidRPr="00AF699A" w:rsidTr="001B56F1">
        <w:tc>
          <w:tcPr>
            <w:tcW w:w="1960" w:type="pct"/>
            <w:tcBorders>
              <w:top w:val="single" w:sz="6" w:space="0" w:color="auto"/>
              <w:bottom w:val="single" w:sz="6" w:space="0" w:color="auto"/>
            </w:tcBorders>
          </w:tcPr>
          <w:p w:rsidR="003F466C" w:rsidRPr="00AF699A" w:rsidRDefault="003F466C"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3F466C" w:rsidRPr="00AF699A" w:rsidRDefault="003F466C"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3F466C" w:rsidRPr="00AF699A" w:rsidRDefault="003F466C"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3F466C" w:rsidRPr="00AF699A" w:rsidRDefault="003F466C"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3F466C" w:rsidRPr="00AF699A" w:rsidRDefault="003F466C"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3F466C" w:rsidRPr="00AF699A" w:rsidRDefault="003F466C"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3F466C" w:rsidRPr="00AF699A" w:rsidRDefault="003F466C" w:rsidP="001B56F1">
            <w:pPr>
              <w:pStyle w:val="TableColumnHeading"/>
              <w:ind w:right="28"/>
              <w:rPr>
                <w:rFonts w:cs="Arial"/>
                <w:sz w:val="18"/>
                <w:szCs w:val="18"/>
              </w:rPr>
            </w:pPr>
            <w:r w:rsidRPr="00AF699A">
              <w:rPr>
                <w:rFonts w:cs="Arial"/>
                <w:sz w:val="18"/>
                <w:szCs w:val="18"/>
              </w:rPr>
              <w:t>2011-12</w:t>
            </w:r>
          </w:p>
        </w:tc>
      </w:tr>
      <w:tr w:rsidR="003F466C" w:rsidRPr="00EB51A6" w:rsidTr="001B56F1">
        <w:tc>
          <w:tcPr>
            <w:tcW w:w="1960" w:type="pct"/>
            <w:vAlign w:val="bottom"/>
          </w:tcPr>
          <w:p w:rsidR="003F466C" w:rsidRPr="00EF4173" w:rsidRDefault="003F466C" w:rsidP="001B56F1">
            <w:pPr>
              <w:pStyle w:val="TableBodyText"/>
              <w:jc w:val="left"/>
              <w:rPr>
                <w:b/>
                <w:sz w:val="18"/>
                <w:szCs w:val="18"/>
              </w:rPr>
            </w:pPr>
            <w:r w:rsidRPr="00EF4173">
              <w:rPr>
                <w:b/>
                <w:sz w:val="18"/>
                <w:szCs w:val="18"/>
              </w:rPr>
              <w:t>Primary production</w:t>
            </w:r>
          </w:p>
        </w:tc>
        <w:tc>
          <w:tcPr>
            <w:tcW w:w="507" w:type="pct"/>
            <w:vAlign w:val="bottom"/>
          </w:tcPr>
          <w:p w:rsidR="003F466C" w:rsidRPr="00EF4173" w:rsidRDefault="003F466C" w:rsidP="001B56F1">
            <w:pPr>
              <w:pStyle w:val="TableBodyText"/>
              <w:rPr>
                <w:b/>
                <w:sz w:val="18"/>
                <w:szCs w:val="18"/>
              </w:rPr>
            </w:pPr>
            <w:r w:rsidRPr="00EF4173">
              <w:rPr>
                <w:b/>
                <w:sz w:val="18"/>
                <w:szCs w:val="18"/>
              </w:rPr>
              <w:noBreakHyphen/>
            </w:r>
          </w:p>
        </w:tc>
        <w:tc>
          <w:tcPr>
            <w:tcW w:w="507" w:type="pct"/>
            <w:vAlign w:val="bottom"/>
          </w:tcPr>
          <w:p w:rsidR="003F466C" w:rsidRPr="00EF4173" w:rsidRDefault="003F466C" w:rsidP="001B56F1">
            <w:pPr>
              <w:pStyle w:val="TableBodyText"/>
              <w:rPr>
                <w:b/>
                <w:sz w:val="18"/>
                <w:szCs w:val="18"/>
              </w:rPr>
            </w:pPr>
            <w:r w:rsidRPr="00EF4173">
              <w:rPr>
                <w:b/>
                <w:sz w:val="18"/>
                <w:szCs w:val="18"/>
              </w:rPr>
              <w:noBreakHyphen/>
            </w:r>
          </w:p>
        </w:tc>
        <w:tc>
          <w:tcPr>
            <w:tcW w:w="507" w:type="pct"/>
            <w:vAlign w:val="bottom"/>
          </w:tcPr>
          <w:p w:rsidR="003F466C" w:rsidRPr="00EF4173" w:rsidRDefault="003F466C" w:rsidP="001B56F1">
            <w:pPr>
              <w:pStyle w:val="TableBodyText"/>
              <w:rPr>
                <w:b/>
                <w:sz w:val="18"/>
                <w:szCs w:val="18"/>
              </w:rPr>
            </w:pPr>
            <w:r w:rsidRPr="00EF4173">
              <w:rPr>
                <w:b/>
                <w:sz w:val="18"/>
                <w:szCs w:val="18"/>
              </w:rPr>
              <w:t>0.6</w:t>
            </w:r>
          </w:p>
        </w:tc>
        <w:tc>
          <w:tcPr>
            <w:tcW w:w="507" w:type="pct"/>
            <w:vAlign w:val="bottom"/>
          </w:tcPr>
          <w:p w:rsidR="003F466C" w:rsidRPr="00EF4173" w:rsidRDefault="003F466C" w:rsidP="001B56F1">
            <w:pPr>
              <w:pStyle w:val="TableBodyText"/>
              <w:rPr>
                <w:b/>
                <w:sz w:val="18"/>
                <w:szCs w:val="18"/>
              </w:rPr>
            </w:pPr>
            <w:r w:rsidRPr="00EF4173">
              <w:rPr>
                <w:b/>
                <w:sz w:val="18"/>
                <w:szCs w:val="18"/>
              </w:rPr>
              <w:t>1.7</w:t>
            </w:r>
          </w:p>
        </w:tc>
        <w:tc>
          <w:tcPr>
            <w:tcW w:w="507" w:type="pct"/>
            <w:shd w:val="clear" w:color="auto" w:fill="auto"/>
            <w:vAlign w:val="bottom"/>
          </w:tcPr>
          <w:p w:rsidR="003F466C" w:rsidRPr="00EF4173" w:rsidRDefault="003F466C" w:rsidP="001B56F1">
            <w:pPr>
              <w:pStyle w:val="TableBodyText"/>
              <w:rPr>
                <w:b/>
                <w:sz w:val="18"/>
                <w:szCs w:val="18"/>
              </w:rPr>
            </w:pPr>
            <w:r w:rsidRPr="00EF4173">
              <w:rPr>
                <w:b/>
                <w:sz w:val="18"/>
                <w:szCs w:val="18"/>
              </w:rPr>
              <w:t>0.7</w:t>
            </w:r>
          </w:p>
        </w:tc>
        <w:tc>
          <w:tcPr>
            <w:tcW w:w="505" w:type="pct"/>
            <w:shd w:val="clear" w:color="auto" w:fill="auto"/>
            <w:vAlign w:val="bottom"/>
          </w:tcPr>
          <w:p w:rsidR="003F466C" w:rsidRPr="00EF4173" w:rsidRDefault="003F466C" w:rsidP="001B56F1">
            <w:pPr>
              <w:pStyle w:val="TableBodyText"/>
              <w:rPr>
                <w:b/>
                <w:sz w:val="18"/>
                <w:szCs w:val="18"/>
              </w:rPr>
            </w:pPr>
            <w:r w:rsidRPr="00EF4173">
              <w:rPr>
                <w:b/>
                <w:sz w:val="18"/>
                <w:szCs w:val="18"/>
              </w:rPr>
              <w:t>&lt;0.1</w:t>
            </w:r>
          </w:p>
        </w:tc>
      </w:tr>
      <w:tr w:rsidR="003F466C" w:rsidRPr="00EB51A6" w:rsidTr="001B56F1">
        <w:tc>
          <w:tcPr>
            <w:tcW w:w="1960" w:type="pct"/>
            <w:vAlign w:val="bottom"/>
          </w:tcPr>
          <w:p w:rsidR="003F466C" w:rsidRPr="00EF4173" w:rsidRDefault="003F466C" w:rsidP="001B56F1">
            <w:pPr>
              <w:pStyle w:val="TableBodyText"/>
              <w:jc w:val="left"/>
              <w:rPr>
                <w:sz w:val="18"/>
                <w:szCs w:val="18"/>
              </w:rPr>
            </w:pPr>
            <w:r w:rsidRPr="00EF4173">
              <w:rPr>
                <w:sz w:val="18"/>
                <w:szCs w:val="18"/>
              </w:rPr>
              <w:t>Horticulture and fruit growing</w:t>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t>0.2</w:t>
            </w:r>
          </w:p>
        </w:tc>
        <w:tc>
          <w:tcPr>
            <w:tcW w:w="507" w:type="pct"/>
            <w:vAlign w:val="bottom"/>
          </w:tcPr>
          <w:p w:rsidR="003F466C" w:rsidRPr="00EF4173" w:rsidRDefault="003F466C" w:rsidP="001B56F1">
            <w:pPr>
              <w:pStyle w:val="TableBodyText"/>
              <w:rPr>
                <w:sz w:val="18"/>
                <w:szCs w:val="18"/>
              </w:rPr>
            </w:pPr>
            <w:r w:rsidRPr="00EF4173">
              <w:rPr>
                <w:sz w:val="18"/>
                <w:szCs w:val="18"/>
              </w:rPr>
              <w:t>0.2</w:t>
            </w:r>
          </w:p>
        </w:tc>
        <w:tc>
          <w:tcPr>
            <w:tcW w:w="507" w:type="pct"/>
            <w:shd w:val="clear" w:color="auto" w:fill="auto"/>
            <w:vAlign w:val="bottom"/>
          </w:tcPr>
          <w:p w:rsidR="003F466C" w:rsidRPr="00EF4173" w:rsidRDefault="003F466C" w:rsidP="001B56F1">
            <w:pPr>
              <w:pStyle w:val="TableBodyText"/>
              <w:rPr>
                <w:sz w:val="18"/>
                <w:szCs w:val="18"/>
              </w:rPr>
            </w:pPr>
            <w:r w:rsidRPr="00EF4173">
              <w:rPr>
                <w:sz w:val="18"/>
                <w:szCs w:val="18"/>
              </w:rPr>
              <w:t>&lt;0.1</w:t>
            </w:r>
          </w:p>
        </w:tc>
        <w:tc>
          <w:tcPr>
            <w:tcW w:w="505" w:type="pct"/>
            <w:shd w:val="clear" w:color="auto" w:fill="auto"/>
            <w:vAlign w:val="bottom"/>
          </w:tcPr>
          <w:p w:rsidR="003F466C" w:rsidRPr="00EF4173" w:rsidRDefault="003F466C" w:rsidP="001B56F1">
            <w:pPr>
              <w:pStyle w:val="TableBodyText"/>
              <w:rPr>
                <w:sz w:val="18"/>
                <w:szCs w:val="18"/>
              </w:rPr>
            </w:pPr>
            <w:r w:rsidRPr="00EF4173">
              <w:rPr>
                <w:sz w:val="18"/>
                <w:szCs w:val="18"/>
              </w:rPr>
              <w:noBreakHyphen/>
            </w:r>
          </w:p>
        </w:tc>
      </w:tr>
      <w:tr w:rsidR="003F466C" w:rsidRPr="00EB51A6" w:rsidTr="001B56F1">
        <w:tc>
          <w:tcPr>
            <w:tcW w:w="1960" w:type="pct"/>
            <w:vAlign w:val="bottom"/>
          </w:tcPr>
          <w:p w:rsidR="003F466C" w:rsidRPr="00EF4173" w:rsidRDefault="003F466C" w:rsidP="001B56F1">
            <w:pPr>
              <w:pStyle w:val="TableBodyText"/>
              <w:jc w:val="left"/>
              <w:rPr>
                <w:sz w:val="18"/>
                <w:szCs w:val="18"/>
              </w:rPr>
            </w:pPr>
            <w:r w:rsidRPr="00EF4173">
              <w:rPr>
                <w:sz w:val="18"/>
                <w:szCs w:val="18"/>
              </w:rPr>
              <w:t>Other crop growing</w:t>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t>0.1</w:t>
            </w:r>
          </w:p>
        </w:tc>
        <w:tc>
          <w:tcPr>
            <w:tcW w:w="507" w:type="pct"/>
            <w:vAlign w:val="bottom"/>
          </w:tcPr>
          <w:p w:rsidR="003F466C" w:rsidRPr="00EF4173" w:rsidRDefault="003F466C" w:rsidP="001B56F1">
            <w:pPr>
              <w:pStyle w:val="TableBodyText"/>
              <w:rPr>
                <w:sz w:val="18"/>
                <w:szCs w:val="18"/>
              </w:rPr>
            </w:pPr>
            <w:r w:rsidRPr="00EF4173">
              <w:rPr>
                <w:sz w:val="18"/>
                <w:szCs w:val="18"/>
              </w:rPr>
              <w:t>0.5</w:t>
            </w:r>
          </w:p>
        </w:tc>
        <w:tc>
          <w:tcPr>
            <w:tcW w:w="507" w:type="pct"/>
            <w:shd w:val="clear" w:color="auto" w:fill="auto"/>
            <w:vAlign w:val="bottom"/>
          </w:tcPr>
          <w:p w:rsidR="003F466C" w:rsidRPr="00EF4173" w:rsidRDefault="003F466C" w:rsidP="001B56F1">
            <w:pPr>
              <w:pStyle w:val="TableBodyText"/>
              <w:rPr>
                <w:sz w:val="18"/>
                <w:szCs w:val="18"/>
              </w:rPr>
            </w:pPr>
            <w:r w:rsidRPr="00EF4173">
              <w:rPr>
                <w:sz w:val="18"/>
                <w:szCs w:val="18"/>
              </w:rPr>
              <w:t>0.3</w:t>
            </w:r>
          </w:p>
        </w:tc>
        <w:tc>
          <w:tcPr>
            <w:tcW w:w="505" w:type="pct"/>
            <w:shd w:val="clear" w:color="auto" w:fill="auto"/>
            <w:vAlign w:val="bottom"/>
          </w:tcPr>
          <w:p w:rsidR="003F466C" w:rsidRPr="00EF4173" w:rsidRDefault="003F466C" w:rsidP="001B56F1">
            <w:pPr>
              <w:pStyle w:val="TableBodyText"/>
              <w:rPr>
                <w:sz w:val="18"/>
                <w:szCs w:val="18"/>
              </w:rPr>
            </w:pPr>
            <w:r w:rsidRPr="00EF4173">
              <w:rPr>
                <w:sz w:val="18"/>
                <w:szCs w:val="18"/>
              </w:rPr>
              <w:t>&lt;0.1</w:t>
            </w:r>
          </w:p>
        </w:tc>
      </w:tr>
      <w:tr w:rsidR="003F466C" w:rsidRPr="00EB51A6" w:rsidTr="001B56F1">
        <w:tc>
          <w:tcPr>
            <w:tcW w:w="1960" w:type="pct"/>
            <w:vAlign w:val="bottom"/>
          </w:tcPr>
          <w:p w:rsidR="003F466C" w:rsidRPr="00EF4173" w:rsidRDefault="003F466C" w:rsidP="001B56F1">
            <w:pPr>
              <w:pStyle w:val="TableBodyText"/>
              <w:jc w:val="left"/>
              <w:rPr>
                <w:sz w:val="18"/>
                <w:szCs w:val="18"/>
              </w:rPr>
            </w:pPr>
            <w:r w:rsidRPr="00EF4173">
              <w:rPr>
                <w:sz w:val="18"/>
                <w:szCs w:val="18"/>
              </w:rPr>
              <w:t>Aquaculture and fishing</w:t>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t>0.3</w:t>
            </w:r>
          </w:p>
        </w:tc>
        <w:tc>
          <w:tcPr>
            <w:tcW w:w="507" w:type="pct"/>
            <w:shd w:val="clear" w:color="auto" w:fill="auto"/>
            <w:vAlign w:val="bottom"/>
          </w:tcPr>
          <w:p w:rsidR="003F466C" w:rsidRPr="00EF4173" w:rsidRDefault="003F466C" w:rsidP="001B56F1">
            <w:pPr>
              <w:pStyle w:val="TableBodyText"/>
              <w:rPr>
                <w:sz w:val="18"/>
                <w:szCs w:val="18"/>
              </w:rPr>
            </w:pPr>
            <w:r w:rsidRPr="00EF4173">
              <w:rPr>
                <w:sz w:val="18"/>
                <w:szCs w:val="18"/>
              </w:rPr>
              <w:t>0.1</w:t>
            </w:r>
          </w:p>
        </w:tc>
        <w:tc>
          <w:tcPr>
            <w:tcW w:w="505" w:type="pct"/>
            <w:shd w:val="clear" w:color="auto" w:fill="auto"/>
            <w:vAlign w:val="bottom"/>
          </w:tcPr>
          <w:p w:rsidR="003F466C" w:rsidRPr="00EF4173" w:rsidRDefault="003F466C" w:rsidP="001B56F1">
            <w:pPr>
              <w:pStyle w:val="TableBodyText"/>
              <w:rPr>
                <w:sz w:val="18"/>
                <w:szCs w:val="18"/>
              </w:rPr>
            </w:pPr>
            <w:r w:rsidRPr="00EF4173">
              <w:rPr>
                <w:sz w:val="18"/>
                <w:szCs w:val="18"/>
              </w:rPr>
              <w:noBreakHyphen/>
            </w:r>
          </w:p>
        </w:tc>
      </w:tr>
      <w:tr w:rsidR="003F466C" w:rsidRPr="00EB51A6" w:rsidTr="001B56F1">
        <w:tc>
          <w:tcPr>
            <w:tcW w:w="1960" w:type="pct"/>
            <w:vAlign w:val="bottom"/>
          </w:tcPr>
          <w:p w:rsidR="003F466C" w:rsidRPr="00EF4173" w:rsidRDefault="003F466C" w:rsidP="001B56F1">
            <w:pPr>
              <w:pStyle w:val="TableBodyText"/>
              <w:jc w:val="left"/>
              <w:rPr>
                <w:sz w:val="18"/>
                <w:szCs w:val="18"/>
              </w:rPr>
            </w:pPr>
            <w:r w:rsidRPr="00EF4173">
              <w:rPr>
                <w:sz w:val="18"/>
                <w:szCs w:val="18"/>
              </w:rPr>
              <w:t>Primary production support services</w:t>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t>0.3</w:t>
            </w:r>
          </w:p>
        </w:tc>
        <w:tc>
          <w:tcPr>
            <w:tcW w:w="507" w:type="pct"/>
            <w:vAlign w:val="bottom"/>
          </w:tcPr>
          <w:p w:rsidR="003F466C" w:rsidRPr="00EF4173" w:rsidRDefault="003F466C" w:rsidP="001B56F1">
            <w:pPr>
              <w:pStyle w:val="TableBodyText"/>
              <w:rPr>
                <w:sz w:val="18"/>
                <w:szCs w:val="18"/>
              </w:rPr>
            </w:pPr>
            <w:r w:rsidRPr="00EF4173">
              <w:rPr>
                <w:sz w:val="18"/>
                <w:szCs w:val="18"/>
              </w:rPr>
              <w:t>0.7</w:t>
            </w:r>
          </w:p>
        </w:tc>
        <w:tc>
          <w:tcPr>
            <w:tcW w:w="507" w:type="pct"/>
            <w:shd w:val="clear" w:color="auto" w:fill="auto"/>
            <w:vAlign w:val="bottom"/>
          </w:tcPr>
          <w:p w:rsidR="003F466C" w:rsidRPr="00EF4173" w:rsidRDefault="003F466C" w:rsidP="001B56F1">
            <w:pPr>
              <w:pStyle w:val="TableBodyText"/>
              <w:rPr>
                <w:sz w:val="18"/>
                <w:szCs w:val="18"/>
              </w:rPr>
            </w:pPr>
            <w:r w:rsidRPr="00EF4173">
              <w:rPr>
                <w:sz w:val="18"/>
                <w:szCs w:val="18"/>
              </w:rPr>
              <w:t>0.3</w:t>
            </w:r>
          </w:p>
        </w:tc>
        <w:tc>
          <w:tcPr>
            <w:tcW w:w="505" w:type="pct"/>
            <w:shd w:val="clear" w:color="auto" w:fill="auto"/>
            <w:vAlign w:val="bottom"/>
          </w:tcPr>
          <w:p w:rsidR="003F466C" w:rsidRPr="00EF4173" w:rsidRDefault="003F466C" w:rsidP="001B56F1">
            <w:pPr>
              <w:pStyle w:val="TableBodyText"/>
              <w:rPr>
                <w:sz w:val="18"/>
                <w:szCs w:val="18"/>
              </w:rPr>
            </w:pPr>
            <w:r w:rsidRPr="00EF4173">
              <w:rPr>
                <w:sz w:val="18"/>
                <w:szCs w:val="18"/>
              </w:rPr>
              <w:t>&lt;0.1</w:t>
            </w:r>
          </w:p>
        </w:tc>
      </w:tr>
      <w:tr w:rsidR="003F466C" w:rsidRPr="00E8544D" w:rsidTr="001B56F1">
        <w:tc>
          <w:tcPr>
            <w:tcW w:w="1960" w:type="pct"/>
            <w:vAlign w:val="bottom"/>
          </w:tcPr>
          <w:p w:rsidR="003F466C" w:rsidRPr="00EF4173" w:rsidRDefault="003F466C" w:rsidP="001B56F1">
            <w:pPr>
              <w:pStyle w:val="TableBodyText"/>
              <w:jc w:val="left"/>
              <w:rPr>
                <w:b/>
                <w:sz w:val="18"/>
                <w:szCs w:val="18"/>
              </w:rPr>
            </w:pPr>
            <w:r w:rsidRPr="00EF4173">
              <w:rPr>
                <w:b/>
                <w:sz w:val="18"/>
                <w:szCs w:val="18"/>
              </w:rPr>
              <w:t>Mining</w:t>
            </w:r>
          </w:p>
        </w:tc>
        <w:tc>
          <w:tcPr>
            <w:tcW w:w="507" w:type="pct"/>
            <w:vAlign w:val="bottom"/>
          </w:tcPr>
          <w:p w:rsidR="003F466C" w:rsidRPr="00EF4173" w:rsidRDefault="003F466C" w:rsidP="001B56F1">
            <w:pPr>
              <w:pStyle w:val="TableBodyText"/>
              <w:rPr>
                <w:b/>
                <w:sz w:val="18"/>
                <w:szCs w:val="18"/>
              </w:rPr>
            </w:pPr>
            <w:r w:rsidRPr="00EF4173">
              <w:rPr>
                <w:b/>
                <w:sz w:val="18"/>
                <w:szCs w:val="18"/>
              </w:rPr>
              <w:noBreakHyphen/>
            </w:r>
          </w:p>
        </w:tc>
        <w:tc>
          <w:tcPr>
            <w:tcW w:w="507" w:type="pct"/>
            <w:vAlign w:val="bottom"/>
          </w:tcPr>
          <w:p w:rsidR="003F466C" w:rsidRPr="00EF4173" w:rsidRDefault="003F466C" w:rsidP="001B56F1">
            <w:pPr>
              <w:pStyle w:val="TableBodyText"/>
              <w:rPr>
                <w:b/>
                <w:sz w:val="18"/>
                <w:szCs w:val="18"/>
              </w:rPr>
            </w:pPr>
            <w:r w:rsidRPr="00EF4173">
              <w:rPr>
                <w:b/>
                <w:sz w:val="18"/>
                <w:szCs w:val="18"/>
              </w:rPr>
              <w:noBreakHyphen/>
            </w:r>
          </w:p>
        </w:tc>
        <w:tc>
          <w:tcPr>
            <w:tcW w:w="507" w:type="pct"/>
            <w:vAlign w:val="bottom"/>
          </w:tcPr>
          <w:p w:rsidR="003F466C" w:rsidRPr="00EF4173" w:rsidRDefault="003F466C" w:rsidP="001B56F1">
            <w:pPr>
              <w:pStyle w:val="TableBodyText"/>
              <w:rPr>
                <w:b/>
                <w:sz w:val="18"/>
                <w:szCs w:val="18"/>
              </w:rPr>
            </w:pPr>
            <w:r w:rsidRPr="00EF4173">
              <w:rPr>
                <w:b/>
                <w:sz w:val="18"/>
                <w:szCs w:val="18"/>
              </w:rPr>
              <w:t>0.9</w:t>
            </w:r>
          </w:p>
        </w:tc>
        <w:tc>
          <w:tcPr>
            <w:tcW w:w="507" w:type="pct"/>
            <w:vAlign w:val="bottom"/>
          </w:tcPr>
          <w:p w:rsidR="003F466C" w:rsidRPr="00EF4173" w:rsidRDefault="003F466C" w:rsidP="001B56F1">
            <w:pPr>
              <w:pStyle w:val="TableBodyText"/>
              <w:rPr>
                <w:b/>
                <w:sz w:val="18"/>
                <w:szCs w:val="18"/>
              </w:rPr>
            </w:pPr>
            <w:r w:rsidRPr="00EF4173">
              <w:rPr>
                <w:b/>
                <w:sz w:val="18"/>
                <w:szCs w:val="18"/>
              </w:rPr>
              <w:t>1.6</w:t>
            </w:r>
          </w:p>
        </w:tc>
        <w:tc>
          <w:tcPr>
            <w:tcW w:w="507" w:type="pct"/>
            <w:shd w:val="clear" w:color="auto" w:fill="auto"/>
            <w:vAlign w:val="bottom"/>
          </w:tcPr>
          <w:p w:rsidR="003F466C" w:rsidRPr="00EF4173" w:rsidRDefault="003F466C" w:rsidP="001B56F1">
            <w:pPr>
              <w:pStyle w:val="TableBodyText"/>
              <w:rPr>
                <w:b/>
                <w:sz w:val="18"/>
                <w:szCs w:val="18"/>
              </w:rPr>
            </w:pPr>
            <w:r w:rsidRPr="00EF4173">
              <w:rPr>
                <w:b/>
                <w:sz w:val="18"/>
                <w:szCs w:val="18"/>
              </w:rPr>
              <w:t>0.9</w:t>
            </w:r>
          </w:p>
        </w:tc>
        <w:tc>
          <w:tcPr>
            <w:tcW w:w="505" w:type="pct"/>
            <w:shd w:val="clear" w:color="auto" w:fill="auto"/>
            <w:vAlign w:val="bottom"/>
          </w:tcPr>
          <w:p w:rsidR="003F466C" w:rsidRPr="00EF4173" w:rsidRDefault="003F466C" w:rsidP="001B56F1">
            <w:pPr>
              <w:pStyle w:val="TableBodyText"/>
              <w:rPr>
                <w:b/>
                <w:sz w:val="18"/>
                <w:szCs w:val="18"/>
              </w:rPr>
            </w:pPr>
            <w:r w:rsidRPr="00EF4173">
              <w:rPr>
                <w:b/>
                <w:sz w:val="18"/>
                <w:szCs w:val="18"/>
              </w:rPr>
              <w:t>0.3</w:t>
            </w:r>
          </w:p>
        </w:tc>
      </w:tr>
      <w:tr w:rsidR="003F466C" w:rsidRPr="00EB51A6" w:rsidTr="001B56F1">
        <w:tc>
          <w:tcPr>
            <w:tcW w:w="1960" w:type="pct"/>
            <w:vAlign w:val="bottom"/>
          </w:tcPr>
          <w:p w:rsidR="003F466C" w:rsidRPr="00EF4173" w:rsidRDefault="003F466C" w:rsidP="001B56F1">
            <w:pPr>
              <w:pStyle w:val="TableBodyText"/>
              <w:jc w:val="left"/>
              <w:rPr>
                <w:b/>
                <w:sz w:val="18"/>
                <w:szCs w:val="18"/>
              </w:rPr>
            </w:pPr>
            <w:r w:rsidRPr="00EF4173">
              <w:rPr>
                <w:b/>
                <w:sz w:val="18"/>
                <w:szCs w:val="18"/>
              </w:rPr>
              <w:t>Manufacturing</w:t>
            </w:r>
          </w:p>
        </w:tc>
        <w:tc>
          <w:tcPr>
            <w:tcW w:w="507" w:type="pct"/>
            <w:vAlign w:val="bottom"/>
          </w:tcPr>
          <w:p w:rsidR="003F466C" w:rsidRPr="00EF4173" w:rsidRDefault="003F466C" w:rsidP="001B56F1">
            <w:pPr>
              <w:pStyle w:val="TableBodyText"/>
              <w:rPr>
                <w:b/>
                <w:sz w:val="18"/>
                <w:szCs w:val="18"/>
              </w:rPr>
            </w:pPr>
            <w:r w:rsidRPr="00EF4173">
              <w:rPr>
                <w:b/>
                <w:sz w:val="18"/>
                <w:szCs w:val="18"/>
              </w:rPr>
              <w:noBreakHyphen/>
            </w:r>
          </w:p>
        </w:tc>
        <w:tc>
          <w:tcPr>
            <w:tcW w:w="507" w:type="pct"/>
            <w:vAlign w:val="bottom"/>
          </w:tcPr>
          <w:p w:rsidR="003F466C" w:rsidRPr="00EF4173" w:rsidRDefault="003F466C" w:rsidP="001B56F1">
            <w:pPr>
              <w:pStyle w:val="TableBodyText"/>
              <w:rPr>
                <w:b/>
                <w:sz w:val="18"/>
                <w:szCs w:val="18"/>
              </w:rPr>
            </w:pPr>
            <w:r w:rsidRPr="00EF4173">
              <w:rPr>
                <w:b/>
                <w:sz w:val="18"/>
                <w:szCs w:val="18"/>
              </w:rPr>
              <w:noBreakHyphen/>
            </w:r>
          </w:p>
        </w:tc>
        <w:tc>
          <w:tcPr>
            <w:tcW w:w="507" w:type="pct"/>
            <w:vAlign w:val="bottom"/>
          </w:tcPr>
          <w:p w:rsidR="003F466C" w:rsidRPr="00EF4173" w:rsidRDefault="003F466C" w:rsidP="001B56F1">
            <w:pPr>
              <w:pStyle w:val="TableBodyText"/>
              <w:rPr>
                <w:b/>
                <w:sz w:val="18"/>
                <w:szCs w:val="18"/>
              </w:rPr>
            </w:pPr>
            <w:r w:rsidRPr="00EF4173">
              <w:rPr>
                <w:b/>
                <w:sz w:val="18"/>
                <w:szCs w:val="18"/>
              </w:rPr>
              <w:t>9.7</w:t>
            </w:r>
          </w:p>
        </w:tc>
        <w:tc>
          <w:tcPr>
            <w:tcW w:w="507" w:type="pct"/>
            <w:vAlign w:val="bottom"/>
          </w:tcPr>
          <w:p w:rsidR="003F466C" w:rsidRPr="00EF4173" w:rsidRDefault="003F466C" w:rsidP="001B56F1">
            <w:pPr>
              <w:pStyle w:val="TableBodyText"/>
              <w:rPr>
                <w:b/>
                <w:sz w:val="18"/>
                <w:szCs w:val="18"/>
              </w:rPr>
            </w:pPr>
            <w:r w:rsidRPr="00EF4173">
              <w:rPr>
                <w:b/>
                <w:sz w:val="18"/>
                <w:szCs w:val="18"/>
              </w:rPr>
              <w:t>17.7</w:t>
            </w:r>
          </w:p>
        </w:tc>
        <w:tc>
          <w:tcPr>
            <w:tcW w:w="507" w:type="pct"/>
            <w:shd w:val="clear" w:color="auto" w:fill="auto"/>
            <w:vAlign w:val="bottom"/>
          </w:tcPr>
          <w:p w:rsidR="003F466C" w:rsidRPr="00EF4173" w:rsidRDefault="003F466C" w:rsidP="001B56F1">
            <w:pPr>
              <w:pStyle w:val="TableBodyText"/>
              <w:rPr>
                <w:b/>
                <w:sz w:val="18"/>
                <w:szCs w:val="18"/>
              </w:rPr>
            </w:pPr>
            <w:r w:rsidRPr="00EF4173">
              <w:rPr>
                <w:b/>
                <w:sz w:val="18"/>
                <w:szCs w:val="18"/>
              </w:rPr>
              <w:t>9.0</w:t>
            </w:r>
          </w:p>
        </w:tc>
        <w:tc>
          <w:tcPr>
            <w:tcW w:w="505" w:type="pct"/>
            <w:shd w:val="clear" w:color="auto" w:fill="auto"/>
            <w:vAlign w:val="bottom"/>
          </w:tcPr>
          <w:p w:rsidR="003F466C" w:rsidRPr="00EF4173" w:rsidRDefault="003F466C" w:rsidP="001B56F1">
            <w:pPr>
              <w:pStyle w:val="TableBodyText"/>
              <w:rPr>
                <w:b/>
                <w:sz w:val="18"/>
                <w:szCs w:val="18"/>
              </w:rPr>
            </w:pPr>
            <w:r w:rsidRPr="00EF4173">
              <w:rPr>
                <w:b/>
                <w:sz w:val="18"/>
                <w:szCs w:val="18"/>
              </w:rPr>
              <w:t>3.5</w:t>
            </w:r>
          </w:p>
        </w:tc>
      </w:tr>
      <w:tr w:rsidR="003F466C" w:rsidRPr="00EB51A6" w:rsidTr="001B56F1">
        <w:tc>
          <w:tcPr>
            <w:tcW w:w="1960" w:type="pct"/>
            <w:vAlign w:val="bottom"/>
          </w:tcPr>
          <w:p w:rsidR="003F466C" w:rsidRPr="00EF4173" w:rsidRDefault="003F466C" w:rsidP="001B56F1">
            <w:pPr>
              <w:pStyle w:val="TableBodyText"/>
              <w:jc w:val="left"/>
              <w:rPr>
                <w:sz w:val="18"/>
                <w:szCs w:val="18"/>
              </w:rPr>
            </w:pPr>
            <w:r w:rsidRPr="00EF4173">
              <w:rPr>
                <w:sz w:val="18"/>
                <w:szCs w:val="18"/>
              </w:rPr>
              <w:t>Food, beverages and tobacco</w:t>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t>0.4</w:t>
            </w:r>
          </w:p>
        </w:tc>
        <w:tc>
          <w:tcPr>
            <w:tcW w:w="507" w:type="pct"/>
            <w:shd w:val="clear" w:color="auto" w:fill="auto"/>
            <w:vAlign w:val="bottom"/>
          </w:tcPr>
          <w:p w:rsidR="003F466C" w:rsidRPr="00EF4173" w:rsidRDefault="003F466C" w:rsidP="001B56F1">
            <w:pPr>
              <w:pStyle w:val="TableBodyText"/>
              <w:rPr>
                <w:sz w:val="18"/>
                <w:szCs w:val="18"/>
              </w:rPr>
            </w:pPr>
            <w:r w:rsidRPr="00EF4173">
              <w:rPr>
                <w:sz w:val="18"/>
                <w:szCs w:val="18"/>
              </w:rPr>
              <w:t>0.3</w:t>
            </w:r>
          </w:p>
        </w:tc>
        <w:tc>
          <w:tcPr>
            <w:tcW w:w="505" w:type="pct"/>
            <w:shd w:val="clear" w:color="auto" w:fill="auto"/>
            <w:vAlign w:val="bottom"/>
          </w:tcPr>
          <w:p w:rsidR="003F466C" w:rsidRPr="00EF4173" w:rsidRDefault="003F466C" w:rsidP="001B56F1">
            <w:pPr>
              <w:pStyle w:val="TableBodyText"/>
              <w:rPr>
                <w:sz w:val="18"/>
                <w:szCs w:val="18"/>
              </w:rPr>
            </w:pPr>
            <w:r w:rsidRPr="00EF4173">
              <w:rPr>
                <w:sz w:val="18"/>
                <w:szCs w:val="18"/>
              </w:rPr>
              <w:t>0.3</w:t>
            </w:r>
          </w:p>
        </w:tc>
      </w:tr>
      <w:tr w:rsidR="003F466C" w:rsidRPr="00EB51A6" w:rsidTr="001B56F1">
        <w:tc>
          <w:tcPr>
            <w:tcW w:w="1960" w:type="pct"/>
            <w:vAlign w:val="bottom"/>
          </w:tcPr>
          <w:p w:rsidR="003F466C" w:rsidRPr="00EF4173" w:rsidRDefault="003F466C" w:rsidP="001B56F1">
            <w:pPr>
              <w:pStyle w:val="TableBodyText"/>
              <w:jc w:val="left"/>
              <w:rPr>
                <w:sz w:val="18"/>
                <w:szCs w:val="18"/>
              </w:rPr>
            </w:pPr>
            <w:r w:rsidRPr="00EF4173">
              <w:rPr>
                <w:sz w:val="18"/>
                <w:szCs w:val="18"/>
              </w:rPr>
              <w:t>Wood and paper products</w:t>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t>0.1</w:t>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shd w:val="clear" w:color="auto" w:fill="auto"/>
            <w:vAlign w:val="bottom"/>
          </w:tcPr>
          <w:p w:rsidR="003F466C" w:rsidRPr="00EF4173" w:rsidRDefault="003F466C" w:rsidP="001B56F1">
            <w:pPr>
              <w:pStyle w:val="TableBodyText"/>
              <w:rPr>
                <w:sz w:val="18"/>
                <w:szCs w:val="18"/>
              </w:rPr>
            </w:pPr>
            <w:r w:rsidRPr="00EF4173">
              <w:rPr>
                <w:sz w:val="18"/>
                <w:szCs w:val="18"/>
              </w:rPr>
              <w:noBreakHyphen/>
            </w:r>
          </w:p>
        </w:tc>
        <w:tc>
          <w:tcPr>
            <w:tcW w:w="505" w:type="pct"/>
            <w:shd w:val="clear" w:color="auto" w:fill="auto"/>
            <w:vAlign w:val="bottom"/>
          </w:tcPr>
          <w:p w:rsidR="003F466C" w:rsidRPr="00EF4173" w:rsidRDefault="003F466C" w:rsidP="001B56F1">
            <w:pPr>
              <w:pStyle w:val="TableBodyText"/>
              <w:rPr>
                <w:sz w:val="18"/>
                <w:szCs w:val="18"/>
              </w:rPr>
            </w:pPr>
            <w:r w:rsidRPr="00EF4173">
              <w:rPr>
                <w:sz w:val="18"/>
                <w:szCs w:val="18"/>
              </w:rPr>
              <w:noBreakHyphen/>
            </w:r>
          </w:p>
        </w:tc>
      </w:tr>
      <w:tr w:rsidR="003F466C" w:rsidRPr="00EB51A6" w:rsidTr="001B56F1">
        <w:tc>
          <w:tcPr>
            <w:tcW w:w="1960" w:type="pct"/>
            <w:vAlign w:val="bottom"/>
          </w:tcPr>
          <w:p w:rsidR="003F466C" w:rsidRPr="00EF4173" w:rsidRDefault="003F466C" w:rsidP="001B56F1">
            <w:pPr>
              <w:pStyle w:val="TableBodyText"/>
              <w:jc w:val="left"/>
              <w:rPr>
                <w:sz w:val="18"/>
                <w:szCs w:val="18"/>
              </w:rPr>
            </w:pPr>
            <w:r w:rsidRPr="00EF4173">
              <w:rPr>
                <w:sz w:val="18"/>
                <w:szCs w:val="18"/>
              </w:rPr>
              <w:t>Petroleum, coal, chemical and rubber products</w:t>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t>1.3</w:t>
            </w:r>
          </w:p>
        </w:tc>
        <w:tc>
          <w:tcPr>
            <w:tcW w:w="507" w:type="pct"/>
            <w:vAlign w:val="bottom"/>
          </w:tcPr>
          <w:p w:rsidR="003F466C" w:rsidRPr="00EF4173" w:rsidRDefault="003F466C" w:rsidP="001B56F1">
            <w:pPr>
              <w:pStyle w:val="TableBodyText"/>
              <w:rPr>
                <w:sz w:val="18"/>
                <w:szCs w:val="18"/>
              </w:rPr>
            </w:pPr>
            <w:r w:rsidRPr="00EF4173">
              <w:rPr>
                <w:sz w:val="18"/>
                <w:szCs w:val="18"/>
              </w:rPr>
              <w:t>1.8</w:t>
            </w:r>
          </w:p>
        </w:tc>
        <w:tc>
          <w:tcPr>
            <w:tcW w:w="507" w:type="pct"/>
            <w:shd w:val="clear" w:color="auto" w:fill="auto"/>
            <w:vAlign w:val="bottom"/>
          </w:tcPr>
          <w:p w:rsidR="003F466C" w:rsidRPr="00EF4173" w:rsidRDefault="003F466C" w:rsidP="001B56F1">
            <w:pPr>
              <w:pStyle w:val="TableBodyText"/>
              <w:rPr>
                <w:sz w:val="18"/>
                <w:szCs w:val="18"/>
              </w:rPr>
            </w:pPr>
            <w:r w:rsidRPr="00EF4173">
              <w:rPr>
                <w:sz w:val="18"/>
                <w:szCs w:val="18"/>
              </w:rPr>
              <w:t>0.8</w:t>
            </w:r>
          </w:p>
        </w:tc>
        <w:tc>
          <w:tcPr>
            <w:tcW w:w="505" w:type="pct"/>
            <w:shd w:val="clear" w:color="auto" w:fill="auto"/>
            <w:vAlign w:val="bottom"/>
          </w:tcPr>
          <w:p w:rsidR="003F466C" w:rsidRPr="00EF4173" w:rsidRDefault="003F466C" w:rsidP="001B56F1">
            <w:pPr>
              <w:pStyle w:val="TableBodyText"/>
              <w:rPr>
                <w:sz w:val="18"/>
                <w:szCs w:val="18"/>
              </w:rPr>
            </w:pPr>
            <w:r w:rsidRPr="00EF4173">
              <w:rPr>
                <w:sz w:val="18"/>
                <w:szCs w:val="18"/>
              </w:rPr>
              <w:t>0.2</w:t>
            </w:r>
          </w:p>
        </w:tc>
      </w:tr>
      <w:tr w:rsidR="003F466C" w:rsidRPr="00EB51A6" w:rsidTr="001B56F1">
        <w:tc>
          <w:tcPr>
            <w:tcW w:w="1960" w:type="pct"/>
            <w:vAlign w:val="bottom"/>
          </w:tcPr>
          <w:p w:rsidR="003F466C" w:rsidRPr="00EF4173" w:rsidRDefault="003F466C" w:rsidP="00B616BC">
            <w:pPr>
              <w:pStyle w:val="TableBodyText"/>
              <w:jc w:val="left"/>
              <w:rPr>
                <w:sz w:val="18"/>
                <w:szCs w:val="18"/>
              </w:rPr>
            </w:pPr>
            <w:r w:rsidRPr="00EF4173">
              <w:rPr>
                <w:sz w:val="18"/>
                <w:szCs w:val="18"/>
              </w:rPr>
              <w:t>Non-</w:t>
            </w:r>
            <w:r w:rsidR="00B616BC">
              <w:rPr>
                <w:sz w:val="18"/>
                <w:szCs w:val="18"/>
              </w:rPr>
              <w:t>m</w:t>
            </w:r>
            <w:r w:rsidR="00B616BC" w:rsidRPr="00EF4173">
              <w:rPr>
                <w:sz w:val="18"/>
                <w:szCs w:val="18"/>
              </w:rPr>
              <w:t xml:space="preserve">etallic </w:t>
            </w:r>
            <w:r w:rsidRPr="00EF4173">
              <w:rPr>
                <w:sz w:val="18"/>
                <w:szCs w:val="18"/>
              </w:rPr>
              <w:t>mineral products</w:t>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t>0.4</w:t>
            </w:r>
          </w:p>
        </w:tc>
        <w:tc>
          <w:tcPr>
            <w:tcW w:w="507" w:type="pct"/>
            <w:shd w:val="clear" w:color="auto" w:fill="auto"/>
            <w:vAlign w:val="bottom"/>
          </w:tcPr>
          <w:p w:rsidR="003F466C" w:rsidRPr="00EF4173" w:rsidRDefault="003F466C" w:rsidP="001B56F1">
            <w:pPr>
              <w:pStyle w:val="TableBodyText"/>
              <w:rPr>
                <w:sz w:val="18"/>
                <w:szCs w:val="18"/>
              </w:rPr>
            </w:pPr>
            <w:r w:rsidRPr="00EF4173">
              <w:rPr>
                <w:sz w:val="18"/>
                <w:szCs w:val="18"/>
              </w:rPr>
              <w:t>&lt;0.1</w:t>
            </w:r>
          </w:p>
        </w:tc>
        <w:tc>
          <w:tcPr>
            <w:tcW w:w="505" w:type="pct"/>
            <w:shd w:val="clear" w:color="auto" w:fill="auto"/>
            <w:vAlign w:val="bottom"/>
          </w:tcPr>
          <w:p w:rsidR="003F466C" w:rsidRPr="00EF4173" w:rsidRDefault="003F466C" w:rsidP="001B56F1">
            <w:pPr>
              <w:pStyle w:val="TableBodyText"/>
              <w:rPr>
                <w:sz w:val="18"/>
                <w:szCs w:val="18"/>
              </w:rPr>
            </w:pPr>
            <w:r w:rsidRPr="00EF4173">
              <w:rPr>
                <w:sz w:val="18"/>
                <w:szCs w:val="18"/>
              </w:rPr>
              <w:noBreakHyphen/>
            </w:r>
          </w:p>
        </w:tc>
      </w:tr>
      <w:tr w:rsidR="003F466C" w:rsidRPr="00EB51A6" w:rsidTr="001B56F1">
        <w:tc>
          <w:tcPr>
            <w:tcW w:w="1960" w:type="pct"/>
            <w:vAlign w:val="bottom"/>
          </w:tcPr>
          <w:p w:rsidR="003F466C" w:rsidRPr="00EF4173" w:rsidRDefault="003F466C" w:rsidP="001B56F1">
            <w:pPr>
              <w:pStyle w:val="TableBodyText"/>
              <w:jc w:val="left"/>
              <w:rPr>
                <w:sz w:val="18"/>
                <w:szCs w:val="18"/>
              </w:rPr>
            </w:pPr>
            <w:r w:rsidRPr="00EF4173">
              <w:rPr>
                <w:sz w:val="18"/>
                <w:szCs w:val="18"/>
              </w:rPr>
              <w:t>Metal and fabricated metal products</w:t>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t>0.9</w:t>
            </w:r>
          </w:p>
        </w:tc>
        <w:tc>
          <w:tcPr>
            <w:tcW w:w="507" w:type="pct"/>
            <w:vAlign w:val="bottom"/>
          </w:tcPr>
          <w:p w:rsidR="003F466C" w:rsidRPr="00EF4173" w:rsidRDefault="003F466C" w:rsidP="001B56F1">
            <w:pPr>
              <w:pStyle w:val="TableBodyText"/>
              <w:rPr>
                <w:sz w:val="18"/>
                <w:szCs w:val="18"/>
              </w:rPr>
            </w:pPr>
            <w:r w:rsidRPr="00EF4173">
              <w:rPr>
                <w:sz w:val="18"/>
                <w:szCs w:val="18"/>
              </w:rPr>
              <w:t>1.8</w:t>
            </w:r>
          </w:p>
        </w:tc>
        <w:tc>
          <w:tcPr>
            <w:tcW w:w="507" w:type="pct"/>
            <w:shd w:val="clear" w:color="auto" w:fill="auto"/>
            <w:vAlign w:val="bottom"/>
          </w:tcPr>
          <w:p w:rsidR="003F466C" w:rsidRPr="00EF4173" w:rsidRDefault="003F466C" w:rsidP="001B56F1">
            <w:pPr>
              <w:pStyle w:val="TableBodyText"/>
              <w:rPr>
                <w:sz w:val="18"/>
                <w:szCs w:val="18"/>
              </w:rPr>
            </w:pPr>
            <w:r w:rsidRPr="00EF4173">
              <w:rPr>
                <w:sz w:val="18"/>
                <w:szCs w:val="18"/>
              </w:rPr>
              <w:t>0.1</w:t>
            </w:r>
          </w:p>
        </w:tc>
        <w:tc>
          <w:tcPr>
            <w:tcW w:w="505" w:type="pct"/>
            <w:shd w:val="clear" w:color="auto" w:fill="auto"/>
            <w:vAlign w:val="bottom"/>
          </w:tcPr>
          <w:p w:rsidR="003F466C" w:rsidRPr="00EF4173" w:rsidRDefault="003F466C" w:rsidP="001B56F1">
            <w:pPr>
              <w:pStyle w:val="TableBodyText"/>
              <w:rPr>
                <w:sz w:val="18"/>
                <w:szCs w:val="18"/>
              </w:rPr>
            </w:pPr>
            <w:r w:rsidRPr="00EF4173">
              <w:rPr>
                <w:sz w:val="18"/>
                <w:szCs w:val="18"/>
              </w:rPr>
              <w:noBreakHyphen/>
            </w:r>
          </w:p>
        </w:tc>
      </w:tr>
      <w:tr w:rsidR="003F466C" w:rsidRPr="00EB51A6" w:rsidTr="001B56F1">
        <w:tc>
          <w:tcPr>
            <w:tcW w:w="1960" w:type="pct"/>
            <w:vAlign w:val="bottom"/>
          </w:tcPr>
          <w:p w:rsidR="003F466C" w:rsidRPr="00EF4173" w:rsidRDefault="003F466C" w:rsidP="001B56F1">
            <w:pPr>
              <w:pStyle w:val="TableBodyText"/>
              <w:jc w:val="left"/>
              <w:rPr>
                <w:sz w:val="18"/>
                <w:szCs w:val="18"/>
              </w:rPr>
            </w:pPr>
            <w:r w:rsidRPr="00EF4173">
              <w:rPr>
                <w:sz w:val="18"/>
                <w:szCs w:val="18"/>
              </w:rPr>
              <w:t>Motor vehicle and parts</w:t>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t>0.3</w:t>
            </w:r>
          </w:p>
        </w:tc>
        <w:tc>
          <w:tcPr>
            <w:tcW w:w="507" w:type="pct"/>
            <w:vAlign w:val="bottom"/>
          </w:tcPr>
          <w:p w:rsidR="003F466C" w:rsidRPr="00EF4173" w:rsidRDefault="003F466C" w:rsidP="001B56F1">
            <w:pPr>
              <w:pStyle w:val="TableBodyText"/>
              <w:rPr>
                <w:sz w:val="18"/>
                <w:szCs w:val="18"/>
              </w:rPr>
            </w:pPr>
            <w:r w:rsidRPr="00EF4173">
              <w:rPr>
                <w:sz w:val="18"/>
                <w:szCs w:val="18"/>
              </w:rPr>
              <w:t>1.0</w:t>
            </w:r>
          </w:p>
        </w:tc>
        <w:tc>
          <w:tcPr>
            <w:tcW w:w="507" w:type="pct"/>
            <w:shd w:val="clear" w:color="auto" w:fill="auto"/>
            <w:vAlign w:val="bottom"/>
          </w:tcPr>
          <w:p w:rsidR="003F466C" w:rsidRPr="00EF4173" w:rsidRDefault="003F466C" w:rsidP="001B56F1">
            <w:pPr>
              <w:pStyle w:val="TableBodyText"/>
              <w:rPr>
                <w:sz w:val="18"/>
                <w:szCs w:val="18"/>
              </w:rPr>
            </w:pPr>
            <w:r w:rsidRPr="00EF4173">
              <w:rPr>
                <w:sz w:val="18"/>
                <w:szCs w:val="18"/>
              </w:rPr>
              <w:t>0.2</w:t>
            </w:r>
          </w:p>
        </w:tc>
        <w:tc>
          <w:tcPr>
            <w:tcW w:w="505" w:type="pct"/>
            <w:shd w:val="clear" w:color="auto" w:fill="auto"/>
            <w:vAlign w:val="bottom"/>
          </w:tcPr>
          <w:p w:rsidR="003F466C" w:rsidRPr="00EF4173" w:rsidRDefault="003F466C" w:rsidP="001B56F1">
            <w:pPr>
              <w:pStyle w:val="TableBodyText"/>
              <w:rPr>
                <w:sz w:val="18"/>
                <w:szCs w:val="18"/>
              </w:rPr>
            </w:pPr>
            <w:r w:rsidRPr="00EF4173">
              <w:rPr>
                <w:sz w:val="18"/>
                <w:szCs w:val="18"/>
              </w:rPr>
              <w:t>0.2</w:t>
            </w:r>
          </w:p>
        </w:tc>
      </w:tr>
      <w:tr w:rsidR="003F466C" w:rsidRPr="00EB51A6" w:rsidTr="001B56F1">
        <w:tc>
          <w:tcPr>
            <w:tcW w:w="1960" w:type="pct"/>
            <w:vAlign w:val="bottom"/>
          </w:tcPr>
          <w:p w:rsidR="003F466C" w:rsidRPr="00EF4173" w:rsidRDefault="003F466C" w:rsidP="001B56F1">
            <w:pPr>
              <w:pStyle w:val="TableBodyText"/>
              <w:jc w:val="left"/>
              <w:rPr>
                <w:sz w:val="18"/>
                <w:szCs w:val="18"/>
              </w:rPr>
            </w:pPr>
            <w:r w:rsidRPr="00EF4173">
              <w:rPr>
                <w:sz w:val="18"/>
                <w:szCs w:val="18"/>
              </w:rPr>
              <w:t>Other transport equipment</w:t>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t>0.3</w:t>
            </w:r>
          </w:p>
        </w:tc>
        <w:tc>
          <w:tcPr>
            <w:tcW w:w="507" w:type="pct"/>
            <w:shd w:val="clear" w:color="auto" w:fill="auto"/>
            <w:vAlign w:val="bottom"/>
          </w:tcPr>
          <w:p w:rsidR="003F466C" w:rsidRPr="00EF4173" w:rsidRDefault="003F466C" w:rsidP="001B56F1">
            <w:pPr>
              <w:pStyle w:val="TableBodyText"/>
              <w:rPr>
                <w:sz w:val="18"/>
                <w:szCs w:val="18"/>
              </w:rPr>
            </w:pPr>
            <w:r w:rsidRPr="00EF4173">
              <w:rPr>
                <w:sz w:val="18"/>
                <w:szCs w:val="18"/>
              </w:rPr>
              <w:t>0.2</w:t>
            </w:r>
          </w:p>
        </w:tc>
        <w:tc>
          <w:tcPr>
            <w:tcW w:w="505" w:type="pct"/>
            <w:shd w:val="clear" w:color="auto" w:fill="auto"/>
            <w:vAlign w:val="bottom"/>
          </w:tcPr>
          <w:p w:rsidR="003F466C" w:rsidRPr="00EF4173" w:rsidRDefault="003F466C" w:rsidP="001B56F1">
            <w:pPr>
              <w:pStyle w:val="TableBodyText"/>
              <w:rPr>
                <w:sz w:val="18"/>
                <w:szCs w:val="18"/>
              </w:rPr>
            </w:pPr>
            <w:r w:rsidRPr="00EF4173">
              <w:rPr>
                <w:sz w:val="18"/>
                <w:szCs w:val="18"/>
              </w:rPr>
              <w:noBreakHyphen/>
            </w:r>
          </w:p>
        </w:tc>
      </w:tr>
      <w:tr w:rsidR="003F466C" w:rsidRPr="00EB51A6" w:rsidTr="001B56F1">
        <w:tc>
          <w:tcPr>
            <w:tcW w:w="1960" w:type="pct"/>
            <w:vAlign w:val="bottom"/>
          </w:tcPr>
          <w:p w:rsidR="003F466C" w:rsidRPr="00EF4173" w:rsidRDefault="003F466C" w:rsidP="001B56F1">
            <w:pPr>
              <w:pStyle w:val="TableBodyText"/>
              <w:jc w:val="left"/>
              <w:rPr>
                <w:sz w:val="18"/>
                <w:szCs w:val="18"/>
              </w:rPr>
            </w:pPr>
            <w:r w:rsidRPr="00EF4173">
              <w:rPr>
                <w:sz w:val="18"/>
                <w:szCs w:val="18"/>
              </w:rPr>
              <w:t>Machinery and equipment manufacturing</w:t>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t>7.2</w:t>
            </w:r>
          </w:p>
        </w:tc>
        <w:tc>
          <w:tcPr>
            <w:tcW w:w="507" w:type="pct"/>
            <w:vAlign w:val="bottom"/>
          </w:tcPr>
          <w:p w:rsidR="003F466C" w:rsidRPr="00EF4173" w:rsidRDefault="003F466C" w:rsidP="001B56F1">
            <w:pPr>
              <w:pStyle w:val="TableBodyText"/>
              <w:rPr>
                <w:sz w:val="18"/>
                <w:szCs w:val="18"/>
              </w:rPr>
            </w:pPr>
            <w:r w:rsidRPr="00EF4173">
              <w:rPr>
                <w:sz w:val="18"/>
                <w:szCs w:val="18"/>
              </w:rPr>
              <w:t>11.8</w:t>
            </w:r>
          </w:p>
        </w:tc>
        <w:tc>
          <w:tcPr>
            <w:tcW w:w="507" w:type="pct"/>
            <w:shd w:val="clear" w:color="auto" w:fill="auto"/>
            <w:vAlign w:val="bottom"/>
          </w:tcPr>
          <w:p w:rsidR="003F466C" w:rsidRPr="00EF4173" w:rsidRDefault="003F466C" w:rsidP="001B56F1">
            <w:pPr>
              <w:pStyle w:val="TableBodyText"/>
              <w:rPr>
                <w:sz w:val="18"/>
                <w:szCs w:val="18"/>
              </w:rPr>
            </w:pPr>
            <w:r w:rsidRPr="00EF4173">
              <w:rPr>
                <w:sz w:val="18"/>
                <w:szCs w:val="18"/>
              </w:rPr>
              <w:t>7.3</w:t>
            </w:r>
          </w:p>
        </w:tc>
        <w:tc>
          <w:tcPr>
            <w:tcW w:w="505" w:type="pct"/>
            <w:shd w:val="clear" w:color="auto" w:fill="auto"/>
            <w:vAlign w:val="bottom"/>
          </w:tcPr>
          <w:p w:rsidR="003F466C" w:rsidRPr="00EF4173" w:rsidRDefault="003F466C" w:rsidP="001B56F1">
            <w:pPr>
              <w:pStyle w:val="TableBodyText"/>
              <w:rPr>
                <w:sz w:val="18"/>
                <w:szCs w:val="18"/>
              </w:rPr>
            </w:pPr>
            <w:r w:rsidRPr="00EF4173">
              <w:rPr>
                <w:sz w:val="18"/>
                <w:szCs w:val="18"/>
              </w:rPr>
              <w:t>2.9</w:t>
            </w:r>
          </w:p>
        </w:tc>
      </w:tr>
      <w:tr w:rsidR="003F466C" w:rsidRPr="00EB51A6" w:rsidTr="001B56F1">
        <w:tc>
          <w:tcPr>
            <w:tcW w:w="1960" w:type="pct"/>
            <w:vAlign w:val="bottom"/>
          </w:tcPr>
          <w:p w:rsidR="003F466C" w:rsidRPr="00EF4173" w:rsidRDefault="003F466C" w:rsidP="001B56F1">
            <w:pPr>
              <w:pStyle w:val="TableBodyText"/>
              <w:jc w:val="left"/>
              <w:rPr>
                <w:b/>
                <w:sz w:val="18"/>
                <w:szCs w:val="18"/>
              </w:rPr>
            </w:pPr>
            <w:r w:rsidRPr="00EF4173">
              <w:rPr>
                <w:b/>
                <w:sz w:val="18"/>
                <w:szCs w:val="18"/>
              </w:rPr>
              <w:t>Services</w:t>
            </w:r>
          </w:p>
        </w:tc>
        <w:tc>
          <w:tcPr>
            <w:tcW w:w="507" w:type="pct"/>
            <w:vAlign w:val="bottom"/>
          </w:tcPr>
          <w:p w:rsidR="003F466C" w:rsidRPr="00EF4173" w:rsidRDefault="003F466C" w:rsidP="001B56F1">
            <w:pPr>
              <w:pStyle w:val="TableBodyText"/>
              <w:rPr>
                <w:b/>
                <w:sz w:val="18"/>
                <w:szCs w:val="18"/>
              </w:rPr>
            </w:pPr>
            <w:r w:rsidRPr="00EF4173">
              <w:rPr>
                <w:b/>
                <w:sz w:val="18"/>
                <w:szCs w:val="18"/>
              </w:rPr>
              <w:noBreakHyphen/>
            </w:r>
          </w:p>
        </w:tc>
        <w:tc>
          <w:tcPr>
            <w:tcW w:w="507" w:type="pct"/>
            <w:vAlign w:val="bottom"/>
          </w:tcPr>
          <w:p w:rsidR="003F466C" w:rsidRPr="00EF4173" w:rsidRDefault="003F466C" w:rsidP="001B56F1">
            <w:pPr>
              <w:pStyle w:val="TableBodyText"/>
              <w:rPr>
                <w:b/>
                <w:sz w:val="18"/>
                <w:szCs w:val="18"/>
              </w:rPr>
            </w:pPr>
            <w:r w:rsidRPr="00EF4173">
              <w:rPr>
                <w:b/>
                <w:sz w:val="18"/>
                <w:szCs w:val="18"/>
              </w:rPr>
              <w:noBreakHyphen/>
            </w:r>
          </w:p>
        </w:tc>
        <w:tc>
          <w:tcPr>
            <w:tcW w:w="507" w:type="pct"/>
            <w:vAlign w:val="bottom"/>
          </w:tcPr>
          <w:p w:rsidR="003F466C" w:rsidRPr="00EF4173" w:rsidRDefault="003F466C" w:rsidP="001B56F1">
            <w:pPr>
              <w:pStyle w:val="TableBodyText"/>
              <w:rPr>
                <w:b/>
                <w:sz w:val="18"/>
                <w:szCs w:val="18"/>
              </w:rPr>
            </w:pPr>
            <w:r w:rsidRPr="00EF4173">
              <w:rPr>
                <w:b/>
                <w:sz w:val="18"/>
                <w:szCs w:val="18"/>
              </w:rPr>
              <w:t>4.3</w:t>
            </w:r>
          </w:p>
        </w:tc>
        <w:tc>
          <w:tcPr>
            <w:tcW w:w="507" w:type="pct"/>
            <w:vAlign w:val="bottom"/>
          </w:tcPr>
          <w:p w:rsidR="003F466C" w:rsidRPr="00EF4173" w:rsidRDefault="003F466C" w:rsidP="001B56F1">
            <w:pPr>
              <w:pStyle w:val="TableBodyText"/>
              <w:rPr>
                <w:b/>
                <w:sz w:val="18"/>
                <w:szCs w:val="18"/>
              </w:rPr>
            </w:pPr>
            <w:r w:rsidRPr="00EF4173">
              <w:rPr>
                <w:b/>
                <w:sz w:val="18"/>
                <w:szCs w:val="18"/>
              </w:rPr>
              <w:t>10.4</w:t>
            </w:r>
          </w:p>
        </w:tc>
        <w:tc>
          <w:tcPr>
            <w:tcW w:w="507" w:type="pct"/>
            <w:shd w:val="clear" w:color="auto" w:fill="auto"/>
            <w:vAlign w:val="bottom"/>
          </w:tcPr>
          <w:p w:rsidR="003F466C" w:rsidRPr="00EF4173" w:rsidRDefault="003F466C" w:rsidP="001B56F1">
            <w:pPr>
              <w:pStyle w:val="TableBodyText"/>
              <w:rPr>
                <w:b/>
                <w:sz w:val="18"/>
                <w:szCs w:val="18"/>
              </w:rPr>
            </w:pPr>
            <w:r w:rsidRPr="00EF4173">
              <w:rPr>
                <w:b/>
                <w:sz w:val="18"/>
                <w:szCs w:val="18"/>
              </w:rPr>
              <w:t>3.6</w:t>
            </w:r>
          </w:p>
        </w:tc>
        <w:tc>
          <w:tcPr>
            <w:tcW w:w="505" w:type="pct"/>
            <w:shd w:val="clear" w:color="auto" w:fill="auto"/>
            <w:vAlign w:val="bottom"/>
          </w:tcPr>
          <w:p w:rsidR="003F466C" w:rsidRPr="00EF4173" w:rsidRDefault="003F466C" w:rsidP="001B56F1">
            <w:pPr>
              <w:pStyle w:val="TableBodyText"/>
              <w:rPr>
                <w:b/>
                <w:sz w:val="18"/>
                <w:szCs w:val="18"/>
              </w:rPr>
            </w:pPr>
            <w:r w:rsidRPr="00EF4173">
              <w:rPr>
                <w:b/>
                <w:sz w:val="18"/>
                <w:szCs w:val="18"/>
              </w:rPr>
              <w:t>0.7</w:t>
            </w:r>
          </w:p>
        </w:tc>
      </w:tr>
      <w:tr w:rsidR="003F466C" w:rsidRPr="00EB51A6" w:rsidTr="001B56F1">
        <w:tc>
          <w:tcPr>
            <w:tcW w:w="1960" w:type="pct"/>
            <w:vAlign w:val="bottom"/>
          </w:tcPr>
          <w:p w:rsidR="003F466C" w:rsidRPr="00EF4173" w:rsidRDefault="003F466C" w:rsidP="001B56F1">
            <w:pPr>
              <w:pStyle w:val="TableBodyText"/>
              <w:jc w:val="left"/>
              <w:rPr>
                <w:sz w:val="18"/>
                <w:szCs w:val="18"/>
              </w:rPr>
            </w:pPr>
            <w:r w:rsidRPr="00EF4173">
              <w:rPr>
                <w:sz w:val="18"/>
                <w:szCs w:val="18"/>
              </w:rPr>
              <w:t>Electricity, gas, water and waste services</w:t>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t>1.3</w:t>
            </w:r>
          </w:p>
        </w:tc>
        <w:tc>
          <w:tcPr>
            <w:tcW w:w="507" w:type="pct"/>
            <w:vAlign w:val="bottom"/>
          </w:tcPr>
          <w:p w:rsidR="003F466C" w:rsidRPr="00EF4173" w:rsidRDefault="003F466C" w:rsidP="001B56F1">
            <w:pPr>
              <w:pStyle w:val="TableBodyText"/>
              <w:rPr>
                <w:sz w:val="18"/>
                <w:szCs w:val="18"/>
              </w:rPr>
            </w:pPr>
            <w:r w:rsidRPr="00EF4173">
              <w:rPr>
                <w:sz w:val="18"/>
                <w:szCs w:val="18"/>
              </w:rPr>
              <w:t>3.3</w:t>
            </w:r>
          </w:p>
        </w:tc>
        <w:tc>
          <w:tcPr>
            <w:tcW w:w="507" w:type="pct"/>
            <w:shd w:val="clear" w:color="auto" w:fill="auto"/>
            <w:vAlign w:val="bottom"/>
          </w:tcPr>
          <w:p w:rsidR="003F466C" w:rsidRPr="00EF4173" w:rsidRDefault="003F466C" w:rsidP="001B56F1">
            <w:pPr>
              <w:pStyle w:val="TableBodyText"/>
              <w:rPr>
                <w:sz w:val="18"/>
                <w:szCs w:val="18"/>
              </w:rPr>
            </w:pPr>
            <w:r w:rsidRPr="00EF4173">
              <w:rPr>
                <w:sz w:val="18"/>
                <w:szCs w:val="18"/>
              </w:rPr>
              <w:t>0.3</w:t>
            </w:r>
          </w:p>
        </w:tc>
        <w:tc>
          <w:tcPr>
            <w:tcW w:w="505" w:type="pct"/>
            <w:shd w:val="clear" w:color="auto" w:fill="auto"/>
            <w:vAlign w:val="bottom"/>
          </w:tcPr>
          <w:p w:rsidR="003F466C" w:rsidRPr="00EF4173" w:rsidRDefault="003F466C" w:rsidP="001B56F1">
            <w:pPr>
              <w:pStyle w:val="TableBodyText"/>
              <w:rPr>
                <w:sz w:val="18"/>
                <w:szCs w:val="18"/>
              </w:rPr>
            </w:pPr>
            <w:r w:rsidRPr="00EF4173">
              <w:rPr>
                <w:sz w:val="18"/>
                <w:szCs w:val="18"/>
              </w:rPr>
              <w:t>&lt;0.1</w:t>
            </w:r>
          </w:p>
        </w:tc>
      </w:tr>
      <w:tr w:rsidR="003F466C" w:rsidRPr="00EB51A6" w:rsidTr="001B56F1">
        <w:tc>
          <w:tcPr>
            <w:tcW w:w="1960" w:type="pct"/>
            <w:vAlign w:val="bottom"/>
          </w:tcPr>
          <w:p w:rsidR="003F466C" w:rsidRPr="00EF4173" w:rsidRDefault="003F466C" w:rsidP="001B56F1">
            <w:pPr>
              <w:pStyle w:val="TableBodyText"/>
              <w:jc w:val="left"/>
              <w:rPr>
                <w:sz w:val="18"/>
                <w:szCs w:val="18"/>
              </w:rPr>
            </w:pPr>
            <w:r w:rsidRPr="00EF4173">
              <w:rPr>
                <w:sz w:val="18"/>
                <w:szCs w:val="18"/>
              </w:rPr>
              <w:t>Construction</w:t>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t>0.6</w:t>
            </w:r>
          </w:p>
        </w:tc>
        <w:tc>
          <w:tcPr>
            <w:tcW w:w="507" w:type="pct"/>
            <w:vAlign w:val="bottom"/>
          </w:tcPr>
          <w:p w:rsidR="003F466C" w:rsidRPr="00EF4173" w:rsidRDefault="003F466C" w:rsidP="001B56F1">
            <w:pPr>
              <w:pStyle w:val="TableBodyText"/>
              <w:rPr>
                <w:sz w:val="18"/>
                <w:szCs w:val="18"/>
              </w:rPr>
            </w:pPr>
            <w:r w:rsidRPr="00EF4173">
              <w:rPr>
                <w:sz w:val="18"/>
                <w:szCs w:val="18"/>
              </w:rPr>
              <w:t>0.4</w:t>
            </w:r>
          </w:p>
        </w:tc>
        <w:tc>
          <w:tcPr>
            <w:tcW w:w="507" w:type="pct"/>
            <w:shd w:val="clear" w:color="auto" w:fill="auto"/>
            <w:vAlign w:val="bottom"/>
          </w:tcPr>
          <w:p w:rsidR="003F466C" w:rsidRPr="00EF4173" w:rsidRDefault="003F466C" w:rsidP="001B56F1">
            <w:pPr>
              <w:pStyle w:val="TableBodyText"/>
              <w:rPr>
                <w:sz w:val="18"/>
                <w:szCs w:val="18"/>
              </w:rPr>
            </w:pPr>
            <w:r w:rsidRPr="00EF4173">
              <w:rPr>
                <w:sz w:val="18"/>
                <w:szCs w:val="18"/>
              </w:rPr>
              <w:noBreakHyphen/>
            </w:r>
          </w:p>
        </w:tc>
        <w:tc>
          <w:tcPr>
            <w:tcW w:w="505" w:type="pct"/>
            <w:shd w:val="clear" w:color="auto" w:fill="auto"/>
            <w:vAlign w:val="bottom"/>
          </w:tcPr>
          <w:p w:rsidR="003F466C" w:rsidRPr="00EF4173" w:rsidRDefault="003F466C" w:rsidP="001B56F1">
            <w:pPr>
              <w:pStyle w:val="TableBodyText"/>
              <w:rPr>
                <w:sz w:val="18"/>
                <w:szCs w:val="18"/>
              </w:rPr>
            </w:pPr>
            <w:r w:rsidRPr="00EF4173">
              <w:rPr>
                <w:sz w:val="18"/>
                <w:szCs w:val="18"/>
              </w:rPr>
              <w:t>&lt;0.1</w:t>
            </w:r>
          </w:p>
        </w:tc>
      </w:tr>
      <w:tr w:rsidR="003F466C" w:rsidRPr="00EB51A6" w:rsidTr="001B56F1">
        <w:tc>
          <w:tcPr>
            <w:tcW w:w="1960" w:type="pct"/>
            <w:vAlign w:val="bottom"/>
          </w:tcPr>
          <w:p w:rsidR="003F466C" w:rsidRPr="00EF4173" w:rsidRDefault="003F466C" w:rsidP="001B56F1">
            <w:pPr>
              <w:pStyle w:val="TableBodyText"/>
              <w:jc w:val="left"/>
              <w:rPr>
                <w:sz w:val="18"/>
                <w:szCs w:val="18"/>
              </w:rPr>
            </w:pPr>
            <w:r w:rsidRPr="00EF4173">
              <w:rPr>
                <w:sz w:val="18"/>
                <w:szCs w:val="18"/>
              </w:rPr>
              <w:t>Wholesale trade</w:t>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t>0.4</w:t>
            </w:r>
          </w:p>
        </w:tc>
        <w:tc>
          <w:tcPr>
            <w:tcW w:w="507" w:type="pct"/>
            <w:vAlign w:val="bottom"/>
          </w:tcPr>
          <w:p w:rsidR="003F466C" w:rsidRPr="00EF4173" w:rsidRDefault="003F466C" w:rsidP="001B56F1">
            <w:pPr>
              <w:pStyle w:val="TableBodyText"/>
              <w:rPr>
                <w:sz w:val="18"/>
                <w:szCs w:val="18"/>
              </w:rPr>
            </w:pPr>
            <w:r w:rsidRPr="00EF4173">
              <w:rPr>
                <w:sz w:val="18"/>
                <w:szCs w:val="18"/>
              </w:rPr>
              <w:t>1.2</w:t>
            </w:r>
          </w:p>
        </w:tc>
        <w:tc>
          <w:tcPr>
            <w:tcW w:w="507" w:type="pct"/>
            <w:shd w:val="clear" w:color="auto" w:fill="auto"/>
            <w:vAlign w:val="bottom"/>
          </w:tcPr>
          <w:p w:rsidR="003F466C" w:rsidRPr="00EF4173" w:rsidRDefault="003F466C" w:rsidP="001B56F1">
            <w:pPr>
              <w:pStyle w:val="TableBodyText"/>
              <w:rPr>
                <w:sz w:val="18"/>
                <w:szCs w:val="18"/>
              </w:rPr>
            </w:pPr>
            <w:r w:rsidRPr="00EF4173">
              <w:rPr>
                <w:sz w:val="18"/>
                <w:szCs w:val="18"/>
              </w:rPr>
              <w:t>0.1</w:t>
            </w:r>
          </w:p>
        </w:tc>
        <w:tc>
          <w:tcPr>
            <w:tcW w:w="505" w:type="pct"/>
            <w:shd w:val="clear" w:color="auto" w:fill="auto"/>
            <w:vAlign w:val="bottom"/>
          </w:tcPr>
          <w:p w:rsidR="003F466C" w:rsidRPr="00EF4173" w:rsidRDefault="003F466C" w:rsidP="001B56F1">
            <w:pPr>
              <w:pStyle w:val="TableBodyText"/>
              <w:rPr>
                <w:sz w:val="18"/>
                <w:szCs w:val="18"/>
              </w:rPr>
            </w:pPr>
            <w:r w:rsidRPr="00EF4173">
              <w:rPr>
                <w:sz w:val="18"/>
                <w:szCs w:val="18"/>
              </w:rPr>
              <w:t>&lt;0.1</w:t>
            </w:r>
          </w:p>
        </w:tc>
      </w:tr>
      <w:tr w:rsidR="003F466C" w:rsidRPr="00EB51A6" w:rsidTr="001B56F1">
        <w:tc>
          <w:tcPr>
            <w:tcW w:w="1960" w:type="pct"/>
            <w:vAlign w:val="bottom"/>
          </w:tcPr>
          <w:p w:rsidR="003F466C" w:rsidRPr="00EF4173" w:rsidRDefault="003F466C" w:rsidP="001B56F1">
            <w:pPr>
              <w:pStyle w:val="TableBodyText"/>
              <w:jc w:val="left"/>
              <w:rPr>
                <w:sz w:val="18"/>
                <w:szCs w:val="18"/>
              </w:rPr>
            </w:pPr>
            <w:r w:rsidRPr="00EF4173">
              <w:rPr>
                <w:sz w:val="18"/>
                <w:szCs w:val="18"/>
              </w:rPr>
              <w:t>Transport, postal and warehousing</w:t>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t>0.7</w:t>
            </w:r>
          </w:p>
        </w:tc>
        <w:tc>
          <w:tcPr>
            <w:tcW w:w="507" w:type="pct"/>
            <w:vAlign w:val="bottom"/>
          </w:tcPr>
          <w:p w:rsidR="003F466C" w:rsidRPr="00EF4173" w:rsidRDefault="003F466C" w:rsidP="001B56F1">
            <w:pPr>
              <w:pStyle w:val="TableBodyText"/>
              <w:rPr>
                <w:sz w:val="18"/>
                <w:szCs w:val="18"/>
              </w:rPr>
            </w:pPr>
            <w:r w:rsidRPr="00EF4173">
              <w:rPr>
                <w:sz w:val="18"/>
                <w:szCs w:val="18"/>
              </w:rPr>
              <w:t>0.8</w:t>
            </w:r>
          </w:p>
        </w:tc>
        <w:tc>
          <w:tcPr>
            <w:tcW w:w="507" w:type="pct"/>
            <w:shd w:val="clear" w:color="auto" w:fill="auto"/>
            <w:vAlign w:val="bottom"/>
          </w:tcPr>
          <w:p w:rsidR="003F466C" w:rsidRPr="00EF4173" w:rsidRDefault="003F466C" w:rsidP="001B56F1">
            <w:pPr>
              <w:pStyle w:val="TableBodyText"/>
              <w:rPr>
                <w:sz w:val="18"/>
                <w:szCs w:val="18"/>
              </w:rPr>
            </w:pPr>
            <w:r w:rsidRPr="00EF4173">
              <w:rPr>
                <w:sz w:val="18"/>
                <w:szCs w:val="18"/>
              </w:rPr>
              <w:noBreakHyphen/>
            </w:r>
          </w:p>
        </w:tc>
        <w:tc>
          <w:tcPr>
            <w:tcW w:w="505" w:type="pct"/>
            <w:shd w:val="clear" w:color="auto" w:fill="auto"/>
            <w:vAlign w:val="bottom"/>
          </w:tcPr>
          <w:p w:rsidR="003F466C" w:rsidRPr="00EF4173" w:rsidRDefault="003F466C" w:rsidP="001B56F1">
            <w:pPr>
              <w:pStyle w:val="TableBodyText"/>
              <w:rPr>
                <w:sz w:val="18"/>
                <w:szCs w:val="18"/>
              </w:rPr>
            </w:pPr>
            <w:r w:rsidRPr="00EF4173">
              <w:rPr>
                <w:sz w:val="18"/>
                <w:szCs w:val="18"/>
              </w:rPr>
              <w:noBreakHyphen/>
            </w:r>
          </w:p>
        </w:tc>
      </w:tr>
      <w:tr w:rsidR="003F466C" w:rsidRPr="00EB51A6" w:rsidTr="001B56F1">
        <w:tc>
          <w:tcPr>
            <w:tcW w:w="1960" w:type="pct"/>
            <w:vAlign w:val="bottom"/>
          </w:tcPr>
          <w:p w:rsidR="003F466C" w:rsidRPr="00EF4173" w:rsidRDefault="003F466C" w:rsidP="001B56F1">
            <w:pPr>
              <w:pStyle w:val="TableBodyText"/>
              <w:jc w:val="left"/>
              <w:rPr>
                <w:sz w:val="18"/>
                <w:szCs w:val="18"/>
              </w:rPr>
            </w:pPr>
            <w:r w:rsidRPr="00EF4173">
              <w:rPr>
                <w:sz w:val="18"/>
                <w:szCs w:val="18"/>
              </w:rPr>
              <w:t>Information, media and telecommunications</w:t>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t>0.2</w:t>
            </w:r>
          </w:p>
        </w:tc>
        <w:tc>
          <w:tcPr>
            <w:tcW w:w="507" w:type="pct"/>
            <w:vAlign w:val="bottom"/>
          </w:tcPr>
          <w:p w:rsidR="003F466C" w:rsidRPr="00EF4173" w:rsidRDefault="003F466C" w:rsidP="001B56F1">
            <w:pPr>
              <w:pStyle w:val="TableBodyText"/>
              <w:rPr>
                <w:sz w:val="18"/>
                <w:szCs w:val="18"/>
              </w:rPr>
            </w:pPr>
            <w:r w:rsidRPr="00EF4173">
              <w:rPr>
                <w:sz w:val="18"/>
                <w:szCs w:val="18"/>
              </w:rPr>
              <w:t>0.1</w:t>
            </w:r>
          </w:p>
        </w:tc>
        <w:tc>
          <w:tcPr>
            <w:tcW w:w="507" w:type="pct"/>
            <w:shd w:val="clear" w:color="auto" w:fill="auto"/>
            <w:vAlign w:val="bottom"/>
          </w:tcPr>
          <w:p w:rsidR="003F466C" w:rsidRPr="00EF4173" w:rsidRDefault="003F466C" w:rsidP="001B56F1">
            <w:pPr>
              <w:pStyle w:val="TableBodyText"/>
              <w:rPr>
                <w:sz w:val="18"/>
                <w:szCs w:val="18"/>
              </w:rPr>
            </w:pPr>
            <w:r w:rsidRPr="00EF4173">
              <w:rPr>
                <w:sz w:val="18"/>
                <w:szCs w:val="18"/>
              </w:rPr>
              <w:t>&lt;0.1</w:t>
            </w:r>
          </w:p>
        </w:tc>
        <w:tc>
          <w:tcPr>
            <w:tcW w:w="505" w:type="pct"/>
            <w:shd w:val="clear" w:color="auto" w:fill="auto"/>
            <w:vAlign w:val="bottom"/>
          </w:tcPr>
          <w:p w:rsidR="003F466C" w:rsidRPr="00EF4173" w:rsidRDefault="003F466C" w:rsidP="001B56F1">
            <w:pPr>
              <w:pStyle w:val="TableBodyText"/>
              <w:rPr>
                <w:sz w:val="18"/>
                <w:szCs w:val="18"/>
              </w:rPr>
            </w:pPr>
            <w:r w:rsidRPr="00EF4173">
              <w:rPr>
                <w:sz w:val="18"/>
                <w:szCs w:val="18"/>
              </w:rPr>
              <w:noBreakHyphen/>
            </w:r>
          </w:p>
        </w:tc>
      </w:tr>
      <w:tr w:rsidR="003F466C" w:rsidRPr="00EB51A6" w:rsidTr="001B56F1">
        <w:tc>
          <w:tcPr>
            <w:tcW w:w="1960" w:type="pct"/>
            <w:vAlign w:val="bottom"/>
          </w:tcPr>
          <w:p w:rsidR="003F466C" w:rsidRPr="00EF4173" w:rsidRDefault="003F466C" w:rsidP="001B56F1">
            <w:pPr>
              <w:pStyle w:val="TableBodyText"/>
              <w:jc w:val="left"/>
              <w:rPr>
                <w:sz w:val="18"/>
                <w:szCs w:val="18"/>
              </w:rPr>
            </w:pPr>
            <w:r w:rsidRPr="00EF4173">
              <w:rPr>
                <w:sz w:val="18"/>
                <w:szCs w:val="18"/>
              </w:rPr>
              <w:t>Property, professional and administrative services</w:t>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t>1.1</w:t>
            </w:r>
          </w:p>
        </w:tc>
        <w:tc>
          <w:tcPr>
            <w:tcW w:w="507" w:type="pct"/>
            <w:vAlign w:val="bottom"/>
          </w:tcPr>
          <w:p w:rsidR="003F466C" w:rsidRPr="00EF4173" w:rsidRDefault="003F466C" w:rsidP="001B56F1">
            <w:pPr>
              <w:pStyle w:val="TableBodyText"/>
              <w:rPr>
                <w:sz w:val="18"/>
                <w:szCs w:val="18"/>
              </w:rPr>
            </w:pPr>
            <w:r w:rsidRPr="00EF4173">
              <w:rPr>
                <w:sz w:val="18"/>
                <w:szCs w:val="18"/>
              </w:rPr>
              <w:t>4.5</w:t>
            </w:r>
          </w:p>
        </w:tc>
        <w:tc>
          <w:tcPr>
            <w:tcW w:w="507" w:type="pct"/>
            <w:shd w:val="clear" w:color="auto" w:fill="auto"/>
            <w:vAlign w:val="bottom"/>
          </w:tcPr>
          <w:p w:rsidR="003F466C" w:rsidRPr="00EF4173" w:rsidRDefault="003F466C" w:rsidP="001B56F1">
            <w:pPr>
              <w:pStyle w:val="TableBodyText"/>
              <w:rPr>
                <w:sz w:val="18"/>
                <w:szCs w:val="18"/>
              </w:rPr>
            </w:pPr>
            <w:r w:rsidRPr="00EF4173">
              <w:rPr>
                <w:sz w:val="18"/>
                <w:szCs w:val="18"/>
              </w:rPr>
              <w:t>3.1</w:t>
            </w:r>
          </w:p>
        </w:tc>
        <w:tc>
          <w:tcPr>
            <w:tcW w:w="505" w:type="pct"/>
            <w:shd w:val="clear" w:color="auto" w:fill="auto"/>
            <w:vAlign w:val="bottom"/>
          </w:tcPr>
          <w:p w:rsidR="003F466C" w:rsidRPr="00EF4173" w:rsidRDefault="003F466C" w:rsidP="001B56F1">
            <w:pPr>
              <w:pStyle w:val="TableBodyText"/>
              <w:rPr>
                <w:sz w:val="18"/>
                <w:szCs w:val="18"/>
              </w:rPr>
            </w:pPr>
            <w:r w:rsidRPr="00EF4173">
              <w:rPr>
                <w:sz w:val="18"/>
                <w:szCs w:val="18"/>
              </w:rPr>
              <w:t>0.6</w:t>
            </w:r>
          </w:p>
        </w:tc>
      </w:tr>
      <w:tr w:rsidR="003F466C" w:rsidRPr="00EB51A6" w:rsidTr="001B56F1">
        <w:tc>
          <w:tcPr>
            <w:tcW w:w="1960" w:type="pct"/>
            <w:vAlign w:val="bottom"/>
          </w:tcPr>
          <w:p w:rsidR="003F466C" w:rsidRPr="00EF4173" w:rsidRDefault="003F466C" w:rsidP="001B56F1">
            <w:pPr>
              <w:pStyle w:val="TableBodyText"/>
              <w:jc w:val="left"/>
              <w:rPr>
                <w:sz w:val="18"/>
                <w:szCs w:val="18"/>
              </w:rPr>
            </w:pPr>
            <w:r w:rsidRPr="00EF4173">
              <w:rPr>
                <w:sz w:val="18"/>
                <w:szCs w:val="18"/>
              </w:rPr>
              <w:t>Other services</w:t>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t>&lt;0.1</w:t>
            </w:r>
          </w:p>
        </w:tc>
        <w:tc>
          <w:tcPr>
            <w:tcW w:w="507" w:type="pct"/>
            <w:vAlign w:val="bottom"/>
          </w:tcPr>
          <w:p w:rsidR="003F466C" w:rsidRPr="00EF4173" w:rsidRDefault="003F466C" w:rsidP="001B56F1">
            <w:pPr>
              <w:pStyle w:val="TableBodyText"/>
              <w:rPr>
                <w:sz w:val="18"/>
                <w:szCs w:val="18"/>
              </w:rPr>
            </w:pPr>
            <w:r w:rsidRPr="00EF4173">
              <w:rPr>
                <w:sz w:val="18"/>
                <w:szCs w:val="18"/>
              </w:rPr>
              <w:t>&lt;0.1</w:t>
            </w:r>
          </w:p>
        </w:tc>
        <w:tc>
          <w:tcPr>
            <w:tcW w:w="507" w:type="pct"/>
            <w:shd w:val="clear" w:color="auto" w:fill="auto"/>
            <w:vAlign w:val="bottom"/>
          </w:tcPr>
          <w:p w:rsidR="003F466C" w:rsidRPr="00EF4173" w:rsidRDefault="003F466C" w:rsidP="001B56F1">
            <w:pPr>
              <w:pStyle w:val="TableBodyText"/>
              <w:rPr>
                <w:sz w:val="18"/>
                <w:szCs w:val="18"/>
              </w:rPr>
            </w:pPr>
            <w:r w:rsidRPr="00EF4173">
              <w:rPr>
                <w:sz w:val="18"/>
                <w:szCs w:val="18"/>
              </w:rPr>
              <w:noBreakHyphen/>
            </w:r>
          </w:p>
        </w:tc>
        <w:tc>
          <w:tcPr>
            <w:tcW w:w="505" w:type="pct"/>
            <w:shd w:val="clear" w:color="auto" w:fill="auto"/>
            <w:vAlign w:val="bottom"/>
          </w:tcPr>
          <w:p w:rsidR="003F466C" w:rsidRPr="00EF4173" w:rsidRDefault="003F466C" w:rsidP="001B56F1">
            <w:pPr>
              <w:pStyle w:val="TableBodyText"/>
              <w:rPr>
                <w:sz w:val="18"/>
                <w:szCs w:val="18"/>
              </w:rPr>
            </w:pPr>
            <w:r w:rsidRPr="00EF4173">
              <w:rPr>
                <w:sz w:val="18"/>
                <w:szCs w:val="18"/>
              </w:rPr>
              <w:noBreakHyphen/>
            </w:r>
          </w:p>
        </w:tc>
      </w:tr>
      <w:tr w:rsidR="003F466C" w:rsidRPr="00EB51A6" w:rsidTr="001B56F1">
        <w:tc>
          <w:tcPr>
            <w:tcW w:w="1960" w:type="pct"/>
            <w:vAlign w:val="bottom"/>
          </w:tcPr>
          <w:p w:rsidR="003F466C" w:rsidRPr="00EF4173" w:rsidRDefault="003F466C" w:rsidP="001B56F1">
            <w:pPr>
              <w:pStyle w:val="TableBodyText"/>
              <w:jc w:val="left"/>
              <w:rPr>
                <w:sz w:val="18"/>
                <w:szCs w:val="18"/>
              </w:rPr>
            </w:pPr>
            <w:r w:rsidRPr="00EF4173">
              <w:rPr>
                <w:sz w:val="18"/>
                <w:szCs w:val="18"/>
              </w:rPr>
              <w:t>Unallocated other</w:t>
            </w:r>
            <w:r w:rsidRPr="00EF4173">
              <w:rPr>
                <w:rStyle w:val="NoteLabel"/>
                <w:szCs w:val="18"/>
              </w:rPr>
              <w:t>a</w:t>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noBreakHyphen/>
            </w:r>
          </w:p>
        </w:tc>
        <w:tc>
          <w:tcPr>
            <w:tcW w:w="507" w:type="pct"/>
            <w:vAlign w:val="bottom"/>
          </w:tcPr>
          <w:p w:rsidR="003F466C" w:rsidRPr="00EF4173" w:rsidRDefault="003F466C" w:rsidP="001B56F1">
            <w:pPr>
              <w:pStyle w:val="TableBodyText"/>
              <w:rPr>
                <w:sz w:val="18"/>
                <w:szCs w:val="18"/>
              </w:rPr>
            </w:pPr>
            <w:r w:rsidRPr="00EF4173">
              <w:rPr>
                <w:sz w:val="18"/>
                <w:szCs w:val="18"/>
              </w:rPr>
              <w:t>2.0</w:t>
            </w:r>
          </w:p>
        </w:tc>
        <w:tc>
          <w:tcPr>
            <w:tcW w:w="507" w:type="pct"/>
            <w:shd w:val="clear" w:color="auto" w:fill="auto"/>
            <w:vAlign w:val="bottom"/>
          </w:tcPr>
          <w:p w:rsidR="003F466C" w:rsidRPr="00EF4173" w:rsidRDefault="003F466C" w:rsidP="001B56F1">
            <w:pPr>
              <w:pStyle w:val="TableBodyText"/>
              <w:rPr>
                <w:sz w:val="18"/>
                <w:szCs w:val="18"/>
              </w:rPr>
            </w:pPr>
            <w:r w:rsidRPr="00EF4173">
              <w:rPr>
                <w:sz w:val="18"/>
                <w:szCs w:val="18"/>
              </w:rPr>
              <w:noBreakHyphen/>
            </w:r>
          </w:p>
        </w:tc>
        <w:tc>
          <w:tcPr>
            <w:tcW w:w="505" w:type="pct"/>
            <w:shd w:val="clear" w:color="auto" w:fill="auto"/>
            <w:vAlign w:val="bottom"/>
          </w:tcPr>
          <w:p w:rsidR="003F466C" w:rsidRPr="00EF4173" w:rsidRDefault="003F466C" w:rsidP="001B56F1">
            <w:pPr>
              <w:pStyle w:val="TableBodyText"/>
              <w:rPr>
                <w:sz w:val="18"/>
                <w:szCs w:val="18"/>
              </w:rPr>
            </w:pPr>
            <w:r w:rsidRPr="00EF4173">
              <w:rPr>
                <w:sz w:val="18"/>
                <w:szCs w:val="18"/>
              </w:rPr>
              <w:noBreakHyphen/>
            </w:r>
          </w:p>
        </w:tc>
      </w:tr>
      <w:tr w:rsidR="003F466C" w:rsidRPr="00EB51A6" w:rsidTr="001B56F1">
        <w:tc>
          <w:tcPr>
            <w:tcW w:w="1960" w:type="pct"/>
            <w:tcBorders>
              <w:bottom w:val="single" w:sz="4" w:space="0" w:color="auto"/>
            </w:tcBorders>
            <w:vAlign w:val="bottom"/>
          </w:tcPr>
          <w:p w:rsidR="003F466C" w:rsidRPr="00EF4173" w:rsidRDefault="003F466C" w:rsidP="001B56F1">
            <w:pPr>
              <w:pStyle w:val="TableBodyText"/>
              <w:jc w:val="left"/>
              <w:rPr>
                <w:b/>
                <w:bCs/>
                <w:sz w:val="18"/>
                <w:szCs w:val="18"/>
              </w:rPr>
            </w:pPr>
            <w:r w:rsidRPr="00EF4173">
              <w:rPr>
                <w:b/>
                <w:bCs/>
                <w:sz w:val="18"/>
                <w:szCs w:val="18"/>
              </w:rPr>
              <w:t>Total</w:t>
            </w:r>
          </w:p>
        </w:tc>
        <w:tc>
          <w:tcPr>
            <w:tcW w:w="507" w:type="pct"/>
            <w:tcBorders>
              <w:bottom w:val="single" w:sz="4" w:space="0" w:color="auto"/>
            </w:tcBorders>
            <w:vAlign w:val="bottom"/>
          </w:tcPr>
          <w:p w:rsidR="003F466C" w:rsidRPr="00EF4173" w:rsidRDefault="003F466C" w:rsidP="001B56F1">
            <w:pPr>
              <w:pStyle w:val="TableBodyText"/>
              <w:rPr>
                <w:b/>
                <w:bCs/>
                <w:sz w:val="18"/>
                <w:szCs w:val="18"/>
              </w:rPr>
            </w:pPr>
            <w:r w:rsidRPr="00EF4173">
              <w:rPr>
                <w:sz w:val="18"/>
                <w:szCs w:val="18"/>
              </w:rPr>
              <w:noBreakHyphen/>
            </w:r>
          </w:p>
        </w:tc>
        <w:tc>
          <w:tcPr>
            <w:tcW w:w="507" w:type="pct"/>
            <w:tcBorders>
              <w:bottom w:val="single" w:sz="4" w:space="0" w:color="auto"/>
            </w:tcBorders>
            <w:vAlign w:val="bottom"/>
          </w:tcPr>
          <w:p w:rsidR="003F466C" w:rsidRPr="00EF4173" w:rsidRDefault="003F466C" w:rsidP="001B56F1">
            <w:pPr>
              <w:pStyle w:val="TableBodyText"/>
              <w:rPr>
                <w:b/>
                <w:bCs/>
                <w:sz w:val="18"/>
                <w:szCs w:val="18"/>
              </w:rPr>
            </w:pPr>
            <w:r w:rsidRPr="00EF4173">
              <w:rPr>
                <w:sz w:val="18"/>
                <w:szCs w:val="18"/>
              </w:rPr>
              <w:noBreakHyphen/>
            </w:r>
          </w:p>
        </w:tc>
        <w:tc>
          <w:tcPr>
            <w:tcW w:w="507" w:type="pct"/>
            <w:tcBorders>
              <w:bottom w:val="single" w:sz="4" w:space="0" w:color="auto"/>
            </w:tcBorders>
            <w:vAlign w:val="bottom"/>
          </w:tcPr>
          <w:p w:rsidR="003F466C" w:rsidRPr="00EF4173" w:rsidRDefault="003F466C" w:rsidP="001B56F1">
            <w:pPr>
              <w:pStyle w:val="TableBodyText"/>
              <w:rPr>
                <w:b/>
                <w:sz w:val="18"/>
                <w:szCs w:val="18"/>
              </w:rPr>
            </w:pPr>
            <w:r w:rsidRPr="00EF4173">
              <w:rPr>
                <w:b/>
                <w:sz w:val="18"/>
                <w:szCs w:val="18"/>
              </w:rPr>
              <w:t>15.6</w:t>
            </w:r>
          </w:p>
        </w:tc>
        <w:tc>
          <w:tcPr>
            <w:tcW w:w="507" w:type="pct"/>
            <w:tcBorders>
              <w:bottom w:val="single" w:sz="4" w:space="0" w:color="auto"/>
            </w:tcBorders>
            <w:vAlign w:val="bottom"/>
          </w:tcPr>
          <w:p w:rsidR="003F466C" w:rsidRPr="00EF4173" w:rsidRDefault="003F466C" w:rsidP="001B56F1">
            <w:pPr>
              <w:pStyle w:val="TableBodyText"/>
              <w:rPr>
                <w:b/>
                <w:sz w:val="18"/>
                <w:szCs w:val="18"/>
              </w:rPr>
            </w:pPr>
            <w:r w:rsidRPr="00EF4173">
              <w:rPr>
                <w:b/>
                <w:sz w:val="18"/>
                <w:szCs w:val="18"/>
              </w:rPr>
              <w:t>33.3</w:t>
            </w:r>
          </w:p>
        </w:tc>
        <w:tc>
          <w:tcPr>
            <w:tcW w:w="507" w:type="pct"/>
            <w:tcBorders>
              <w:bottom w:val="single" w:sz="4" w:space="0" w:color="auto"/>
            </w:tcBorders>
            <w:shd w:val="clear" w:color="auto" w:fill="auto"/>
            <w:vAlign w:val="bottom"/>
          </w:tcPr>
          <w:p w:rsidR="003F466C" w:rsidRPr="00EF4173" w:rsidRDefault="003F466C" w:rsidP="001B56F1">
            <w:pPr>
              <w:pStyle w:val="TableBodyText"/>
              <w:rPr>
                <w:b/>
                <w:sz w:val="18"/>
                <w:szCs w:val="18"/>
              </w:rPr>
            </w:pPr>
            <w:r w:rsidRPr="00EF4173">
              <w:rPr>
                <w:b/>
                <w:sz w:val="18"/>
                <w:szCs w:val="18"/>
              </w:rPr>
              <w:t>14.3</w:t>
            </w:r>
          </w:p>
        </w:tc>
        <w:tc>
          <w:tcPr>
            <w:tcW w:w="505" w:type="pct"/>
            <w:tcBorders>
              <w:bottom w:val="single" w:sz="4" w:space="0" w:color="auto"/>
            </w:tcBorders>
            <w:shd w:val="clear" w:color="auto" w:fill="auto"/>
            <w:vAlign w:val="bottom"/>
          </w:tcPr>
          <w:p w:rsidR="003F466C" w:rsidRPr="00EF4173" w:rsidRDefault="003F466C" w:rsidP="001B56F1">
            <w:pPr>
              <w:pStyle w:val="TableBodyText"/>
              <w:rPr>
                <w:b/>
                <w:sz w:val="18"/>
                <w:szCs w:val="18"/>
              </w:rPr>
            </w:pPr>
            <w:r w:rsidRPr="00EF4173">
              <w:rPr>
                <w:b/>
                <w:sz w:val="18"/>
                <w:szCs w:val="18"/>
              </w:rPr>
              <w:t>4.7</w:t>
            </w:r>
          </w:p>
        </w:tc>
      </w:tr>
    </w:tbl>
    <w:p w:rsidR="003F466C" w:rsidRDefault="003F466C" w:rsidP="003F466C">
      <w:pPr>
        <w:pStyle w:val="Note"/>
      </w:pPr>
      <w:r w:rsidRPr="00A2379F">
        <w:noBreakHyphen/>
        <w:t xml:space="preserve"> </w:t>
      </w:r>
      <w:r>
        <w:t>Nil</w:t>
      </w:r>
      <w:r w:rsidRPr="00A2379F">
        <w:t>.</w:t>
      </w:r>
      <w:r w:rsidRPr="00B1392F">
        <w:t xml:space="preserve"> </w:t>
      </w:r>
      <w:r w:rsidRPr="009B56F1">
        <w:rPr>
          <w:rStyle w:val="NoteLabel"/>
        </w:rPr>
        <w:t>a</w:t>
      </w:r>
      <w:r w:rsidRPr="009B56F1">
        <w:t xml:space="preserve"> Unallocated includes general programs where detai</w:t>
      </w:r>
      <w:r>
        <w:t>ls of beneficiaries are unknown.</w:t>
      </w:r>
    </w:p>
    <w:p w:rsidR="003F466C" w:rsidRPr="008E77FE" w:rsidRDefault="003F466C" w:rsidP="003F466C">
      <w:pPr>
        <w:pStyle w:val="Source"/>
      </w:pPr>
      <w:r>
        <w:rPr>
          <w:i/>
        </w:rPr>
        <w:t>Source</w:t>
      </w:r>
      <w:r>
        <w:t>: Commission estimates based on detailed DIISR data by ANZSIC industry.</w:t>
      </w:r>
    </w:p>
    <w:p w:rsidR="00F47A49" w:rsidRDefault="00FA09C3" w:rsidP="00F47A49">
      <w:pPr>
        <w:pStyle w:val="Heading2"/>
      </w:pPr>
      <w:r>
        <w:t>A.</w:t>
      </w:r>
      <w:r>
        <w:rPr>
          <w:noProof/>
        </w:rPr>
        <w:t>92</w:t>
      </w:r>
      <w:r w:rsidR="00F47A49">
        <w:tab/>
        <w:t>Australian Pork Limited – Research and Development</w:t>
      </w:r>
    </w:p>
    <w:p w:rsidR="00F47A49" w:rsidRDefault="00F47A49" w:rsidP="00F47A49">
      <w:pPr>
        <w:pStyle w:val="BodyText"/>
      </w:pPr>
      <w:r>
        <w:t xml:space="preserve">Australian Pork Limited (APL) was established in 2000. The APL is a producer-owned company delivering integrated marketing, innovation and policy services to enhance the viability of Australia’s pig producers </w:t>
      </w:r>
      <w:r w:rsidRPr="00EC76CA">
        <w:t>(</w:t>
      </w:r>
      <w:r w:rsidRPr="00813174">
        <w:t>APL 2012</w:t>
      </w:r>
      <w:r w:rsidRPr="00EC76CA">
        <w:t>)</w:t>
      </w:r>
      <w:r>
        <w:t xml:space="preserve">. APL R&amp;D is funded by industry levies and matching </w:t>
      </w:r>
      <w:r w:rsidR="00B616BC">
        <w:t xml:space="preserve">Australian </w:t>
      </w:r>
      <w:r>
        <w:t>Government contributions.</w:t>
      </w:r>
    </w:p>
    <w:p w:rsidR="00F47A49" w:rsidRDefault="00F47A49" w:rsidP="00F47A49">
      <w:pPr>
        <w:pStyle w:val="BodyText"/>
      </w:pPr>
      <w:r>
        <w:t xml:space="preserve">R&amp;D by APL selectively assists activities in the pigmeat industry, which is part of the </w:t>
      </w:r>
      <w:r w:rsidRPr="00373839">
        <w:rPr>
          <w:i/>
        </w:rPr>
        <w:t>Other livestock farming</w:t>
      </w:r>
      <w:r>
        <w:t xml:space="preserve"> industry grouping in the Commission’s ANZSIC-based classification (table A.9</w:t>
      </w:r>
      <w:r w:rsidR="00C065C1">
        <w:t>2</w:t>
      </w:r>
      <w:r>
        <w:t>).</w:t>
      </w:r>
    </w:p>
    <w:p w:rsidR="00F47A49" w:rsidRDefault="00F47A49" w:rsidP="00F47A49">
      <w:pPr>
        <w:pStyle w:val="TableTitle"/>
      </w:pPr>
      <w:r>
        <w:rPr>
          <w:b w:val="0"/>
        </w:rPr>
        <w:t xml:space="preserve">Table </w:t>
      </w:r>
      <w:r w:rsidR="00FA09C3">
        <w:rPr>
          <w:b w:val="0"/>
        </w:rPr>
        <w:t>A.</w:t>
      </w:r>
      <w:r w:rsidR="00FA09C3">
        <w:rPr>
          <w:b w:val="0"/>
          <w:noProof/>
        </w:rPr>
        <w:t>92</w:t>
      </w:r>
      <w:r>
        <w:tab/>
        <w:t>Allocation of Australian Pork Limited – Research and Development</w:t>
      </w:r>
      <w:r w:rsidR="008F5A92" w:rsidRPr="008F5A92">
        <w:t xml:space="preserve"> to industry</w:t>
      </w:r>
      <w:r>
        <w:t>, 2006</w:t>
      </w:r>
      <w:r>
        <w:noBreakHyphen/>
        <w:t>07 to 2011</w:t>
      </w:r>
      <w:r>
        <w:noBreakHyphen/>
        <w:t>12</w:t>
      </w:r>
    </w:p>
    <w:p w:rsidR="00F47A49" w:rsidRDefault="00F47A49" w:rsidP="00F47A49">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F47A49" w:rsidRPr="00AF699A" w:rsidTr="001B56F1">
        <w:tc>
          <w:tcPr>
            <w:tcW w:w="1960" w:type="pct"/>
            <w:tcBorders>
              <w:top w:val="single" w:sz="6" w:space="0" w:color="auto"/>
              <w:bottom w:val="single" w:sz="6" w:space="0" w:color="auto"/>
            </w:tcBorders>
          </w:tcPr>
          <w:p w:rsidR="00F47A49" w:rsidRPr="00AF699A" w:rsidRDefault="00F47A49"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F47A49" w:rsidRPr="00AF699A" w:rsidRDefault="00F47A49"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F47A49" w:rsidRPr="00AF699A" w:rsidRDefault="00F47A49"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F47A49" w:rsidRPr="00AF699A" w:rsidRDefault="00F47A49"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F47A49" w:rsidRPr="00AF699A" w:rsidRDefault="00F47A49"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F47A49" w:rsidRPr="00AF699A" w:rsidRDefault="00F47A49"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F47A49" w:rsidRPr="00AF699A" w:rsidRDefault="00F47A49" w:rsidP="001B56F1">
            <w:pPr>
              <w:pStyle w:val="TableColumnHeading"/>
              <w:ind w:right="28"/>
              <w:rPr>
                <w:rFonts w:cs="Arial"/>
                <w:sz w:val="18"/>
                <w:szCs w:val="18"/>
              </w:rPr>
            </w:pPr>
            <w:r w:rsidRPr="00AF699A">
              <w:rPr>
                <w:rFonts w:cs="Arial"/>
                <w:sz w:val="18"/>
                <w:szCs w:val="18"/>
              </w:rPr>
              <w:t>2011-12</w:t>
            </w:r>
          </w:p>
        </w:tc>
      </w:tr>
      <w:tr w:rsidR="00F47A49" w:rsidRPr="006C5A80" w:rsidTr="001B56F1">
        <w:tc>
          <w:tcPr>
            <w:tcW w:w="1960" w:type="pct"/>
            <w:tcBorders>
              <w:bottom w:val="single" w:sz="4" w:space="0" w:color="auto"/>
            </w:tcBorders>
            <w:vAlign w:val="bottom"/>
          </w:tcPr>
          <w:p w:rsidR="00F47A49" w:rsidRPr="00C944BA" w:rsidRDefault="00F47A49" w:rsidP="001B56F1">
            <w:pPr>
              <w:pStyle w:val="TableBodyText"/>
              <w:jc w:val="left"/>
            </w:pPr>
            <w:r>
              <w:t>Other livestock farming</w:t>
            </w:r>
          </w:p>
        </w:tc>
        <w:tc>
          <w:tcPr>
            <w:tcW w:w="507" w:type="pct"/>
            <w:tcBorders>
              <w:bottom w:val="single" w:sz="4" w:space="0" w:color="auto"/>
            </w:tcBorders>
            <w:vAlign w:val="bottom"/>
          </w:tcPr>
          <w:p w:rsidR="00F47A49" w:rsidRPr="00872092" w:rsidRDefault="00F47A49" w:rsidP="001B56F1">
            <w:pPr>
              <w:pStyle w:val="TableBodyText"/>
            </w:pPr>
            <w:r w:rsidRPr="00872092">
              <w:t>3.4</w:t>
            </w:r>
          </w:p>
        </w:tc>
        <w:tc>
          <w:tcPr>
            <w:tcW w:w="507" w:type="pct"/>
            <w:tcBorders>
              <w:bottom w:val="single" w:sz="4" w:space="0" w:color="auto"/>
            </w:tcBorders>
            <w:vAlign w:val="bottom"/>
          </w:tcPr>
          <w:p w:rsidR="00F47A49" w:rsidRPr="00872092" w:rsidRDefault="00F47A49" w:rsidP="001B56F1">
            <w:pPr>
              <w:pStyle w:val="TableBodyText"/>
            </w:pPr>
            <w:r w:rsidRPr="00872092">
              <w:t>3.7</w:t>
            </w:r>
          </w:p>
        </w:tc>
        <w:tc>
          <w:tcPr>
            <w:tcW w:w="507" w:type="pct"/>
            <w:tcBorders>
              <w:bottom w:val="single" w:sz="4" w:space="0" w:color="auto"/>
            </w:tcBorders>
            <w:vAlign w:val="bottom"/>
          </w:tcPr>
          <w:p w:rsidR="00F47A49" w:rsidRPr="00872092" w:rsidRDefault="00F47A49" w:rsidP="001B56F1">
            <w:pPr>
              <w:pStyle w:val="TableBodyText"/>
            </w:pPr>
            <w:r w:rsidRPr="00872092">
              <w:t>2.8</w:t>
            </w:r>
          </w:p>
        </w:tc>
        <w:tc>
          <w:tcPr>
            <w:tcW w:w="507" w:type="pct"/>
            <w:tcBorders>
              <w:bottom w:val="single" w:sz="4" w:space="0" w:color="auto"/>
            </w:tcBorders>
            <w:vAlign w:val="bottom"/>
          </w:tcPr>
          <w:p w:rsidR="00F47A49" w:rsidRPr="00872092" w:rsidRDefault="00F47A49" w:rsidP="001B56F1">
            <w:pPr>
              <w:pStyle w:val="TableBodyText"/>
            </w:pPr>
            <w:r w:rsidRPr="00872092">
              <w:t>4.0</w:t>
            </w:r>
          </w:p>
        </w:tc>
        <w:tc>
          <w:tcPr>
            <w:tcW w:w="507" w:type="pct"/>
            <w:tcBorders>
              <w:bottom w:val="single" w:sz="4" w:space="0" w:color="auto"/>
            </w:tcBorders>
            <w:shd w:val="clear" w:color="auto" w:fill="auto"/>
            <w:vAlign w:val="bottom"/>
          </w:tcPr>
          <w:p w:rsidR="00F47A49" w:rsidRPr="00872092" w:rsidRDefault="00F47A49" w:rsidP="001B56F1">
            <w:pPr>
              <w:pStyle w:val="TableBodyText"/>
            </w:pPr>
            <w:r w:rsidRPr="00872092">
              <w:t>4.3</w:t>
            </w:r>
          </w:p>
        </w:tc>
        <w:tc>
          <w:tcPr>
            <w:tcW w:w="505" w:type="pct"/>
            <w:tcBorders>
              <w:bottom w:val="single" w:sz="4" w:space="0" w:color="auto"/>
            </w:tcBorders>
            <w:shd w:val="clear" w:color="auto" w:fill="auto"/>
            <w:vAlign w:val="bottom"/>
          </w:tcPr>
          <w:p w:rsidR="00F47A49" w:rsidRPr="00872092" w:rsidRDefault="00F47A49" w:rsidP="001B56F1">
            <w:pPr>
              <w:pStyle w:val="TableBodyText"/>
            </w:pPr>
            <w:r w:rsidRPr="00872092">
              <w:t>4.6</w:t>
            </w:r>
          </w:p>
        </w:tc>
      </w:tr>
    </w:tbl>
    <w:p w:rsidR="00F47A49" w:rsidRDefault="00F47A49" w:rsidP="00F47A49">
      <w:pPr>
        <w:pStyle w:val="Source"/>
      </w:pPr>
      <w:r>
        <w:rPr>
          <w:i/>
        </w:rPr>
        <w:t>Source</w:t>
      </w:r>
      <w:r>
        <w:t>: Commission estimates based on Australian Pork Limited Annual Report 2011</w:t>
      </w:r>
      <w:r>
        <w:noBreakHyphen/>
        <w:t>12 (and earlier years).</w:t>
      </w:r>
    </w:p>
    <w:p w:rsidR="009E0C56" w:rsidRDefault="00FA09C3" w:rsidP="009E0C56">
      <w:pPr>
        <w:pStyle w:val="Heading2"/>
      </w:pPr>
      <w:r>
        <w:t>A.</w:t>
      </w:r>
      <w:r>
        <w:rPr>
          <w:noProof/>
        </w:rPr>
        <w:t>93</w:t>
      </w:r>
      <w:r w:rsidR="009E0C56">
        <w:tab/>
        <w:t>Export Finance Insurance Corporation (</w:t>
      </w:r>
      <w:r w:rsidR="00B616BC">
        <w:t>National Interest Account</w:t>
      </w:r>
      <w:r w:rsidR="009E0C56">
        <w:t>)</w:t>
      </w:r>
    </w:p>
    <w:p w:rsidR="009E0C56" w:rsidRDefault="009E0C56" w:rsidP="009E0C56">
      <w:pPr>
        <w:pStyle w:val="BodyText"/>
      </w:pPr>
      <w:r>
        <w:t>The Export Finance and Insurance Corporation (EFIC) is an Australian Government statutory authority which provides a range of credit and finance services to exporters. These services are provided through:</w:t>
      </w:r>
    </w:p>
    <w:p w:rsidR="009E0C56" w:rsidRDefault="009E0C56" w:rsidP="009E0C56">
      <w:pPr>
        <w:pStyle w:val="ListBullet"/>
      </w:pPr>
      <w:r>
        <w:t>a Commercial Account, in which the Government guarantees all EFIC businesses (although to date EFIC has been self-funded</w:t>
      </w:r>
      <w:r w:rsidR="00B616BC">
        <w:t>,</w:t>
      </w:r>
      <w:r>
        <w:t xml:space="preserve"> building up its own reserves, and has not called on this guarantee); and</w:t>
      </w:r>
    </w:p>
    <w:p w:rsidR="009E0C56" w:rsidRDefault="009E0C56" w:rsidP="009E0C56">
      <w:pPr>
        <w:pStyle w:val="ListBullet"/>
      </w:pPr>
      <w:r>
        <w:t>a National Interest Account, in which EFIC is directed to undertake transactions which the Government considers to be in the ‘national interest’ (in these cases, the Government directly bears the costs if export payments are in default).</w:t>
      </w:r>
    </w:p>
    <w:p w:rsidR="009E0C56" w:rsidRDefault="009E0C56" w:rsidP="009E0C56">
      <w:pPr>
        <w:pStyle w:val="BodyText"/>
      </w:pPr>
      <w:r>
        <w:t xml:space="preserve">As EFIC receives no funding from the government to support its </w:t>
      </w:r>
      <w:r w:rsidR="00B616BC">
        <w:t xml:space="preserve">Commercial Account </w:t>
      </w:r>
      <w:r>
        <w:t>activities, these have not been considered in calculating assistance.</w:t>
      </w:r>
    </w:p>
    <w:p w:rsidR="009E0C56" w:rsidRDefault="00EE6BBF" w:rsidP="009E0C56">
      <w:pPr>
        <w:pStyle w:val="BodyText"/>
      </w:pPr>
      <w:r>
        <w:t>T</w:t>
      </w:r>
      <w:r w:rsidR="009E0C56">
        <w:t xml:space="preserve">he National Interest Account has been used on an ad hoc basis, predominantly by commodity exporters (in the </w:t>
      </w:r>
      <w:r w:rsidR="009E0C56" w:rsidRPr="0036557D">
        <w:rPr>
          <w:i/>
        </w:rPr>
        <w:t>Sheep, beef cattle and grain farming</w:t>
      </w:r>
      <w:r w:rsidR="009E0C56">
        <w:t xml:space="preserve"> industry grouping). The National Interest Account has also been used to accommodate debts accrued under a discontinued AusAid scheme — the Development Import Finance Facility</w:t>
      </w:r>
      <w:r>
        <w:t xml:space="preserve"> (DIFF)</w:t>
      </w:r>
      <w:r w:rsidR="009E0C56">
        <w:t>. From these activities, EFIC has built up a stock of debt and the government provides funding to EFIC for administering these debts.</w:t>
      </w:r>
    </w:p>
    <w:p w:rsidR="009E0C56" w:rsidRDefault="009E0C56" w:rsidP="009E0C56">
      <w:pPr>
        <w:pStyle w:val="BodyText"/>
      </w:pPr>
      <w:r>
        <w:t>To allocate funding to the industries that initially benefited from insurance payouts, or other payments in the case of the DIFF debts, the Commission has used information from EFIC’s annual reports (table A.9</w:t>
      </w:r>
      <w:r w:rsidR="00C065C1">
        <w:t>3</w:t>
      </w:r>
      <w:r>
        <w:t>).</w:t>
      </w:r>
    </w:p>
    <w:p w:rsidR="009E0C56" w:rsidRDefault="009E0C56" w:rsidP="009E0C56">
      <w:pPr>
        <w:pStyle w:val="TableTitle"/>
      </w:pPr>
      <w:r>
        <w:rPr>
          <w:b w:val="0"/>
        </w:rPr>
        <w:t xml:space="preserve">Table </w:t>
      </w:r>
      <w:r w:rsidR="00FA09C3">
        <w:rPr>
          <w:b w:val="0"/>
        </w:rPr>
        <w:t>A.</w:t>
      </w:r>
      <w:r w:rsidR="00FA09C3">
        <w:rPr>
          <w:b w:val="0"/>
          <w:noProof/>
        </w:rPr>
        <w:t>93</w:t>
      </w:r>
      <w:r>
        <w:tab/>
        <w:t xml:space="preserve">Allocation of Export Finance and Insurance Corporation </w:t>
      </w:r>
      <w:r w:rsidR="008F5A92">
        <w:t>(</w:t>
      </w:r>
      <w:r w:rsidR="00EE6BBF">
        <w:t>National Interest Account</w:t>
      </w:r>
      <w:r w:rsidR="008F5A92">
        <w:t>)</w:t>
      </w:r>
      <w:r>
        <w:t xml:space="preserve"> </w:t>
      </w:r>
      <w:r w:rsidR="008F5A92" w:rsidRPr="008F5A92">
        <w:t>to industry</w:t>
      </w:r>
      <w:r>
        <w:t>, 2006</w:t>
      </w:r>
      <w:r>
        <w:noBreakHyphen/>
        <w:t>07 to 2011</w:t>
      </w:r>
      <w:r>
        <w:noBreakHyphen/>
        <w:t>12</w:t>
      </w:r>
    </w:p>
    <w:p w:rsidR="009E0C56" w:rsidRDefault="009E0C56" w:rsidP="009E0C56">
      <w:pPr>
        <w:pStyle w:val="Subtitle"/>
      </w:pPr>
      <w:r>
        <w:t>$ million (nominal)</w:t>
      </w:r>
    </w:p>
    <w:tbl>
      <w:tblPr>
        <w:tblW w:w="5000" w:type="pct"/>
        <w:tblCellMar>
          <w:left w:w="0" w:type="dxa"/>
          <w:right w:w="0" w:type="dxa"/>
        </w:tblCellMar>
        <w:tblLook w:val="0000" w:firstRow="0" w:lastRow="0" w:firstColumn="0" w:lastColumn="0" w:noHBand="0" w:noVBand="0"/>
      </w:tblPr>
      <w:tblGrid>
        <w:gridCol w:w="3421"/>
        <w:gridCol w:w="1030"/>
        <w:gridCol w:w="870"/>
        <w:gridCol w:w="870"/>
        <w:gridCol w:w="870"/>
        <w:gridCol w:w="870"/>
        <w:gridCol w:w="858"/>
      </w:tblGrid>
      <w:tr w:rsidR="009E0C56" w:rsidRPr="003758FD" w:rsidTr="001B56F1">
        <w:trPr>
          <w:trHeight w:val="227"/>
        </w:trPr>
        <w:tc>
          <w:tcPr>
            <w:tcW w:w="1946" w:type="pct"/>
            <w:tcBorders>
              <w:top w:val="single" w:sz="6" w:space="0" w:color="auto"/>
              <w:bottom w:val="single" w:sz="6" w:space="0" w:color="auto"/>
            </w:tcBorders>
          </w:tcPr>
          <w:p w:rsidR="009E0C56" w:rsidRPr="003758FD" w:rsidRDefault="009E0C56" w:rsidP="001B56F1">
            <w:pPr>
              <w:pStyle w:val="TableColumnHeading"/>
              <w:jc w:val="left"/>
              <w:rPr>
                <w:sz w:val="18"/>
                <w:szCs w:val="18"/>
              </w:rPr>
            </w:pPr>
            <w:r w:rsidRPr="003758FD">
              <w:rPr>
                <w:sz w:val="18"/>
                <w:szCs w:val="18"/>
              </w:rPr>
              <w:t>Industry grouping</w:t>
            </w:r>
          </w:p>
        </w:tc>
        <w:tc>
          <w:tcPr>
            <w:tcW w:w="586" w:type="pct"/>
            <w:tcBorders>
              <w:top w:val="single" w:sz="6" w:space="0" w:color="auto"/>
              <w:bottom w:val="single" w:sz="6" w:space="0" w:color="auto"/>
            </w:tcBorders>
          </w:tcPr>
          <w:p w:rsidR="009E0C56" w:rsidRPr="003758FD" w:rsidRDefault="009E0C56" w:rsidP="001B56F1">
            <w:pPr>
              <w:pStyle w:val="TableColumnHeading"/>
              <w:ind w:right="28"/>
              <w:rPr>
                <w:sz w:val="18"/>
                <w:szCs w:val="18"/>
              </w:rPr>
            </w:pPr>
            <w:r w:rsidRPr="003758FD">
              <w:rPr>
                <w:sz w:val="18"/>
                <w:szCs w:val="18"/>
              </w:rPr>
              <w:t>2006-07</w:t>
            </w:r>
          </w:p>
        </w:tc>
        <w:tc>
          <w:tcPr>
            <w:tcW w:w="495" w:type="pct"/>
            <w:tcBorders>
              <w:top w:val="single" w:sz="6" w:space="0" w:color="auto"/>
              <w:bottom w:val="single" w:sz="6" w:space="0" w:color="auto"/>
            </w:tcBorders>
          </w:tcPr>
          <w:p w:rsidR="009E0C56" w:rsidRPr="003758FD" w:rsidRDefault="009E0C56" w:rsidP="001B56F1">
            <w:pPr>
              <w:pStyle w:val="TableColumnHeading"/>
              <w:ind w:right="28"/>
              <w:rPr>
                <w:sz w:val="18"/>
                <w:szCs w:val="18"/>
              </w:rPr>
            </w:pPr>
            <w:r w:rsidRPr="003758FD">
              <w:rPr>
                <w:sz w:val="18"/>
                <w:szCs w:val="18"/>
              </w:rPr>
              <w:t>2007-08</w:t>
            </w:r>
          </w:p>
        </w:tc>
        <w:tc>
          <w:tcPr>
            <w:tcW w:w="495" w:type="pct"/>
            <w:tcBorders>
              <w:top w:val="single" w:sz="6" w:space="0" w:color="auto"/>
              <w:bottom w:val="single" w:sz="6" w:space="0" w:color="auto"/>
            </w:tcBorders>
          </w:tcPr>
          <w:p w:rsidR="009E0C56" w:rsidRPr="003758FD" w:rsidRDefault="009E0C56" w:rsidP="001B56F1">
            <w:pPr>
              <w:pStyle w:val="TableColumnHeading"/>
              <w:ind w:right="28"/>
              <w:rPr>
                <w:sz w:val="18"/>
                <w:szCs w:val="18"/>
              </w:rPr>
            </w:pPr>
            <w:r w:rsidRPr="003758FD">
              <w:rPr>
                <w:sz w:val="18"/>
                <w:szCs w:val="18"/>
              </w:rPr>
              <w:t>2008-09</w:t>
            </w:r>
          </w:p>
        </w:tc>
        <w:tc>
          <w:tcPr>
            <w:tcW w:w="495" w:type="pct"/>
            <w:tcBorders>
              <w:top w:val="single" w:sz="6" w:space="0" w:color="auto"/>
              <w:bottom w:val="single" w:sz="6" w:space="0" w:color="auto"/>
            </w:tcBorders>
            <w:shd w:val="clear" w:color="auto" w:fill="auto"/>
          </w:tcPr>
          <w:p w:rsidR="009E0C56" w:rsidRPr="003758FD" w:rsidRDefault="009E0C56" w:rsidP="001B56F1">
            <w:pPr>
              <w:pStyle w:val="TableColumnHeading"/>
              <w:ind w:right="28"/>
              <w:rPr>
                <w:sz w:val="18"/>
                <w:szCs w:val="18"/>
              </w:rPr>
            </w:pPr>
            <w:r w:rsidRPr="003758FD">
              <w:rPr>
                <w:sz w:val="18"/>
                <w:szCs w:val="18"/>
              </w:rPr>
              <w:t>2009-10</w:t>
            </w:r>
          </w:p>
        </w:tc>
        <w:tc>
          <w:tcPr>
            <w:tcW w:w="495" w:type="pct"/>
            <w:tcBorders>
              <w:top w:val="single" w:sz="6" w:space="0" w:color="auto"/>
              <w:bottom w:val="single" w:sz="6" w:space="0" w:color="auto"/>
            </w:tcBorders>
            <w:shd w:val="clear" w:color="auto" w:fill="auto"/>
          </w:tcPr>
          <w:p w:rsidR="009E0C56" w:rsidRPr="003758FD" w:rsidRDefault="009E0C56" w:rsidP="001B56F1">
            <w:pPr>
              <w:pStyle w:val="TableColumnHeading"/>
              <w:ind w:right="28"/>
              <w:rPr>
                <w:sz w:val="18"/>
                <w:szCs w:val="18"/>
              </w:rPr>
            </w:pPr>
            <w:r w:rsidRPr="003758FD">
              <w:rPr>
                <w:sz w:val="18"/>
                <w:szCs w:val="18"/>
              </w:rPr>
              <w:t>2010-11</w:t>
            </w:r>
          </w:p>
        </w:tc>
        <w:tc>
          <w:tcPr>
            <w:tcW w:w="488" w:type="pct"/>
            <w:tcBorders>
              <w:top w:val="single" w:sz="6" w:space="0" w:color="auto"/>
              <w:bottom w:val="single" w:sz="6" w:space="0" w:color="auto"/>
            </w:tcBorders>
            <w:shd w:val="clear" w:color="auto" w:fill="auto"/>
          </w:tcPr>
          <w:p w:rsidR="009E0C56" w:rsidRPr="003758FD" w:rsidRDefault="009E0C56" w:rsidP="001B56F1">
            <w:pPr>
              <w:pStyle w:val="TableColumnHeading"/>
              <w:ind w:right="28"/>
              <w:rPr>
                <w:sz w:val="18"/>
                <w:szCs w:val="18"/>
              </w:rPr>
            </w:pPr>
            <w:r w:rsidRPr="003758FD">
              <w:rPr>
                <w:sz w:val="18"/>
                <w:szCs w:val="18"/>
              </w:rPr>
              <w:t>2011-12</w:t>
            </w:r>
          </w:p>
        </w:tc>
      </w:tr>
      <w:tr w:rsidR="009E0C56" w:rsidTr="001B56F1">
        <w:trPr>
          <w:trHeight w:val="227"/>
        </w:trPr>
        <w:tc>
          <w:tcPr>
            <w:tcW w:w="1946" w:type="pct"/>
            <w:tcBorders>
              <w:top w:val="single" w:sz="6" w:space="0" w:color="auto"/>
            </w:tcBorders>
            <w:vAlign w:val="bottom"/>
          </w:tcPr>
          <w:p w:rsidR="009E0C56" w:rsidRPr="00CE7175" w:rsidRDefault="009E0C56" w:rsidP="001B56F1">
            <w:pPr>
              <w:pStyle w:val="TableBodyText"/>
              <w:jc w:val="left"/>
              <w:rPr>
                <w:b/>
              </w:rPr>
            </w:pPr>
            <w:r w:rsidRPr="00CE7175">
              <w:t>Sheep, beef cattle and grain farming</w:t>
            </w:r>
          </w:p>
        </w:tc>
        <w:tc>
          <w:tcPr>
            <w:tcW w:w="586" w:type="pct"/>
            <w:tcBorders>
              <w:top w:val="single" w:sz="6" w:space="0" w:color="auto"/>
            </w:tcBorders>
            <w:vAlign w:val="bottom"/>
          </w:tcPr>
          <w:p w:rsidR="009E0C56" w:rsidRPr="00CE7175" w:rsidRDefault="009E0C56" w:rsidP="001B56F1">
            <w:pPr>
              <w:pStyle w:val="TableBodyText"/>
            </w:pPr>
            <w:r w:rsidRPr="00CE7175">
              <w:t>4.0</w:t>
            </w:r>
          </w:p>
        </w:tc>
        <w:tc>
          <w:tcPr>
            <w:tcW w:w="495" w:type="pct"/>
            <w:tcBorders>
              <w:top w:val="single" w:sz="6" w:space="0" w:color="auto"/>
            </w:tcBorders>
            <w:vAlign w:val="bottom"/>
          </w:tcPr>
          <w:p w:rsidR="009E0C56" w:rsidRPr="00CE7175" w:rsidRDefault="009E0C56" w:rsidP="001B56F1">
            <w:pPr>
              <w:pStyle w:val="TableBodyText"/>
            </w:pPr>
            <w:r w:rsidRPr="00CE7175">
              <w:t>1.0</w:t>
            </w:r>
          </w:p>
        </w:tc>
        <w:tc>
          <w:tcPr>
            <w:tcW w:w="495" w:type="pct"/>
            <w:tcBorders>
              <w:top w:val="single" w:sz="6" w:space="0" w:color="auto"/>
            </w:tcBorders>
            <w:vAlign w:val="bottom"/>
          </w:tcPr>
          <w:p w:rsidR="009E0C56" w:rsidRPr="00CE7175" w:rsidRDefault="009E0C56" w:rsidP="001B56F1">
            <w:pPr>
              <w:pStyle w:val="TableBodyText"/>
            </w:pPr>
            <w:r w:rsidRPr="00CE7175">
              <w:t>0.9</w:t>
            </w:r>
          </w:p>
        </w:tc>
        <w:tc>
          <w:tcPr>
            <w:tcW w:w="495" w:type="pct"/>
            <w:tcBorders>
              <w:top w:val="single" w:sz="6" w:space="0" w:color="auto"/>
            </w:tcBorders>
            <w:vAlign w:val="bottom"/>
          </w:tcPr>
          <w:p w:rsidR="009E0C56" w:rsidRPr="00CE7175" w:rsidRDefault="009E0C56" w:rsidP="001B56F1">
            <w:pPr>
              <w:pStyle w:val="TableBodyText"/>
            </w:pPr>
            <w:r w:rsidRPr="00CE7175">
              <w:t>0.4</w:t>
            </w:r>
          </w:p>
        </w:tc>
        <w:tc>
          <w:tcPr>
            <w:tcW w:w="495" w:type="pct"/>
            <w:tcBorders>
              <w:top w:val="single" w:sz="6" w:space="0" w:color="auto"/>
            </w:tcBorders>
            <w:vAlign w:val="bottom"/>
          </w:tcPr>
          <w:p w:rsidR="009E0C56" w:rsidRPr="00CE7175" w:rsidRDefault="009E0C56" w:rsidP="001B56F1">
            <w:pPr>
              <w:pStyle w:val="TableBodyText"/>
            </w:pPr>
            <w:r w:rsidRPr="00CE7175">
              <w:t>0.8</w:t>
            </w:r>
          </w:p>
        </w:tc>
        <w:tc>
          <w:tcPr>
            <w:tcW w:w="488" w:type="pct"/>
            <w:tcBorders>
              <w:top w:val="single" w:sz="6" w:space="0" w:color="auto"/>
            </w:tcBorders>
            <w:vAlign w:val="bottom"/>
          </w:tcPr>
          <w:p w:rsidR="009E0C56" w:rsidRPr="00CE7175" w:rsidRDefault="009E0C56" w:rsidP="001B56F1">
            <w:pPr>
              <w:pStyle w:val="TableBodyText"/>
            </w:pPr>
            <w:r w:rsidRPr="00CE7175">
              <w:t>0.5</w:t>
            </w:r>
          </w:p>
        </w:tc>
      </w:tr>
      <w:tr w:rsidR="009E0C56" w:rsidTr="001B56F1">
        <w:trPr>
          <w:trHeight w:val="227"/>
        </w:trPr>
        <w:tc>
          <w:tcPr>
            <w:tcW w:w="1946" w:type="pct"/>
            <w:vAlign w:val="bottom"/>
          </w:tcPr>
          <w:p w:rsidR="009E0C56" w:rsidRPr="00CE7175" w:rsidRDefault="009E0C56" w:rsidP="001B56F1">
            <w:pPr>
              <w:pStyle w:val="TableBodyText"/>
              <w:jc w:val="left"/>
            </w:pPr>
            <w:r w:rsidRPr="00CE7175">
              <w:t>Unallocated other</w:t>
            </w:r>
            <w:r w:rsidRPr="00CE7175">
              <w:rPr>
                <w:rStyle w:val="NoteLabel"/>
                <w:sz w:val="20"/>
              </w:rPr>
              <w:t>a</w:t>
            </w:r>
          </w:p>
        </w:tc>
        <w:tc>
          <w:tcPr>
            <w:tcW w:w="586" w:type="pct"/>
            <w:vAlign w:val="bottom"/>
          </w:tcPr>
          <w:p w:rsidR="009E0C56" w:rsidRPr="00CE7175" w:rsidRDefault="009E0C56" w:rsidP="001B56F1">
            <w:pPr>
              <w:pStyle w:val="TableBodyText"/>
            </w:pPr>
            <w:r w:rsidRPr="00CE7175">
              <w:t>10.9</w:t>
            </w:r>
          </w:p>
        </w:tc>
        <w:tc>
          <w:tcPr>
            <w:tcW w:w="495" w:type="pct"/>
            <w:vAlign w:val="bottom"/>
          </w:tcPr>
          <w:p w:rsidR="009E0C56" w:rsidRPr="00CE7175" w:rsidRDefault="009E0C56" w:rsidP="001B56F1">
            <w:pPr>
              <w:pStyle w:val="TableBodyText"/>
            </w:pPr>
            <w:r w:rsidRPr="00CE7175">
              <w:t>8.2</w:t>
            </w:r>
          </w:p>
        </w:tc>
        <w:tc>
          <w:tcPr>
            <w:tcW w:w="495" w:type="pct"/>
            <w:vAlign w:val="bottom"/>
          </w:tcPr>
          <w:p w:rsidR="009E0C56" w:rsidRPr="00CE7175" w:rsidRDefault="009E0C56" w:rsidP="001B56F1">
            <w:pPr>
              <w:pStyle w:val="TableBodyText"/>
            </w:pPr>
            <w:r w:rsidRPr="00CE7175">
              <w:t>7.4</w:t>
            </w:r>
          </w:p>
        </w:tc>
        <w:tc>
          <w:tcPr>
            <w:tcW w:w="495" w:type="pct"/>
            <w:shd w:val="clear" w:color="auto" w:fill="auto"/>
            <w:vAlign w:val="bottom"/>
          </w:tcPr>
          <w:p w:rsidR="009E0C56" w:rsidRPr="00CE7175" w:rsidRDefault="009E0C56" w:rsidP="001B56F1">
            <w:pPr>
              <w:pStyle w:val="TableBodyText"/>
            </w:pPr>
            <w:r w:rsidRPr="00CE7175">
              <w:t>3.1</w:t>
            </w:r>
          </w:p>
        </w:tc>
        <w:tc>
          <w:tcPr>
            <w:tcW w:w="495" w:type="pct"/>
            <w:shd w:val="clear" w:color="auto" w:fill="auto"/>
            <w:vAlign w:val="bottom"/>
          </w:tcPr>
          <w:p w:rsidR="009E0C56" w:rsidRPr="00CE7175" w:rsidRDefault="009E0C56" w:rsidP="001B56F1">
            <w:pPr>
              <w:pStyle w:val="TableBodyText"/>
            </w:pPr>
            <w:r w:rsidRPr="00CE7175">
              <w:t>4.4</w:t>
            </w:r>
          </w:p>
        </w:tc>
        <w:tc>
          <w:tcPr>
            <w:tcW w:w="488" w:type="pct"/>
            <w:shd w:val="clear" w:color="auto" w:fill="auto"/>
            <w:vAlign w:val="bottom"/>
          </w:tcPr>
          <w:p w:rsidR="009E0C56" w:rsidRPr="00CE7175" w:rsidRDefault="009E0C56" w:rsidP="001B56F1">
            <w:pPr>
              <w:pStyle w:val="TableBodyText"/>
            </w:pPr>
            <w:r w:rsidRPr="00CE7175">
              <w:t>3.7</w:t>
            </w:r>
          </w:p>
        </w:tc>
      </w:tr>
      <w:tr w:rsidR="009E0C56" w:rsidTr="001B56F1">
        <w:trPr>
          <w:trHeight w:val="227"/>
        </w:trPr>
        <w:tc>
          <w:tcPr>
            <w:tcW w:w="1946" w:type="pct"/>
            <w:tcBorders>
              <w:bottom w:val="single" w:sz="4" w:space="0" w:color="auto"/>
            </w:tcBorders>
            <w:vAlign w:val="bottom"/>
          </w:tcPr>
          <w:p w:rsidR="009E0C56" w:rsidRPr="00CE7175" w:rsidRDefault="009E0C56" w:rsidP="001B56F1">
            <w:pPr>
              <w:pStyle w:val="TableBodyText"/>
              <w:jc w:val="left"/>
              <w:rPr>
                <w:b/>
                <w:bCs/>
              </w:rPr>
            </w:pPr>
            <w:r w:rsidRPr="00CE7175">
              <w:rPr>
                <w:b/>
                <w:bCs/>
              </w:rPr>
              <w:t>Total</w:t>
            </w:r>
          </w:p>
        </w:tc>
        <w:tc>
          <w:tcPr>
            <w:tcW w:w="586" w:type="pct"/>
            <w:tcBorders>
              <w:bottom w:val="single" w:sz="4" w:space="0" w:color="auto"/>
            </w:tcBorders>
            <w:vAlign w:val="bottom"/>
          </w:tcPr>
          <w:p w:rsidR="009E0C56" w:rsidRPr="00CE7175" w:rsidRDefault="009E0C56" w:rsidP="001B56F1">
            <w:pPr>
              <w:pStyle w:val="TableBodyText"/>
              <w:rPr>
                <w:b/>
              </w:rPr>
            </w:pPr>
            <w:r w:rsidRPr="00CE7175">
              <w:rPr>
                <w:b/>
              </w:rPr>
              <w:t>14.9</w:t>
            </w:r>
          </w:p>
        </w:tc>
        <w:tc>
          <w:tcPr>
            <w:tcW w:w="495" w:type="pct"/>
            <w:tcBorders>
              <w:bottom w:val="single" w:sz="4" w:space="0" w:color="auto"/>
            </w:tcBorders>
            <w:vAlign w:val="bottom"/>
          </w:tcPr>
          <w:p w:rsidR="009E0C56" w:rsidRPr="00CE7175" w:rsidRDefault="009E0C56" w:rsidP="001B56F1">
            <w:pPr>
              <w:pStyle w:val="TableBodyText"/>
              <w:rPr>
                <w:b/>
              </w:rPr>
            </w:pPr>
            <w:r w:rsidRPr="00CE7175">
              <w:rPr>
                <w:b/>
              </w:rPr>
              <w:t>9.2</w:t>
            </w:r>
          </w:p>
        </w:tc>
        <w:tc>
          <w:tcPr>
            <w:tcW w:w="495" w:type="pct"/>
            <w:tcBorders>
              <w:bottom w:val="single" w:sz="4" w:space="0" w:color="auto"/>
            </w:tcBorders>
            <w:vAlign w:val="bottom"/>
          </w:tcPr>
          <w:p w:rsidR="009E0C56" w:rsidRPr="00CE7175" w:rsidRDefault="009E0C56" w:rsidP="001B56F1">
            <w:pPr>
              <w:pStyle w:val="TableBodyText"/>
              <w:rPr>
                <w:b/>
              </w:rPr>
            </w:pPr>
            <w:r w:rsidRPr="00CE7175">
              <w:rPr>
                <w:b/>
              </w:rPr>
              <w:t>8.3</w:t>
            </w:r>
          </w:p>
        </w:tc>
        <w:tc>
          <w:tcPr>
            <w:tcW w:w="495" w:type="pct"/>
            <w:tcBorders>
              <w:bottom w:val="single" w:sz="4" w:space="0" w:color="auto"/>
            </w:tcBorders>
            <w:shd w:val="clear" w:color="auto" w:fill="auto"/>
            <w:vAlign w:val="bottom"/>
          </w:tcPr>
          <w:p w:rsidR="009E0C56" w:rsidRPr="00CE7175" w:rsidRDefault="009E0C56" w:rsidP="001B56F1">
            <w:pPr>
              <w:pStyle w:val="TableBodyText"/>
              <w:rPr>
                <w:b/>
              </w:rPr>
            </w:pPr>
            <w:r w:rsidRPr="00CE7175">
              <w:rPr>
                <w:b/>
              </w:rPr>
              <w:t>3.5</w:t>
            </w:r>
          </w:p>
        </w:tc>
        <w:tc>
          <w:tcPr>
            <w:tcW w:w="495" w:type="pct"/>
            <w:tcBorders>
              <w:bottom w:val="single" w:sz="4" w:space="0" w:color="auto"/>
            </w:tcBorders>
            <w:shd w:val="clear" w:color="auto" w:fill="auto"/>
            <w:vAlign w:val="bottom"/>
          </w:tcPr>
          <w:p w:rsidR="009E0C56" w:rsidRPr="00CE7175" w:rsidRDefault="009E0C56" w:rsidP="001B56F1">
            <w:pPr>
              <w:pStyle w:val="TableBodyText"/>
              <w:rPr>
                <w:b/>
              </w:rPr>
            </w:pPr>
            <w:r w:rsidRPr="00CE7175">
              <w:rPr>
                <w:b/>
              </w:rPr>
              <w:t>5.2</w:t>
            </w:r>
          </w:p>
        </w:tc>
        <w:tc>
          <w:tcPr>
            <w:tcW w:w="488" w:type="pct"/>
            <w:tcBorders>
              <w:bottom w:val="single" w:sz="4" w:space="0" w:color="auto"/>
            </w:tcBorders>
            <w:shd w:val="clear" w:color="auto" w:fill="auto"/>
            <w:vAlign w:val="bottom"/>
          </w:tcPr>
          <w:p w:rsidR="009E0C56" w:rsidRPr="00CE7175" w:rsidRDefault="009E0C56" w:rsidP="001B56F1">
            <w:pPr>
              <w:pStyle w:val="TableBodyText"/>
              <w:rPr>
                <w:b/>
              </w:rPr>
            </w:pPr>
            <w:r w:rsidRPr="00CE7175">
              <w:rPr>
                <w:b/>
              </w:rPr>
              <w:t>4.3</w:t>
            </w:r>
          </w:p>
        </w:tc>
      </w:tr>
    </w:tbl>
    <w:p w:rsidR="009E0C56" w:rsidRDefault="009E0C56" w:rsidP="009E0C56">
      <w:pPr>
        <w:pStyle w:val="Source"/>
        <w:spacing w:after="0"/>
        <w:rPr>
          <w:i/>
        </w:rPr>
      </w:pPr>
      <w:r w:rsidRPr="009B56F1">
        <w:rPr>
          <w:rStyle w:val="NoteLabel"/>
        </w:rPr>
        <w:t>a</w:t>
      </w:r>
      <w:r w:rsidRPr="009B56F1">
        <w:t xml:space="preserve"> Unallocated includes general programs where detai</w:t>
      </w:r>
      <w:r>
        <w:t>ls of beneficiaries are unknown.</w:t>
      </w:r>
    </w:p>
    <w:p w:rsidR="009E0C56" w:rsidRPr="008E77FE" w:rsidRDefault="009E0C56" w:rsidP="009E0C56">
      <w:pPr>
        <w:pStyle w:val="Source"/>
      </w:pPr>
      <w:r>
        <w:rPr>
          <w:i/>
        </w:rPr>
        <w:t>Source</w:t>
      </w:r>
      <w:r>
        <w:t xml:space="preserve">: </w:t>
      </w:r>
      <w:r w:rsidRPr="00AF6D67">
        <w:t xml:space="preserve">Commission estimates based on </w:t>
      </w:r>
      <w:r>
        <w:t>DFAT Annual Report 2011</w:t>
      </w:r>
      <w:r>
        <w:noBreakHyphen/>
        <w:t>12 (and earlier years) and EFIC Annual Report 2011</w:t>
      </w:r>
      <w:r>
        <w:noBreakHyphen/>
        <w:t>12 (and earlier years).</w:t>
      </w:r>
    </w:p>
    <w:p w:rsidR="009E0C56" w:rsidRDefault="00FA09C3" w:rsidP="009E0C56">
      <w:pPr>
        <w:pStyle w:val="Heading2"/>
      </w:pPr>
      <w:r>
        <w:t>A.</w:t>
      </w:r>
      <w:r>
        <w:rPr>
          <w:noProof/>
        </w:rPr>
        <w:t>94</w:t>
      </w:r>
      <w:r w:rsidR="009E0C56">
        <w:tab/>
        <w:t>Clean Business Australia – Re-tooling for Climate Change</w:t>
      </w:r>
    </w:p>
    <w:p w:rsidR="009E0C56" w:rsidRDefault="009E0C56" w:rsidP="009E0C56">
      <w:pPr>
        <w:pStyle w:val="BodyText"/>
      </w:pPr>
      <w:r>
        <w:t xml:space="preserve">The Re-tooling for Climate Change program was established as part of the Australian Government’s Clean Business Australia initiative </w:t>
      </w:r>
      <w:r w:rsidRPr="002F5C9C">
        <w:t>(</w:t>
      </w:r>
      <w:r w:rsidRPr="00813174">
        <w:t>AusIndustry 2012</w:t>
      </w:r>
      <w:r w:rsidRPr="002F5C9C">
        <w:t>)</w:t>
      </w:r>
      <w:r>
        <w:t>. The Government’s intention for the program was to help Australian small and medium sized manufacturing businesses reduce their environmental footprint through projects designed to improve the energy and/or water efficiency of their production processes. The program provided grants of between $10 000 and $500 000 with a limit of half of the cost of each project.</w:t>
      </w:r>
    </w:p>
    <w:p w:rsidR="009E0C56" w:rsidRPr="00EC6673" w:rsidRDefault="009E0C56" w:rsidP="009E0C56">
      <w:pPr>
        <w:pStyle w:val="BodyText"/>
      </w:pPr>
      <w:r>
        <w:t xml:space="preserve">The program primarily benefits manufacturing businesses. However, information on the specific industry incidence of the program has not been readily available. Accordingly, the budget outlay has been classified to the </w:t>
      </w:r>
      <w:r w:rsidRPr="007C0A44">
        <w:rPr>
          <w:i/>
        </w:rPr>
        <w:t xml:space="preserve">Unallocated </w:t>
      </w:r>
      <w:r>
        <w:rPr>
          <w:i/>
        </w:rPr>
        <w:t>manufacturing</w:t>
      </w:r>
      <w:r>
        <w:t xml:space="preserve"> industry grouping in the Commission’s ANZSIC-based classification (table A.9</w:t>
      </w:r>
      <w:r w:rsidR="00C065C1">
        <w:t>4</w:t>
      </w:r>
      <w:r>
        <w:t>).</w:t>
      </w:r>
    </w:p>
    <w:p w:rsidR="009E0C56" w:rsidRDefault="009E0C56" w:rsidP="009E0C56">
      <w:pPr>
        <w:pStyle w:val="TableTitle"/>
      </w:pPr>
      <w:r>
        <w:rPr>
          <w:b w:val="0"/>
        </w:rPr>
        <w:t xml:space="preserve">Table </w:t>
      </w:r>
      <w:r w:rsidR="00FA09C3">
        <w:rPr>
          <w:b w:val="0"/>
        </w:rPr>
        <w:t>A.</w:t>
      </w:r>
      <w:r w:rsidR="00FA09C3">
        <w:rPr>
          <w:b w:val="0"/>
          <w:noProof/>
        </w:rPr>
        <w:t>94</w:t>
      </w:r>
      <w:r>
        <w:tab/>
        <w:t xml:space="preserve">Allocation of Clean </w:t>
      </w:r>
      <w:r w:rsidR="00411E67">
        <w:t xml:space="preserve">Business </w:t>
      </w:r>
      <w:r>
        <w:t>Australia – Re-tooling for Climate Change</w:t>
      </w:r>
      <w:r w:rsidR="008F5A92" w:rsidRPr="008F5A92">
        <w:t xml:space="preserve"> to industry</w:t>
      </w:r>
      <w:r>
        <w:t>, 2006</w:t>
      </w:r>
      <w:r>
        <w:noBreakHyphen/>
        <w:t>07 to 2011</w:t>
      </w:r>
      <w:r>
        <w:noBreakHyphen/>
        <w:t>12</w:t>
      </w:r>
    </w:p>
    <w:p w:rsidR="009E0C56" w:rsidRDefault="009E0C56" w:rsidP="009E0C56">
      <w:pPr>
        <w:pStyle w:val="Subtitle"/>
      </w:pPr>
      <w:r>
        <w:t>$</w:t>
      </w:r>
      <w:r w:rsidR="00411E67">
        <w:t xml:space="preserve"> </w:t>
      </w:r>
      <w:r>
        <w:t>million (nominal)</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9E0C56" w:rsidRPr="00AF699A" w:rsidTr="00CB219A">
        <w:trPr>
          <w:trHeight w:val="340"/>
        </w:trPr>
        <w:tc>
          <w:tcPr>
            <w:tcW w:w="1958" w:type="pct"/>
            <w:tcBorders>
              <w:top w:val="single" w:sz="6" w:space="0" w:color="auto"/>
              <w:bottom w:val="single" w:sz="6" w:space="0" w:color="auto"/>
            </w:tcBorders>
          </w:tcPr>
          <w:p w:rsidR="009E0C56" w:rsidRPr="00AF699A" w:rsidRDefault="009E0C56"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9E0C56" w:rsidRPr="00AF699A" w:rsidRDefault="009E0C56"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9E0C56" w:rsidRPr="00AF699A" w:rsidRDefault="009E0C56"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9E0C56" w:rsidRPr="00AF699A" w:rsidRDefault="009E0C56"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9E0C56" w:rsidRPr="00AF699A" w:rsidRDefault="009E0C56"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9E0C56" w:rsidRPr="00AF699A" w:rsidRDefault="009E0C56" w:rsidP="001B56F1">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9E0C56" w:rsidRPr="00AF699A" w:rsidRDefault="009E0C56" w:rsidP="001B56F1">
            <w:pPr>
              <w:pStyle w:val="TableColumnHeading"/>
              <w:ind w:right="28"/>
              <w:rPr>
                <w:rFonts w:cs="Arial"/>
                <w:sz w:val="18"/>
                <w:szCs w:val="18"/>
              </w:rPr>
            </w:pPr>
            <w:r w:rsidRPr="00AF699A">
              <w:rPr>
                <w:rFonts w:cs="Arial"/>
                <w:sz w:val="18"/>
                <w:szCs w:val="18"/>
              </w:rPr>
              <w:t>2011-12</w:t>
            </w:r>
          </w:p>
        </w:tc>
      </w:tr>
      <w:tr w:rsidR="009E0C56" w:rsidRPr="00BB0164" w:rsidTr="001B56F1">
        <w:tc>
          <w:tcPr>
            <w:tcW w:w="1958" w:type="pct"/>
            <w:tcBorders>
              <w:bottom w:val="single" w:sz="4" w:space="0" w:color="auto"/>
            </w:tcBorders>
            <w:vAlign w:val="bottom"/>
          </w:tcPr>
          <w:p w:rsidR="009E0C56" w:rsidRPr="00BB0164" w:rsidRDefault="009E0C56" w:rsidP="001B56F1">
            <w:pPr>
              <w:pStyle w:val="TableBodyText"/>
              <w:jc w:val="left"/>
            </w:pPr>
            <w:r w:rsidRPr="00BB0164">
              <w:t>Unallocated manufacturing</w:t>
            </w:r>
            <w:r w:rsidRPr="00BD3CDA">
              <w:rPr>
                <w:rStyle w:val="NoteLabel"/>
                <w:szCs w:val="18"/>
              </w:rPr>
              <w:t>a</w:t>
            </w:r>
          </w:p>
        </w:tc>
        <w:tc>
          <w:tcPr>
            <w:tcW w:w="507" w:type="pct"/>
            <w:tcBorders>
              <w:bottom w:val="single" w:sz="4" w:space="0" w:color="auto"/>
            </w:tcBorders>
            <w:vAlign w:val="bottom"/>
          </w:tcPr>
          <w:p w:rsidR="009E0C56" w:rsidRPr="00BB0164" w:rsidRDefault="009E0C56" w:rsidP="001B56F1">
            <w:pPr>
              <w:pStyle w:val="TableBodyText"/>
            </w:pPr>
            <w:r>
              <w:noBreakHyphen/>
            </w:r>
          </w:p>
        </w:tc>
        <w:tc>
          <w:tcPr>
            <w:tcW w:w="507" w:type="pct"/>
            <w:tcBorders>
              <w:bottom w:val="single" w:sz="4" w:space="0" w:color="auto"/>
            </w:tcBorders>
            <w:vAlign w:val="bottom"/>
          </w:tcPr>
          <w:p w:rsidR="009E0C56" w:rsidRPr="00BB0164" w:rsidRDefault="009E0C56" w:rsidP="001B56F1">
            <w:pPr>
              <w:pStyle w:val="TableBodyText"/>
            </w:pPr>
            <w:r>
              <w:noBreakHyphen/>
            </w:r>
          </w:p>
        </w:tc>
        <w:tc>
          <w:tcPr>
            <w:tcW w:w="507" w:type="pct"/>
            <w:tcBorders>
              <w:bottom w:val="single" w:sz="4" w:space="0" w:color="auto"/>
            </w:tcBorders>
            <w:vAlign w:val="bottom"/>
          </w:tcPr>
          <w:p w:rsidR="009E0C56" w:rsidRPr="00BB0164" w:rsidRDefault="009E0C56" w:rsidP="001B56F1">
            <w:pPr>
              <w:pStyle w:val="TableBodyText"/>
            </w:pPr>
            <w:r w:rsidRPr="00BB0164">
              <w:t>0.7</w:t>
            </w:r>
          </w:p>
        </w:tc>
        <w:tc>
          <w:tcPr>
            <w:tcW w:w="507" w:type="pct"/>
            <w:tcBorders>
              <w:bottom w:val="single" w:sz="4" w:space="0" w:color="auto"/>
            </w:tcBorders>
            <w:vAlign w:val="bottom"/>
          </w:tcPr>
          <w:p w:rsidR="009E0C56" w:rsidRPr="00BB0164" w:rsidRDefault="009E0C56" w:rsidP="001B56F1">
            <w:pPr>
              <w:pStyle w:val="TableBodyText"/>
            </w:pPr>
            <w:r w:rsidRPr="00BB0164">
              <w:t>4.9</w:t>
            </w:r>
          </w:p>
        </w:tc>
        <w:tc>
          <w:tcPr>
            <w:tcW w:w="507" w:type="pct"/>
            <w:tcBorders>
              <w:bottom w:val="single" w:sz="4" w:space="0" w:color="auto"/>
            </w:tcBorders>
            <w:shd w:val="clear" w:color="auto" w:fill="auto"/>
            <w:vAlign w:val="bottom"/>
          </w:tcPr>
          <w:p w:rsidR="009E0C56" w:rsidRPr="00BB0164" w:rsidRDefault="009E0C56" w:rsidP="001B56F1">
            <w:pPr>
              <w:pStyle w:val="TableBodyText"/>
            </w:pPr>
            <w:r w:rsidRPr="00BB0164">
              <w:t>7.6</w:t>
            </w:r>
          </w:p>
        </w:tc>
        <w:tc>
          <w:tcPr>
            <w:tcW w:w="507" w:type="pct"/>
            <w:tcBorders>
              <w:bottom w:val="single" w:sz="4" w:space="0" w:color="auto"/>
            </w:tcBorders>
            <w:shd w:val="clear" w:color="auto" w:fill="auto"/>
            <w:vAlign w:val="bottom"/>
          </w:tcPr>
          <w:p w:rsidR="009E0C56" w:rsidRPr="00BB0164" w:rsidRDefault="009E0C56" w:rsidP="001B56F1">
            <w:pPr>
              <w:pStyle w:val="TableBodyText"/>
            </w:pPr>
            <w:r w:rsidRPr="00BB0164">
              <w:t>4.2</w:t>
            </w:r>
          </w:p>
        </w:tc>
      </w:tr>
    </w:tbl>
    <w:p w:rsidR="009E0C56" w:rsidRDefault="009E0C56" w:rsidP="009E0C56">
      <w:pPr>
        <w:pStyle w:val="Note"/>
      </w:pPr>
      <w:r w:rsidRPr="00A2379F">
        <w:noBreakHyphen/>
        <w:t xml:space="preserve"> Nil</w:t>
      </w:r>
      <w:r>
        <w:t>.</w:t>
      </w:r>
      <w:r w:rsidRPr="008E77FE">
        <w:rPr>
          <w:rStyle w:val="NoteLabel"/>
        </w:rPr>
        <w:t xml:space="preserve"> a</w:t>
      </w:r>
      <w:r>
        <w:t xml:space="preserve"> </w:t>
      </w:r>
      <w:r w:rsidRPr="009B56F1">
        <w:t>Unallocated includes general programs where detai</w:t>
      </w:r>
      <w:r>
        <w:t>ls of beneficiaries are unknown.</w:t>
      </w:r>
    </w:p>
    <w:p w:rsidR="009E0C56" w:rsidRPr="008E77FE" w:rsidRDefault="009E0C56" w:rsidP="009E0C56">
      <w:pPr>
        <w:pStyle w:val="Source"/>
      </w:pPr>
      <w:r>
        <w:rPr>
          <w:i/>
        </w:rPr>
        <w:t>Source</w:t>
      </w:r>
      <w:r>
        <w:t>: Commission estimates based on detailed DIISR data by ANZSIC industry.</w:t>
      </w:r>
    </w:p>
    <w:p w:rsidR="00B75963" w:rsidRDefault="00FA09C3" w:rsidP="00B75963">
      <w:pPr>
        <w:pStyle w:val="Heading2"/>
      </w:pPr>
      <w:r>
        <w:t>A.</w:t>
      </w:r>
      <w:r>
        <w:rPr>
          <w:noProof/>
        </w:rPr>
        <w:t>95</w:t>
      </w:r>
      <w:r w:rsidR="00B75963">
        <w:tab/>
        <w:t>Payment scheme for Airservices Australia’s enroute charges</w:t>
      </w:r>
    </w:p>
    <w:p w:rsidR="00B75963" w:rsidRPr="00EE3CC1" w:rsidRDefault="00B75963" w:rsidP="00B75963">
      <w:pPr>
        <w:pStyle w:val="BodyText"/>
      </w:pPr>
      <w:r>
        <w:t>The Payment scheme for Airservices Australia’s enroute charges provides a subsidy to air operators providing aeromedical services through a reimbursement of their Airservices Australia en route air navigation charges (</w:t>
      </w:r>
      <w:r w:rsidRPr="00813174">
        <w:t>DIRD 2013</w:t>
      </w:r>
      <w:r>
        <w:t>). The scheme was introduced in January 2002 as a transitionary measure in the wake of the Ansett collapse to help ensure former Ansett subsidiaries and other regional airlines continued to provide air services to regional Australia.</w:t>
      </w:r>
    </w:p>
    <w:p w:rsidR="00B75963" w:rsidRDefault="00B75963" w:rsidP="00B75963">
      <w:pPr>
        <w:pStyle w:val="BodyText"/>
      </w:pPr>
      <w:r>
        <w:t xml:space="preserve">The scheme has been allocated to the </w:t>
      </w:r>
      <w:r w:rsidRPr="00497AA3">
        <w:rPr>
          <w:i/>
        </w:rPr>
        <w:t>Transport, postal and warehousing</w:t>
      </w:r>
      <w:r>
        <w:t xml:space="preserve"> industry grouping the Commission’s ANZSIC-based classification (table A.9</w:t>
      </w:r>
      <w:r w:rsidR="00C065C1">
        <w:t>5</w:t>
      </w:r>
      <w:r>
        <w:t>).</w:t>
      </w:r>
    </w:p>
    <w:p w:rsidR="00B75963" w:rsidRDefault="00B75963" w:rsidP="00B75963">
      <w:pPr>
        <w:pStyle w:val="TableTitle"/>
      </w:pPr>
      <w:r>
        <w:rPr>
          <w:b w:val="0"/>
        </w:rPr>
        <w:t xml:space="preserve">Table </w:t>
      </w:r>
      <w:r w:rsidR="00FA09C3">
        <w:rPr>
          <w:b w:val="0"/>
        </w:rPr>
        <w:t>A.</w:t>
      </w:r>
      <w:r w:rsidR="00FA09C3">
        <w:rPr>
          <w:b w:val="0"/>
          <w:noProof/>
        </w:rPr>
        <w:t>95</w:t>
      </w:r>
      <w:r>
        <w:tab/>
        <w:t>Allocation of Payment scheme for Airservices Australia’s enroute charges</w:t>
      </w:r>
      <w:r w:rsidR="008F5A92" w:rsidRPr="008F5A92">
        <w:t xml:space="preserve"> to industry</w:t>
      </w:r>
      <w:r>
        <w:t>, 2006</w:t>
      </w:r>
      <w:r>
        <w:noBreakHyphen/>
        <w:t>07 to 2011</w:t>
      </w:r>
      <w:r>
        <w:noBreakHyphen/>
        <w:t>12</w:t>
      </w:r>
    </w:p>
    <w:p w:rsidR="00B75963" w:rsidRDefault="000E1A26" w:rsidP="00B75963">
      <w:pPr>
        <w:pStyle w:val="Subtitle"/>
      </w:pPr>
      <w:r>
        <w:t>$ m</w:t>
      </w:r>
      <w:r w:rsidR="00B75963">
        <w:t xml:space="preserve">illion (nominal) </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B75963" w:rsidRPr="00AF699A" w:rsidTr="00CB219A">
        <w:trPr>
          <w:trHeight w:val="340"/>
        </w:trPr>
        <w:tc>
          <w:tcPr>
            <w:tcW w:w="1958" w:type="pct"/>
            <w:tcBorders>
              <w:top w:val="single" w:sz="6" w:space="0" w:color="auto"/>
              <w:bottom w:val="single" w:sz="6" w:space="0" w:color="auto"/>
            </w:tcBorders>
          </w:tcPr>
          <w:p w:rsidR="00B75963" w:rsidRPr="00AF699A" w:rsidRDefault="00B75963"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B75963" w:rsidRPr="00AF699A" w:rsidRDefault="00B75963"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B75963" w:rsidRPr="00AF699A" w:rsidRDefault="00B75963"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B75963" w:rsidRPr="00AF699A" w:rsidRDefault="00B75963"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B75963" w:rsidRPr="00AF699A" w:rsidRDefault="00B75963"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B75963" w:rsidRPr="00AF699A" w:rsidRDefault="00B75963" w:rsidP="001B56F1">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B75963" w:rsidRPr="00AF699A" w:rsidRDefault="00B75963" w:rsidP="001B56F1">
            <w:pPr>
              <w:pStyle w:val="TableColumnHeading"/>
              <w:ind w:right="28"/>
              <w:rPr>
                <w:rFonts w:cs="Arial"/>
                <w:sz w:val="18"/>
                <w:szCs w:val="18"/>
              </w:rPr>
            </w:pPr>
            <w:r w:rsidRPr="00AF699A">
              <w:rPr>
                <w:rFonts w:cs="Arial"/>
                <w:sz w:val="18"/>
                <w:szCs w:val="18"/>
              </w:rPr>
              <w:t>2011-12</w:t>
            </w:r>
          </w:p>
        </w:tc>
      </w:tr>
      <w:tr w:rsidR="00B75963" w:rsidRPr="0047417E" w:rsidTr="001B56F1">
        <w:tc>
          <w:tcPr>
            <w:tcW w:w="1958" w:type="pct"/>
            <w:tcBorders>
              <w:bottom w:val="single" w:sz="4" w:space="0" w:color="auto"/>
            </w:tcBorders>
            <w:vAlign w:val="bottom"/>
          </w:tcPr>
          <w:p w:rsidR="00B75963" w:rsidRPr="00DF7F6B" w:rsidRDefault="00B75963" w:rsidP="001B56F1">
            <w:pPr>
              <w:pStyle w:val="TableBodyText"/>
              <w:jc w:val="left"/>
            </w:pPr>
            <w:r w:rsidRPr="00DF7F6B">
              <w:t>Transport, postal and warehousing</w:t>
            </w:r>
          </w:p>
        </w:tc>
        <w:tc>
          <w:tcPr>
            <w:tcW w:w="507" w:type="pct"/>
            <w:tcBorders>
              <w:bottom w:val="single" w:sz="4" w:space="0" w:color="auto"/>
            </w:tcBorders>
            <w:vAlign w:val="bottom"/>
          </w:tcPr>
          <w:p w:rsidR="00B75963" w:rsidRPr="00DF7F6B" w:rsidRDefault="00B75963" w:rsidP="001B56F1">
            <w:pPr>
              <w:pStyle w:val="TableBodyText"/>
            </w:pPr>
            <w:r w:rsidRPr="00DF7F6B">
              <w:t>6.0</w:t>
            </w:r>
          </w:p>
        </w:tc>
        <w:tc>
          <w:tcPr>
            <w:tcW w:w="507" w:type="pct"/>
            <w:tcBorders>
              <w:bottom w:val="single" w:sz="4" w:space="0" w:color="auto"/>
            </w:tcBorders>
            <w:vAlign w:val="bottom"/>
          </w:tcPr>
          <w:p w:rsidR="00B75963" w:rsidRPr="00DF7F6B" w:rsidRDefault="00B75963" w:rsidP="001B56F1">
            <w:pPr>
              <w:pStyle w:val="TableBodyText"/>
            </w:pPr>
            <w:r w:rsidRPr="00DF7F6B">
              <w:t>5.8</w:t>
            </w:r>
          </w:p>
        </w:tc>
        <w:tc>
          <w:tcPr>
            <w:tcW w:w="507" w:type="pct"/>
            <w:tcBorders>
              <w:bottom w:val="single" w:sz="4" w:space="0" w:color="auto"/>
            </w:tcBorders>
            <w:vAlign w:val="bottom"/>
          </w:tcPr>
          <w:p w:rsidR="00B75963" w:rsidRPr="00DF7F6B" w:rsidRDefault="00B75963" w:rsidP="001B56F1">
            <w:pPr>
              <w:pStyle w:val="TableBodyText"/>
            </w:pPr>
            <w:r w:rsidRPr="00DF7F6B">
              <w:t>4.7</w:t>
            </w:r>
          </w:p>
        </w:tc>
        <w:tc>
          <w:tcPr>
            <w:tcW w:w="507" w:type="pct"/>
            <w:tcBorders>
              <w:bottom w:val="single" w:sz="4" w:space="0" w:color="auto"/>
            </w:tcBorders>
            <w:vAlign w:val="bottom"/>
          </w:tcPr>
          <w:p w:rsidR="00B75963" w:rsidRPr="00DF7F6B" w:rsidRDefault="00B75963" w:rsidP="001B56F1">
            <w:pPr>
              <w:pStyle w:val="TableBodyText"/>
            </w:pPr>
            <w:r w:rsidRPr="00DF7F6B">
              <w:t>4.1</w:t>
            </w:r>
          </w:p>
        </w:tc>
        <w:tc>
          <w:tcPr>
            <w:tcW w:w="507" w:type="pct"/>
            <w:tcBorders>
              <w:bottom w:val="single" w:sz="4" w:space="0" w:color="auto"/>
            </w:tcBorders>
            <w:shd w:val="clear" w:color="auto" w:fill="auto"/>
            <w:vAlign w:val="bottom"/>
          </w:tcPr>
          <w:p w:rsidR="00B75963" w:rsidRPr="00DF7F6B" w:rsidRDefault="00B75963" w:rsidP="001B56F1">
            <w:pPr>
              <w:pStyle w:val="TableBodyText"/>
            </w:pPr>
            <w:r w:rsidRPr="00DF7F6B">
              <w:t>4.0</w:t>
            </w:r>
          </w:p>
        </w:tc>
        <w:tc>
          <w:tcPr>
            <w:tcW w:w="507" w:type="pct"/>
            <w:tcBorders>
              <w:bottom w:val="single" w:sz="4" w:space="0" w:color="auto"/>
            </w:tcBorders>
            <w:shd w:val="clear" w:color="auto" w:fill="auto"/>
            <w:vAlign w:val="bottom"/>
          </w:tcPr>
          <w:p w:rsidR="00B75963" w:rsidRPr="00DF7F6B" w:rsidRDefault="00B75963" w:rsidP="001B56F1">
            <w:pPr>
              <w:pStyle w:val="TableBodyText"/>
            </w:pPr>
            <w:r w:rsidRPr="00DF7F6B">
              <w:t>4.2</w:t>
            </w:r>
          </w:p>
        </w:tc>
      </w:tr>
    </w:tbl>
    <w:p w:rsidR="00B75963" w:rsidRPr="008E77FE" w:rsidRDefault="00B75963" w:rsidP="00B75963">
      <w:pPr>
        <w:pStyle w:val="Source"/>
      </w:pPr>
      <w:r>
        <w:rPr>
          <w:i/>
        </w:rPr>
        <w:t>Sources</w:t>
      </w:r>
      <w:r w:rsidRPr="00B97F32">
        <w:t>:</w:t>
      </w:r>
      <w:r>
        <w:t xml:space="preserve"> Commission estimates based on Department of Infrastructure and Transport Annual Report 2011</w:t>
      </w:r>
      <w:r>
        <w:noBreakHyphen/>
        <w:t>12 (and earlier years); and Department of Infrastructure, Transport, Regional Development and Local Government Annual Report 2009</w:t>
      </w:r>
      <w:r>
        <w:noBreakHyphen/>
        <w:t>10 (and earlier years).</w:t>
      </w:r>
    </w:p>
    <w:p w:rsidR="00721494" w:rsidRDefault="00FA09C3" w:rsidP="00721494">
      <w:pPr>
        <w:pStyle w:val="Heading2"/>
      </w:pPr>
      <w:r>
        <w:t>A.</w:t>
      </w:r>
      <w:r>
        <w:rPr>
          <w:noProof/>
        </w:rPr>
        <w:t>96</w:t>
      </w:r>
      <w:r w:rsidR="00721494">
        <w:tab/>
        <w:t>Brandy preferential excise rate</w:t>
      </w:r>
    </w:p>
    <w:p w:rsidR="00721494" w:rsidRDefault="00721494" w:rsidP="00721494">
      <w:pPr>
        <w:pStyle w:val="BodyText"/>
      </w:pPr>
      <w:r>
        <w:t xml:space="preserve">The Brandy preferential excise rate maintains a lower rate of excise on brandy than the general rate as specified in Item 2A of the </w:t>
      </w:r>
      <w:r w:rsidRPr="009876E5">
        <w:rPr>
          <w:i/>
        </w:rPr>
        <w:t>Excise Tariff Act 1921.</w:t>
      </w:r>
      <w:r>
        <w:t xml:space="preserve"> The estimated revenue forgone from the concession is sourced from the </w:t>
      </w:r>
      <w:r w:rsidRPr="00812D24">
        <w:t>(</w:t>
      </w:r>
      <w:r w:rsidRPr="00813174">
        <w:t>Tax Expenditure Statement, Australian Government</w:t>
      </w:r>
      <w:r>
        <w:t> </w:t>
      </w:r>
      <w:r w:rsidRPr="00813174">
        <w:t>2013, Item F 13</w:t>
      </w:r>
      <w:r w:rsidRPr="00812D24">
        <w:t>).</w:t>
      </w:r>
    </w:p>
    <w:p w:rsidR="00721494" w:rsidRDefault="00721494" w:rsidP="00721494">
      <w:pPr>
        <w:pStyle w:val="BodyText"/>
      </w:pPr>
      <w:r>
        <w:t xml:space="preserve">The scheme is targeted to brandy producers and has been classified to the </w:t>
      </w:r>
      <w:r w:rsidRPr="00CF6500">
        <w:rPr>
          <w:i/>
        </w:rPr>
        <w:t>Beverage and tobacco products</w:t>
      </w:r>
      <w:r>
        <w:t xml:space="preserve"> industry grouping in the Commission’s ANZSIC-based classification (table A.9</w:t>
      </w:r>
      <w:r w:rsidR="00C065C1">
        <w:t>6</w:t>
      </w:r>
      <w:r>
        <w:t>).</w:t>
      </w:r>
    </w:p>
    <w:p w:rsidR="00721494" w:rsidRDefault="00721494" w:rsidP="00721494">
      <w:pPr>
        <w:pStyle w:val="TableTitle"/>
      </w:pPr>
      <w:r>
        <w:rPr>
          <w:b w:val="0"/>
        </w:rPr>
        <w:t xml:space="preserve">Table </w:t>
      </w:r>
      <w:r w:rsidR="00FA09C3">
        <w:rPr>
          <w:b w:val="0"/>
        </w:rPr>
        <w:t>A.</w:t>
      </w:r>
      <w:r w:rsidR="00FA09C3">
        <w:rPr>
          <w:b w:val="0"/>
          <w:noProof/>
        </w:rPr>
        <w:t>96</w:t>
      </w:r>
      <w:r>
        <w:tab/>
        <w:t>Allocation of Brandy preferential excise rate</w:t>
      </w:r>
      <w:r w:rsidR="008F5A92" w:rsidRPr="008F5A92">
        <w:t xml:space="preserve"> to industry</w:t>
      </w:r>
      <w:r>
        <w:t>, 2006</w:t>
      </w:r>
      <w:r>
        <w:noBreakHyphen/>
        <w:t>07 to 2011</w:t>
      </w:r>
      <w:r>
        <w:noBreakHyphen/>
        <w:t>12</w:t>
      </w:r>
    </w:p>
    <w:p w:rsidR="00721494" w:rsidRDefault="00721494" w:rsidP="00721494">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721494" w:rsidRPr="00AF699A" w:rsidTr="001B56F1">
        <w:tc>
          <w:tcPr>
            <w:tcW w:w="1960" w:type="pct"/>
            <w:tcBorders>
              <w:top w:val="single" w:sz="6" w:space="0" w:color="auto"/>
              <w:bottom w:val="single" w:sz="6" w:space="0" w:color="auto"/>
            </w:tcBorders>
          </w:tcPr>
          <w:p w:rsidR="00721494" w:rsidRPr="00AF699A" w:rsidRDefault="00721494"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721494" w:rsidRPr="00AF699A" w:rsidRDefault="00721494"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721494" w:rsidRPr="00AF699A" w:rsidRDefault="00721494"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721494" w:rsidRPr="00AF699A" w:rsidRDefault="00721494"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721494" w:rsidRPr="00AF699A" w:rsidRDefault="00721494"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721494" w:rsidRPr="00AF699A" w:rsidRDefault="00721494"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721494" w:rsidRPr="00AF699A" w:rsidRDefault="00721494" w:rsidP="001B56F1">
            <w:pPr>
              <w:pStyle w:val="TableColumnHeading"/>
              <w:ind w:right="28"/>
              <w:rPr>
                <w:rFonts w:cs="Arial"/>
                <w:sz w:val="18"/>
                <w:szCs w:val="18"/>
              </w:rPr>
            </w:pPr>
            <w:r w:rsidRPr="00AF699A">
              <w:rPr>
                <w:rFonts w:cs="Arial"/>
                <w:sz w:val="18"/>
                <w:szCs w:val="18"/>
              </w:rPr>
              <w:t>2011-12</w:t>
            </w:r>
          </w:p>
        </w:tc>
      </w:tr>
      <w:tr w:rsidR="00721494" w:rsidRPr="006C5A80" w:rsidTr="001B56F1">
        <w:tc>
          <w:tcPr>
            <w:tcW w:w="1960" w:type="pct"/>
            <w:tcBorders>
              <w:bottom w:val="single" w:sz="4" w:space="0" w:color="auto"/>
            </w:tcBorders>
            <w:vAlign w:val="bottom"/>
          </w:tcPr>
          <w:p w:rsidR="00721494" w:rsidRPr="00C944BA" w:rsidRDefault="00721494" w:rsidP="001B56F1">
            <w:pPr>
              <w:pStyle w:val="TableBodyText"/>
              <w:jc w:val="left"/>
            </w:pPr>
            <w:r>
              <w:t>Food, beverages and tobacco</w:t>
            </w:r>
          </w:p>
        </w:tc>
        <w:tc>
          <w:tcPr>
            <w:tcW w:w="507" w:type="pct"/>
            <w:tcBorders>
              <w:bottom w:val="single" w:sz="4" w:space="0" w:color="auto"/>
            </w:tcBorders>
            <w:vAlign w:val="bottom"/>
          </w:tcPr>
          <w:p w:rsidR="00721494" w:rsidRDefault="00721494" w:rsidP="001B56F1">
            <w:pPr>
              <w:pStyle w:val="TableBodyText"/>
            </w:pPr>
            <w:r>
              <w:t>4.0</w:t>
            </w:r>
          </w:p>
        </w:tc>
        <w:tc>
          <w:tcPr>
            <w:tcW w:w="507" w:type="pct"/>
            <w:tcBorders>
              <w:bottom w:val="single" w:sz="4" w:space="0" w:color="auto"/>
            </w:tcBorders>
            <w:vAlign w:val="bottom"/>
          </w:tcPr>
          <w:p w:rsidR="00721494" w:rsidRDefault="00721494" w:rsidP="001B56F1">
            <w:pPr>
              <w:pStyle w:val="TableBodyText"/>
            </w:pPr>
            <w:r>
              <w:t>4.0</w:t>
            </w:r>
          </w:p>
        </w:tc>
        <w:tc>
          <w:tcPr>
            <w:tcW w:w="507" w:type="pct"/>
            <w:tcBorders>
              <w:bottom w:val="single" w:sz="4" w:space="0" w:color="auto"/>
            </w:tcBorders>
            <w:vAlign w:val="bottom"/>
          </w:tcPr>
          <w:p w:rsidR="00721494" w:rsidRDefault="00721494" w:rsidP="001B56F1">
            <w:pPr>
              <w:pStyle w:val="TableBodyText"/>
            </w:pPr>
            <w:r>
              <w:t>5.0</w:t>
            </w:r>
          </w:p>
        </w:tc>
        <w:tc>
          <w:tcPr>
            <w:tcW w:w="507" w:type="pct"/>
            <w:tcBorders>
              <w:bottom w:val="single" w:sz="4" w:space="0" w:color="auto"/>
            </w:tcBorders>
            <w:vAlign w:val="bottom"/>
          </w:tcPr>
          <w:p w:rsidR="00721494" w:rsidRDefault="00721494" w:rsidP="001B56F1">
            <w:pPr>
              <w:pStyle w:val="TableBodyText"/>
            </w:pPr>
            <w:r>
              <w:t>4.0</w:t>
            </w:r>
          </w:p>
        </w:tc>
        <w:tc>
          <w:tcPr>
            <w:tcW w:w="507" w:type="pct"/>
            <w:tcBorders>
              <w:bottom w:val="single" w:sz="4" w:space="0" w:color="auto"/>
            </w:tcBorders>
            <w:shd w:val="clear" w:color="auto" w:fill="auto"/>
            <w:vAlign w:val="bottom"/>
          </w:tcPr>
          <w:p w:rsidR="00721494" w:rsidRDefault="00721494" w:rsidP="001B56F1">
            <w:pPr>
              <w:pStyle w:val="TableBodyText"/>
            </w:pPr>
            <w:r>
              <w:t>4.0</w:t>
            </w:r>
          </w:p>
        </w:tc>
        <w:tc>
          <w:tcPr>
            <w:tcW w:w="505" w:type="pct"/>
            <w:tcBorders>
              <w:bottom w:val="single" w:sz="4" w:space="0" w:color="auto"/>
            </w:tcBorders>
            <w:shd w:val="clear" w:color="auto" w:fill="auto"/>
            <w:vAlign w:val="bottom"/>
          </w:tcPr>
          <w:p w:rsidR="00721494" w:rsidRDefault="00721494" w:rsidP="001B56F1">
            <w:pPr>
              <w:pStyle w:val="TableBodyText"/>
            </w:pPr>
            <w:r>
              <w:t>4.0</w:t>
            </w:r>
          </w:p>
        </w:tc>
      </w:tr>
    </w:tbl>
    <w:p w:rsidR="00721494" w:rsidRDefault="00721494" w:rsidP="00721494">
      <w:pPr>
        <w:pStyle w:val="Source"/>
      </w:pPr>
      <w:r>
        <w:rPr>
          <w:i/>
        </w:rPr>
        <w:t>Source</w:t>
      </w:r>
      <w:r>
        <w:t>: Commission estimates based on Tax Expenditure Statement 2012, Australian Government 2013, p. 180, item F13.</w:t>
      </w:r>
    </w:p>
    <w:p w:rsidR="008E51BA" w:rsidRDefault="00FA09C3" w:rsidP="008E51BA">
      <w:pPr>
        <w:pStyle w:val="Heading2"/>
      </w:pPr>
      <w:r>
        <w:t>A.</w:t>
      </w:r>
      <w:r>
        <w:rPr>
          <w:noProof/>
        </w:rPr>
        <w:t>97</w:t>
      </w:r>
      <w:r w:rsidR="008E51BA">
        <w:tab/>
        <w:t>National Weeds and Productivity Research Program</w:t>
      </w:r>
    </w:p>
    <w:p w:rsidR="008E51BA" w:rsidRDefault="008E51BA" w:rsidP="008E51BA">
      <w:pPr>
        <w:pStyle w:val="BodyText"/>
      </w:pPr>
      <w:r>
        <w:t>In 2008, the Australian Government announced funding of $15.3 million over four years to establish the National Weeds and Productivity Research Program. A primary objective of the program was to reduce the impact of invasive plants on farm and forestry productivity and also biodiversity. The Program finished on 30 June 2012, with more than 90 projects successfully completed. Highlights from the projects included:</w:t>
      </w:r>
    </w:p>
    <w:p w:rsidR="008E51BA" w:rsidRDefault="008E51BA" w:rsidP="008E51BA">
      <w:pPr>
        <w:pStyle w:val="ListBullet"/>
      </w:pPr>
      <w:r>
        <w:t>development of practical methods for reducing weed seeds in agricultural systems without reliance on herbicides;</w:t>
      </w:r>
    </w:p>
    <w:p w:rsidR="008E51BA" w:rsidRDefault="008E51BA" w:rsidP="008E51BA">
      <w:pPr>
        <w:pStyle w:val="ListBullet"/>
      </w:pPr>
      <w:r>
        <w:t>identification of potential biological control agents for a range of weeds, including Weeds of National Significance;</w:t>
      </w:r>
    </w:p>
    <w:p w:rsidR="008E51BA" w:rsidRDefault="008E51BA" w:rsidP="008E51BA">
      <w:pPr>
        <w:pStyle w:val="ListBullet"/>
      </w:pPr>
      <w:r>
        <w:t>development of best-practice management methods for gamba grass and bellyache bush; and</w:t>
      </w:r>
    </w:p>
    <w:p w:rsidR="008E51BA" w:rsidRDefault="008E51BA" w:rsidP="008E51BA">
      <w:pPr>
        <w:pStyle w:val="ListBullet"/>
      </w:pPr>
      <w:r>
        <w:t xml:space="preserve">preventative management strategies in agricultural systems to reduce the impact of high risk weed species favoured by climate change </w:t>
      </w:r>
      <w:r w:rsidRPr="00EC76CA">
        <w:t>(</w:t>
      </w:r>
      <w:r w:rsidRPr="00813174">
        <w:t>DAFF 2012</w:t>
      </w:r>
      <w:r w:rsidRPr="00EC76CA">
        <w:t>)</w:t>
      </w:r>
      <w:r>
        <w:t>.</w:t>
      </w:r>
    </w:p>
    <w:p w:rsidR="008E51BA" w:rsidRDefault="008E51BA" w:rsidP="008E51BA">
      <w:pPr>
        <w:pStyle w:val="BodyText"/>
      </w:pPr>
      <w:r>
        <w:t xml:space="preserve">The program primarily benefits primary industries. However, information on the specific industry incidence of the program has not been readily available. Accordingly, the budget outlay has been classified to the </w:t>
      </w:r>
      <w:r w:rsidRPr="009571D8">
        <w:rPr>
          <w:i/>
        </w:rPr>
        <w:t>Unallocated primary production</w:t>
      </w:r>
      <w:r>
        <w:t xml:space="preserve"> industry grouping in the Commission’s ANZSIC-based classification (table A.9</w:t>
      </w:r>
      <w:r w:rsidR="00C065C1">
        <w:t>7</w:t>
      </w:r>
      <w:r>
        <w:t>).</w:t>
      </w:r>
    </w:p>
    <w:p w:rsidR="008E51BA" w:rsidRDefault="008E51BA" w:rsidP="008E51BA">
      <w:pPr>
        <w:pStyle w:val="TableTitle"/>
      </w:pPr>
      <w:r>
        <w:rPr>
          <w:b w:val="0"/>
        </w:rPr>
        <w:t xml:space="preserve">Table </w:t>
      </w:r>
      <w:r w:rsidR="00FA09C3">
        <w:rPr>
          <w:b w:val="0"/>
        </w:rPr>
        <w:t>A.</w:t>
      </w:r>
      <w:r w:rsidR="00FA09C3">
        <w:rPr>
          <w:b w:val="0"/>
          <w:noProof/>
        </w:rPr>
        <w:t>97</w:t>
      </w:r>
      <w:r>
        <w:tab/>
        <w:t>Allocation of National Weeds and Productivity Research Program</w:t>
      </w:r>
      <w:r w:rsidR="008F5A92" w:rsidRPr="008F5A92">
        <w:t xml:space="preserve"> to industry</w:t>
      </w:r>
      <w:r>
        <w:t>, 2006</w:t>
      </w:r>
      <w:r>
        <w:noBreakHyphen/>
        <w:t>07 to 2011</w:t>
      </w:r>
      <w:r>
        <w:noBreakHyphen/>
        <w:t>12</w:t>
      </w:r>
    </w:p>
    <w:p w:rsidR="008E51BA" w:rsidRDefault="008E51BA" w:rsidP="008E51BA">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8E51BA" w:rsidRPr="00AF699A" w:rsidTr="001B56F1">
        <w:tc>
          <w:tcPr>
            <w:tcW w:w="1960" w:type="pct"/>
            <w:tcBorders>
              <w:top w:val="single" w:sz="6" w:space="0" w:color="auto"/>
              <w:bottom w:val="single" w:sz="6" w:space="0" w:color="auto"/>
            </w:tcBorders>
          </w:tcPr>
          <w:p w:rsidR="008E51BA" w:rsidRPr="00AF699A" w:rsidRDefault="008E51BA"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8E51BA" w:rsidRPr="00AF699A" w:rsidRDefault="008E51BA"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8E51BA" w:rsidRPr="00AF699A" w:rsidRDefault="008E51BA"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8E51BA" w:rsidRPr="00AF699A" w:rsidRDefault="008E51BA"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8E51BA" w:rsidRPr="00AF699A" w:rsidRDefault="008E51BA"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8E51BA" w:rsidRPr="00AF699A" w:rsidRDefault="008E51BA"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8E51BA" w:rsidRPr="00AF699A" w:rsidRDefault="008E51BA" w:rsidP="001B56F1">
            <w:pPr>
              <w:pStyle w:val="TableColumnHeading"/>
              <w:ind w:right="28"/>
              <w:rPr>
                <w:rFonts w:cs="Arial"/>
                <w:sz w:val="18"/>
                <w:szCs w:val="18"/>
              </w:rPr>
            </w:pPr>
            <w:r w:rsidRPr="00AF699A">
              <w:rPr>
                <w:rFonts w:cs="Arial"/>
                <w:sz w:val="18"/>
                <w:szCs w:val="18"/>
              </w:rPr>
              <w:t>2011-12</w:t>
            </w:r>
          </w:p>
        </w:tc>
      </w:tr>
      <w:tr w:rsidR="008E51BA" w:rsidRPr="006C5A80" w:rsidTr="001B56F1">
        <w:tc>
          <w:tcPr>
            <w:tcW w:w="1960" w:type="pct"/>
            <w:tcBorders>
              <w:bottom w:val="single" w:sz="4" w:space="0" w:color="auto"/>
            </w:tcBorders>
            <w:vAlign w:val="bottom"/>
          </w:tcPr>
          <w:p w:rsidR="008E51BA" w:rsidRPr="00C944BA" w:rsidRDefault="008E51BA" w:rsidP="001B56F1">
            <w:pPr>
              <w:pStyle w:val="TableBodyText"/>
              <w:jc w:val="left"/>
            </w:pPr>
            <w:r>
              <w:t>Unallocated primary production</w:t>
            </w:r>
            <w:r w:rsidRPr="00BD3CDA">
              <w:rPr>
                <w:rStyle w:val="NoteLabel"/>
                <w:szCs w:val="18"/>
              </w:rPr>
              <w:t>a</w:t>
            </w:r>
          </w:p>
        </w:tc>
        <w:tc>
          <w:tcPr>
            <w:tcW w:w="507" w:type="pct"/>
            <w:tcBorders>
              <w:bottom w:val="single" w:sz="4" w:space="0" w:color="auto"/>
            </w:tcBorders>
            <w:vAlign w:val="bottom"/>
          </w:tcPr>
          <w:p w:rsidR="008E51BA" w:rsidRDefault="008E51BA" w:rsidP="001B56F1">
            <w:pPr>
              <w:pStyle w:val="TableBodyText"/>
            </w:pPr>
            <w:r>
              <w:noBreakHyphen/>
            </w:r>
          </w:p>
        </w:tc>
        <w:tc>
          <w:tcPr>
            <w:tcW w:w="507" w:type="pct"/>
            <w:tcBorders>
              <w:bottom w:val="single" w:sz="4" w:space="0" w:color="auto"/>
            </w:tcBorders>
            <w:vAlign w:val="bottom"/>
          </w:tcPr>
          <w:p w:rsidR="008E51BA" w:rsidRDefault="008E51BA" w:rsidP="001B56F1">
            <w:pPr>
              <w:pStyle w:val="TableBodyText"/>
            </w:pPr>
            <w:r>
              <w:noBreakHyphen/>
            </w:r>
          </w:p>
        </w:tc>
        <w:tc>
          <w:tcPr>
            <w:tcW w:w="507" w:type="pct"/>
            <w:tcBorders>
              <w:bottom w:val="single" w:sz="4" w:space="0" w:color="auto"/>
            </w:tcBorders>
            <w:vAlign w:val="bottom"/>
          </w:tcPr>
          <w:p w:rsidR="008E51BA" w:rsidRDefault="008E51BA" w:rsidP="001B56F1">
            <w:pPr>
              <w:pStyle w:val="TableBodyText"/>
            </w:pPr>
            <w:r>
              <w:t>3.1</w:t>
            </w:r>
          </w:p>
        </w:tc>
        <w:tc>
          <w:tcPr>
            <w:tcW w:w="507" w:type="pct"/>
            <w:tcBorders>
              <w:bottom w:val="single" w:sz="4" w:space="0" w:color="auto"/>
            </w:tcBorders>
            <w:vAlign w:val="bottom"/>
          </w:tcPr>
          <w:p w:rsidR="008E51BA" w:rsidRDefault="008E51BA" w:rsidP="001B56F1">
            <w:pPr>
              <w:pStyle w:val="TableBodyText"/>
            </w:pPr>
            <w:r>
              <w:t>4.1</w:t>
            </w:r>
          </w:p>
        </w:tc>
        <w:tc>
          <w:tcPr>
            <w:tcW w:w="507" w:type="pct"/>
            <w:tcBorders>
              <w:bottom w:val="single" w:sz="4" w:space="0" w:color="auto"/>
            </w:tcBorders>
            <w:shd w:val="clear" w:color="auto" w:fill="auto"/>
            <w:vAlign w:val="bottom"/>
          </w:tcPr>
          <w:p w:rsidR="008E51BA" w:rsidRDefault="008E51BA" w:rsidP="001B56F1">
            <w:pPr>
              <w:pStyle w:val="TableBodyText"/>
            </w:pPr>
            <w:r>
              <w:t>4.0</w:t>
            </w:r>
          </w:p>
        </w:tc>
        <w:tc>
          <w:tcPr>
            <w:tcW w:w="505" w:type="pct"/>
            <w:tcBorders>
              <w:bottom w:val="single" w:sz="4" w:space="0" w:color="auto"/>
            </w:tcBorders>
            <w:shd w:val="clear" w:color="auto" w:fill="auto"/>
            <w:vAlign w:val="bottom"/>
          </w:tcPr>
          <w:p w:rsidR="008E51BA" w:rsidRDefault="008E51BA" w:rsidP="001B56F1">
            <w:pPr>
              <w:pStyle w:val="TableBodyText"/>
            </w:pPr>
            <w:r>
              <w:t>4.0</w:t>
            </w:r>
          </w:p>
        </w:tc>
      </w:tr>
    </w:tbl>
    <w:p w:rsidR="008E51BA" w:rsidRPr="00F60026" w:rsidRDefault="008E51BA" w:rsidP="008E51BA">
      <w:pPr>
        <w:pStyle w:val="Source"/>
        <w:spacing w:after="0"/>
        <w:rPr>
          <w:i/>
        </w:rPr>
      </w:pPr>
      <w:r w:rsidRPr="00A2379F">
        <w:noBreakHyphen/>
        <w:t xml:space="preserve"> </w:t>
      </w:r>
      <w:r>
        <w:t>Nil</w:t>
      </w:r>
      <w:r w:rsidRPr="00A2379F">
        <w:t>.</w:t>
      </w:r>
      <w:r w:rsidRPr="00B1392F">
        <w:t xml:space="preserve"> </w:t>
      </w:r>
      <w:r w:rsidRPr="009B56F1">
        <w:rPr>
          <w:rStyle w:val="NoteLabel"/>
        </w:rPr>
        <w:t>a</w:t>
      </w:r>
      <w:r w:rsidRPr="009B56F1">
        <w:t xml:space="preserve"> Unallocated includes general programs where detai</w:t>
      </w:r>
      <w:r>
        <w:t>ls of beneficiaries are unknown.</w:t>
      </w:r>
    </w:p>
    <w:p w:rsidR="008E51BA" w:rsidRDefault="008E51BA" w:rsidP="008E51BA">
      <w:pPr>
        <w:pStyle w:val="Source"/>
      </w:pPr>
      <w:r>
        <w:rPr>
          <w:i/>
        </w:rPr>
        <w:t>Source</w:t>
      </w:r>
      <w:r>
        <w:t>: Commission estimates based on DAFF Annual Report 2011</w:t>
      </w:r>
      <w:r>
        <w:noBreakHyphen/>
        <w:t>12 (and earlier years).</w:t>
      </w:r>
    </w:p>
    <w:p w:rsidR="001A0C4A" w:rsidRPr="001A0C4A" w:rsidRDefault="001A0C4A" w:rsidP="001A0C4A">
      <w:r>
        <w:br w:type="page"/>
      </w:r>
    </w:p>
    <w:p w:rsidR="008E51BA" w:rsidRDefault="00FA09C3" w:rsidP="008E51BA">
      <w:pPr>
        <w:pStyle w:val="Heading2"/>
      </w:pPr>
      <w:r>
        <w:t>A.</w:t>
      </w:r>
      <w:r>
        <w:rPr>
          <w:noProof/>
        </w:rPr>
        <w:t>98</w:t>
      </w:r>
      <w:r w:rsidR="008E51BA">
        <w:tab/>
        <w:t>Small scale mammalian cell production facility</w:t>
      </w:r>
    </w:p>
    <w:p w:rsidR="008E51BA" w:rsidRDefault="008E51BA" w:rsidP="008E51BA">
      <w:pPr>
        <w:pStyle w:val="BodyText"/>
      </w:pPr>
      <w:r>
        <w:t xml:space="preserve">On 3 May 2010, the Australian and Queensland governments jointly announced that they would provide a grant of $10 million over four years for the construction of a contract manufacturing facility for biotechnology drugs and therapeutics, to be operated by DSM Biologics, as part of the </w:t>
      </w:r>
      <w:r w:rsidRPr="0082371E">
        <w:t>Translational Research Institute (TRI) at the Princess Alexandra Hospital in Brisbane</w:t>
      </w:r>
      <w:r>
        <w:t xml:space="preserve"> (</w:t>
      </w:r>
      <w:r w:rsidRPr="00813174">
        <w:t>DIISR 2010</w:t>
      </w:r>
      <w:r w:rsidRPr="002551D7">
        <w:t>)</w:t>
      </w:r>
      <w:r>
        <w:t>. The facility is intended to fill an infrastructure gap for Australia’s biotechnology sector, by allowing local companies to make the relatively small quantities of material needed for early-stage clinical trials onshore and increase the number of products commercialised from Australia.</w:t>
      </w:r>
    </w:p>
    <w:p w:rsidR="008E51BA" w:rsidRDefault="008E51BA" w:rsidP="008E51BA">
      <w:pPr>
        <w:pStyle w:val="BodyText"/>
      </w:pPr>
      <w:r>
        <w:t>The project is intended to support the Australian biotechnology sector by turning more research discoveries into treatments for patients and capturing the value of this activity in local jobs and technology transfer. It is intended to give local companies the tools they need to compete internationally and improve Australia’s attractiveness as a location for research and innovation.</w:t>
      </w:r>
    </w:p>
    <w:p w:rsidR="008E51BA" w:rsidRDefault="008E51BA" w:rsidP="008E51BA">
      <w:pPr>
        <w:pStyle w:val="BodyText"/>
      </w:pPr>
      <w:r>
        <w:t xml:space="preserve">Funding for the project has been allocated to the </w:t>
      </w:r>
      <w:r w:rsidRPr="00137D19">
        <w:rPr>
          <w:i/>
        </w:rPr>
        <w:t>Petroleum, coal, chemical and rubber products</w:t>
      </w:r>
      <w:r>
        <w:t xml:space="preserve"> industry grouping in the Commission’s ANZSIC-based classification (table A.9</w:t>
      </w:r>
      <w:r w:rsidR="00C065C1">
        <w:t>8</w:t>
      </w:r>
      <w:r>
        <w:t>).</w:t>
      </w:r>
    </w:p>
    <w:p w:rsidR="008E51BA" w:rsidRDefault="008E51BA" w:rsidP="008E51BA">
      <w:pPr>
        <w:pStyle w:val="TableTitle"/>
      </w:pPr>
      <w:r>
        <w:rPr>
          <w:b w:val="0"/>
        </w:rPr>
        <w:t xml:space="preserve">Table </w:t>
      </w:r>
      <w:r w:rsidR="00FA09C3">
        <w:rPr>
          <w:b w:val="0"/>
        </w:rPr>
        <w:t>A.</w:t>
      </w:r>
      <w:r w:rsidR="00FA09C3">
        <w:rPr>
          <w:b w:val="0"/>
          <w:noProof/>
        </w:rPr>
        <w:t>98</w:t>
      </w:r>
      <w:r>
        <w:tab/>
        <w:t>Allocation of Small scale mammalian cell production facilit</w:t>
      </w:r>
      <w:r w:rsidR="00C057BD">
        <w:t>y</w:t>
      </w:r>
      <w:r w:rsidR="004A45EA">
        <w:br/>
      </w:r>
      <w:r w:rsidR="008F5A92" w:rsidRPr="008F5A92">
        <w:t>to industry</w:t>
      </w:r>
      <w:r>
        <w:t>, 2006</w:t>
      </w:r>
      <w:r>
        <w:noBreakHyphen/>
        <w:t>07 to 2011</w:t>
      </w:r>
      <w:r>
        <w:noBreakHyphen/>
        <w:t>12</w:t>
      </w:r>
    </w:p>
    <w:p w:rsidR="008E51BA" w:rsidRDefault="000E1A26" w:rsidP="008E51BA">
      <w:pPr>
        <w:pStyle w:val="Subtitle"/>
      </w:pPr>
      <w:r>
        <w:t>$ m</w:t>
      </w:r>
      <w:r w:rsidR="008E51BA">
        <w:t xml:space="preserve">illion (nominal) </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8E51BA" w:rsidRPr="00AF699A" w:rsidTr="00CB219A">
        <w:trPr>
          <w:trHeight w:val="340"/>
        </w:trPr>
        <w:tc>
          <w:tcPr>
            <w:tcW w:w="1958" w:type="pct"/>
            <w:tcBorders>
              <w:top w:val="single" w:sz="6" w:space="0" w:color="auto"/>
              <w:bottom w:val="single" w:sz="6" w:space="0" w:color="auto"/>
            </w:tcBorders>
          </w:tcPr>
          <w:p w:rsidR="008E51BA" w:rsidRPr="00AF699A" w:rsidRDefault="008E51BA"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8E51BA" w:rsidRPr="00AF699A" w:rsidRDefault="008E51BA"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8E51BA" w:rsidRPr="00AF699A" w:rsidRDefault="008E51BA"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8E51BA" w:rsidRPr="00AF699A" w:rsidRDefault="008E51BA"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8E51BA" w:rsidRPr="00AF699A" w:rsidRDefault="008E51BA"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8E51BA" w:rsidRPr="00AF699A" w:rsidRDefault="008E51BA" w:rsidP="001B56F1">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8E51BA" w:rsidRPr="00AF699A" w:rsidRDefault="008E51BA" w:rsidP="001B56F1">
            <w:pPr>
              <w:pStyle w:val="TableColumnHeading"/>
              <w:ind w:right="28"/>
              <w:rPr>
                <w:rFonts w:cs="Arial"/>
                <w:sz w:val="18"/>
                <w:szCs w:val="18"/>
              </w:rPr>
            </w:pPr>
            <w:r w:rsidRPr="00AF699A">
              <w:rPr>
                <w:rFonts w:cs="Arial"/>
                <w:sz w:val="18"/>
                <w:szCs w:val="18"/>
              </w:rPr>
              <w:t>2011-12</w:t>
            </w:r>
          </w:p>
        </w:tc>
      </w:tr>
      <w:tr w:rsidR="008E51BA" w:rsidRPr="00D07CF3" w:rsidTr="001B56F1">
        <w:tc>
          <w:tcPr>
            <w:tcW w:w="1958" w:type="pct"/>
            <w:tcBorders>
              <w:bottom w:val="single" w:sz="4" w:space="0" w:color="auto"/>
            </w:tcBorders>
            <w:vAlign w:val="bottom"/>
          </w:tcPr>
          <w:p w:rsidR="008E51BA" w:rsidRPr="0005510D" w:rsidRDefault="008E51BA" w:rsidP="001B56F1">
            <w:pPr>
              <w:pStyle w:val="TableBodyText"/>
              <w:jc w:val="left"/>
            </w:pPr>
            <w:r w:rsidRPr="0005510D">
              <w:t>Petroleum, coal, chemical and rubber products</w:t>
            </w:r>
          </w:p>
        </w:tc>
        <w:tc>
          <w:tcPr>
            <w:tcW w:w="507" w:type="pct"/>
            <w:tcBorders>
              <w:bottom w:val="single" w:sz="4" w:space="0" w:color="auto"/>
            </w:tcBorders>
            <w:vAlign w:val="bottom"/>
          </w:tcPr>
          <w:p w:rsidR="008E51BA" w:rsidRPr="0005510D" w:rsidRDefault="008E51BA" w:rsidP="001B56F1">
            <w:pPr>
              <w:pStyle w:val="TableBodyText"/>
            </w:pPr>
            <w:r>
              <w:noBreakHyphen/>
            </w:r>
          </w:p>
        </w:tc>
        <w:tc>
          <w:tcPr>
            <w:tcW w:w="507" w:type="pct"/>
            <w:tcBorders>
              <w:bottom w:val="single" w:sz="4" w:space="0" w:color="auto"/>
            </w:tcBorders>
            <w:vAlign w:val="bottom"/>
          </w:tcPr>
          <w:p w:rsidR="008E51BA" w:rsidRPr="0005510D" w:rsidRDefault="008E51BA" w:rsidP="001B56F1">
            <w:pPr>
              <w:pStyle w:val="TableBodyText"/>
            </w:pPr>
            <w:r>
              <w:noBreakHyphen/>
            </w:r>
          </w:p>
        </w:tc>
        <w:tc>
          <w:tcPr>
            <w:tcW w:w="507" w:type="pct"/>
            <w:tcBorders>
              <w:bottom w:val="single" w:sz="4" w:space="0" w:color="auto"/>
            </w:tcBorders>
            <w:vAlign w:val="bottom"/>
          </w:tcPr>
          <w:p w:rsidR="008E51BA" w:rsidRPr="0005510D" w:rsidRDefault="008E51BA" w:rsidP="001B56F1">
            <w:pPr>
              <w:pStyle w:val="TableBodyText"/>
            </w:pPr>
            <w:r>
              <w:noBreakHyphen/>
            </w:r>
          </w:p>
        </w:tc>
        <w:tc>
          <w:tcPr>
            <w:tcW w:w="507" w:type="pct"/>
            <w:tcBorders>
              <w:bottom w:val="single" w:sz="4" w:space="0" w:color="auto"/>
            </w:tcBorders>
            <w:vAlign w:val="bottom"/>
          </w:tcPr>
          <w:p w:rsidR="008E51BA" w:rsidRPr="0005510D" w:rsidRDefault="008E51BA" w:rsidP="001B56F1">
            <w:pPr>
              <w:pStyle w:val="TableBodyText"/>
            </w:pPr>
            <w:r w:rsidRPr="0005510D">
              <w:t>1</w:t>
            </w:r>
            <w:r>
              <w:t>.0</w:t>
            </w:r>
          </w:p>
        </w:tc>
        <w:tc>
          <w:tcPr>
            <w:tcW w:w="507" w:type="pct"/>
            <w:tcBorders>
              <w:bottom w:val="single" w:sz="4" w:space="0" w:color="auto"/>
            </w:tcBorders>
            <w:shd w:val="clear" w:color="auto" w:fill="auto"/>
            <w:vAlign w:val="bottom"/>
          </w:tcPr>
          <w:p w:rsidR="008E51BA" w:rsidRPr="0005510D" w:rsidRDefault="008E51BA" w:rsidP="001B56F1">
            <w:pPr>
              <w:pStyle w:val="TableBodyText"/>
            </w:pPr>
            <w:r w:rsidRPr="0005510D">
              <w:t>1</w:t>
            </w:r>
            <w:r>
              <w:t>.0</w:t>
            </w:r>
          </w:p>
        </w:tc>
        <w:tc>
          <w:tcPr>
            <w:tcW w:w="507" w:type="pct"/>
            <w:tcBorders>
              <w:bottom w:val="single" w:sz="4" w:space="0" w:color="auto"/>
            </w:tcBorders>
            <w:shd w:val="clear" w:color="auto" w:fill="auto"/>
            <w:vAlign w:val="bottom"/>
          </w:tcPr>
          <w:p w:rsidR="008E51BA" w:rsidRPr="0005510D" w:rsidRDefault="008E51BA" w:rsidP="001B56F1">
            <w:pPr>
              <w:pStyle w:val="TableBodyText"/>
            </w:pPr>
            <w:r w:rsidRPr="0005510D">
              <w:t>4</w:t>
            </w:r>
            <w:r>
              <w:t>.0</w:t>
            </w:r>
          </w:p>
        </w:tc>
      </w:tr>
    </w:tbl>
    <w:p w:rsidR="008E51BA" w:rsidRDefault="008E51BA" w:rsidP="008E51BA">
      <w:pPr>
        <w:pStyle w:val="Note"/>
      </w:pPr>
      <w:r w:rsidRPr="00A2379F">
        <w:noBreakHyphen/>
        <w:t xml:space="preserve"> </w:t>
      </w:r>
      <w:r>
        <w:t>Nil.</w:t>
      </w:r>
    </w:p>
    <w:p w:rsidR="008E51BA" w:rsidRPr="008E77FE" w:rsidRDefault="008E51BA" w:rsidP="008E51BA">
      <w:pPr>
        <w:pStyle w:val="Source"/>
      </w:pPr>
      <w:r>
        <w:rPr>
          <w:i/>
        </w:rPr>
        <w:t>Source</w:t>
      </w:r>
      <w:r>
        <w:t>: Commission estimates based on detailed DIISR data by ANZSIC industry.</w:t>
      </w:r>
    </w:p>
    <w:p w:rsidR="007320E0" w:rsidRDefault="00FA09C3" w:rsidP="007320E0">
      <w:pPr>
        <w:pStyle w:val="Heading2"/>
      </w:pPr>
      <w:r>
        <w:t>A.</w:t>
      </w:r>
      <w:r>
        <w:rPr>
          <w:noProof/>
        </w:rPr>
        <w:t>99</w:t>
      </w:r>
      <w:r w:rsidR="007320E0">
        <w:tab/>
        <w:t>Forest and Wood Products Research and Development Corporation</w:t>
      </w:r>
    </w:p>
    <w:p w:rsidR="007320E0" w:rsidRDefault="007320E0" w:rsidP="007320E0">
      <w:pPr>
        <w:pStyle w:val="BodyText"/>
      </w:pPr>
      <w:r>
        <w:t xml:space="preserve">The Forest and Wood Products Research and Development Corporation (FWPRDC) is a statutory authority established in 1994 under the </w:t>
      </w:r>
      <w:r w:rsidRPr="00BE1CD3">
        <w:rPr>
          <w:i/>
        </w:rPr>
        <w:t>Primary Industries and Energy Research and Development Act 1989.</w:t>
      </w:r>
      <w:r>
        <w:t xml:space="preserve"> The FWPRDC facilitates the undertaking of research and aims to improve the competitiveness and sustainability of the Australian forest and wood products industry. The FWPRDC is jointly funded by an industry levy and </w:t>
      </w:r>
      <w:r w:rsidR="00411E67">
        <w:t xml:space="preserve">Australian </w:t>
      </w:r>
      <w:r>
        <w:t>Government contributions.</w:t>
      </w:r>
    </w:p>
    <w:p w:rsidR="007320E0" w:rsidRDefault="007320E0" w:rsidP="007320E0">
      <w:pPr>
        <w:pStyle w:val="BodyText"/>
      </w:pPr>
      <w:r>
        <w:t xml:space="preserve">Funding for FWPRDC </w:t>
      </w:r>
      <w:r w:rsidRPr="003F5E03">
        <w:t xml:space="preserve">has been allocated between the </w:t>
      </w:r>
      <w:r w:rsidRPr="003F5E03">
        <w:rPr>
          <w:i/>
        </w:rPr>
        <w:t xml:space="preserve">Forestry </w:t>
      </w:r>
      <w:r>
        <w:rPr>
          <w:i/>
        </w:rPr>
        <w:t>and</w:t>
      </w:r>
      <w:r w:rsidRPr="003F5E03">
        <w:rPr>
          <w:i/>
        </w:rPr>
        <w:t xml:space="preserve"> logging</w:t>
      </w:r>
      <w:r w:rsidRPr="003F5E03">
        <w:t xml:space="preserve"> and </w:t>
      </w:r>
      <w:r w:rsidRPr="003F5E03">
        <w:rPr>
          <w:i/>
        </w:rPr>
        <w:t xml:space="preserve">Wood </w:t>
      </w:r>
      <w:r>
        <w:rPr>
          <w:i/>
        </w:rPr>
        <w:t>and</w:t>
      </w:r>
      <w:r w:rsidRPr="003F5E03">
        <w:rPr>
          <w:i/>
        </w:rPr>
        <w:t xml:space="preserve"> paper products</w:t>
      </w:r>
      <w:r>
        <w:t xml:space="preserve"> industry groupings in the Commission’s </w:t>
      </w:r>
      <w:r w:rsidRPr="003F5E03">
        <w:t xml:space="preserve">ANZSIC-based </w:t>
      </w:r>
      <w:r>
        <w:t>classification. To allocate funding to these groupings, the Commission has examined individual commitments of the Corporation, such as market access development, solid wood processing and sustainability and resources. Commitments that appear to predominantly assist one industry have been wholly allocated to that industry grouping, while commitments that appear to assist both industries have been split equally between each industry grouping (table A.9</w:t>
      </w:r>
      <w:r w:rsidR="00C065C1">
        <w:t>9</w:t>
      </w:r>
      <w:r>
        <w:t>). Expenditure levels for each commitment have been obtained from FWPRDC annual reports.</w:t>
      </w:r>
    </w:p>
    <w:p w:rsidR="007320E0" w:rsidRDefault="007320E0" w:rsidP="007320E0">
      <w:pPr>
        <w:pStyle w:val="TableTitle"/>
      </w:pPr>
      <w:r>
        <w:rPr>
          <w:b w:val="0"/>
        </w:rPr>
        <w:t xml:space="preserve">Table </w:t>
      </w:r>
      <w:r w:rsidR="00FA09C3">
        <w:rPr>
          <w:b w:val="0"/>
        </w:rPr>
        <w:t>A.</w:t>
      </w:r>
      <w:r w:rsidR="00FA09C3">
        <w:rPr>
          <w:b w:val="0"/>
          <w:noProof/>
        </w:rPr>
        <w:t>99</w:t>
      </w:r>
      <w:r>
        <w:tab/>
        <w:t xml:space="preserve">Allocation of Forest and Wood Products Research and Development Corporation funding </w:t>
      </w:r>
      <w:r w:rsidR="008F5A92" w:rsidRPr="008F5A92">
        <w:t>to industry</w:t>
      </w:r>
      <w:r>
        <w:t>, 2006</w:t>
      </w:r>
      <w:r>
        <w:noBreakHyphen/>
        <w:t>07 to 2011</w:t>
      </w:r>
      <w:r>
        <w:noBreakHyphen/>
        <w:t>12</w:t>
      </w:r>
    </w:p>
    <w:p w:rsidR="007320E0" w:rsidRDefault="007320E0" w:rsidP="007320E0">
      <w:pPr>
        <w:pStyle w:val="Subtitle"/>
      </w:pPr>
      <w:r>
        <w:t>$ million (nominal)</w:t>
      </w:r>
    </w:p>
    <w:tbl>
      <w:tblPr>
        <w:tblW w:w="5000" w:type="pct"/>
        <w:tblCellMar>
          <w:left w:w="0" w:type="dxa"/>
          <w:right w:w="0" w:type="dxa"/>
        </w:tblCellMar>
        <w:tblLook w:val="0000" w:firstRow="0" w:lastRow="0" w:firstColumn="0" w:lastColumn="0" w:noHBand="0" w:noVBand="0"/>
      </w:tblPr>
      <w:tblGrid>
        <w:gridCol w:w="3443"/>
        <w:gridCol w:w="893"/>
        <w:gridCol w:w="893"/>
        <w:gridCol w:w="893"/>
        <w:gridCol w:w="893"/>
        <w:gridCol w:w="893"/>
        <w:gridCol w:w="881"/>
      </w:tblGrid>
      <w:tr w:rsidR="007320E0" w:rsidRPr="00A24299" w:rsidTr="001B56F1">
        <w:trPr>
          <w:trHeight w:val="227"/>
        </w:trPr>
        <w:tc>
          <w:tcPr>
            <w:tcW w:w="1959" w:type="pct"/>
            <w:tcBorders>
              <w:top w:val="single" w:sz="6" w:space="0" w:color="auto"/>
              <w:bottom w:val="single" w:sz="6" w:space="0" w:color="auto"/>
            </w:tcBorders>
          </w:tcPr>
          <w:p w:rsidR="007320E0" w:rsidRPr="00D73AF8" w:rsidRDefault="007320E0" w:rsidP="001B56F1">
            <w:pPr>
              <w:pStyle w:val="TableColumnHeading"/>
              <w:jc w:val="left"/>
              <w:rPr>
                <w:sz w:val="18"/>
                <w:szCs w:val="18"/>
              </w:rPr>
            </w:pPr>
            <w:r w:rsidRPr="00D73AF8">
              <w:rPr>
                <w:sz w:val="18"/>
                <w:szCs w:val="18"/>
              </w:rPr>
              <w:t>Industry grouping</w:t>
            </w:r>
          </w:p>
        </w:tc>
        <w:tc>
          <w:tcPr>
            <w:tcW w:w="508" w:type="pct"/>
            <w:tcBorders>
              <w:top w:val="single" w:sz="6" w:space="0" w:color="auto"/>
              <w:bottom w:val="single" w:sz="6" w:space="0" w:color="auto"/>
            </w:tcBorders>
          </w:tcPr>
          <w:p w:rsidR="007320E0" w:rsidRPr="00D73AF8" w:rsidRDefault="007320E0" w:rsidP="001B56F1">
            <w:pPr>
              <w:pStyle w:val="TableColumnHeading"/>
              <w:ind w:right="28"/>
              <w:rPr>
                <w:sz w:val="18"/>
                <w:szCs w:val="18"/>
              </w:rPr>
            </w:pPr>
            <w:r w:rsidRPr="00D73AF8">
              <w:rPr>
                <w:sz w:val="18"/>
                <w:szCs w:val="18"/>
              </w:rPr>
              <w:t>2006-07</w:t>
            </w:r>
          </w:p>
        </w:tc>
        <w:tc>
          <w:tcPr>
            <w:tcW w:w="508" w:type="pct"/>
            <w:tcBorders>
              <w:top w:val="single" w:sz="6" w:space="0" w:color="auto"/>
              <w:bottom w:val="single" w:sz="6" w:space="0" w:color="auto"/>
            </w:tcBorders>
          </w:tcPr>
          <w:p w:rsidR="007320E0" w:rsidRPr="00D73AF8" w:rsidRDefault="007320E0" w:rsidP="001B56F1">
            <w:pPr>
              <w:pStyle w:val="TableColumnHeading"/>
              <w:ind w:right="28"/>
              <w:rPr>
                <w:sz w:val="18"/>
                <w:szCs w:val="18"/>
              </w:rPr>
            </w:pPr>
            <w:r w:rsidRPr="00D73AF8">
              <w:rPr>
                <w:sz w:val="18"/>
                <w:szCs w:val="18"/>
              </w:rPr>
              <w:t>2007-08</w:t>
            </w:r>
          </w:p>
        </w:tc>
        <w:tc>
          <w:tcPr>
            <w:tcW w:w="508" w:type="pct"/>
            <w:tcBorders>
              <w:top w:val="single" w:sz="6" w:space="0" w:color="auto"/>
              <w:bottom w:val="single" w:sz="6" w:space="0" w:color="auto"/>
            </w:tcBorders>
          </w:tcPr>
          <w:p w:rsidR="007320E0" w:rsidRPr="00D73AF8" w:rsidRDefault="007320E0" w:rsidP="001B56F1">
            <w:pPr>
              <w:pStyle w:val="TableColumnHeading"/>
              <w:ind w:right="28"/>
              <w:rPr>
                <w:sz w:val="18"/>
                <w:szCs w:val="18"/>
              </w:rPr>
            </w:pPr>
            <w:r w:rsidRPr="00D73AF8">
              <w:rPr>
                <w:sz w:val="18"/>
                <w:szCs w:val="18"/>
              </w:rPr>
              <w:t>2008-09</w:t>
            </w:r>
          </w:p>
        </w:tc>
        <w:tc>
          <w:tcPr>
            <w:tcW w:w="508" w:type="pct"/>
            <w:tcBorders>
              <w:top w:val="single" w:sz="6" w:space="0" w:color="auto"/>
              <w:bottom w:val="single" w:sz="6" w:space="0" w:color="auto"/>
            </w:tcBorders>
            <w:shd w:val="clear" w:color="auto" w:fill="auto"/>
          </w:tcPr>
          <w:p w:rsidR="007320E0" w:rsidRPr="00D73AF8" w:rsidRDefault="007320E0" w:rsidP="001B56F1">
            <w:pPr>
              <w:pStyle w:val="TableColumnHeading"/>
              <w:ind w:right="28"/>
              <w:rPr>
                <w:sz w:val="18"/>
                <w:szCs w:val="18"/>
              </w:rPr>
            </w:pPr>
            <w:r w:rsidRPr="00D73AF8">
              <w:rPr>
                <w:sz w:val="18"/>
                <w:szCs w:val="18"/>
              </w:rPr>
              <w:t>2009-10</w:t>
            </w:r>
          </w:p>
        </w:tc>
        <w:tc>
          <w:tcPr>
            <w:tcW w:w="508" w:type="pct"/>
            <w:tcBorders>
              <w:top w:val="single" w:sz="6" w:space="0" w:color="auto"/>
              <w:bottom w:val="single" w:sz="6" w:space="0" w:color="auto"/>
            </w:tcBorders>
            <w:shd w:val="clear" w:color="auto" w:fill="auto"/>
          </w:tcPr>
          <w:p w:rsidR="007320E0" w:rsidRPr="00D73AF8" w:rsidRDefault="007320E0" w:rsidP="001B56F1">
            <w:pPr>
              <w:pStyle w:val="TableColumnHeading"/>
              <w:ind w:right="28"/>
              <w:rPr>
                <w:sz w:val="18"/>
                <w:szCs w:val="18"/>
              </w:rPr>
            </w:pPr>
            <w:r w:rsidRPr="00D73AF8">
              <w:rPr>
                <w:sz w:val="18"/>
                <w:szCs w:val="18"/>
              </w:rPr>
              <w:t>2010-11</w:t>
            </w:r>
          </w:p>
        </w:tc>
        <w:tc>
          <w:tcPr>
            <w:tcW w:w="501" w:type="pct"/>
            <w:tcBorders>
              <w:top w:val="single" w:sz="6" w:space="0" w:color="auto"/>
              <w:bottom w:val="single" w:sz="6" w:space="0" w:color="auto"/>
            </w:tcBorders>
            <w:shd w:val="clear" w:color="auto" w:fill="auto"/>
          </w:tcPr>
          <w:p w:rsidR="007320E0" w:rsidRPr="00D73AF8" w:rsidRDefault="007320E0" w:rsidP="001B56F1">
            <w:pPr>
              <w:pStyle w:val="TableColumnHeading"/>
              <w:ind w:right="28"/>
              <w:rPr>
                <w:sz w:val="18"/>
                <w:szCs w:val="18"/>
              </w:rPr>
            </w:pPr>
            <w:r w:rsidRPr="00D73AF8">
              <w:rPr>
                <w:sz w:val="18"/>
                <w:szCs w:val="18"/>
              </w:rPr>
              <w:t>2011-12</w:t>
            </w:r>
          </w:p>
        </w:tc>
      </w:tr>
      <w:tr w:rsidR="007320E0" w:rsidTr="001B56F1">
        <w:trPr>
          <w:trHeight w:val="227"/>
        </w:trPr>
        <w:tc>
          <w:tcPr>
            <w:tcW w:w="1959" w:type="pct"/>
            <w:tcBorders>
              <w:top w:val="single" w:sz="6" w:space="0" w:color="auto"/>
            </w:tcBorders>
            <w:vAlign w:val="bottom"/>
          </w:tcPr>
          <w:p w:rsidR="007320E0" w:rsidRPr="00D73AF8" w:rsidRDefault="007320E0" w:rsidP="001B56F1">
            <w:pPr>
              <w:pStyle w:val="TableBodyText"/>
              <w:jc w:val="left"/>
            </w:pPr>
            <w:r w:rsidRPr="00D73AF8">
              <w:t>Forestry and logging</w:t>
            </w:r>
          </w:p>
        </w:tc>
        <w:tc>
          <w:tcPr>
            <w:tcW w:w="508" w:type="pct"/>
            <w:tcBorders>
              <w:top w:val="single" w:sz="6" w:space="0" w:color="auto"/>
            </w:tcBorders>
            <w:vAlign w:val="bottom"/>
          </w:tcPr>
          <w:p w:rsidR="007320E0" w:rsidRPr="00D73AF8" w:rsidRDefault="007320E0" w:rsidP="001B56F1">
            <w:pPr>
              <w:pStyle w:val="TableBodyText"/>
            </w:pPr>
            <w:r w:rsidRPr="00D73AF8">
              <w:t>1.8</w:t>
            </w:r>
          </w:p>
        </w:tc>
        <w:tc>
          <w:tcPr>
            <w:tcW w:w="508" w:type="pct"/>
            <w:tcBorders>
              <w:top w:val="single" w:sz="6" w:space="0" w:color="auto"/>
            </w:tcBorders>
            <w:vAlign w:val="bottom"/>
          </w:tcPr>
          <w:p w:rsidR="007320E0" w:rsidRPr="00D73AF8" w:rsidRDefault="007320E0" w:rsidP="001B56F1">
            <w:pPr>
              <w:pStyle w:val="TableBodyText"/>
            </w:pPr>
            <w:r w:rsidRPr="00D73AF8">
              <w:t>2.0</w:t>
            </w:r>
          </w:p>
        </w:tc>
        <w:tc>
          <w:tcPr>
            <w:tcW w:w="508" w:type="pct"/>
            <w:tcBorders>
              <w:top w:val="single" w:sz="6" w:space="0" w:color="auto"/>
            </w:tcBorders>
            <w:vAlign w:val="bottom"/>
          </w:tcPr>
          <w:p w:rsidR="007320E0" w:rsidRPr="00D73AF8" w:rsidRDefault="007320E0" w:rsidP="001B56F1">
            <w:pPr>
              <w:pStyle w:val="TableBodyText"/>
            </w:pPr>
            <w:r w:rsidRPr="00D73AF8">
              <w:t>2.1</w:t>
            </w:r>
          </w:p>
        </w:tc>
        <w:tc>
          <w:tcPr>
            <w:tcW w:w="508" w:type="pct"/>
            <w:tcBorders>
              <w:top w:val="single" w:sz="6" w:space="0" w:color="auto"/>
            </w:tcBorders>
            <w:vAlign w:val="bottom"/>
          </w:tcPr>
          <w:p w:rsidR="007320E0" w:rsidRPr="00D73AF8" w:rsidRDefault="007320E0" w:rsidP="001B56F1">
            <w:pPr>
              <w:pStyle w:val="TableBodyText"/>
            </w:pPr>
            <w:r w:rsidRPr="00D73AF8">
              <w:t>1.8</w:t>
            </w:r>
          </w:p>
        </w:tc>
        <w:tc>
          <w:tcPr>
            <w:tcW w:w="508" w:type="pct"/>
            <w:tcBorders>
              <w:top w:val="single" w:sz="6" w:space="0" w:color="auto"/>
            </w:tcBorders>
            <w:vAlign w:val="bottom"/>
          </w:tcPr>
          <w:p w:rsidR="007320E0" w:rsidRPr="00D73AF8" w:rsidRDefault="007320E0" w:rsidP="001B56F1">
            <w:pPr>
              <w:pStyle w:val="TableBodyText"/>
            </w:pPr>
            <w:r w:rsidRPr="00D73AF8">
              <w:t>2.6</w:t>
            </w:r>
          </w:p>
        </w:tc>
        <w:tc>
          <w:tcPr>
            <w:tcW w:w="501" w:type="pct"/>
            <w:tcBorders>
              <w:top w:val="single" w:sz="6" w:space="0" w:color="auto"/>
            </w:tcBorders>
            <w:vAlign w:val="bottom"/>
          </w:tcPr>
          <w:p w:rsidR="007320E0" w:rsidRPr="00D73AF8" w:rsidRDefault="007320E0" w:rsidP="001B56F1">
            <w:pPr>
              <w:pStyle w:val="TableBodyText"/>
            </w:pPr>
            <w:r w:rsidRPr="00D73AF8">
              <w:t>2.4</w:t>
            </w:r>
          </w:p>
        </w:tc>
      </w:tr>
      <w:tr w:rsidR="007320E0" w:rsidTr="001B56F1">
        <w:trPr>
          <w:trHeight w:val="227"/>
        </w:trPr>
        <w:tc>
          <w:tcPr>
            <w:tcW w:w="1959" w:type="pct"/>
            <w:vAlign w:val="bottom"/>
          </w:tcPr>
          <w:p w:rsidR="007320E0" w:rsidRPr="00D73AF8" w:rsidRDefault="007320E0" w:rsidP="001B56F1">
            <w:pPr>
              <w:pStyle w:val="TableBodyText"/>
              <w:jc w:val="left"/>
              <w:rPr>
                <w:bCs/>
              </w:rPr>
            </w:pPr>
            <w:r w:rsidRPr="00D73AF8">
              <w:rPr>
                <w:bCs/>
              </w:rPr>
              <w:t>Wood and paper products</w:t>
            </w:r>
          </w:p>
        </w:tc>
        <w:tc>
          <w:tcPr>
            <w:tcW w:w="508" w:type="pct"/>
            <w:vAlign w:val="bottom"/>
          </w:tcPr>
          <w:p w:rsidR="007320E0" w:rsidRPr="00D73AF8" w:rsidRDefault="007320E0" w:rsidP="001B56F1">
            <w:pPr>
              <w:pStyle w:val="TableBodyText"/>
            </w:pPr>
            <w:r w:rsidRPr="00D73AF8">
              <w:t>1.2</w:t>
            </w:r>
          </w:p>
        </w:tc>
        <w:tc>
          <w:tcPr>
            <w:tcW w:w="508" w:type="pct"/>
            <w:vAlign w:val="bottom"/>
          </w:tcPr>
          <w:p w:rsidR="007320E0" w:rsidRPr="00D73AF8" w:rsidRDefault="007320E0" w:rsidP="001B56F1">
            <w:pPr>
              <w:pStyle w:val="TableBodyText"/>
            </w:pPr>
            <w:r w:rsidRPr="00D73AF8">
              <w:t>1.4</w:t>
            </w:r>
          </w:p>
        </w:tc>
        <w:tc>
          <w:tcPr>
            <w:tcW w:w="508" w:type="pct"/>
            <w:vAlign w:val="bottom"/>
          </w:tcPr>
          <w:p w:rsidR="007320E0" w:rsidRPr="00D73AF8" w:rsidRDefault="007320E0" w:rsidP="001B56F1">
            <w:pPr>
              <w:pStyle w:val="TableBodyText"/>
            </w:pPr>
            <w:r w:rsidRPr="00D73AF8">
              <w:t>1.7</w:t>
            </w:r>
          </w:p>
        </w:tc>
        <w:tc>
          <w:tcPr>
            <w:tcW w:w="508" w:type="pct"/>
            <w:shd w:val="clear" w:color="auto" w:fill="auto"/>
            <w:vAlign w:val="bottom"/>
          </w:tcPr>
          <w:p w:rsidR="007320E0" w:rsidRPr="00D73AF8" w:rsidRDefault="007320E0" w:rsidP="001B56F1">
            <w:pPr>
              <w:pStyle w:val="TableBodyText"/>
            </w:pPr>
            <w:r w:rsidRPr="00D73AF8">
              <w:t>1.7</w:t>
            </w:r>
          </w:p>
        </w:tc>
        <w:tc>
          <w:tcPr>
            <w:tcW w:w="508" w:type="pct"/>
            <w:shd w:val="clear" w:color="auto" w:fill="auto"/>
            <w:vAlign w:val="bottom"/>
          </w:tcPr>
          <w:p w:rsidR="007320E0" w:rsidRPr="00D73AF8" w:rsidRDefault="007320E0" w:rsidP="001B56F1">
            <w:pPr>
              <w:pStyle w:val="TableBodyText"/>
            </w:pPr>
            <w:r w:rsidRPr="00D73AF8">
              <w:t>1.8</w:t>
            </w:r>
          </w:p>
        </w:tc>
        <w:tc>
          <w:tcPr>
            <w:tcW w:w="501" w:type="pct"/>
            <w:shd w:val="clear" w:color="auto" w:fill="auto"/>
            <w:vAlign w:val="bottom"/>
          </w:tcPr>
          <w:p w:rsidR="007320E0" w:rsidRPr="00D73AF8" w:rsidRDefault="007320E0" w:rsidP="001B56F1">
            <w:pPr>
              <w:pStyle w:val="TableBodyText"/>
            </w:pPr>
            <w:r w:rsidRPr="00D73AF8">
              <w:t>1.5</w:t>
            </w:r>
          </w:p>
        </w:tc>
      </w:tr>
      <w:tr w:rsidR="007320E0" w:rsidTr="001B56F1">
        <w:trPr>
          <w:trHeight w:val="227"/>
        </w:trPr>
        <w:tc>
          <w:tcPr>
            <w:tcW w:w="1959" w:type="pct"/>
            <w:tcBorders>
              <w:bottom w:val="single" w:sz="4" w:space="0" w:color="auto"/>
            </w:tcBorders>
            <w:vAlign w:val="bottom"/>
          </w:tcPr>
          <w:p w:rsidR="007320E0" w:rsidRPr="00D73AF8" w:rsidRDefault="007320E0" w:rsidP="001B56F1">
            <w:pPr>
              <w:pStyle w:val="TableBodyText"/>
              <w:jc w:val="left"/>
              <w:rPr>
                <w:b/>
                <w:bCs/>
              </w:rPr>
            </w:pPr>
            <w:r w:rsidRPr="00D73AF8">
              <w:rPr>
                <w:b/>
                <w:bCs/>
              </w:rPr>
              <w:t>Total</w:t>
            </w:r>
          </w:p>
        </w:tc>
        <w:tc>
          <w:tcPr>
            <w:tcW w:w="508" w:type="pct"/>
            <w:tcBorders>
              <w:bottom w:val="single" w:sz="4" w:space="0" w:color="auto"/>
            </w:tcBorders>
            <w:vAlign w:val="bottom"/>
          </w:tcPr>
          <w:p w:rsidR="007320E0" w:rsidRPr="00D73AF8" w:rsidRDefault="007320E0" w:rsidP="001B56F1">
            <w:pPr>
              <w:pStyle w:val="TableBodyText"/>
              <w:rPr>
                <w:b/>
              </w:rPr>
            </w:pPr>
            <w:r w:rsidRPr="00D73AF8">
              <w:rPr>
                <w:b/>
              </w:rPr>
              <w:t>3.0</w:t>
            </w:r>
          </w:p>
        </w:tc>
        <w:tc>
          <w:tcPr>
            <w:tcW w:w="508" w:type="pct"/>
            <w:tcBorders>
              <w:bottom w:val="single" w:sz="4" w:space="0" w:color="auto"/>
            </w:tcBorders>
            <w:vAlign w:val="bottom"/>
          </w:tcPr>
          <w:p w:rsidR="007320E0" w:rsidRPr="00D73AF8" w:rsidRDefault="007320E0" w:rsidP="001B56F1">
            <w:pPr>
              <w:pStyle w:val="TableBodyText"/>
              <w:rPr>
                <w:b/>
              </w:rPr>
            </w:pPr>
            <w:r w:rsidRPr="00D73AF8">
              <w:rPr>
                <w:b/>
              </w:rPr>
              <w:t>3.4</w:t>
            </w:r>
          </w:p>
        </w:tc>
        <w:tc>
          <w:tcPr>
            <w:tcW w:w="508" w:type="pct"/>
            <w:tcBorders>
              <w:bottom w:val="single" w:sz="4" w:space="0" w:color="auto"/>
            </w:tcBorders>
            <w:vAlign w:val="bottom"/>
          </w:tcPr>
          <w:p w:rsidR="007320E0" w:rsidRPr="00D73AF8" w:rsidRDefault="007320E0" w:rsidP="001B56F1">
            <w:pPr>
              <w:pStyle w:val="TableBodyText"/>
              <w:rPr>
                <w:b/>
              </w:rPr>
            </w:pPr>
            <w:r w:rsidRPr="00D73AF8">
              <w:rPr>
                <w:b/>
              </w:rPr>
              <w:t>3.7</w:t>
            </w:r>
          </w:p>
        </w:tc>
        <w:tc>
          <w:tcPr>
            <w:tcW w:w="508" w:type="pct"/>
            <w:tcBorders>
              <w:bottom w:val="single" w:sz="4" w:space="0" w:color="auto"/>
            </w:tcBorders>
            <w:shd w:val="clear" w:color="auto" w:fill="auto"/>
            <w:vAlign w:val="bottom"/>
          </w:tcPr>
          <w:p w:rsidR="007320E0" w:rsidRPr="00D73AF8" w:rsidRDefault="007320E0" w:rsidP="001B56F1">
            <w:pPr>
              <w:pStyle w:val="TableBodyText"/>
              <w:rPr>
                <w:b/>
              </w:rPr>
            </w:pPr>
            <w:r w:rsidRPr="00D73AF8">
              <w:rPr>
                <w:b/>
              </w:rPr>
              <w:t>3.5</w:t>
            </w:r>
          </w:p>
        </w:tc>
        <w:tc>
          <w:tcPr>
            <w:tcW w:w="508" w:type="pct"/>
            <w:tcBorders>
              <w:bottom w:val="single" w:sz="4" w:space="0" w:color="auto"/>
            </w:tcBorders>
            <w:shd w:val="clear" w:color="auto" w:fill="auto"/>
            <w:vAlign w:val="bottom"/>
          </w:tcPr>
          <w:p w:rsidR="007320E0" w:rsidRPr="00D73AF8" w:rsidRDefault="007320E0" w:rsidP="001B56F1">
            <w:pPr>
              <w:pStyle w:val="TableBodyText"/>
              <w:rPr>
                <w:b/>
              </w:rPr>
            </w:pPr>
            <w:r w:rsidRPr="00D73AF8">
              <w:rPr>
                <w:b/>
              </w:rPr>
              <w:t>4.4</w:t>
            </w:r>
          </w:p>
        </w:tc>
        <w:tc>
          <w:tcPr>
            <w:tcW w:w="501" w:type="pct"/>
            <w:tcBorders>
              <w:bottom w:val="single" w:sz="4" w:space="0" w:color="auto"/>
            </w:tcBorders>
            <w:shd w:val="clear" w:color="auto" w:fill="auto"/>
            <w:vAlign w:val="bottom"/>
          </w:tcPr>
          <w:p w:rsidR="007320E0" w:rsidRPr="00D73AF8" w:rsidRDefault="007320E0" w:rsidP="001B56F1">
            <w:pPr>
              <w:pStyle w:val="TableBodyText"/>
              <w:rPr>
                <w:b/>
              </w:rPr>
            </w:pPr>
            <w:r w:rsidRPr="00D73AF8">
              <w:rPr>
                <w:b/>
              </w:rPr>
              <w:t>3.9</w:t>
            </w:r>
          </w:p>
        </w:tc>
      </w:tr>
    </w:tbl>
    <w:p w:rsidR="007320E0" w:rsidRDefault="007320E0" w:rsidP="007320E0">
      <w:pPr>
        <w:pStyle w:val="Note"/>
      </w:pPr>
      <w:r w:rsidRPr="008E77FE">
        <w:rPr>
          <w:rStyle w:val="NoteLabel"/>
        </w:rPr>
        <w:t>a</w:t>
      </w:r>
      <w:r w:rsidRPr="00EC408E">
        <w:t xml:space="preserve"> Unallocated includes general programs where details of beneficiaries are unknown</w:t>
      </w:r>
      <w:r>
        <w:t>.</w:t>
      </w:r>
    </w:p>
    <w:p w:rsidR="007320E0" w:rsidRPr="008E77FE" w:rsidRDefault="007320E0" w:rsidP="007320E0">
      <w:pPr>
        <w:pStyle w:val="Source"/>
      </w:pPr>
      <w:r>
        <w:rPr>
          <w:i/>
        </w:rPr>
        <w:t>Sources</w:t>
      </w:r>
      <w:r>
        <w:t>: Commission estimates based on Forest and Wood Products Australia Annual Report 2011</w:t>
      </w:r>
      <w:r>
        <w:noBreakHyphen/>
        <w:t>12 (and earlier years); and Forest and Wood Products Research and Development Corporation Annual Report 2006</w:t>
      </w:r>
      <w:r>
        <w:noBreakHyphen/>
        <w:t>07 (and earlier years).</w:t>
      </w:r>
    </w:p>
    <w:p w:rsidR="00F05BB6" w:rsidRDefault="00FA09C3" w:rsidP="00F05BB6">
      <w:pPr>
        <w:pStyle w:val="Heading2"/>
      </w:pPr>
      <w:r>
        <w:t>A.</w:t>
      </w:r>
      <w:r>
        <w:rPr>
          <w:noProof/>
        </w:rPr>
        <w:t>100</w:t>
      </w:r>
      <w:r w:rsidR="00F05BB6">
        <w:tab/>
        <w:t>Tasmanian Innovation and Investment Fund</w:t>
      </w:r>
    </w:p>
    <w:p w:rsidR="00F05BB6" w:rsidRPr="00E16DD5" w:rsidRDefault="00F05BB6" w:rsidP="00F05BB6">
      <w:pPr>
        <w:pStyle w:val="BodyText"/>
      </w:pPr>
      <w:r w:rsidRPr="00A6269E">
        <w:t xml:space="preserve">The </w:t>
      </w:r>
      <w:r>
        <w:t>Tasmanian Innovation and Investment Fund (TIIF)</w:t>
      </w:r>
      <w:r w:rsidRPr="00A6269E">
        <w:t xml:space="preserve"> is </w:t>
      </w:r>
      <w:r>
        <w:t xml:space="preserve">an $8 million </w:t>
      </w:r>
      <w:r w:rsidRPr="00A6269E">
        <w:t>competitive, merit</w:t>
      </w:r>
      <w:r>
        <w:noBreakHyphen/>
      </w:r>
      <w:r w:rsidRPr="00A6269E">
        <w:t xml:space="preserve">based program </w:t>
      </w:r>
      <w:r>
        <w:t xml:space="preserve">that </w:t>
      </w:r>
      <w:r w:rsidRPr="00A6269E">
        <w:t>aim</w:t>
      </w:r>
      <w:r>
        <w:t xml:space="preserve">s to encourage investment </w:t>
      </w:r>
      <w:r w:rsidRPr="00A6269E">
        <w:t>in activities that provide sustainable employment and diversify Tasmania’s economy, including projects that support the introduction of innovations, new techn</w:t>
      </w:r>
      <w:r>
        <w:t>ologies and emerging industries (</w:t>
      </w:r>
      <w:r w:rsidRPr="00813174">
        <w:t>AusIndustry 2013f</w:t>
      </w:r>
      <w:r>
        <w:t>).</w:t>
      </w:r>
    </w:p>
    <w:p w:rsidR="00F05BB6" w:rsidRDefault="00F05BB6" w:rsidP="00F05BB6">
      <w:pPr>
        <w:pStyle w:val="BodyText"/>
      </w:pPr>
      <w:r w:rsidRPr="00484765">
        <w:t>The Commission has obtained information from the Department of Innovation, Industry, Science and Research detailing program funding according to ANZSIC industry. This information has been used to allocate the Department’s estimate of total program expend</w:t>
      </w:r>
      <w:r>
        <w:t>iture</w:t>
      </w:r>
      <w:r w:rsidRPr="00484765">
        <w:t xml:space="preserve"> to the Commission’s ANZSIC-based industry groupings (table</w:t>
      </w:r>
      <w:r w:rsidR="00C065C1">
        <w:t> </w:t>
      </w:r>
      <w:r w:rsidRPr="00484765">
        <w:t>A.</w:t>
      </w:r>
      <w:r w:rsidR="00C065C1">
        <w:t>100</w:t>
      </w:r>
      <w:r w:rsidRPr="00484765">
        <w:t>).</w:t>
      </w:r>
    </w:p>
    <w:p w:rsidR="00F05BB6" w:rsidRDefault="00F05BB6" w:rsidP="00F05BB6">
      <w:pPr>
        <w:pStyle w:val="TableTitle"/>
      </w:pPr>
      <w:r>
        <w:rPr>
          <w:b w:val="0"/>
        </w:rPr>
        <w:t xml:space="preserve">Table </w:t>
      </w:r>
      <w:r w:rsidR="00FA09C3">
        <w:rPr>
          <w:b w:val="0"/>
        </w:rPr>
        <w:t>A.</w:t>
      </w:r>
      <w:r w:rsidR="00FA09C3">
        <w:rPr>
          <w:b w:val="0"/>
          <w:noProof/>
        </w:rPr>
        <w:t>100</w:t>
      </w:r>
      <w:r>
        <w:tab/>
        <w:t xml:space="preserve">Allocation of Tasmanian Innovation and Investment Fund </w:t>
      </w:r>
      <w:r w:rsidR="008F5A92" w:rsidRPr="008F5A92">
        <w:t>to industry</w:t>
      </w:r>
      <w:r>
        <w:t>, 2006</w:t>
      </w:r>
      <w:r>
        <w:noBreakHyphen/>
        <w:t>07 to 2011</w:t>
      </w:r>
      <w:r>
        <w:noBreakHyphen/>
        <w:t>12</w:t>
      </w:r>
    </w:p>
    <w:p w:rsidR="00F05BB6" w:rsidRDefault="000E1A26" w:rsidP="00F05BB6">
      <w:pPr>
        <w:pStyle w:val="Subtitle"/>
      </w:pPr>
      <w:r>
        <w:t>$ m</w:t>
      </w:r>
      <w:r w:rsidR="00F05BB6">
        <w:t xml:space="preserve">illion (nominal) </w:t>
      </w:r>
    </w:p>
    <w:tbl>
      <w:tblPr>
        <w:tblW w:w="5000" w:type="pct"/>
        <w:tblCellMar>
          <w:left w:w="0" w:type="dxa"/>
          <w:right w:w="0" w:type="dxa"/>
        </w:tblCellMar>
        <w:tblLook w:val="0000" w:firstRow="0" w:lastRow="0" w:firstColumn="0" w:lastColumn="0" w:noHBand="0" w:noVBand="0"/>
      </w:tblPr>
      <w:tblGrid>
        <w:gridCol w:w="3445"/>
        <w:gridCol w:w="891"/>
        <w:gridCol w:w="891"/>
        <w:gridCol w:w="891"/>
        <w:gridCol w:w="891"/>
        <w:gridCol w:w="891"/>
        <w:gridCol w:w="889"/>
      </w:tblGrid>
      <w:tr w:rsidR="00F05BB6" w:rsidRPr="00AF699A" w:rsidTr="00CB219A">
        <w:trPr>
          <w:trHeight w:val="340"/>
        </w:trPr>
        <w:tc>
          <w:tcPr>
            <w:tcW w:w="1959" w:type="pct"/>
            <w:tcBorders>
              <w:top w:val="single" w:sz="6" w:space="0" w:color="auto"/>
              <w:bottom w:val="single" w:sz="6" w:space="0" w:color="auto"/>
            </w:tcBorders>
          </w:tcPr>
          <w:p w:rsidR="00F05BB6" w:rsidRPr="00AF699A" w:rsidRDefault="00F05BB6"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F05BB6" w:rsidRPr="00AF699A" w:rsidRDefault="00F05BB6"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F05BB6" w:rsidRPr="00AF699A" w:rsidRDefault="00F05BB6"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F05BB6" w:rsidRPr="00AF699A" w:rsidRDefault="00F05BB6"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F05BB6" w:rsidRPr="00AF699A" w:rsidRDefault="00F05BB6"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F05BB6" w:rsidRPr="00AF699A" w:rsidRDefault="00F05BB6" w:rsidP="001B56F1">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F05BB6" w:rsidRPr="00AF699A" w:rsidRDefault="00F05BB6" w:rsidP="001B56F1">
            <w:pPr>
              <w:pStyle w:val="TableColumnHeading"/>
              <w:ind w:right="28"/>
              <w:rPr>
                <w:rFonts w:cs="Arial"/>
                <w:sz w:val="18"/>
                <w:szCs w:val="18"/>
              </w:rPr>
            </w:pPr>
            <w:r w:rsidRPr="00AF699A">
              <w:rPr>
                <w:rFonts w:cs="Arial"/>
                <w:sz w:val="18"/>
                <w:szCs w:val="18"/>
              </w:rPr>
              <w:t>2011-12</w:t>
            </w:r>
          </w:p>
        </w:tc>
      </w:tr>
      <w:tr w:rsidR="00F05BB6" w:rsidRPr="00AD51E1" w:rsidTr="001B56F1">
        <w:tc>
          <w:tcPr>
            <w:tcW w:w="1959" w:type="pct"/>
            <w:vAlign w:val="bottom"/>
          </w:tcPr>
          <w:p w:rsidR="00F05BB6" w:rsidRPr="00D04898" w:rsidRDefault="00F05BB6" w:rsidP="001B56F1">
            <w:pPr>
              <w:pStyle w:val="TableBodyText"/>
              <w:jc w:val="left"/>
              <w:rPr>
                <w:b/>
                <w:sz w:val="18"/>
                <w:szCs w:val="18"/>
              </w:rPr>
            </w:pPr>
            <w:r w:rsidRPr="00D04898">
              <w:rPr>
                <w:b/>
                <w:sz w:val="18"/>
                <w:szCs w:val="18"/>
              </w:rPr>
              <w:t>Primary production</w:t>
            </w:r>
          </w:p>
        </w:tc>
        <w:tc>
          <w:tcPr>
            <w:tcW w:w="507" w:type="pct"/>
            <w:vAlign w:val="bottom"/>
          </w:tcPr>
          <w:p w:rsidR="00F05BB6" w:rsidRPr="00D04898" w:rsidRDefault="00F05BB6" w:rsidP="001B56F1">
            <w:pPr>
              <w:pStyle w:val="TableBodyText"/>
              <w:rPr>
                <w:b/>
                <w:sz w:val="18"/>
                <w:szCs w:val="18"/>
              </w:rPr>
            </w:pPr>
            <w:r w:rsidRPr="00D04898">
              <w:rPr>
                <w:b/>
                <w:sz w:val="18"/>
                <w:szCs w:val="18"/>
              </w:rPr>
              <w:noBreakHyphen/>
            </w:r>
          </w:p>
        </w:tc>
        <w:tc>
          <w:tcPr>
            <w:tcW w:w="507" w:type="pct"/>
            <w:vAlign w:val="bottom"/>
          </w:tcPr>
          <w:p w:rsidR="00F05BB6" w:rsidRPr="00D04898" w:rsidRDefault="00F05BB6" w:rsidP="001B56F1">
            <w:pPr>
              <w:pStyle w:val="TableBodyText"/>
              <w:rPr>
                <w:b/>
                <w:sz w:val="18"/>
                <w:szCs w:val="18"/>
              </w:rPr>
            </w:pPr>
            <w:r w:rsidRPr="00D04898">
              <w:rPr>
                <w:b/>
                <w:sz w:val="18"/>
                <w:szCs w:val="18"/>
              </w:rPr>
              <w:noBreakHyphen/>
            </w:r>
          </w:p>
        </w:tc>
        <w:tc>
          <w:tcPr>
            <w:tcW w:w="507" w:type="pct"/>
            <w:vAlign w:val="bottom"/>
          </w:tcPr>
          <w:p w:rsidR="00F05BB6" w:rsidRPr="00D04898" w:rsidRDefault="00F05BB6" w:rsidP="001B56F1">
            <w:pPr>
              <w:pStyle w:val="TableBodyText"/>
              <w:rPr>
                <w:b/>
                <w:sz w:val="18"/>
                <w:szCs w:val="18"/>
              </w:rPr>
            </w:pPr>
            <w:r w:rsidRPr="00D04898">
              <w:rPr>
                <w:b/>
                <w:sz w:val="18"/>
                <w:szCs w:val="18"/>
              </w:rPr>
              <w:noBreakHyphen/>
            </w:r>
          </w:p>
        </w:tc>
        <w:tc>
          <w:tcPr>
            <w:tcW w:w="507" w:type="pct"/>
            <w:vAlign w:val="bottom"/>
          </w:tcPr>
          <w:p w:rsidR="00F05BB6" w:rsidRPr="00D04898" w:rsidRDefault="00F05BB6" w:rsidP="001B56F1">
            <w:pPr>
              <w:pStyle w:val="TableBodyText"/>
              <w:rPr>
                <w:b/>
                <w:sz w:val="18"/>
                <w:szCs w:val="18"/>
              </w:rPr>
            </w:pPr>
            <w:r w:rsidRPr="00D04898">
              <w:rPr>
                <w:b/>
                <w:sz w:val="18"/>
                <w:szCs w:val="18"/>
              </w:rPr>
              <w:noBreakHyphen/>
            </w:r>
          </w:p>
        </w:tc>
        <w:tc>
          <w:tcPr>
            <w:tcW w:w="507" w:type="pct"/>
            <w:shd w:val="clear" w:color="auto" w:fill="auto"/>
            <w:vAlign w:val="bottom"/>
          </w:tcPr>
          <w:p w:rsidR="00F05BB6" w:rsidRPr="00D04898" w:rsidRDefault="00F05BB6" w:rsidP="001B56F1">
            <w:pPr>
              <w:pStyle w:val="TableBodyText"/>
              <w:rPr>
                <w:b/>
                <w:sz w:val="18"/>
                <w:szCs w:val="18"/>
              </w:rPr>
            </w:pPr>
            <w:r w:rsidRPr="00D04898">
              <w:rPr>
                <w:b/>
                <w:sz w:val="18"/>
                <w:szCs w:val="18"/>
              </w:rPr>
              <w:noBreakHyphen/>
            </w:r>
          </w:p>
        </w:tc>
        <w:tc>
          <w:tcPr>
            <w:tcW w:w="507" w:type="pct"/>
            <w:shd w:val="clear" w:color="auto" w:fill="auto"/>
            <w:vAlign w:val="bottom"/>
          </w:tcPr>
          <w:p w:rsidR="00F05BB6" w:rsidRPr="00D04898" w:rsidRDefault="00F05BB6" w:rsidP="001B56F1">
            <w:pPr>
              <w:pStyle w:val="TableBodyText"/>
              <w:rPr>
                <w:b/>
                <w:sz w:val="18"/>
                <w:szCs w:val="18"/>
              </w:rPr>
            </w:pPr>
            <w:r w:rsidRPr="00D04898">
              <w:rPr>
                <w:b/>
                <w:sz w:val="18"/>
                <w:szCs w:val="18"/>
              </w:rPr>
              <w:t>1.8</w:t>
            </w:r>
          </w:p>
        </w:tc>
      </w:tr>
      <w:tr w:rsidR="00F05BB6" w:rsidRPr="00AD51E1" w:rsidTr="001B56F1">
        <w:tc>
          <w:tcPr>
            <w:tcW w:w="1959" w:type="pct"/>
            <w:vAlign w:val="bottom"/>
          </w:tcPr>
          <w:p w:rsidR="00F05BB6" w:rsidRPr="00D04898" w:rsidRDefault="00F05BB6" w:rsidP="001B56F1">
            <w:pPr>
              <w:pStyle w:val="TableBodyText"/>
              <w:jc w:val="left"/>
              <w:rPr>
                <w:sz w:val="18"/>
                <w:szCs w:val="18"/>
              </w:rPr>
            </w:pPr>
            <w:r w:rsidRPr="00D04898">
              <w:rPr>
                <w:sz w:val="18"/>
                <w:szCs w:val="18"/>
              </w:rPr>
              <w:t>Horticulture and fruit growing</w:t>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shd w:val="clear" w:color="auto" w:fill="auto"/>
            <w:vAlign w:val="bottom"/>
          </w:tcPr>
          <w:p w:rsidR="00F05BB6" w:rsidRPr="00D04898" w:rsidRDefault="00F05BB6" w:rsidP="001B56F1">
            <w:pPr>
              <w:pStyle w:val="TableBodyText"/>
              <w:rPr>
                <w:sz w:val="18"/>
                <w:szCs w:val="18"/>
              </w:rPr>
            </w:pPr>
            <w:r w:rsidRPr="00D04898">
              <w:rPr>
                <w:sz w:val="18"/>
                <w:szCs w:val="18"/>
              </w:rPr>
              <w:noBreakHyphen/>
            </w:r>
          </w:p>
        </w:tc>
        <w:tc>
          <w:tcPr>
            <w:tcW w:w="507" w:type="pct"/>
            <w:shd w:val="clear" w:color="auto" w:fill="auto"/>
            <w:vAlign w:val="bottom"/>
          </w:tcPr>
          <w:p w:rsidR="00F05BB6" w:rsidRPr="00D04898" w:rsidRDefault="00F05BB6" w:rsidP="001B56F1">
            <w:pPr>
              <w:pStyle w:val="TableBodyText"/>
              <w:rPr>
                <w:sz w:val="18"/>
                <w:szCs w:val="18"/>
              </w:rPr>
            </w:pPr>
            <w:r w:rsidRPr="00D04898">
              <w:rPr>
                <w:sz w:val="18"/>
                <w:szCs w:val="18"/>
              </w:rPr>
              <w:t>0.4</w:t>
            </w:r>
          </w:p>
        </w:tc>
      </w:tr>
      <w:tr w:rsidR="00F05BB6" w:rsidRPr="00AD51E1" w:rsidTr="001B56F1">
        <w:tc>
          <w:tcPr>
            <w:tcW w:w="1959" w:type="pct"/>
            <w:vAlign w:val="bottom"/>
          </w:tcPr>
          <w:p w:rsidR="00F05BB6" w:rsidRPr="00D04898" w:rsidRDefault="00F05BB6" w:rsidP="001B56F1">
            <w:pPr>
              <w:pStyle w:val="TableBodyText"/>
              <w:jc w:val="left"/>
              <w:rPr>
                <w:sz w:val="18"/>
                <w:szCs w:val="18"/>
              </w:rPr>
            </w:pPr>
            <w:r w:rsidRPr="00D04898">
              <w:rPr>
                <w:sz w:val="18"/>
                <w:szCs w:val="18"/>
              </w:rPr>
              <w:t>Aquaculture and fishing</w:t>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shd w:val="clear" w:color="auto" w:fill="auto"/>
            <w:vAlign w:val="bottom"/>
          </w:tcPr>
          <w:p w:rsidR="00F05BB6" w:rsidRPr="00D04898" w:rsidRDefault="00F05BB6" w:rsidP="001B56F1">
            <w:pPr>
              <w:pStyle w:val="TableBodyText"/>
              <w:rPr>
                <w:sz w:val="18"/>
                <w:szCs w:val="18"/>
              </w:rPr>
            </w:pPr>
            <w:r w:rsidRPr="00D04898">
              <w:rPr>
                <w:sz w:val="18"/>
                <w:szCs w:val="18"/>
              </w:rPr>
              <w:noBreakHyphen/>
            </w:r>
          </w:p>
        </w:tc>
        <w:tc>
          <w:tcPr>
            <w:tcW w:w="507" w:type="pct"/>
            <w:shd w:val="clear" w:color="auto" w:fill="auto"/>
            <w:vAlign w:val="bottom"/>
          </w:tcPr>
          <w:p w:rsidR="00F05BB6" w:rsidRPr="00D04898" w:rsidRDefault="00F05BB6" w:rsidP="001B56F1">
            <w:pPr>
              <w:pStyle w:val="TableBodyText"/>
              <w:rPr>
                <w:sz w:val="18"/>
                <w:szCs w:val="18"/>
              </w:rPr>
            </w:pPr>
            <w:r w:rsidRPr="00D04898">
              <w:rPr>
                <w:sz w:val="18"/>
                <w:szCs w:val="18"/>
              </w:rPr>
              <w:t>0.8</w:t>
            </w:r>
          </w:p>
        </w:tc>
      </w:tr>
      <w:tr w:rsidR="00F05BB6" w:rsidRPr="00AD51E1" w:rsidTr="001B56F1">
        <w:tc>
          <w:tcPr>
            <w:tcW w:w="1959" w:type="pct"/>
            <w:vAlign w:val="bottom"/>
          </w:tcPr>
          <w:p w:rsidR="00F05BB6" w:rsidRPr="00D04898" w:rsidRDefault="00F05BB6" w:rsidP="001B56F1">
            <w:pPr>
              <w:pStyle w:val="TableBodyText"/>
              <w:jc w:val="left"/>
              <w:rPr>
                <w:sz w:val="18"/>
                <w:szCs w:val="18"/>
              </w:rPr>
            </w:pPr>
            <w:r w:rsidRPr="00D04898">
              <w:rPr>
                <w:sz w:val="18"/>
                <w:szCs w:val="18"/>
              </w:rPr>
              <w:t>Food, beverages and tobacco</w:t>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shd w:val="clear" w:color="auto" w:fill="auto"/>
            <w:vAlign w:val="bottom"/>
          </w:tcPr>
          <w:p w:rsidR="00F05BB6" w:rsidRPr="00D04898" w:rsidRDefault="00F05BB6" w:rsidP="001B56F1">
            <w:pPr>
              <w:pStyle w:val="TableBodyText"/>
              <w:rPr>
                <w:sz w:val="18"/>
                <w:szCs w:val="18"/>
              </w:rPr>
            </w:pPr>
            <w:r w:rsidRPr="00D04898">
              <w:rPr>
                <w:sz w:val="18"/>
                <w:szCs w:val="18"/>
              </w:rPr>
              <w:noBreakHyphen/>
            </w:r>
          </w:p>
        </w:tc>
        <w:tc>
          <w:tcPr>
            <w:tcW w:w="507" w:type="pct"/>
            <w:shd w:val="clear" w:color="auto" w:fill="auto"/>
            <w:vAlign w:val="bottom"/>
          </w:tcPr>
          <w:p w:rsidR="00F05BB6" w:rsidRPr="00D04898" w:rsidRDefault="00F05BB6" w:rsidP="001B56F1">
            <w:pPr>
              <w:pStyle w:val="TableBodyText"/>
              <w:rPr>
                <w:sz w:val="18"/>
                <w:szCs w:val="18"/>
              </w:rPr>
            </w:pPr>
            <w:r w:rsidRPr="00D04898">
              <w:rPr>
                <w:sz w:val="18"/>
                <w:szCs w:val="18"/>
              </w:rPr>
              <w:t>0.5</w:t>
            </w:r>
          </w:p>
        </w:tc>
      </w:tr>
      <w:tr w:rsidR="00F05BB6" w:rsidRPr="00AD51E1" w:rsidTr="001B56F1">
        <w:tc>
          <w:tcPr>
            <w:tcW w:w="1959" w:type="pct"/>
            <w:vAlign w:val="bottom"/>
          </w:tcPr>
          <w:p w:rsidR="00F05BB6" w:rsidRPr="00D04898" w:rsidRDefault="00F05BB6" w:rsidP="001B56F1">
            <w:pPr>
              <w:pStyle w:val="TableBodyText"/>
              <w:jc w:val="left"/>
              <w:rPr>
                <w:b/>
                <w:sz w:val="18"/>
                <w:szCs w:val="18"/>
              </w:rPr>
            </w:pPr>
            <w:r w:rsidRPr="00D04898">
              <w:rPr>
                <w:b/>
                <w:sz w:val="18"/>
                <w:szCs w:val="18"/>
              </w:rPr>
              <w:t>Manufacturing</w:t>
            </w:r>
          </w:p>
        </w:tc>
        <w:tc>
          <w:tcPr>
            <w:tcW w:w="507" w:type="pct"/>
            <w:vAlign w:val="bottom"/>
          </w:tcPr>
          <w:p w:rsidR="00F05BB6" w:rsidRPr="00D04898" w:rsidRDefault="00F05BB6" w:rsidP="001B56F1">
            <w:pPr>
              <w:pStyle w:val="TableBodyText"/>
              <w:rPr>
                <w:b/>
                <w:sz w:val="18"/>
                <w:szCs w:val="18"/>
              </w:rPr>
            </w:pPr>
            <w:r w:rsidRPr="00D04898">
              <w:rPr>
                <w:b/>
                <w:sz w:val="18"/>
                <w:szCs w:val="18"/>
              </w:rPr>
              <w:noBreakHyphen/>
            </w:r>
          </w:p>
        </w:tc>
        <w:tc>
          <w:tcPr>
            <w:tcW w:w="507" w:type="pct"/>
            <w:vAlign w:val="bottom"/>
          </w:tcPr>
          <w:p w:rsidR="00F05BB6" w:rsidRPr="00D04898" w:rsidRDefault="00F05BB6" w:rsidP="001B56F1">
            <w:pPr>
              <w:pStyle w:val="TableBodyText"/>
              <w:rPr>
                <w:b/>
                <w:sz w:val="18"/>
                <w:szCs w:val="18"/>
              </w:rPr>
            </w:pPr>
            <w:r w:rsidRPr="00D04898">
              <w:rPr>
                <w:b/>
                <w:sz w:val="18"/>
                <w:szCs w:val="18"/>
              </w:rPr>
              <w:noBreakHyphen/>
            </w:r>
          </w:p>
        </w:tc>
        <w:tc>
          <w:tcPr>
            <w:tcW w:w="507" w:type="pct"/>
            <w:vAlign w:val="bottom"/>
          </w:tcPr>
          <w:p w:rsidR="00F05BB6" w:rsidRPr="00D04898" w:rsidRDefault="00F05BB6" w:rsidP="001B56F1">
            <w:pPr>
              <w:pStyle w:val="TableBodyText"/>
              <w:rPr>
                <w:b/>
                <w:sz w:val="18"/>
                <w:szCs w:val="18"/>
              </w:rPr>
            </w:pPr>
            <w:r w:rsidRPr="00D04898">
              <w:rPr>
                <w:b/>
                <w:sz w:val="18"/>
                <w:szCs w:val="18"/>
              </w:rPr>
              <w:noBreakHyphen/>
            </w:r>
          </w:p>
        </w:tc>
        <w:tc>
          <w:tcPr>
            <w:tcW w:w="507" w:type="pct"/>
            <w:vAlign w:val="bottom"/>
          </w:tcPr>
          <w:p w:rsidR="00F05BB6" w:rsidRPr="00D04898" w:rsidRDefault="00F05BB6" w:rsidP="001B56F1">
            <w:pPr>
              <w:pStyle w:val="TableBodyText"/>
              <w:rPr>
                <w:b/>
                <w:sz w:val="18"/>
                <w:szCs w:val="18"/>
              </w:rPr>
            </w:pPr>
            <w:r w:rsidRPr="00D04898">
              <w:rPr>
                <w:b/>
                <w:sz w:val="18"/>
                <w:szCs w:val="18"/>
              </w:rPr>
              <w:noBreakHyphen/>
            </w:r>
          </w:p>
        </w:tc>
        <w:tc>
          <w:tcPr>
            <w:tcW w:w="507" w:type="pct"/>
            <w:shd w:val="clear" w:color="auto" w:fill="auto"/>
            <w:vAlign w:val="bottom"/>
          </w:tcPr>
          <w:p w:rsidR="00F05BB6" w:rsidRPr="00D04898" w:rsidRDefault="00F05BB6" w:rsidP="001B56F1">
            <w:pPr>
              <w:pStyle w:val="TableBodyText"/>
              <w:rPr>
                <w:b/>
                <w:sz w:val="18"/>
                <w:szCs w:val="18"/>
              </w:rPr>
            </w:pPr>
            <w:r w:rsidRPr="00D04898">
              <w:rPr>
                <w:b/>
                <w:sz w:val="18"/>
                <w:szCs w:val="18"/>
              </w:rPr>
              <w:noBreakHyphen/>
            </w:r>
          </w:p>
        </w:tc>
        <w:tc>
          <w:tcPr>
            <w:tcW w:w="507" w:type="pct"/>
            <w:shd w:val="clear" w:color="auto" w:fill="auto"/>
            <w:vAlign w:val="bottom"/>
          </w:tcPr>
          <w:p w:rsidR="00F05BB6" w:rsidRPr="00D04898" w:rsidRDefault="00F05BB6" w:rsidP="001B56F1">
            <w:pPr>
              <w:pStyle w:val="TableBodyText"/>
              <w:rPr>
                <w:b/>
                <w:sz w:val="18"/>
                <w:szCs w:val="18"/>
              </w:rPr>
            </w:pPr>
            <w:r w:rsidRPr="00D04898">
              <w:rPr>
                <w:b/>
                <w:sz w:val="18"/>
                <w:szCs w:val="18"/>
              </w:rPr>
              <w:t>1.7</w:t>
            </w:r>
          </w:p>
        </w:tc>
      </w:tr>
      <w:tr w:rsidR="00F05BB6" w:rsidRPr="00AD51E1" w:rsidTr="001B56F1">
        <w:tc>
          <w:tcPr>
            <w:tcW w:w="1959" w:type="pct"/>
            <w:vAlign w:val="bottom"/>
          </w:tcPr>
          <w:p w:rsidR="00F05BB6" w:rsidRPr="00D04898" w:rsidRDefault="00F05BB6" w:rsidP="001B56F1">
            <w:pPr>
              <w:pStyle w:val="TableBodyText"/>
              <w:jc w:val="left"/>
              <w:rPr>
                <w:sz w:val="18"/>
                <w:szCs w:val="18"/>
              </w:rPr>
            </w:pPr>
            <w:r w:rsidRPr="00D04898">
              <w:rPr>
                <w:sz w:val="18"/>
                <w:szCs w:val="18"/>
              </w:rPr>
              <w:t>Wood and paper products</w:t>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shd w:val="clear" w:color="auto" w:fill="auto"/>
            <w:vAlign w:val="bottom"/>
          </w:tcPr>
          <w:p w:rsidR="00F05BB6" w:rsidRPr="00D04898" w:rsidRDefault="00F05BB6" w:rsidP="001B56F1">
            <w:pPr>
              <w:pStyle w:val="TableBodyText"/>
              <w:rPr>
                <w:sz w:val="18"/>
                <w:szCs w:val="18"/>
              </w:rPr>
            </w:pPr>
            <w:r w:rsidRPr="00D04898">
              <w:rPr>
                <w:sz w:val="18"/>
                <w:szCs w:val="18"/>
              </w:rPr>
              <w:noBreakHyphen/>
            </w:r>
          </w:p>
        </w:tc>
        <w:tc>
          <w:tcPr>
            <w:tcW w:w="507" w:type="pct"/>
            <w:shd w:val="clear" w:color="auto" w:fill="auto"/>
            <w:vAlign w:val="bottom"/>
          </w:tcPr>
          <w:p w:rsidR="00F05BB6" w:rsidRPr="00D04898" w:rsidRDefault="00F05BB6" w:rsidP="001B56F1">
            <w:pPr>
              <w:pStyle w:val="TableBodyText"/>
              <w:rPr>
                <w:sz w:val="18"/>
                <w:szCs w:val="18"/>
              </w:rPr>
            </w:pPr>
            <w:r w:rsidRPr="00D04898">
              <w:rPr>
                <w:sz w:val="18"/>
                <w:szCs w:val="18"/>
              </w:rPr>
              <w:t>0.4</w:t>
            </w:r>
          </w:p>
        </w:tc>
      </w:tr>
      <w:tr w:rsidR="00F05BB6" w:rsidRPr="00AD51E1" w:rsidTr="001B56F1">
        <w:tc>
          <w:tcPr>
            <w:tcW w:w="1959" w:type="pct"/>
            <w:vAlign w:val="bottom"/>
          </w:tcPr>
          <w:p w:rsidR="00F05BB6" w:rsidRPr="00D04898" w:rsidRDefault="00F05BB6" w:rsidP="001B56F1">
            <w:pPr>
              <w:pStyle w:val="TableBodyText"/>
              <w:jc w:val="left"/>
              <w:rPr>
                <w:sz w:val="18"/>
                <w:szCs w:val="18"/>
              </w:rPr>
            </w:pPr>
            <w:r w:rsidRPr="00D04898">
              <w:rPr>
                <w:sz w:val="18"/>
                <w:szCs w:val="18"/>
              </w:rPr>
              <w:t>Printing and recorded media</w:t>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shd w:val="clear" w:color="auto" w:fill="auto"/>
            <w:vAlign w:val="bottom"/>
          </w:tcPr>
          <w:p w:rsidR="00F05BB6" w:rsidRPr="00D04898" w:rsidRDefault="00F05BB6" w:rsidP="001B56F1">
            <w:pPr>
              <w:pStyle w:val="TableBodyText"/>
              <w:rPr>
                <w:sz w:val="18"/>
                <w:szCs w:val="18"/>
              </w:rPr>
            </w:pPr>
            <w:r w:rsidRPr="00D04898">
              <w:rPr>
                <w:sz w:val="18"/>
                <w:szCs w:val="18"/>
              </w:rPr>
              <w:noBreakHyphen/>
            </w:r>
          </w:p>
        </w:tc>
        <w:tc>
          <w:tcPr>
            <w:tcW w:w="507" w:type="pct"/>
            <w:shd w:val="clear" w:color="auto" w:fill="auto"/>
            <w:vAlign w:val="bottom"/>
          </w:tcPr>
          <w:p w:rsidR="00F05BB6" w:rsidRPr="00D04898" w:rsidRDefault="00F05BB6" w:rsidP="001B56F1">
            <w:pPr>
              <w:pStyle w:val="TableBodyText"/>
              <w:rPr>
                <w:sz w:val="18"/>
                <w:szCs w:val="18"/>
              </w:rPr>
            </w:pPr>
            <w:r w:rsidRPr="00D04898">
              <w:rPr>
                <w:sz w:val="18"/>
                <w:szCs w:val="18"/>
              </w:rPr>
              <w:t>&lt;0.1</w:t>
            </w:r>
          </w:p>
        </w:tc>
      </w:tr>
      <w:tr w:rsidR="00F05BB6" w:rsidRPr="00AD51E1" w:rsidTr="001B56F1">
        <w:tc>
          <w:tcPr>
            <w:tcW w:w="1959" w:type="pct"/>
            <w:vAlign w:val="bottom"/>
          </w:tcPr>
          <w:p w:rsidR="00F05BB6" w:rsidRPr="00D04898" w:rsidRDefault="00F05BB6" w:rsidP="001B56F1">
            <w:pPr>
              <w:pStyle w:val="TableBodyText"/>
              <w:jc w:val="left"/>
              <w:rPr>
                <w:sz w:val="18"/>
                <w:szCs w:val="18"/>
              </w:rPr>
            </w:pPr>
            <w:r w:rsidRPr="00D04898">
              <w:rPr>
                <w:sz w:val="18"/>
                <w:szCs w:val="18"/>
              </w:rPr>
              <w:t>Petroleum, coal, chemical and rubber products</w:t>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shd w:val="clear" w:color="auto" w:fill="auto"/>
            <w:vAlign w:val="bottom"/>
          </w:tcPr>
          <w:p w:rsidR="00F05BB6" w:rsidRPr="00D04898" w:rsidRDefault="00F05BB6" w:rsidP="001B56F1">
            <w:pPr>
              <w:pStyle w:val="TableBodyText"/>
              <w:rPr>
                <w:sz w:val="18"/>
                <w:szCs w:val="18"/>
              </w:rPr>
            </w:pPr>
            <w:r w:rsidRPr="00D04898">
              <w:rPr>
                <w:sz w:val="18"/>
                <w:szCs w:val="18"/>
              </w:rPr>
              <w:noBreakHyphen/>
            </w:r>
          </w:p>
        </w:tc>
        <w:tc>
          <w:tcPr>
            <w:tcW w:w="507" w:type="pct"/>
            <w:shd w:val="clear" w:color="auto" w:fill="auto"/>
            <w:vAlign w:val="bottom"/>
          </w:tcPr>
          <w:p w:rsidR="00F05BB6" w:rsidRPr="00D04898" w:rsidRDefault="00F05BB6" w:rsidP="001B56F1">
            <w:pPr>
              <w:pStyle w:val="TableBodyText"/>
              <w:rPr>
                <w:sz w:val="18"/>
                <w:szCs w:val="18"/>
              </w:rPr>
            </w:pPr>
            <w:r w:rsidRPr="00D04898">
              <w:rPr>
                <w:sz w:val="18"/>
                <w:szCs w:val="18"/>
              </w:rPr>
              <w:t>&lt;0.1</w:t>
            </w:r>
          </w:p>
        </w:tc>
      </w:tr>
      <w:tr w:rsidR="00F05BB6" w:rsidRPr="00AD51E1" w:rsidTr="001B56F1">
        <w:tc>
          <w:tcPr>
            <w:tcW w:w="1959" w:type="pct"/>
            <w:vAlign w:val="bottom"/>
          </w:tcPr>
          <w:p w:rsidR="00F05BB6" w:rsidRPr="00D04898" w:rsidRDefault="00F05BB6" w:rsidP="00821748">
            <w:pPr>
              <w:pStyle w:val="TableBodyText"/>
              <w:jc w:val="left"/>
              <w:rPr>
                <w:sz w:val="18"/>
                <w:szCs w:val="18"/>
              </w:rPr>
            </w:pPr>
            <w:r w:rsidRPr="00D04898">
              <w:rPr>
                <w:sz w:val="18"/>
                <w:szCs w:val="18"/>
              </w:rPr>
              <w:t>Non-</w:t>
            </w:r>
            <w:r w:rsidR="00821748">
              <w:rPr>
                <w:sz w:val="18"/>
                <w:szCs w:val="18"/>
              </w:rPr>
              <w:t>m</w:t>
            </w:r>
            <w:r w:rsidRPr="00D04898">
              <w:rPr>
                <w:sz w:val="18"/>
                <w:szCs w:val="18"/>
              </w:rPr>
              <w:t>etallic mineral products</w:t>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shd w:val="clear" w:color="auto" w:fill="auto"/>
            <w:vAlign w:val="bottom"/>
          </w:tcPr>
          <w:p w:rsidR="00F05BB6" w:rsidRPr="00D04898" w:rsidRDefault="00F05BB6" w:rsidP="001B56F1">
            <w:pPr>
              <w:pStyle w:val="TableBodyText"/>
              <w:rPr>
                <w:sz w:val="18"/>
                <w:szCs w:val="18"/>
              </w:rPr>
            </w:pPr>
            <w:r w:rsidRPr="00D04898">
              <w:rPr>
                <w:sz w:val="18"/>
                <w:szCs w:val="18"/>
              </w:rPr>
              <w:noBreakHyphen/>
            </w:r>
          </w:p>
        </w:tc>
        <w:tc>
          <w:tcPr>
            <w:tcW w:w="507" w:type="pct"/>
            <w:shd w:val="clear" w:color="auto" w:fill="auto"/>
            <w:vAlign w:val="bottom"/>
          </w:tcPr>
          <w:p w:rsidR="00F05BB6" w:rsidRPr="00D04898" w:rsidRDefault="00F05BB6" w:rsidP="001B56F1">
            <w:pPr>
              <w:pStyle w:val="TableBodyText"/>
              <w:rPr>
                <w:sz w:val="18"/>
                <w:szCs w:val="18"/>
              </w:rPr>
            </w:pPr>
            <w:r w:rsidRPr="00D04898">
              <w:rPr>
                <w:sz w:val="18"/>
                <w:szCs w:val="18"/>
              </w:rPr>
              <w:t>&lt;0.1</w:t>
            </w:r>
          </w:p>
        </w:tc>
      </w:tr>
      <w:tr w:rsidR="00F05BB6" w:rsidRPr="00AD51E1" w:rsidTr="001B56F1">
        <w:tc>
          <w:tcPr>
            <w:tcW w:w="1959" w:type="pct"/>
            <w:vAlign w:val="bottom"/>
          </w:tcPr>
          <w:p w:rsidR="00F05BB6" w:rsidRPr="00D04898" w:rsidRDefault="00F05BB6" w:rsidP="001B56F1">
            <w:pPr>
              <w:pStyle w:val="TableBodyText"/>
              <w:jc w:val="left"/>
              <w:rPr>
                <w:sz w:val="18"/>
                <w:szCs w:val="18"/>
              </w:rPr>
            </w:pPr>
            <w:r w:rsidRPr="00D04898">
              <w:rPr>
                <w:sz w:val="18"/>
                <w:szCs w:val="18"/>
              </w:rPr>
              <w:t>Metal and fabricated metal products</w:t>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shd w:val="clear" w:color="auto" w:fill="auto"/>
            <w:vAlign w:val="bottom"/>
          </w:tcPr>
          <w:p w:rsidR="00F05BB6" w:rsidRPr="00D04898" w:rsidRDefault="00F05BB6" w:rsidP="001B56F1">
            <w:pPr>
              <w:pStyle w:val="TableBodyText"/>
              <w:rPr>
                <w:sz w:val="18"/>
                <w:szCs w:val="18"/>
              </w:rPr>
            </w:pPr>
            <w:r w:rsidRPr="00D04898">
              <w:rPr>
                <w:sz w:val="18"/>
                <w:szCs w:val="18"/>
              </w:rPr>
              <w:noBreakHyphen/>
            </w:r>
          </w:p>
        </w:tc>
        <w:tc>
          <w:tcPr>
            <w:tcW w:w="507" w:type="pct"/>
            <w:shd w:val="clear" w:color="auto" w:fill="auto"/>
            <w:vAlign w:val="bottom"/>
          </w:tcPr>
          <w:p w:rsidR="00F05BB6" w:rsidRPr="00D04898" w:rsidRDefault="00F05BB6" w:rsidP="001B56F1">
            <w:pPr>
              <w:pStyle w:val="TableBodyText"/>
              <w:rPr>
                <w:sz w:val="18"/>
                <w:szCs w:val="18"/>
              </w:rPr>
            </w:pPr>
            <w:r w:rsidRPr="00D04898">
              <w:rPr>
                <w:sz w:val="18"/>
                <w:szCs w:val="18"/>
              </w:rPr>
              <w:t>0.8</w:t>
            </w:r>
          </w:p>
        </w:tc>
      </w:tr>
      <w:tr w:rsidR="00F05BB6" w:rsidRPr="00AD51E1" w:rsidTr="001B56F1">
        <w:tc>
          <w:tcPr>
            <w:tcW w:w="1959" w:type="pct"/>
            <w:vAlign w:val="bottom"/>
          </w:tcPr>
          <w:p w:rsidR="00F05BB6" w:rsidRPr="00D04898" w:rsidRDefault="00F05BB6" w:rsidP="001B56F1">
            <w:pPr>
              <w:pStyle w:val="TableBodyText"/>
              <w:jc w:val="left"/>
              <w:rPr>
                <w:sz w:val="18"/>
                <w:szCs w:val="18"/>
              </w:rPr>
            </w:pPr>
            <w:r w:rsidRPr="00D04898">
              <w:rPr>
                <w:sz w:val="18"/>
                <w:szCs w:val="18"/>
              </w:rPr>
              <w:t>Machinery and equipment manufacturing</w:t>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shd w:val="clear" w:color="auto" w:fill="auto"/>
            <w:vAlign w:val="bottom"/>
          </w:tcPr>
          <w:p w:rsidR="00F05BB6" w:rsidRPr="00D04898" w:rsidRDefault="00F05BB6" w:rsidP="001B56F1">
            <w:pPr>
              <w:pStyle w:val="TableBodyText"/>
              <w:rPr>
                <w:sz w:val="18"/>
                <w:szCs w:val="18"/>
              </w:rPr>
            </w:pPr>
            <w:r w:rsidRPr="00D04898">
              <w:rPr>
                <w:sz w:val="18"/>
                <w:szCs w:val="18"/>
              </w:rPr>
              <w:noBreakHyphen/>
            </w:r>
          </w:p>
        </w:tc>
        <w:tc>
          <w:tcPr>
            <w:tcW w:w="507" w:type="pct"/>
            <w:shd w:val="clear" w:color="auto" w:fill="auto"/>
            <w:vAlign w:val="bottom"/>
          </w:tcPr>
          <w:p w:rsidR="00F05BB6" w:rsidRPr="00D04898" w:rsidRDefault="00F05BB6" w:rsidP="001B56F1">
            <w:pPr>
              <w:pStyle w:val="TableBodyText"/>
              <w:rPr>
                <w:sz w:val="18"/>
                <w:szCs w:val="18"/>
              </w:rPr>
            </w:pPr>
            <w:r w:rsidRPr="00D04898">
              <w:rPr>
                <w:sz w:val="18"/>
                <w:szCs w:val="18"/>
              </w:rPr>
              <w:t>&lt;0.1</w:t>
            </w:r>
          </w:p>
        </w:tc>
      </w:tr>
      <w:tr w:rsidR="00F05BB6" w:rsidRPr="00AD51E1" w:rsidTr="001B56F1">
        <w:tc>
          <w:tcPr>
            <w:tcW w:w="1959" w:type="pct"/>
            <w:vAlign w:val="bottom"/>
          </w:tcPr>
          <w:p w:rsidR="00F05BB6" w:rsidRPr="00D04898" w:rsidRDefault="00F05BB6" w:rsidP="001B56F1">
            <w:pPr>
              <w:pStyle w:val="TableBodyText"/>
              <w:jc w:val="left"/>
              <w:rPr>
                <w:sz w:val="18"/>
                <w:szCs w:val="18"/>
              </w:rPr>
            </w:pPr>
            <w:r w:rsidRPr="00D04898">
              <w:rPr>
                <w:sz w:val="18"/>
                <w:szCs w:val="18"/>
              </w:rPr>
              <w:t>Furniture and other manufacturing</w:t>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shd w:val="clear" w:color="auto" w:fill="auto"/>
            <w:vAlign w:val="bottom"/>
          </w:tcPr>
          <w:p w:rsidR="00F05BB6" w:rsidRPr="00D04898" w:rsidRDefault="00F05BB6" w:rsidP="001B56F1">
            <w:pPr>
              <w:pStyle w:val="TableBodyText"/>
              <w:rPr>
                <w:sz w:val="18"/>
                <w:szCs w:val="18"/>
              </w:rPr>
            </w:pPr>
            <w:r w:rsidRPr="00D04898">
              <w:rPr>
                <w:sz w:val="18"/>
                <w:szCs w:val="18"/>
              </w:rPr>
              <w:noBreakHyphen/>
            </w:r>
          </w:p>
        </w:tc>
        <w:tc>
          <w:tcPr>
            <w:tcW w:w="507" w:type="pct"/>
            <w:shd w:val="clear" w:color="auto" w:fill="auto"/>
            <w:vAlign w:val="bottom"/>
          </w:tcPr>
          <w:p w:rsidR="00F05BB6" w:rsidRPr="00D04898" w:rsidRDefault="00F05BB6" w:rsidP="001B56F1">
            <w:pPr>
              <w:pStyle w:val="TableBodyText"/>
              <w:rPr>
                <w:sz w:val="18"/>
                <w:szCs w:val="18"/>
              </w:rPr>
            </w:pPr>
            <w:r w:rsidRPr="00D04898">
              <w:rPr>
                <w:sz w:val="18"/>
                <w:szCs w:val="18"/>
              </w:rPr>
              <w:t>0.2</w:t>
            </w:r>
          </w:p>
        </w:tc>
      </w:tr>
      <w:tr w:rsidR="00F05BB6" w:rsidRPr="00AD51E1" w:rsidTr="001B56F1">
        <w:tc>
          <w:tcPr>
            <w:tcW w:w="1959" w:type="pct"/>
            <w:vAlign w:val="bottom"/>
          </w:tcPr>
          <w:p w:rsidR="00F05BB6" w:rsidRPr="00D04898" w:rsidRDefault="00F05BB6" w:rsidP="001B56F1">
            <w:pPr>
              <w:pStyle w:val="TableBodyText"/>
              <w:jc w:val="left"/>
              <w:rPr>
                <w:b/>
                <w:sz w:val="18"/>
                <w:szCs w:val="18"/>
              </w:rPr>
            </w:pPr>
            <w:r w:rsidRPr="00D04898">
              <w:rPr>
                <w:b/>
                <w:sz w:val="18"/>
                <w:szCs w:val="18"/>
              </w:rPr>
              <w:t>Services</w:t>
            </w:r>
          </w:p>
        </w:tc>
        <w:tc>
          <w:tcPr>
            <w:tcW w:w="507" w:type="pct"/>
            <w:vAlign w:val="bottom"/>
          </w:tcPr>
          <w:p w:rsidR="00F05BB6" w:rsidRPr="00D04898" w:rsidRDefault="00F05BB6" w:rsidP="001B56F1">
            <w:pPr>
              <w:pStyle w:val="TableBodyText"/>
              <w:rPr>
                <w:b/>
                <w:sz w:val="18"/>
                <w:szCs w:val="18"/>
              </w:rPr>
            </w:pPr>
            <w:r w:rsidRPr="00D04898">
              <w:rPr>
                <w:b/>
                <w:sz w:val="18"/>
                <w:szCs w:val="18"/>
              </w:rPr>
              <w:noBreakHyphen/>
            </w:r>
          </w:p>
        </w:tc>
        <w:tc>
          <w:tcPr>
            <w:tcW w:w="507" w:type="pct"/>
            <w:vAlign w:val="bottom"/>
          </w:tcPr>
          <w:p w:rsidR="00F05BB6" w:rsidRPr="00D04898" w:rsidRDefault="00F05BB6" w:rsidP="001B56F1">
            <w:pPr>
              <w:pStyle w:val="TableBodyText"/>
              <w:rPr>
                <w:b/>
                <w:sz w:val="18"/>
                <w:szCs w:val="18"/>
              </w:rPr>
            </w:pPr>
            <w:r w:rsidRPr="00D04898">
              <w:rPr>
                <w:b/>
                <w:sz w:val="18"/>
                <w:szCs w:val="18"/>
              </w:rPr>
              <w:noBreakHyphen/>
            </w:r>
          </w:p>
        </w:tc>
        <w:tc>
          <w:tcPr>
            <w:tcW w:w="507" w:type="pct"/>
            <w:vAlign w:val="bottom"/>
          </w:tcPr>
          <w:p w:rsidR="00F05BB6" w:rsidRPr="00D04898" w:rsidRDefault="00F05BB6" w:rsidP="001B56F1">
            <w:pPr>
              <w:pStyle w:val="TableBodyText"/>
              <w:rPr>
                <w:b/>
                <w:sz w:val="18"/>
                <w:szCs w:val="18"/>
              </w:rPr>
            </w:pPr>
            <w:r w:rsidRPr="00D04898">
              <w:rPr>
                <w:b/>
                <w:sz w:val="18"/>
                <w:szCs w:val="18"/>
              </w:rPr>
              <w:noBreakHyphen/>
            </w:r>
          </w:p>
        </w:tc>
        <w:tc>
          <w:tcPr>
            <w:tcW w:w="507" w:type="pct"/>
            <w:vAlign w:val="bottom"/>
          </w:tcPr>
          <w:p w:rsidR="00F05BB6" w:rsidRPr="00D04898" w:rsidRDefault="00F05BB6" w:rsidP="001B56F1">
            <w:pPr>
              <w:pStyle w:val="TableBodyText"/>
              <w:rPr>
                <w:b/>
                <w:sz w:val="18"/>
                <w:szCs w:val="18"/>
              </w:rPr>
            </w:pPr>
            <w:r w:rsidRPr="00D04898">
              <w:rPr>
                <w:b/>
                <w:sz w:val="18"/>
                <w:szCs w:val="18"/>
              </w:rPr>
              <w:noBreakHyphen/>
            </w:r>
          </w:p>
        </w:tc>
        <w:tc>
          <w:tcPr>
            <w:tcW w:w="507" w:type="pct"/>
            <w:shd w:val="clear" w:color="auto" w:fill="auto"/>
            <w:vAlign w:val="bottom"/>
          </w:tcPr>
          <w:p w:rsidR="00F05BB6" w:rsidRPr="00D04898" w:rsidRDefault="00F05BB6" w:rsidP="001B56F1">
            <w:pPr>
              <w:pStyle w:val="TableBodyText"/>
              <w:rPr>
                <w:b/>
                <w:sz w:val="18"/>
                <w:szCs w:val="18"/>
              </w:rPr>
            </w:pPr>
            <w:r w:rsidRPr="00D04898">
              <w:rPr>
                <w:b/>
                <w:sz w:val="18"/>
                <w:szCs w:val="18"/>
              </w:rPr>
              <w:noBreakHyphen/>
            </w:r>
          </w:p>
        </w:tc>
        <w:tc>
          <w:tcPr>
            <w:tcW w:w="507" w:type="pct"/>
            <w:shd w:val="clear" w:color="auto" w:fill="auto"/>
            <w:vAlign w:val="bottom"/>
          </w:tcPr>
          <w:p w:rsidR="00F05BB6" w:rsidRPr="00D04898" w:rsidRDefault="00F05BB6" w:rsidP="001B56F1">
            <w:pPr>
              <w:pStyle w:val="TableBodyText"/>
              <w:rPr>
                <w:b/>
                <w:sz w:val="18"/>
                <w:szCs w:val="18"/>
              </w:rPr>
            </w:pPr>
            <w:r w:rsidRPr="00D04898">
              <w:rPr>
                <w:b/>
                <w:sz w:val="18"/>
                <w:szCs w:val="18"/>
              </w:rPr>
              <w:t>0.4</w:t>
            </w:r>
          </w:p>
        </w:tc>
      </w:tr>
      <w:tr w:rsidR="00F05BB6" w:rsidRPr="00AD51E1" w:rsidTr="001B56F1">
        <w:tc>
          <w:tcPr>
            <w:tcW w:w="1959" w:type="pct"/>
            <w:vAlign w:val="bottom"/>
          </w:tcPr>
          <w:p w:rsidR="00F05BB6" w:rsidRPr="00D04898" w:rsidRDefault="00F05BB6" w:rsidP="001B56F1">
            <w:pPr>
              <w:pStyle w:val="TableBodyText"/>
              <w:jc w:val="left"/>
              <w:rPr>
                <w:sz w:val="18"/>
                <w:szCs w:val="18"/>
              </w:rPr>
            </w:pPr>
            <w:r w:rsidRPr="00D04898">
              <w:rPr>
                <w:sz w:val="18"/>
                <w:szCs w:val="18"/>
              </w:rPr>
              <w:t>Transport, postal and warehousing</w:t>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shd w:val="clear" w:color="auto" w:fill="auto"/>
            <w:vAlign w:val="bottom"/>
          </w:tcPr>
          <w:p w:rsidR="00F05BB6" w:rsidRPr="00D04898" w:rsidRDefault="00F05BB6" w:rsidP="001B56F1">
            <w:pPr>
              <w:pStyle w:val="TableBodyText"/>
              <w:rPr>
                <w:sz w:val="18"/>
                <w:szCs w:val="18"/>
              </w:rPr>
            </w:pPr>
            <w:r w:rsidRPr="00D04898">
              <w:rPr>
                <w:sz w:val="18"/>
                <w:szCs w:val="18"/>
              </w:rPr>
              <w:noBreakHyphen/>
            </w:r>
          </w:p>
        </w:tc>
        <w:tc>
          <w:tcPr>
            <w:tcW w:w="507" w:type="pct"/>
            <w:shd w:val="clear" w:color="auto" w:fill="auto"/>
            <w:vAlign w:val="bottom"/>
          </w:tcPr>
          <w:p w:rsidR="00F05BB6" w:rsidRPr="00D04898" w:rsidRDefault="00F05BB6" w:rsidP="001B56F1">
            <w:pPr>
              <w:pStyle w:val="TableBodyText"/>
              <w:rPr>
                <w:sz w:val="18"/>
                <w:szCs w:val="18"/>
              </w:rPr>
            </w:pPr>
            <w:r w:rsidRPr="00D04898">
              <w:rPr>
                <w:sz w:val="18"/>
                <w:szCs w:val="18"/>
              </w:rPr>
              <w:t>0.2</w:t>
            </w:r>
          </w:p>
        </w:tc>
      </w:tr>
      <w:tr w:rsidR="00F05BB6" w:rsidRPr="00AD51E1" w:rsidTr="001B56F1">
        <w:tc>
          <w:tcPr>
            <w:tcW w:w="1959" w:type="pct"/>
            <w:vAlign w:val="bottom"/>
          </w:tcPr>
          <w:p w:rsidR="00F05BB6" w:rsidRPr="00D04898" w:rsidRDefault="00F05BB6" w:rsidP="001B56F1">
            <w:pPr>
              <w:pStyle w:val="TableBodyText"/>
              <w:jc w:val="left"/>
              <w:rPr>
                <w:sz w:val="18"/>
                <w:szCs w:val="18"/>
              </w:rPr>
            </w:pPr>
            <w:r w:rsidRPr="00D04898">
              <w:rPr>
                <w:sz w:val="18"/>
                <w:szCs w:val="18"/>
              </w:rPr>
              <w:t>Property, professional and administrative services</w:t>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shd w:val="clear" w:color="auto" w:fill="auto"/>
            <w:vAlign w:val="bottom"/>
          </w:tcPr>
          <w:p w:rsidR="00F05BB6" w:rsidRPr="00D04898" w:rsidRDefault="00F05BB6" w:rsidP="001B56F1">
            <w:pPr>
              <w:pStyle w:val="TableBodyText"/>
              <w:rPr>
                <w:sz w:val="18"/>
                <w:szCs w:val="18"/>
              </w:rPr>
            </w:pPr>
            <w:r w:rsidRPr="00D04898">
              <w:rPr>
                <w:sz w:val="18"/>
                <w:szCs w:val="18"/>
              </w:rPr>
              <w:noBreakHyphen/>
            </w:r>
          </w:p>
        </w:tc>
        <w:tc>
          <w:tcPr>
            <w:tcW w:w="507" w:type="pct"/>
            <w:shd w:val="clear" w:color="auto" w:fill="auto"/>
            <w:vAlign w:val="bottom"/>
          </w:tcPr>
          <w:p w:rsidR="00F05BB6" w:rsidRPr="00D04898" w:rsidRDefault="00F05BB6" w:rsidP="001B56F1">
            <w:pPr>
              <w:pStyle w:val="TableBodyText"/>
              <w:rPr>
                <w:sz w:val="18"/>
                <w:szCs w:val="18"/>
              </w:rPr>
            </w:pPr>
            <w:r w:rsidRPr="00D04898">
              <w:rPr>
                <w:sz w:val="18"/>
                <w:szCs w:val="18"/>
              </w:rPr>
              <w:t>&lt;0.1</w:t>
            </w:r>
          </w:p>
        </w:tc>
      </w:tr>
      <w:tr w:rsidR="00F05BB6" w:rsidRPr="00AD51E1" w:rsidTr="001B56F1">
        <w:tc>
          <w:tcPr>
            <w:tcW w:w="1959" w:type="pct"/>
            <w:vAlign w:val="bottom"/>
          </w:tcPr>
          <w:p w:rsidR="00F05BB6" w:rsidRPr="00D04898" w:rsidRDefault="00F05BB6" w:rsidP="001B56F1">
            <w:pPr>
              <w:pStyle w:val="TableBodyText"/>
              <w:jc w:val="left"/>
              <w:rPr>
                <w:sz w:val="18"/>
                <w:szCs w:val="18"/>
              </w:rPr>
            </w:pPr>
            <w:r w:rsidRPr="00D04898">
              <w:rPr>
                <w:sz w:val="18"/>
                <w:szCs w:val="18"/>
              </w:rPr>
              <w:t>Other services</w:t>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vAlign w:val="bottom"/>
          </w:tcPr>
          <w:p w:rsidR="00F05BB6" w:rsidRPr="00D04898" w:rsidRDefault="00F05BB6" w:rsidP="001B56F1">
            <w:pPr>
              <w:pStyle w:val="TableBodyText"/>
              <w:rPr>
                <w:sz w:val="18"/>
                <w:szCs w:val="18"/>
              </w:rPr>
            </w:pPr>
            <w:r w:rsidRPr="00D04898">
              <w:rPr>
                <w:sz w:val="18"/>
                <w:szCs w:val="18"/>
              </w:rPr>
              <w:noBreakHyphen/>
            </w:r>
          </w:p>
        </w:tc>
        <w:tc>
          <w:tcPr>
            <w:tcW w:w="507" w:type="pct"/>
            <w:shd w:val="clear" w:color="auto" w:fill="auto"/>
            <w:vAlign w:val="bottom"/>
          </w:tcPr>
          <w:p w:rsidR="00F05BB6" w:rsidRPr="00D04898" w:rsidRDefault="00F05BB6" w:rsidP="001B56F1">
            <w:pPr>
              <w:pStyle w:val="TableBodyText"/>
              <w:rPr>
                <w:sz w:val="18"/>
                <w:szCs w:val="18"/>
              </w:rPr>
            </w:pPr>
            <w:r w:rsidRPr="00D04898">
              <w:rPr>
                <w:sz w:val="18"/>
                <w:szCs w:val="18"/>
              </w:rPr>
              <w:noBreakHyphen/>
            </w:r>
          </w:p>
        </w:tc>
        <w:tc>
          <w:tcPr>
            <w:tcW w:w="507" w:type="pct"/>
            <w:shd w:val="clear" w:color="auto" w:fill="auto"/>
            <w:vAlign w:val="bottom"/>
          </w:tcPr>
          <w:p w:rsidR="00F05BB6" w:rsidRPr="00D04898" w:rsidRDefault="00F05BB6" w:rsidP="001B56F1">
            <w:pPr>
              <w:pStyle w:val="TableBodyText"/>
              <w:rPr>
                <w:sz w:val="18"/>
                <w:szCs w:val="18"/>
              </w:rPr>
            </w:pPr>
            <w:r w:rsidRPr="00D04898">
              <w:rPr>
                <w:sz w:val="18"/>
                <w:szCs w:val="18"/>
              </w:rPr>
              <w:t>&lt;0.1</w:t>
            </w:r>
          </w:p>
        </w:tc>
      </w:tr>
      <w:tr w:rsidR="00F05BB6" w:rsidRPr="00AD51E1" w:rsidTr="001B56F1">
        <w:tc>
          <w:tcPr>
            <w:tcW w:w="1959" w:type="pct"/>
            <w:tcBorders>
              <w:bottom w:val="single" w:sz="4" w:space="0" w:color="auto"/>
            </w:tcBorders>
            <w:vAlign w:val="bottom"/>
          </w:tcPr>
          <w:p w:rsidR="00F05BB6" w:rsidRPr="00D04898" w:rsidRDefault="00F05BB6" w:rsidP="001B56F1">
            <w:pPr>
              <w:pStyle w:val="TableBodyText"/>
              <w:jc w:val="left"/>
              <w:rPr>
                <w:b/>
                <w:bCs/>
                <w:sz w:val="18"/>
                <w:szCs w:val="18"/>
              </w:rPr>
            </w:pPr>
            <w:r w:rsidRPr="00D04898">
              <w:rPr>
                <w:b/>
                <w:bCs/>
                <w:sz w:val="18"/>
                <w:szCs w:val="18"/>
              </w:rPr>
              <w:t>Total</w:t>
            </w:r>
          </w:p>
        </w:tc>
        <w:tc>
          <w:tcPr>
            <w:tcW w:w="507" w:type="pct"/>
            <w:tcBorders>
              <w:bottom w:val="single" w:sz="4" w:space="0" w:color="auto"/>
            </w:tcBorders>
            <w:vAlign w:val="bottom"/>
          </w:tcPr>
          <w:p w:rsidR="00F05BB6" w:rsidRPr="00D04898" w:rsidRDefault="00F05BB6" w:rsidP="001B56F1">
            <w:pPr>
              <w:pStyle w:val="TableBodyText"/>
              <w:rPr>
                <w:b/>
                <w:bCs/>
                <w:sz w:val="18"/>
                <w:szCs w:val="18"/>
              </w:rPr>
            </w:pPr>
            <w:r w:rsidRPr="00D04898">
              <w:rPr>
                <w:sz w:val="18"/>
                <w:szCs w:val="18"/>
              </w:rPr>
              <w:noBreakHyphen/>
            </w:r>
          </w:p>
        </w:tc>
        <w:tc>
          <w:tcPr>
            <w:tcW w:w="507" w:type="pct"/>
            <w:tcBorders>
              <w:bottom w:val="single" w:sz="4" w:space="0" w:color="auto"/>
            </w:tcBorders>
            <w:vAlign w:val="bottom"/>
          </w:tcPr>
          <w:p w:rsidR="00F05BB6" w:rsidRPr="00D04898" w:rsidRDefault="00F05BB6" w:rsidP="001B56F1">
            <w:pPr>
              <w:pStyle w:val="TableBodyText"/>
              <w:rPr>
                <w:b/>
                <w:bCs/>
                <w:sz w:val="18"/>
                <w:szCs w:val="18"/>
              </w:rPr>
            </w:pPr>
            <w:r w:rsidRPr="00D04898">
              <w:rPr>
                <w:sz w:val="18"/>
                <w:szCs w:val="18"/>
              </w:rPr>
              <w:noBreakHyphen/>
            </w:r>
          </w:p>
        </w:tc>
        <w:tc>
          <w:tcPr>
            <w:tcW w:w="507" w:type="pct"/>
            <w:tcBorders>
              <w:bottom w:val="single" w:sz="4" w:space="0" w:color="auto"/>
            </w:tcBorders>
            <w:vAlign w:val="bottom"/>
          </w:tcPr>
          <w:p w:rsidR="00F05BB6" w:rsidRPr="00D04898" w:rsidRDefault="00F05BB6" w:rsidP="001B56F1">
            <w:pPr>
              <w:pStyle w:val="TableBodyText"/>
              <w:rPr>
                <w:b/>
                <w:bCs/>
                <w:sz w:val="18"/>
                <w:szCs w:val="18"/>
              </w:rPr>
            </w:pPr>
            <w:r w:rsidRPr="00D04898">
              <w:rPr>
                <w:sz w:val="18"/>
                <w:szCs w:val="18"/>
              </w:rPr>
              <w:noBreakHyphen/>
            </w:r>
          </w:p>
        </w:tc>
        <w:tc>
          <w:tcPr>
            <w:tcW w:w="507" w:type="pct"/>
            <w:tcBorders>
              <w:bottom w:val="single" w:sz="4" w:space="0" w:color="auto"/>
            </w:tcBorders>
            <w:vAlign w:val="bottom"/>
          </w:tcPr>
          <w:p w:rsidR="00F05BB6" w:rsidRPr="00D04898" w:rsidRDefault="00F05BB6" w:rsidP="001B56F1">
            <w:pPr>
              <w:pStyle w:val="TableBodyText"/>
              <w:rPr>
                <w:b/>
                <w:bCs/>
                <w:sz w:val="18"/>
                <w:szCs w:val="18"/>
              </w:rPr>
            </w:pPr>
            <w:r w:rsidRPr="00D04898">
              <w:rPr>
                <w:sz w:val="18"/>
                <w:szCs w:val="18"/>
              </w:rPr>
              <w:noBreakHyphen/>
            </w:r>
          </w:p>
        </w:tc>
        <w:tc>
          <w:tcPr>
            <w:tcW w:w="507" w:type="pct"/>
            <w:tcBorders>
              <w:bottom w:val="single" w:sz="4" w:space="0" w:color="auto"/>
            </w:tcBorders>
            <w:shd w:val="clear" w:color="auto" w:fill="auto"/>
            <w:vAlign w:val="bottom"/>
          </w:tcPr>
          <w:p w:rsidR="00F05BB6" w:rsidRPr="00D04898" w:rsidRDefault="00F05BB6" w:rsidP="001B56F1">
            <w:pPr>
              <w:pStyle w:val="TableBodyText"/>
              <w:rPr>
                <w:b/>
                <w:bCs/>
                <w:sz w:val="18"/>
                <w:szCs w:val="18"/>
              </w:rPr>
            </w:pPr>
            <w:r w:rsidRPr="00D04898">
              <w:rPr>
                <w:sz w:val="18"/>
                <w:szCs w:val="18"/>
              </w:rPr>
              <w:noBreakHyphen/>
            </w:r>
          </w:p>
        </w:tc>
        <w:tc>
          <w:tcPr>
            <w:tcW w:w="507" w:type="pct"/>
            <w:tcBorders>
              <w:bottom w:val="single" w:sz="4" w:space="0" w:color="auto"/>
            </w:tcBorders>
            <w:shd w:val="clear" w:color="auto" w:fill="auto"/>
            <w:vAlign w:val="bottom"/>
          </w:tcPr>
          <w:p w:rsidR="00F05BB6" w:rsidRPr="00D04898" w:rsidRDefault="00F05BB6" w:rsidP="001B56F1">
            <w:pPr>
              <w:pStyle w:val="TableBodyText"/>
              <w:rPr>
                <w:b/>
                <w:bCs/>
                <w:sz w:val="18"/>
                <w:szCs w:val="18"/>
              </w:rPr>
            </w:pPr>
            <w:r w:rsidRPr="00D04898">
              <w:rPr>
                <w:b/>
                <w:bCs/>
                <w:sz w:val="18"/>
                <w:szCs w:val="18"/>
              </w:rPr>
              <w:t>3.8</w:t>
            </w:r>
          </w:p>
        </w:tc>
      </w:tr>
    </w:tbl>
    <w:p w:rsidR="00F05BB6" w:rsidRDefault="00F05BB6" w:rsidP="00F05BB6">
      <w:pPr>
        <w:pStyle w:val="Note"/>
      </w:pPr>
      <w:r w:rsidRPr="00A2379F">
        <w:noBreakHyphen/>
        <w:t xml:space="preserve"> Nil</w:t>
      </w:r>
      <w:r>
        <w:t>.</w:t>
      </w:r>
    </w:p>
    <w:p w:rsidR="00F05BB6" w:rsidRPr="008E77FE" w:rsidRDefault="00F05BB6" w:rsidP="00F05BB6">
      <w:pPr>
        <w:pStyle w:val="Source"/>
      </w:pPr>
      <w:r>
        <w:rPr>
          <w:i/>
        </w:rPr>
        <w:t>Source</w:t>
      </w:r>
      <w:r>
        <w:t>: Commission estimates based on detailed DIISR data by ANZSIC industry.</w:t>
      </w:r>
    </w:p>
    <w:p w:rsidR="00C865DC" w:rsidRDefault="00FA09C3" w:rsidP="00C865DC">
      <w:pPr>
        <w:pStyle w:val="Heading2"/>
      </w:pPr>
      <w:r>
        <w:t>A.</w:t>
      </w:r>
      <w:r>
        <w:rPr>
          <w:noProof/>
        </w:rPr>
        <w:t>101</w:t>
      </w:r>
      <w:r w:rsidR="00C865DC">
        <w:tab/>
        <w:t>Solar Flagships Program</w:t>
      </w:r>
    </w:p>
    <w:p w:rsidR="00C865DC" w:rsidRDefault="00C865DC" w:rsidP="00C865DC">
      <w:pPr>
        <w:pStyle w:val="BodyText"/>
      </w:pPr>
      <w:r w:rsidRPr="008A42F0">
        <w:t>The Solar Flagships Program provides funding for the construction and demonstration of large-scale grid-connected solar power stations operating within a competitive electricity market in Australia</w:t>
      </w:r>
      <w:r>
        <w:t xml:space="preserve"> </w:t>
      </w:r>
      <w:r w:rsidRPr="00076ABE">
        <w:t>(</w:t>
      </w:r>
      <w:r w:rsidRPr="00813174">
        <w:t>DRET 2012</w:t>
      </w:r>
      <w:r w:rsidRPr="00076ABE">
        <w:t>)</w:t>
      </w:r>
      <w:r w:rsidRPr="008A42F0">
        <w:t xml:space="preserve">. In June 2012, </w:t>
      </w:r>
      <w:r>
        <w:t>the Australian Government</w:t>
      </w:r>
      <w:r w:rsidRPr="008A42F0">
        <w:t xml:space="preserve"> announced a $129.7</w:t>
      </w:r>
      <w:r>
        <w:t> </w:t>
      </w:r>
      <w:r w:rsidRPr="008A42F0">
        <w:t>million grant under the Program to AGL Energy for the development of a 159 megawatt solar plant with capacity to generate enough electricity to power approximately 30</w:t>
      </w:r>
      <w:r>
        <w:t> </w:t>
      </w:r>
      <w:r w:rsidRPr="008A42F0">
        <w:t>000 homes</w:t>
      </w:r>
      <w:r>
        <w:t>.</w:t>
      </w:r>
    </w:p>
    <w:p w:rsidR="00C865DC" w:rsidRPr="008A42F0" w:rsidRDefault="00C865DC" w:rsidP="00C865DC">
      <w:pPr>
        <w:pStyle w:val="BodyText"/>
      </w:pPr>
      <w:r w:rsidRPr="00720BA9">
        <w:t xml:space="preserve">Funding for the program has been allocated to the </w:t>
      </w:r>
      <w:r w:rsidRPr="00720BA9">
        <w:rPr>
          <w:i/>
        </w:rPr>
        <w:t>Electricity, gas, water and waste services</w:t>
      </w:r>
      <w:r w:rsidRPr="00720BA9">
        <w:t xml:space="preserve"> industry grouping in the Commission’s ANZSIC-based</w:t>
      </w:r>
      <w:r>
        <w:t xml:space="preserve"> industry</w:t>
      </w:r>
      <w:r w:rsidRPr="00720BA9">
        <w:t xml:space="preserve"> classification (table</w:t>
      </w:r>
      <w:r w:rsidR="00C065C1">
        <w:t> </w:t>
      </w:r>
      <w:r w:rsidRPr="00720BA9">
        <w:t>A.</w:t>
      </w:r>
      <w:r>
        <w:t>10</w:t>
      </w:r>
      <w:r w:rsidR="00C065C1">
        <w:t>1</w:t>
      </w:r>
      <w:r w:rsidRPr="00720BA9">
        <w:t>).</w:t>
      </w:r>
    </w:p>
    <w:p w:rsidR="00C865DC" w:rsidRDefault="00C865DC" w:rsidP="00C865DC">
      <w:pPr>
        <w:pStyle w:val="TableTitle"/>
      </w:pPr>
      <w:r>
        <w:rPr>
          <w:b w:val="0"/>
        </w:rPr>
        <w:t xml:space="preserve">Table </w:t>
      </w:r>
      <w:r w:rsidR="00FA09C3">
        <w:rPr>
          <w:b w:val="0"/>
        </w:rPr>
        <w:t>A.</w:t>
      </w:r>
      <w:r w:rsidR="00FA09C3">
        <w:rPr>
          <w:b w:val="0"/>
          <w:noProof/>
        </w:rPr>
        <w:t>101</w:t>
      </w:r>
      <w:r>
        <w:tab/>
        <w:t>Allocation of Solar Flagships Programs</w:t>
      </w:r>
      <w:r w:rsidR="00B6795B" w:rsidRPr="00B6795B">
        <w:t xml:space="preserve"> to industry</w:t>
      </w:r>
      <w:r>
        <w:t>, 2006</w:t>
      </w:r>
      <w:r>
        <w:noBreakHyphen/>
        <w:t>07 to 2011</w:t>
      </w:r>
      <w:r>
        <w:noBreakHyphen/>
        <w:t>12</w:t>
      </w:r>
    </w:p>
    <w:p w:rsidR="00C865DC" w:rsidRDefault="00C865DC" w:rsidP="00C865DC">
      <w:pPr>
        <w:pStyle w:val="Subtitle"/>
      </w:pPr>
      <w:r>
        <w:t>$</w:t>
      </w:r>
      <w:r w:rsidR="00411E67">
        <w:t xml:space="preserve"> </w:t>
      </w:r>
      <w:r>
        <w:t>million (nominal)</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C865DC" w:rsidRPr="00AF699A" w:rsidTr="00CB219A">
        <w:trPr>
          <w:trHeight w:val="340"/>
        </w:trPr>
        <w:tc>
          <w:tcPr>
            <w:tcW w:w="1958" w:type="pct"/>
            <w:tcBorders>
              <w:top w:val="single" w:sz="6" w:space="0" w:color="auto"/>
              <w:bottom w:val="single" w:sz="6" w:space="0" w:color="auto"/>
            </w:tcBorders>
          </w:tcPr>
          <w:p w:rsidR="00C865DC" w:rsidRPr="00AF699A" w:rsidRDefault="00C865DC"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C865DC" w:rsidRPr="00AF699A" w:rsidRDefault="00C865DC"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C865DC" w:rsidRPr="00AF699A" w:rsidRDefault="00C865DC"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C865DC" w:rsidRPr="00AF699A" w:rsidRDefault="00C865DC"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C865DC" w:rsidRPr="00AF699A" w:rsidRDefault="00C865DC"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C865DC" w:rsidRPr="00AF699A" w:rsidRDefault="00C865DC" w:rsidP="001B56F1">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C865DC" w:rsidRPr="00AF699A" w:rsidRDefault="00C865DC" w:rsidP="001B56F1">
            <w:pPr>
              <w:pStyle w:val="TableColumnHeading"/>
              <w:ind w:right="28"/>
              <w:rPr>
                <w:rFonts w:cs="Arial"/>
                <w:sz w:val="18"/>
                <w:szCs w:val="18"/>
              </w:rPr>
            </w:pPr>
            <w:r w:rsidRPr="00AF699A">
              <w:rPr>
                <w:rFonts w:cs="Arial"/>
                <w:sz w:val="18"/>
                <w:szCs w:val="18"/>
              </w:rPr>
              <w:t>2011-12</w:t>
            </w:r>
          </w:p>
        </w:tc>
      </w:tr>
      <w:tr w:rsidR="00C865DC" w:rsidRPr="0046402A" w:rsidTr="001B56F1">
        <w:tc>
          <w:tcPr>
            <w:tcW w:w="1958" w:type="pct"/>
            <w:tcBorders>
              <w:bottom w:val="single" w:sz="4" w:space="0" w:color="auto"/>
            </w:tcBorders>
            <w:vAlign w:val="bottom"/>
          </w:tcPr>
          <w:p w:rsidR="00C865DC" w:rsidRPr="00A341FE" w:rsidRDefault="00C865DC" w:rsidP="001B56F1">
            <w:pPr>
              <w:pStyle w:val="TableBodyText"/>
              <w:jc w:val="left"/>
            </w:pPr>
            <w:r w:rsidRPr="00A341FE">
              <w:t>Electricity, gas, water and waste services</w:t>
            </w:r>
          </w:p>
        </w:tc>
        <w:tc>
          <w:tcPr>
            <w:tcW w:w="507" w:type="pct"/>
            <w:tcBorders>
              <w:bottom w:val="single" w:sz="4" w:space="0" w:color="auto"/>
            </w:tcBorders>
            <w:vAlign w:val="bottom"/>
          </w:tcPr>
          <w:p w:rsidR="00C865DC" w:rsidRPr="00A341FE" w:rsidRDefault="00C865DC" w:rsidP="001B56F1">
            <w:pPr>
              <w:pStyle w:val="TableBodyText"/>
            </w:pPr>
            <w:r>
              <w:noBreakHyphen/>
            </w:r>
          </w:p>
        </w:tc>
        <w:tc>
          <w:tcPr>
            <w:tcW w:w="507" w:type="pct"/>
            <w:tcBorders>
              <w:bottom w:val="single" w:sz="4" w:space="0" w:color="auto"/>
            </w:tcBorders>
            <w:vAlign w:val="bottom"/>
          </w:tcPr>
          <w:p w:rsidR="00C865DC" w:rsidRPr="00A341FE" w:rsidRDefault="00C865DC" w:rsidP="001B56F1">
            <w:pPr>
              <w:pStyle w:val="TableBodyText"/>
            </w:pPr>
            <w:r>
              <w:noBreakHyphen/>
            </w:r>
          </w:p>
        </w:tc>
        <w:tc>
          <w:tcPr>
            <w:tcW w:w="507" w:type="pct"/>
            <w:tcBorders>
              <w:bottom w:val="single" w:sz="4" w:space="0" w:color="auto"/>
            </w:tcBorders>
            <w:vAlign w:val="bottom"/>
          </w:tcPr>
          <w:p w:rsidR="00C865DC" w:rsidRPr="00A341FE" w:rsidRDefault="00C865DC" w:rsidP="001B56F1">
            <w:pPr>
              <w:pStyle w:val="TableBodyText"/>
            </w:pPr>
            <w:r>
              <w:noBreakHyphen/>
            </w:r>
          </w:p>
        </w:tc>
        <w:tc>
          <w:tcPr>
            <w:tcW w:w="507" w:type="pct"/>
            <w:tcBorders>
              <w:bottom w:val="single" w:sz="4" w:space="0" w:color="auto"/>
            </w:tcBorders>
            <w:vAlign w:val="bottom"/>
          </w:tcPr>
          <w:p w:rsidR="00C865DC" w:rsidRPr="00A341FE" w:rsidRDefault="00C865DC" w:rsidP="001B56F1">
            <w:pPr>
              <w:pStyle w:val="TableBodyText"/>
            </w:pPr>
            <w:r w:rsidRPr="00A341FE">
              <w:t>0.1</w:t>
            </w:r>
          </w:p>
        </w:tc>
        <w:tc>
          <w:tcPr>
            <w:tcW w:w="507" w:type="pct"/>
            <w:tcBorders>
              <w:bottom w:val="single" w:sz="4" w:space="0" w:color="auto"/>
            </w:tcBorders>
            <w:shd w:val="clear" w:color="auto" w:fill="auto"/>
            <w:vAlign w:val="bottom"/>
          </w:tcPr>
          <w:p w:rsidR="00C865DC" w:rsidRPr="00A341FE" w:rsidRDefault="00C865DC" w:rsidP="001B56F1">
            <w:pPr>
              <w:pStyle w:val="TableBodyText"/>
            </w:pPr>
            <w:r w:rsidRPr="00A341FE">
              <w:t>17.3</w:t>
            </w:r>
          </w:p>
        </w:tc>
        <w:tc>
          <w:tcPr>
            <w:tcW w:w="507" w:type="pct"/>
            <w:tcBorders>
              <w:bottom w:val="single" w:sz="4" w:space="0" w:color="auto"/>
            </w:tcBorders>
            <w:shd w:val="clear" w:color="auto" w:fill="auto"/>
            <w:vAlign w:val="bottom"/>
          </w:tcPr>
          <w:p w:rsidR="00C865DC" w:rsidRPr="00A341FE" w:rsidRDefault="00C865DC" w:rsidP="001B56F1">
            <w:pPr>
              <w:pStyle w:val="TableBodyText"/>
            </w:pPr>
            <w:r w:rsidRPr="00A341FE">
              <w:t>3.8</w:t>
            </w:r>
          </w:p>
        </w:tc>
      </w:tr>
    </w:tbl>
    <w:p w:rsidR="00C865DC" w:rsidRDefault="00C865DC" w:rsidP="00C865DC">
      <w:pPr>
        <w:pStyle w:val="Note"/>
      </w:pPr>
      <w:r w:rsidRPr="00A2379F">
        <w:noBreakHyphen/>
        <w:t xml:space="preserve"> Nil</w:t>
      </w:r>
      <w:r>
        <w:t>.</w:t>
      </w:r>
    </w:p>
    <w:p w:rsidR="00C865DC" w:rsidRPr="008E77FE" w:rsidRDefault="00C865DC" w:rsidP="00C865DC">
      <w:pPr>
        <w:pStyle w:val="Source"/>
      </w:pPr>
      <w:r>
        <w:rPr>
          <w:i/>
        </w:rPr>
        <w:t>Source</w:t>
      </w:r>
      <w:r>
        <w:t>: Commission estimates based on Department of Resources, Energy and Tourism Annual Report 2011</w:t>
      </w:r>
      <w:r>
        <w:noBreakHyphen/>
        <w:t>12 (and earlier years).</w:t>
      </w:r>
    </w:p>
    <w:p w:rsidR="00AD78A6" w:rsidRDefault="00FA09C3" w:rsidP="00AD78A6">
      <w:pPr>
        <w:pStyle w:val="Heading2"/>
      </w:pPr>
      <w:r>
        <w:t>A.</w:t>
      </w:r>
      <w:r>
        <w:rPr>
          <w:noProof/>
        </w:rPr>
        <w:t>102</w:t>
      </w:r>
      <w:r w:rsidR="00AD78A6">
        <w:tab/>
        <w:t>Taxation assistance for victims of Australian natural disasters</w:t>
      </w:r>
    </w:p>
    <w:p w:rsidR="00AD78A6" w:rsidRDefault="00AD78A6" w:rsidP="00AD78A6">
      <w:pPr>
        <w:pStyle w:val="BodyText"/>
      </w:pPr>
      <w:r>
        <w:t xml:space="preserve">Certain payments made to victims of Australian natural disasters are exempt from income tax </w:t>
      </w:r>
      <w:r w:rsidRPr="00053192">
        <w:t>(</w:t>
      </w:r>
      <w:r w:rsidRPr="00813174">
        <w:t>Tax Expenditure Statement, Australian Government 2013, Item B 30</w:t>
      </w:r>
      <w:r w:rsidRPr="00053192">
        <w:t>)</w:t>
      </w:r>
      <w:r>
        <w:t xml:space="preserve">. </w:t>
      </w:r>
      <w:r w:rsidR="00411E67">
        <w:t xml:space="preserve">These include, for </w:t>
      </w:r>
      <w:r>
        <w:t xml:space="preserve">example, the Clean-up and Restoration Grants paid to small businesses and primary producers affected by the 2009 Victorian bushfires and </w:t>
      </w:r>
      <w:r w:rsidR="00411E67">
        <w:t xml:space="preserve">payments from </w:t>
      </w:r>
      <w:r>
        <w:t>the Business Assistance Fund established in the wake of Cyclones Larry and Monica in 2006</w:t>
      </w:r>
      <w:r w:rsidR="00FF42C0">
        <w:t>.</w:t>
      </w:r>
    </w:p>
    <w:p w:rsidR="00AD78A6" w:rsidRDefault="00AD78A6" w:rsidP="00AD78A6">
      <w:pPr>
        <w:pStyle w:val="BodyText"/>
      </w:pPr>
      <w:r>
        <w:t xml:space="preserve">Information on the industry incidence of the program has not been readily available. Accordingly, the taxation concession has been classified to the </w:t>
      </w:r>
      <w:r w:rsidRPr="003B5B4A">
        <w:rPr>
          <w:i/>
        </w:rPr>
        <w:t>Unallocated other</w:t>
      </w:r>
      <w:r>
        <w:t xml:space="preserve"> industry grouping in the Commission ANZSIC-based classification (table A.10</w:t>
      </w:r>
      <w:r w:rsidR="00C065C1">
        <w:t>2</w:t>
      </w:r>
      <w:r>
        <w:t>).</w:t>
      </w:r>
    </w:p>
    <w:p w:rsidR="00AD78A6" w:rsidRDefault="00AD78A6" w:rsidP="00AD78A6">
      <w:pPr>
        <w:pStyle w:val="TableTitle"/>
      </w:pPr>
      <w:r>
        <w:rPr>
          <w:b w:val="0"/>
        </w:rPr>
        <w:t xml:space="preserve">Table </w:t>
      </w:r>
      <w:r w:rsidR="00FA09C3">
        <w:rPr>
          <w:b w:val="0"/>
        </w:rPr>
        <w:t>A.</w:t>
      </w:r>
      <w:r w:rsidR="00FA09C3">
        <w:rPr>
          <w:b w:val="0"/>
          <w:noProof/>
        </w:rPr>
        <w:t>102</w:t>
      </w:r>
      <w:r>
        <w:tab/>
        <w:t>Allocation of Taxation assistance for victims of Australian natural disasters</w:t>
      </w:r>
      <w:r w:rsidR="00B6795B" w:rsidRPr="00B6795B">
        <w:t xml:space="preserve"> to industry</w:t>
      </w:r>
      <w:r>
        <w:t>, 2006</w:t>
      </w:r>
      <w:r>
        <w:noBreakHyphen/>
        <w:t>07 to 2011</w:t>
      </w:r>
      <w:r>
        <w:noBreakHyphen/>
        <w:t>12</w:t>
      </w:r>
    </w:p>
    <w:p w:rsidR="00AD78A6" w:rsidRDefault="00AD78A6" w:rsidP="00AD78A6">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AD78A6" w:rsidRPr="00AF699A" w:rsidTr="001B56F1">
        <w:tc>
          <w:tcPr>
            <w:tcW w:w="1960" w:type="pct"/>
            <w:tcBorders>
              <w:top w:val="single" w:sz="6" w:space="0" w:color="auto"/>
              <w:bottom w:val="single" w:sz="6" w:space="0" w:color="auto"/>
            </w:tcBorders>
          </w:tcPr>
          <w:p w:rsidR="00AD78A6" w:rsidRPr="00AF699A" w:rsidRDefault="00AD78A6"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AD78A6" w:rsidRPr="00AF699A" w:rsidRDefault="00AD78A6"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AD78A6" w:rsidRPr="00AF699A" w:rsidRDefault="00AD78A6"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AD78A6" w:rsidRPr="00AF699A" w:rsidRDefault="00AD78A6"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AD78A6" w:rsidRPr="00AF699A" w:rsidRDefault="00AD78A6"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AD78A6" w:rsidRPr="00AF699A" w:rsidRDefault="00AD78A6"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AD78A6" w:rsidRPr="00AF699A" w:rsidRDefault="00AD78A6" w:rsidP="001B56F1">
            <w:pPr>
              <w:pStyle w:val="TableColumnHeading"/>
              <w:ind w:right="28"/>
              <w:rPr>
                <w:rFonts w:cs="Arial"/>
                <w:sz w:val="18"/>
                <w:szCs w:val="18"/>
              </w:rPr>
            </w:pPr>
            <w:r w:rsidRPr="00AF699A">
              <w:rPr>
                <w:rFonts w:cs="Arial"/>
                <w:sz w:val="18"/>
                <w:szCs w:val="18"/>
              </w:rPr>
              <w:t>2011-12</w:t>
            </w:r>
          </w:p>
        </w:tc>
      </w:tr>
      <w:tr w:rsidR="00AD78A6" w:rsidRPr="006C5A80" w:rsidTr="001B56F1">
        <w:tc>
          <w:tcPr>
            <w:tcW w:w="1960" w:type="pct"/>
            <w:tcBorders>
              <w:bottom w:val="single" w:sz="4" w:space="0" w:color="auto"/>
            </w:tcBorders>
            <w:vAlign w:val="bottom"/>
          </w:tcPr>
          <w:p w:rsidR="00AD78A6" w:rsidRPr="00C944BA" w:rsidRDefault="00AD78A6" w:rsidP="001B56F1">
            <w:pPr>
              <w:pStyle w:val="TableBodyText"/>
              <w:jc w:val="left"/>
            </w:pPr>
            <w:r>
              <w:t>Unallocated other</w:t>
            </w:r>
            <w:r w:rsidRPr="00BD3CDA">
              <w:rPr>
                <w:rStyle w:val="NoteLabel"/>
                <w:szCs w:val="18"/>
              </w:rPr>
              <w:t>a</w:t>
            </w:r>
          </w:p>
        </w:tc>
        <w:tc>
          <w:tcPr>
            <w:tcW w:w="507" w:type="pct"/>
            <w:tcBorders>
              <w:bottom w:val="single" w:sz="4" w:space="0" w:color="auto"/>
            </w:tcBorders>
            <w:vAlign w:val="bottom"/>
          </w:tcPr>
          <w:p w:rsidR="00AD78A6" w:rsidRDefault="00AD78A6" w:rsidP="001B56F1">
            <w:pPr>
              <w:pStyle w:val="TableBodyText"/>
            </w:pPr>
            <w:r>
              <w:t>11.0</w:t>
            </w:r>
          </w:p>
        </w:tc>
        <w:tc>
          <w:tcPr>
            <w:tcW w:w="507" w:type="pct"/>
            <w:tcBorders>
              <w:bottom w:val="single" w:sz="4" w:space="0" w:color="auto"/>
            </w:tcBorders>
            <w:vAlign w:val="bottom"/>
          </w:tcPr>
          <w:p w:rsidR="00AD78A6" w:rsidRDefault="00AD78A6" w:rsidP="001B56F1">
            <w:pPr>
              <w:pStyle w:val="TableBodyText"/>
            </w:pPr>
            <w:r>
              <w:t>11.0</w:t>
            </w:r>
          </w:p>
        </w:tc>
        <w:tc>
          <w:tcPr>
            <w:tcW w:w="507" w:type="pct"/>
            <w:tcBorders>
              <w:bottom w:val="single" w:sz="4" w:space="0" w:color="auto"/>
            </w:tcBorders>
            <w:vAlign w:val="bottom"/>
          </w:tcPr>
          <w:p w:rsidR="00AD78A6" w:rsidRDefault="00AD78A6" w:rsidP="001B56F1">
            <w:pPr>
              <w:pStyle w:val="TableBodyText"/>
            </w:pPr>
            <w:r>
              <w:t>8.0</w:t>
            </w:r>
          </w:p>
        </w:tc>
        <w:tc>
          <w:tcPr>
            <w:tcW w:w="507" w:type="pct"/>
            <w:tcBorders>
              <w:bottom w:val="single" w:sz="4" w:space="0" w:color="auto"/>
            </w:tcBorders>
            <w:vAlign w:val="bottom"/>
          </w:tcPr>
          <w:p w:rsidR="00AD78A6" w:rsidRDefault="00AD78A6" w:rsidP="001B56F1">
            <w:pPr>
              <w:pStyle w:val="TableBodyText"/>
            </w:pPr>
            <w:r>
              <w:t>8.0</w:t>
            </w:r>
          </w:p>
        </w:tc>
        <w:tc>
          <w:tcPr>
            <w:tcW w:w="507" w:type="pct"/>
            <w:tcBorders>
              <w:bottom w:val="single" w:sz="4" w:space="0" w:color="auto"/>
            </w:tcBorders>
            <w:shd w:val="clear" w:color="auto" w:fill="auto"/>
            <w:vAlign w:val="bottom"/>
          </w:tcPr>
          <w:p w:rsidR="00AD78A6" w:rsidRDefault="00AD78A6" w:rsidP="001B56F1">
            <w:pPr>
              <w:pStyle w:val="TableBodyText"/>
            </w:pPr>
            <w:r>
              <w:t>6.0</w:t>
            </w:r>
          </w:p>
        </w:tc>
        <w:tc>
          <w:tcPr>
            <w:tcW w:w="505" w:type="pct"/>
            <w:tcBorders>
              <w:bottom w:val="single" w:sz="4" w:space="0" w:color="auto"/>
            </w:tcBorders>
            <w:shd w:val="clear" w:color="auto" w:fill="auto"/>
            <w:vAlign w:val="bottom"/>
          </w:tcPr>
          <w:p w:rsidR="00AD78A6" w:rsidRDefault="00AD78A6" w:rsidP="001B56F1">
            <w:pPr>
              <w:pStyle w:val="TableBodyText"/>
            </w:pPr>
            <w:r>
              <w:t>3.0</w:t>
            </w:r>
          </w:p>
        </w:tc>
      </w:tr>
    </w:tbl>
    <w:p w:rsidR="00AD78A6" w:rsidRPr="00F60026" w:rsidRDefault="00AD78A6" w:rsidP="00AD78A6">
      <w:pPr>
        <w:pStyle w:val="Source"/>
        <w:spacing w:after="0"/>
        <w:rPr>
          <w:i/>
        </w:rPr>
      </w:pPr>
      <w:r w:rsidRPr="009B56F1">
        <w:rPr>
          <w:rStyle w:val="NoteLabel"/>
        </w:rPr>
        <w:t>a</w:t>
      </w:r>
      <w:r w:rsidRPr="009B56F1">
        <w:t xml:space="preserve"> Unallocated includes general programs where detai</w:t>
      </w:r>
      <w:r>
        <w:t>ls of beneficiaries are unknown.</w:t>
      </w:r>
    </w:p>
    <w:p w:rsidR="00AD78A6" w:rsidRDefault="00AD78A6" w:rsidP="00AD78A6">
      <w:pPr>
        <w:pStyle w:val="Source"/>
      </w:pPr>
      <w:r>
        <w:rPr>
          <w:i/>
        </w:rPr>
        <w:t>Source</w:t>
      </w:r>
      <w:r>
        <w:t>: Commission estimates based on Tax Expenditure Statement 2012, Australian Government 2013, p. 79, item B30.</w:t>
      </w:r>
    </w:p>
    <w:p w:rsidR="00C26E82" w:rsidRPr="00C26E82" w:rsidRDefault="00C26E82" w:rsidP="00C26E82">
      <w:r>
        <w:br w:type="page"/>
      </w:r>
    </w:p>
    <w:p w:rsidR="00065C6C" w:rsidRDefault="00FA09C3" w:rsidP="00065C6C">
      <w:pPr>
        <w:pStyle w:val="Heading2"/>
      </w:pPr>
      <w:r>
        <w:t>A.</w:t>
      </w:r>
      <w:r>
        <w:rPr>
          <w:noProof/>
        </w:rPr>
        <w:t>103</w:t>
      </w:r>
      <w:r w:rsidR="00065C6C">
        <w:tab/>
        <w:t>T</w:t>
      </w:r>
      <w:r w:rsidR="00411E67">
        <w:t xml:space="preserve">extile, </w:t>
      </w:r>
      <w:r w:rsidR="00065C6C">
        <w:t>C</w:t>
      </w:r>
      <w:r w:rsidR="00411E67">
        <w:t xml:space="preserve">lothing and </w:t>
      </w:r>
      <w:r w:rsidR="00065C6C">
        <w:t>F</w:t>
      </w:r>
      <w:r w:rsidR="00411E67">
        <w:t>ootwear</w:t>
      </w:r>
      <w:r w:rsidR="00065C6C">
        <w:t xml:space="preserve"> Small Business Program</w:t>
      </w:r>
    </w:p>
    <w:p w:rsidR="00065C6C" w:rsidRDefault="00065C6C" w:rsidP="00065C6C">
      <w:pPr>
        <w:pStyle w:val="BodyText"/>
      </w:pPr>
      <w:r>
        <w:t xml:space="preserve">The Textiles, Clothing and Footwear (TCF) Small Business Program is a competitive merit based grants program available to eligible TCF small business. An eligible TCF small business is one with fewer than 20 employees that also undertakes eligible TCF activities as defined by the TCF Post-2005 (SIP) scheme. The Australian Government’s intended objective of the program is to improve the business enterprise culture of established TCF small businesses that </w:t>
      </w:r>
      <w:r w:rsidRPr="002277B0">
        <w:t xml:space="preserve">have not received grants or </w:t>
      </w:r>
      <w:r>
        <w:t xml:space="preserve">do not </w:t>
      </w:r>
      <w:r w:rsidRPr="002277B0">
        <w:t>qualify for assistance from other TCF programs</w:t>
      </w:r>
      <w:r>
        <w:t xml:space="preserve"> (</w:t>
      </w:r>
      <w:r w:rsidRPr="00813174">
        <w:t>AusIndustry 2013c</w:t>
      </w:r>
      <w:r w:rsidRPr="00EC76CA">
        <w:t>)</w:t>
      </w:r>
      <w:r>
        <w:t>.</w:t>
      </w:r>
    </w:p>
    <w:p w:rsidR="00065C6C" w:rsidRDefault="00065C6C" w:rsidP="00065C6C">
      <w:pPr>
        <w:pStyle w:val="BodyText"/>
      </w:pPr>
      <w:r>
        <w:t>The Commission has obtained information from the Department of Innovation, Industry, Science and Research detailing the ANZSIC industry incidence of the program (table A.10</w:t>
      </w:r>
      <w:r w:rsidR="00C065C1">
        <w:t>3</w:t>
      </w:r>
      <w:r>
        <w:t>).</w:t>
      </w:r>
    </w:p>
    <w:p w:rsidR="00065C6C" w:rsidRDefault="00065C6C" w:rsidP="00065C6C">
      <w:pPr>
        <w:pStyle w:val="TableTitle"/>
      </w:pPr>
      <w:r>
        <w:rPr>
          <w:b w:val="0"/>
        </w:rPr>
        <w:t xml:space="preserve">Table </w:t>
      </w:r>
      <w:r w:rsidR="00FA09C3">
        <w:rPr>
          <w:b w:val="0"/>
        </w:rPr>
        <w:t>A.</w:t>
      </w:r>
      <w:r w:rsidR="00FA09C3">
        <w:rPr>
          <w:b w:val="0"/>
          <w:noProof/>
        </w:rPr>
        <w:t>103</w:t>
      </w:r>
      <w:r>
        <w:tab/>
        <w:t xml:space="preserve">Allocation of </w:t>
      </w:r>
      <w:r w:rsidR="00C705B7">
        <w:t xml:space="preserve">Textile, Clothing and Footwear </w:t>
      </w:r>
      <w:r>
        <w:t xml:space="preserve">Small Business Program </w:t>
      </w:r>
      <w:r w:rsidR="00B6795B" w:rsidRPr="00B6795B">
        <w:t>to industry</w:t>
      </w:r>
      <w:r>
        <w:t>, 2006</w:t>
      </w:r>
      <w:r>
        <w:noBreakHyphen/>
        <w:t>07 to 2011</w:t>
      </w:r>
      <w:r>
        <w:noBreakHyphen/>
        <w:t>12</w:t>
      </w:r>
    </w:p>
    <w:p w:rsidR="00065C6C" w:rsidRDefault="00065C6C" w:rsidP="00065C6C">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065C6C" w:rsidRPr="00AF699A" w:rsidTr="001B56F1">
        <w:tc>
          <w:tcPr>
            <w:tcW w:w="1960" w:type="pct"/>
            <w:tcBorders>
              <w:top w:val="single" w:sz="6" w:space="0" w:color="auto"/>
              <w:bottom w:val="single" w:sz="6" w:space="0" w:color="auto"/>
            </w:tcBorders>
          </w:tcPr>
          <w:p w:rsidR="00065C6C" w:rsidRPr="00AF699A" w:rsidRDefault="00065C6C"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065C6C" w:rsidRPr="00AF699A" w:rsidRDefault="00065C6C"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065C6C" w:rsidRPr="00AF699A" w:rsidRDefault="00065C6C"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065C6C" w:rsidRPr="00AF699A" w:rsidRDefault="00065C6C"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065C6C" w:rsidRPr="00AF699A" w:rsidRDefault="00065C6C"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065C6C" w:rsidRPr="00AF699A" w:rsidRDefault="00065C6C"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065C6C" w:rsidRPr="00AF699A" w:rsidRDefault="00065C6C" w:rsidP="001B56F1">
            <w:pPr>
              <w:pStyle w:val="TableColumnHeading"/>
              <w:ind w:right="28"/>
              <w:rPr>
                <w:rFonts w:cs="Arial"/>
                <w:sz w:val="18"/>
                <w:szCs w:val="18"/>
              </w:rPr>
            </w:pPr>
            <w:r w:rsidRPr="00AF699A">
              <w:rPr>
                <w:rFonts w:cs="Arial"/>
                <w:sz w:val="18"/>
                <w:szCs w:val="18"/>
              </w:rPr>
              <w:t>2011-12</w:t>
            </w:r>
          </w:p>
        </w:tc>
      </w:tr>
      <w:tr w:rsidR="00065C6C" w:rsidRPr="006C5A80" w:rsidTr="001B56F1">
        <w:tc>
          <w:tcPr>
            <w:tcW w:w="1960" w:type="pct"/>
            <w:tcBorders>
              <w:top w:val="single" w:sz="6" w:space="0" w:color="auto"/>
            </w:tcBorders>
            <w:vAlign w:val="bottom"/>
          </w:tcPr>
          <w:p w:rsidR="00065C6C" w:rsidRPr="00682BD4" w:rsidRDefault="00065C6C" w:rsidP="001B56F1">
            <w:pPr>
              <w:pStyle w:val="TableBodyText"/>
              <w:jc w:val="left"/>
              <w:rPr>
                <w:b/>
                <w:sz w:val="18"/>
                <w:szCs w:val="18"/>
              </w:rPr>
            </w:pPr>
            <w:r>
              <w:rPr>
                <w:b/>
                <w:sz w:val="18"/>
                <w:szCs w:val="18"/>
              </w:rPr>
              <w:t>Manufacturing</w:t>
            </w:r>
          </w:p>
        </w:tc>
        <w:tc>
          <w:tcPr>
            <w:tcW w:w="507" w:type="pct"/>
            <w:tcBorders>
              <w:top w:val="single" w:sz="6" w:space="0" w:color="auto"/>
            </w:tcBorders>
            <w:vAlign w:val="bottom"/>
          </w:tcPr>
          <w:p w:rsidR="00065C6C" w:rsidRPr="000B2B31" w:rsidRDefault="00065C6C" w:rsidP="001B56F1">
            <w:pPr>
              <w:pStyle w:val="TableBodyText"/>
              <w:rPr>
                <w:b/>
                <w:sz w:val="18"/>
                <w:szCs w:val="18"/>
              </w:rPr>
            </w:pPr>
            <w:r w:rsidRPr="000B2B31">
              <w:rPr>
                <w:b/>
                <w:sz w:val="18"/>
                <w:szCs w:val="18"/>
              </w:rPr>
              <w:t>2.2</w:t>
            </w:r>
          </w:p>
        </w:tc>
        <w:tc>
          <w:tcPr>
            <w:tcW w:w="507" w:type="pct"/>
            <w:tcBorders>
              <w:top w:val="single" w:sz="6" w:space="0" w:color="auto"/>
            </w:tcBorders>
            <w:vAlign w:val="bottom"/>
          </w:tcPr>
          <w:p w:rsidR="00065C6C" w:rsidRPr="000B2B31" w:rsidRDefault="00065C6C" w:rsidP="001B56F1">
            <w:pPr>
              <w:pStyle w:val="TableBodyText"/>
              <w:rPr>
                <w:b/>
                <w:sz w:val="18"/>
                <w:szCs w:val="18"/>
              </w:rPr>
            </w:pPr>
            <w:r w:rsidRPr="000B2B31">
              <w:rPr>
                <w:b/>
                <w:sz w:val="18"/>
                <w:szCs w:val="18"/>
              </w:rPr>
              <w:t>2.0</w:t>
            </w:r>
          </w:p>
        </w:tc>
        <w:tc>
          <w:tcPr>
            <w:tcW w:w="507" w:type="pct"/>
            <w:tcBorders>
              <w:top w:val="single" w:sz="6" w:space="0" w:color="auto"/>
            </w:tcBorders>
            <w:vAlign w:val="bottom"/>
          </w:tcPr>
          <w:p w:rsidR="00065C6C" w:rsidRPr="000B2B31" w:rsidRDefault="00065C6C" w:rsidP="001B56F1">
            <w:pPr>
              <w:pStyle w:val="TableBodyText"/>
              <w:rPr>
                <w:b/>
                <w:sz w:val="18"/>
                <w:szCs w:val="18"/>
              </w:rPr>
            </w:pPr>
            <w:r w:rsidRPr="000B2B31">
              <w:rPr>
                <w:b/>
                <w:sz w:val="18"/>
                <w:szCs w:val="18"/>
              </w:rPr>
              <w:t>2.1</w:t>
            </w:r>
          </w:p>
        </w:tc>
        <w:tc>
          <w:tcPr>
            <w:tcW w:w="507" w:type="pct"/>
            <w:tcBorders>
              <w:top w:val="single" w:sz="6" w:space="0" w:color="auto"/>
            </w:tcBorders>
            <w:vAlign w:val="bottom"/>
          </w:tcPr>
          <w:p w:rsidR="00065C6C" w:rsidRPr="000B2B31" w:rsidRDefault="00065C6C" w:rsidP="001B56F1">
            <w:pPr>
              <w:pStyle w:val="TableBodyText"/>
              <w:rPr>
                <w:b/>
                <w:sz w:val="18"/>
                <w:szCs w:val="18"/>
              </w:rPr>
            </w:pPr>
            <w:r w:rsidRPr="000B2B31">
              <w:rPr>
                <w:b/>
                <w:sz w:val="18"/>
                <w:szCs w:val="18"/>
              </w:rPr>
              <w:t>1.7</w:t>
            </w:r>
          </w:p>
        </w:tc>
        <w:tc>
          <w:tcPr>
            <w:tcW w:w="507" w:type="pct"/>
            <w:tcBorders>
              <w:top w:val="single" w:sz="6" w:space="0" w:color="auto"/>
            </w:tcBorders>
            <w:vAlign w:val="bottom"/>
          </w:tcPr>
          <w:p w:rsidR="00065C6C" w:rsidRPr="000B2B31" w:rsidRDefault="00065C6C" w:rsidP="001B56F1">
            <w:pPr>
              <w:pStyle w:val="TableBodyText"/>
              <w:rPr>
                <w:b/>
                <w:sz w:val="18"/>
                <w:szCs w:val="18"/>
              </w:rPr>
            </w:pPr>
            <w:r w:rsidRPr="000B2B31">
              <w:rPr>
                <w:b/>
                <w:sz w:val="18"/>
                <w:szCs w:val="18"/>
              </w:rPr>
              <w:t>2.1</w:t>
            </w:r>
          </w:p>
        </w:tc>
        <w:tc>
          <w:tcPr>
            <w:tcW w:w="505" w:type="pct"/>
            <w:tcBorders>
              <w:top w:val="single" w:sz="6" w:space="0" w:color="auto"/>
            </w:tcBorders>
            <w:vAlign w:val="bottom"/>
          </w:tcPr>
          <w:p w:rsidR="00065C6C" w:rsidRPr="000B2B31" w:rsidRDefault="00065C6C" w:rsidP="001B56F1">
            <w:pPr>
              <w:pStyle w:val="TableBodyText"/>
              <w:rPr>
                <w:b/>
                <w:sz w:val="18"/>
                <w:szCs w:val="18"/>
              </w:rPr>
            </w:pPr>
            <w:r w:rsidRPr="000B2B31">
              <w:rPr>
                <w:b/>
                <w:sz w:val="18"/>
                <w:szCs w:val="18"/>
              </w:rPr>
              <w:t>2.0</w:t>
            </w:r>
          </w:p>
        </w:tc>
      </w:tr>
      <w:tr w:rsidR="00065C6C" w:rsidRPr="006C5A80" w:rsidTr="001B56F1">
        <w:tc>
          <w:tcPr>
            <w:tcW w:w="1960" w:type="pct"/>
            <w:vAlign w:val="bottom"/>
          </w:tcPr>
          <w:p w:rsidR="00065C6C" w:rsidRPr="00682BD4" w:rsidRDefault="00065C6C" w:rsidP="001B56F1">
            <w:pPr>
              <w:pStyle w:val="TableBodyText"/>
              <w:jc w:val="left"/>
              <w:rPr>
                <w:sz w:val="18"/>
                <w:szCs w:val="18"/>
              </w:rPr>
            </w:pPr>
            <w:r>
              <w:rPr>
                <w:sz w:val="18"/>
                <w:szCs w:val="18"/>
              </w:rPr>
              <w:t>Textile, leather, clothing and footwear</w:t>
            </w:r>
          </w:p>
        </w:tc>
        <w:tc>
          <w:tcPr>
            <w:tcW w:w="507" w:type="pct"/>
            <w:vAlign w:val="bottom"/>
          </w:tcPr>
          <w:p w:rsidR="00065C6C" w:rsidRPr="00855A9D" w:rsidRDefault="00065C6C" w:rsidP="001B56F1">
            <w:pPr>
              <w:pStyle w:val="TableBodyText"/>
              <w:rPr>
                <w:sz w:val="18"/>
                <w:szCs w:val="18"/>
              </w:rPr>
            </w:pPr>
            <w:r w:rsidRPr="00855A9D">
              <w:rPr>
                <w:sz w:val="18"/>
                <w:szCs w:val="18"/>
              </w:rPr>
              <w:t>2.2</w:t>
            </w:r>
          </w:p>
        </w:tc>
        <w:tc>
          <w:tcPr>
            <w:tcW w:w="507" w:type="pct"/>
            <w:vAlign w:val="bottom"/>
          </w:tcPr>
          <w:p w:rsidR="00065C6C" w:rsidRPr="00855A9D" w:rsidRDefault="00065C6C" w:rsidP="001B56F1">
            <w:pPr>
              <w:pStyle w:val="TableBodyText"/>
              <w:rPr>
                <w:sz w:val="18"/>
                <w:szCs w:val="18"/>
              </w:rPr>
            </w:pPr>
            <w:r w:rsidRPr="00855A9D">
              <w:rPr>
                <w:sz w:val="18"/>
                <w:szCs w:val="18"/>
              </w:rPr>
              <w:t>2.0</w:t>
            </w:r>
          </w:p>
        </w:tc>
        <w:tc>
          <w:tcPr>
            <w:tcW w:w="507" w:type="pct"/>
            <w:vAlign w:val="bottom"/>
          </w:tcPr>
          <w:p w:rsidR="00065C6C" w:rsidRPr="00855A9D" w:rsidRDefault="00065C6C" w:rsidP="001B56F1">
            <w:pPr>
              <w:pStyle w:val="TableBodyText"/>
              <w:rPr>
                <w:sz w:val="18"/>
                <w:szCs w:val="18"/>
              </w:rPr>
            </w:pPr>
            <w:r w:rsidRPr="00855A9D">
              <w:rPr>
                <w:sz w:val="18"/>
                <w:szCs w:val="18"/>
              </w:rPr>
              <w:t>2.1</w:t>
            </w:r>
          </w:p>
        </w:tc>
        <w:tc>
          <w:tcPr>
            <w:tcW w:w="507" w:type="pct"/>
            <w:vAlign w:val="bottom"/>
          </w:tcPr>
          <w:p w:rsidR="00065C6C" w:rsidRPr="00855A9D" w:rsidRDefault="00065C6C" w:rsidP="001B56F1">
            <w:pPr>
              <w:pStyle w:val="TableBodyText"/>
              <w:rPr>
                <w:sz w:val="18"/>
                <w:szCs w:val="18"/>
              </w:rPr>
            </w:pPr>
            <w:r w:rsidRPr="00855A9D">
              <w:rPr>
                <w:sz w:val="18"/>
                <w:szCs w:val="18"/>
              </w:rPr>
              <w:t>1.7</w:t>
            </w:r>
          </w:p>
        </w:tc>
        <w:tc>
          <w:tcPr>
            <w:tcW w:w="507" w:type="pct"/>
            <w:shd w:val="clear" w:color="auto" w:fill="auto"/>
            <w:vAlign w:val="bottom"/>
          </w:tcPr>
          <w:p w:rsidR="00065C6C" w:rsidRPr="00855A9D" w:rsidRDefault="00065C6C" w:rsidP="001B56F1">
            <w:pPr>
              <w:pStyle w:val="TableBodyText"/>
              <w:rPr>
                <w:sz w:val="18"/>
                <w:szCs w:val="18"/>
              </w:rPr>
            </w:pPr>
            <w:r w:rsidRPr="00855A9D">
              <w:rPr>
                <w:sz w:val="18"/>
                <w:szCs w:val="18"/>
              </w:rPr>
              <w:t>2.1</w:t>
            </w:r>
          </w:p>
        </w:tc>
        <w:tc>
          <w:tcPr>
            <w:tcW w:w="505" w:type="pct"/>
            <w:shd w:val="clear" w:color="auto" w:fill="auto"/>
            <w:vAlign w:val="bottom"/>
          </w:tcPr>
          <w:p w:rsidR="00065C6C" w:rsidRPr="00855A9D" w:rsidRDefault="00065C6C" w:rsidP="001B56F1">
            <w:pPr>
              <w:pStyle w:val="TableBodyText"/>
              <w:rPr>
                <w:sz w:val="18"/>
                <w:szCs w:val="18"/>
              </w:rPr>
            </w:pPr>
            <w:r w:rsidRPr="00855A9D">
              <w:rPr>
                <w:sz w:val="18"/>
                <w:szCs w:val="18"/>
              </w:rPr>
              <w:t>2.0</w:t>
            </w:r>
          </w:p>
        </w:tc>
      </w:tr>
      <w:tr w:rsidR="00065C6C" w:rsidRPr="006C5A80" w:rsidTr="001B56F1">
        <w:tc>
          <w:tcPr>
            <w:tcW w:w="1960" w:type="pct"/>
            <w:vAlign w:val="bottom"/>
          </w:tcPr>
          <w:p w:rsidR="00065C6C" w:rsidRPr="00682BD4" w:rsidRDefault="00065C6C" w:rsidP="001B56F1">
            <w:pPr>
              <w:pStyle w:val="TableBodyText"/>
              <w:jc w:val="left"/>
              <w:rPr>
                <w:sz w:val="18"/>
                <w:szCs w:val="18"/>
              </w:rPr>
            </w:pPr>
            <w:r>
              <w:rPr>
                <w:sz w:val="18"/>
                <w:szCs w:val="18"/>
              </w:rPr>
              <w:t>Printing and recorded media</w:t>
            </w:r>
          </w:p>
        </w:tc>
        <w:tc>
          <w:tcPr>
            <w:tcW w:w="507" w:type="pct"/>
            <w:vAlign w:val="bottom"/>
          </w:tcPr>
          <w:p w:rsidR="00065C6C" w:rsidRPr="00855A9D" w:rsidRDefault="00065C6C" w:rsidP="001B56F1">
            <w:pPr>
              <w:pStyle w:val="TableBodyText"/>
              <w:rPr>
                <w:sz w:val="18"/>
                <w:szCs w:val="18"/>
              </w:rPr>
            </w:pPr>
            <w:r>
              <w:rPr>
                <w:sz w:val="18"/>
                <w:szCs w:val="18"/>
              </w:rPr>
              <w:noBreakHyphen/>
            </w:r>
          </w:p>
        </w:tc>
        <w:tc>
          <w:tcPr>
            <w:tcW w:w="507" w:type="pct"/>
            <w:vAlign w:val="bottom"/>
          </w:tcPr>
          <w:p w:rsidR="00065C6C" w:rsidRPr="00855A9D" w:rsidRDefault="00065C6C" w:rsidP="001B56F1">
            <w:pPr>
              <w:pStyle w:val="TableBodyText"/>
              <w:rPr>
                <w:sz w:val="18"/>
                <w:szCs w:val="18"/>
              </w:rPr>
            </w:pPr>
            <w:r>
              <w:rPr>
                <w:sz w:val="18"/>
                <w:szCs w:val="18"/>
              </w:rPr>
              <w:noBreakHyphen/>
            </w:r>
          </w:p>
        </w:tc>
        <w:tc>
          <w:tcPr>
            <w:tcW w:w="507" w:type="pct"/>
            <w:vAlign w:val="bottom"/>
          </w:tcPr>
          <w:p w:rsidR="00065C6C" w:rsidRPr="00855A9D" w:rsidRDefault="00065C6C" w:rsidP="001B56F1">
            <w:pPr>
              <w:pStyle w:val="TableBodyText"/>
              <w:rPr>
                <w:sz w:val="18"/>
                <w:szCs w:val="18"/>
              </w:rPr>
            </w:pPr>
            <w:r>
              <w:rPr>
                <w:sz w:val="18"/>
                <w:szCs w:val="18"/>
              </w:rPr>
              <w:noBreakHyphen/>
            </w:r>
          </w:p>
        </w:tc>
        <w:tc>
          <w:tcPr>
            <w:tcW w:w="507" w:type="pct"/>
            <w:vAlign w:val="bottom"/>
          </w:tcPr>
          <w:p w:rsidR="00065C6C" w:rsidRPr="00855A9D" w:rsidRDefault="00065C6C"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shd w:val="clear" w:color="auto" w:fill="auto"/>
            <w:vAlign w:val="bottom"/>
          </w:tcPr>
          <w:p w:rsidR="00065C6C" w:rsidRPr="00855A9D" w:rsidRDefault="00065C6C" w:rsidP="001B56F1">
            <w:pPr>
              <w:pStyle w:val="TableBodyText"/>
              <w:rPr>
                <w:sz w:val="18"/>
                <w:szCs w:val="18"/>
              </w:rPr>
            </w:pPr>
            <w:r>
              <w:rPr>
                <w:sz w:val="18"/>
                <w:szCs w:val="18"/>
              </w:rPr>
              <w:t>&lt;</w:t>
            </w:r>
            <w:r w:rsidRPr="00E17EEF">
              <w:rPr>
                <w:sz w:val="18"/>
                <w:szCs w:val="18"/>
              </w:rPr>
              <w:t>0.</w:t>
            </w:r>
            <w:r>
              <w:rPr>
                <w:sz w:val="18"/>
                <w:szCs w:val="18"/>
              </w:rPr>
              <w:t>1</w:t>
            </w:r>
          </w:p>
        </w:tc>
        <w:tc>
          <w:tcPr>
            <w:tcW w:w="505" w:type="pct"/>
            <w:shd w:val="clear" w:color="auto" w:fill="auto"/>
            <w:vAlign w:val="bottom"/>
          </w:tcPr>
          <w:p w:rsidR="00065C6C" w:rsidRPr="00855A9D" w:rsidRDefault="00065C6C" w:rsidP="001B56F1">
            <w:pPr>
              <w:pStyle w:val="TableBodyText"/>
              <w:rPr>
                <w:sz w:val="18"/>
                <w:szCs w:val="18"/>
              </w:rPr>
            </w:pPr>
            <w:r>
              <w:rPr>
                <w:sz w:val="18"/>
                <w:szCs w:val="18"/>
              </w:rPr>
              <w:noBreakHyphen/>
            </w:r>
          </w:p>
        </w:tc>
      </w:tr>
      <w:tr w:rsidR="00065C6C" w:rsidRPr="006C5A80" w:rsidTr="001B56F1">
        <w:tc>
          <w:tcPr>
            <w:tcW w:w="1960" w:type="pct"/>
            <w:vAlign w:val="bottom"/>
          </w:tcPr>
          <w:p w:rsidR="00065C6C" w:rsidRPr="00682BD4" w:rsidRDefault="00065C6C" w:rsidP="001B56F1">
            <w:pPr>
              <w:pStyle w:val="TableBodyText"/>
              <w:jc w:val="left"/>
              <w:rPr>
                <w:b/>
                <w:sz w:val="18"/>
                <w:szCs w:val="18"/>
              </w:rPr>
            </w:pPr>
            <w:r w:rsidRPr="00682BD4">
              <w:rPr>
                <w:b/>
                <w:sz w:val="18"/>
                <w:szCs w:val="18"/>
              </w:rPr>
              <w:t>Services</w:t>
            </w:r>
          </w:p>
        </w:tc>
        <w:tc>
          <w:tcPr>
            <w:tcW w:w="507" w:type="pct"/>
            <w:vAlign w:val="bottom"/>
          </w:tcPr>
          <w:p w:rsidR="00065C6C" w:rsidRPr="000B2B31" w:rsidRDefault="00065C6C" w:rsidP="001B56F1">
            <w:pPr>
              <w:pStyle w:val="TableBodyText"/>
              <w:rPr>
                <w:b/>
                <w:sz w:val="18"/>
                <w:szCs w:val="18"/>
              </w:rPr>
            </w:pPr>
            <w:r w:rsidRPr="000B2B31">
              <w:rPr>
                <w:b/>
                <w:sz w:val="18"/>
                <w:szCs w:val="18"/>
              </w:rPr>
              <w:noBreakHyphen/>
            </w:r>
          </w:p>
        </w:tc>
        <w:tc>
          <w:tcPr>
            <w:tcW w:w="507" w:type="pct"/>
            <w:vAlign w:val="bottom"/>
          </w:tcPr>
          <w:p w:rsidR="00065C6C" w:rsidRPr="000B2B31" w:rsidRDefault="00065C6C" w:rsidP="001B56F1">
            <w:pPr>
              <w:pStyle w:val="TableBodyText"/>
              <w:rPr>
                <w:b/>
                <w:sz w:val="18"/>
                <w:szCs w:val="18"/>
              </w:rPr>
            </w:pPr>
            <w:r w:rsidRPr="000B2B31">
              <w:rPr>
                <w:b/>
                <w:sz w:val="18"/>
                <w:szCs w:val="18"/>
              </w:rPr>
              <w:t>0.3</w:t>
            </w:r>
          </w:p>
        </w:tc>
        <w:tc>
          <w:tcPr>
            <w:tcW w:w="507" w:type="pct"/>
            <w:vAlign w:val="bottom"/>
          </w:tcPr>
          <w:p w:rsidR="00065C6C" w:rsidRPr="000B2B31" w:rsidRDefault="00065C6C" w:rsidP="001B56F1">
            <w:pPr>
              <w:pStyle w:val="TableBodyText"/>
              <w:rPr>
                <w:b/>
                <w:sz w:val="18"/>
                <w:szCs w:val="18"/>
              </w:rPr>
            </w:pPr>
            <w:r w:rsidRPr="000B2B31">
              <w:rPr>
                <w:b/>
                <w:sz w:val="18"/>
                <w:szCs w:val="18"/>
              </w:rPr>
              <w:t>0.3</w:t>
            </w:r>
          </w:p>
        </w:tc>
        <w:tc>
          <w:tcPr>
            <w:tcW w:w="507" w:type="pct"/>
            <w:vAlign w:val="bottom"/>
          </w:tcPr>
          <w:p w:rsidR="00065C6C" w:rsidRPr="000B2B31" w:rsidRDefault="00065C6C" w:rsidP="001B56F1">
            <w:pPr>
              <w:pStyle w:val="TableBodyText"/>
              <w:rPr>
                <w:b/>
                <w:sz w:val="18"/>
                <w:szCs w:val="18"/>
              </w:rPr>
            </w:pPr>
            <w:r w:rsidRPr="000B2B31">
              <w:rPr>
                <w:b/>
                <w:sz w:val="18"/>
                <w:szCs w:val="18"/>
              </w:rPr>
              <w:t>0.8</w:t>
            </w:r>
          </w:p>
        </w:tc>
        <w:tc>
          <w:tcPr>
            <w:tcW w:w="507" w:type="pct"/>
            <w:shd w:val="clear" w:color="auto" w:fill="auto"/>
            <w:vAlign w:val="bottom"/>
          </w:tcPr>
          <w:p w:rsidR="00065C6C" w:rsidRPr="000B2B31" w:rsidRDefault="00065C6C" w:rsidP="001B56F1">
            <w:pPr>
              <w:pStyle w:val="TableBodyText"/>
              <w:rPr>
                <w:b/>
                <w:sz w:val="18"/>
                <w:szCs w:val="18"/>
              </w:rPr>
            </w:pPr>
            <w:r w:rsidRPr="000B2B31">
              <w:rPr>
                <w:b/>
                <w:sz w:val="18"/>
                <w:szCs w:val="18"/>
              </w:rPr>
              <w:t>0.4</w:t>
            </w:r>
          </w:p>
        </w:tc>
        <w:tc>
          <w:tcPr>
            <w:tcW w:w="505" w:type="pct"/>
            <w:shd w:val="clear" w:color="auto" w:fill="auto"/>
            <w:vAlign w:val="bottom"/>
          </w:tcPr>
          <w:p w:rsidR="00065C6C" w:rsidRPr="000B2B31" w:rsidRDefault="00065C6C" w:rsidP="001B56F1">
            <w:pPr>
              <w:pStyle w:val="TableBodyText"/>
              <w:rPr>
                <w:b/>
                <w:sz w:val="18"/>
                <w:szCs w:val="18"/>
              </w:rPr>
            </w:pPr>
            <w:r w:rsidRPr="000B2B31">
              <w:rPr>
                <w:b/>
                <w:sz w:val="18"/>
                <w:szCs w:val="18"/>
              </w:rPr>
              <w:t>0.3</w:t>
            </w:r>
          </w:p>
        </w:tc>
      </w:tr>
      <w:tr w:rsidR="00065C6C" w:rsidRPr="006C5A80" w:rsidTr="001B56F1">
        <w:tc>
          <w:tcPr>
            <w:tcW w:w="1960" w:type="pct"/>
            <w:vAlign w:val="bottom"/>
          </w:tcPr>
          <w:p w:rsidR="00065C6C" w:rsidRPr="00682BD4" w:rsidRDefault="00065C6C" w:rsidP="001B56F1">
            <w:pPr>
              <w:pStyle w:val="TableBodyText"/>
              <w:jc w:val="left"/>
              <w:rPr>
                <w:sz w:val="18"/>
                <w:szCs w:val="18"/>
              </w:rPr>
            </w:pPr>
            <w:r w:rsidRPr="00682BD4">
              <w:rPr>
                <w:sz w:val="18"/>
                <w:szCs w:val="18"/>
              </w:rPr>
              <w:t>Wholesale trade</w:t>
            </w:r>
          </w:p>
        </w:tc>
        <w:tc>
          <w:tcPr>
            <w:tcW w:w="507" w:type="pct"/>
            <w:vAlign w:val="bottom"/>
          </w:tcPr>
          <w:p w:rsidR="00065C6C" w:rsidRPr="00855A9D" w:rsidRDefault="00065C6C" w:rsidP="001B56F1">
            <w:pPr>
              <w:pStyle w:val="TableBodyText"/>
              <w:rPr>
                <w:sz w:val="18"/>
                <w:szCs w:val="18"/>
              </w:rPr>
            </w:pPr>
            <w:r>
              <w:rPr>
                <w:sz w:val="18"/>
                <w:szCs w:val="18"/>
              </w:rPr>
              <w:noBreakHyphen/>
            </w:r>
          </w:p>
        </w:tc>
        <w:tc>
          <w:tcPr>
            <w:tcW w:w="507" w:type="pct"/>
            <w:vAlign w:val="bottom"/>
          </w:tcPr>
          <w:p w:rsidR="00065C6C" w:rsidRPr="00855A9D" w:rsidRDefault="00065C6C" w:rsidP="001B56F1">
            <w:pPr>
              <w:pStyle w:val="TableBodyText"/>
              <w:rPr>
                <w:sz w:val="18"/>
                <w:szCs w:val="18"/>
              </w:rPr>
            </w:pPr>
            <w:r>
              <w:rPr>
                <w:sz w:val="18"/>
                <w:szCs w:val="18"/>
              </w:rPr>
              <w:noBreakHyphen/>
            </w:r>
          </w:p>
        </w:tc>
        <w:tc>
          <w:tcPr>
            <w:tcW w:w="507" w:type="pct"/>
            <w:vAlign w:val="bottom"/>
          </w:tcPr>
          <w:p w:rsidR="00065C6C" w:rsidRPr="00855A9D" w:rsidRDefault="00065C6C" w:rsidP="001B56F1">
            <w:pPr>
              <w:pStyle w:val="TableBodyText"/>
              <w:rPr>
                <w:sz w:val="18"/>
                <w:szCs w:val="18"/>
              </w:rPr>
            </w:pPr>
            <w:r>
              <w:rPr>
                <w:sz w:val="18"/>
                <w:szCs w:val="18"/>
              </w:rPr>
              <w:noBreakHyphen/>
            </w:r>
          </w:p>
        </w:tc>
        <w:tc>
          <w:tcPr>
            <w:tcW w:w="507" w:type="pct"/>
            <w:vAlign w:val="bottom"/>
          </w:tcPr>
          <w:p w:rsidR="00065C6C" w:rsidRPr="00855A9D" w:rsidRDefault="00065C6C" w:rsidP="001B56F1">
            <w:pPr>
              <w:pStyle w:val="TableBodyText"/>
              <w:rPr>
                <w:sz w:val="18"/>
                <w:szCs w:val="18"/>
              </w:rPr>
            </w:pPr>
            <w:r w:rsidRPr="00855A9D">
              <w:rPr>
                <w:sz w:val="18"/>
                <w:szCs w:val="18"/>
              </w:rPr>
              <w:t>0.2</w:t>
            </w:r>
          </w:p>
        </w:tc>
        <w:tc>
          <w:tcPr>
            <w:tcW w:w="507" w:type="pct"/>
            <w:shd w:val="clear" w:color="auto" w:fill="auto"/>
            <w:vAlign w:val="bottom"/>
          </w:tcPr>
          <w:p w:rsidR="00065C6C" w:rsidRPr="00855A9D" w:rsidRDefault="00065C6C" w:rsidP="001B56F1">
            <w:pPr>
              <w:pStyle w:val="TableBodyText"/>
              <w:rPr>
                <w:sz w:val="18"/>
                <w:szCs w:val="18"/>
              </w:rPr>
            </w:pPr>
            <w:r>
              <w:rPr>
                <w:sz w:val="18"/>
                <w:szCs w:val="18"/>
              </w:rPr>
              <w:t>&lt;</w:t>
            </w:r>
            <w:r w:rsidRPr="00E17EEF">
              <w:rPr>
                <w:sz w:val="18"/>
                <w:szCs w:val="18"/>
              </w:rPr>
              <w:t>0.</w:t>
            </w:r>
            <w:r>
              <w:rPr>
                <w:sz w:val="18"/>
                <w:szCs w:val="18"/>
              </w:rPr>
              <w:t>1</w:t>
            </w:r>
          </w:p>
        </w:tc>
        <w:tc>
          <w:tcPr>
            <w:tcW w:w="505" w:type="pct"/>
            <w:shd w:val="clear" w:color="auto" w:fill="auto"/>
            <w:vAlign w:val="bottom"/>
          </w:tcPr>
          <w:p w:rsidR="00065C6C" w:rsidRPr="00855A9D" w:rsidRDefault="00065C6C" w:rsidP="001B56F1">
            <w:pPr>
              <w:pStyle w:val="TableBodyText"/>
              <w:rPr>
                <w:sz w:val="18"/>
                <w:szCs w:val="18"/>
              </w:rPr>
            </w:pPr>
            <w:r>
              <w:rPr>
                <w:sz w:val="18"/>
                <w:szCs w:val="18"/>
              </w:rPr>
              <w:t>&lt;</w:t>
            </w:r>
            <w:r w:rsidRPr="00E17EEF">
              <w:rPr>
                <w:sz w:val="18"/>
                <w:szCs w:val="18"/>
              </w:rPr>
              <w:t>0.</w:t>
            </w:r>
            <w:r>
              <w:rPr>
                <w:sz w:val="18"/>
                <w:szCs w:val="18"/>
              </w:rPr>
              <w:t>1</w:t>
            </w:r>
          </w:p>
        </w:tc>
      </w:tr>
      <w:tr w:rsidR="00065C6C" w:rsidRPr="006C5A80" w:rsidTr="001B56F1">
        <w:tc>
          <w:tcPr>
            <w:tcW w:w="1960" w:type="pct"/>
            <w:vAlign w:val="bottom"/>
          </w:tcPr>
          <w:p w:rsidR="00065C6C" w:rsidRPr="00682BD4" w:rsidRDefault="00065C6C" w:rsidP="001B56F1">
            <w:pPr>
              <w:pStyle w:val="TableBodyText"/>
              <w:jc w:val="left"/>
              <w:rPr>
                <w:sz w:val="18"/>
                <w:szCs w:val="18"/>
              </w:rPr>
            </w:pPr>
            <w:r>
              <w:rPr>
                <w:sz w:val="18"/>
                <w:szCs w:val="18"/>
              </w:rPr>
              <w:t>Retail trade</w:t>
            </w:r>
          </w:p>
        </w:tc>
        <w:tc>
          <w:tcPr>
            <w:tcW w:w="507" w:type="pct"/>
            <w:vAlign w:val="bottom"/>
          </w:tcPr>
          <w:p w:rsidR="00065C6C" w:rsidRPr="00855A9D" w:rsidRDefault="00065C6C" w:rsidP="001B56F1">
            <w:pPr>
              <w:pStyle w:val="TableBodyText"/>
              <w:rPr>
                <w:sz w:val="18"/>
                <w:szCs w:val="18"/>
              </w:rPr>
            </w:pPr>
            <w:r>
              <w:rPr>
                <w:sz w:val="18"/>
                <w:szCs w:val="18"/>
              </w:rPr>
              <w:noBreakHyphen/>
            </w:r>
          </w:p>
        </w:tc>
        <w:tc>
          <w:tcPr>
            <w:tcW w:w="507" w:type="pct"/>
            <w:vAlign w:val="bottom"/>
          </w:tcPr>
          <w:p w:rsidR="00065C6C" w:rsidRPr="00855A9D" w:rsidRDefault="00065C6C" w:rsidP="001B56F1">
            <w:pPr>
              <w:pStyle w:val="TableBodyText"/>
              <w:rPr>
                <w:sz w:val="18"/>
                <w:szCs w:val="18"/>
              </w:rPr>
            </w:pPr>
            <w:r>
              <w:rPr>
                <w:sz w:val="18"/>
                <w:szCs w:val="18"/>
              </w:rPr>
              <w:noBreakHyphen/>
            </w:r>
          </w:p>
        </w:tc>
        <w:tc>
          <w:tcPr>
            <w:tcW w:w="507" w:type="pct"/>
            <w:vAlign w:val="bottom"/>
          </w:tcPr>
          <w:p w:rsidR="00065C6C" w:rsidRPr="00855A9D" w:rsidRDefault="00065C6C" w:rsidP="001B56F1">
            <w:pPr>
              <w:pStyle w:val="TableBodyText"/>
              <w:rPr>
                <w:sz w:val="18"/>
                <w:szCs w:val="18"/>
              </w:rPr>
            </w:pPr>
            <w:r>
              <w:rPr>
                <w:sz w:val="18"/>
                <w:szCs w:val="18"/>
              </w:rPr>
              <w:noBreakHyphen/>
            </w:r>
          </w:p>
        </w:tc>
        <w:tc>
          <w:tcPr>
            <w:tcW w:w="507" w:type="pct"/>
            <w:vAlign w:val="bottom"/>
          </w:tcPr>
          <w:p w:rsidR="00065C6C" w:rsidRPr="00855A9D" w:rsidRDefault="00065C6C"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shd w:val="clear" w:color="auto" w:fill="auto"/>
            <w:vAlign w:val="bottom"/>
          </w:tcPr>
          <w:p w:rsidR="00065C6C" w:rsidRPr="00855A9D" w:rsidRDefault="00065C6C" w:rsidP="001B56F1">
            <w:pPr>
              <w:pStyle w:val="TableBodyText"/>
              <w:rPr>
                <w:sz w:val="18"/>
                <w:szCs w:val="18"/>
              </w:rPr>
            </w:pPr>
            <w:r>
              <w:rPr>
                <w:sz w:val="18"/>
                <w:szCs w:val="18"/>
              </w:rPr>
              <w:t>&lt;</w:t>
            </w:r>
            <w:r w:rsidRPr="00E17EEF">
              <w:rPr>
                <w:sz w:val="18"/>
                <w:szCs w:val="18"/>
              </w:rPr>
              <w:t>0.</w:t>
            </w:r>
            <w:r>
              <w:rPr>
                <w:sz w:val="18"/>
                <w:szCs w:val="18"/>
              </w:rPr>
              <w:t>1</w:t>
            </w:r>
          </w:p>
        </w:tc>
        <w:tc>
          <w:tcPr>
            <w:tcW w:w="505" w:type="pct"/>
            <w:shd w:val="clear" w:color="auto" w:fill="auto"/>
            <w:vAlign w:val="bottom"/>
          </w:tcPr>
          <w:p w:rsidR="00065C6C" w:rsidRPr="00855A9D" w:rsidRDefault="00065C6C" w:rsidP="001B56F1">
            <w:pPr>
              <w:pStyle w:val="TableBodyText"/>
              <w:rPr>
                <w:sz w:val="18"/>
                <w:szCs w:val="18"/>
              </w:rPr>
            </w:pPr>
            <w:r>
              <w:rPr>
                <w:sz w:val="18"/>
                <w:szCs w:val="18"/>
              </w:rPr>
              <w:noBreakHyphen/>
            </w:r>
          </w:p>
        </w:tc>
      </w:tr>
      <w:tr w:rsidR="00065C6C" w:rsidRPr="006C5A80" w:rsidTr="001B56F1">
        <w:tc>
          <w:tcPr>
            <w:tcW w:w="1960" w:type="pct"/>
            <w:vAlign w:val="bottom"/>
          </w:tcPr>
          <w:p w:rsidR="00065C6C" w:rsidRPr="00682BD4" w:rsidRDefault="00065C6C" w:rsidP="001B56F1">
            <w:pPr>
              <w:pStyle w:val="TableBodyText"/>
              <w:jc w:val="left"/>
              <w:rPr>
                <w:sz w:val="18"/>
                <w:szCs w:val="18"/>
              </w:rPr>
            </w:pPr>
            <w:r w:rsidRPr="00682BD4">
              <w:rPr>
                <w:sz w:val="18"/>
                <w:szCs w:val="18"/>
              </w:rPr>
              <w:t>Financial and insurance services</w:t>
            </w:r>
          </w:p>
        </w:tc>
        <w:tc>
          <w:tcPr>
            <w:tcW w:w="507" w:type="pct"/>
            <w:vAlign w:val="bottom"/>
          </w:tcPr>
          <w:p w:rsidR="00065C6C" w:rsidRPr="00855A9D" w:rsidRDefault="00065C6C" w:rsidP="001B56F1">
            <w:pPr>
              <w:pStyle w:val="TableBodyText"/>
              <w:rPr>
                <w:sz w:val="18"/>
                <w:szCs w:val="18"/>
              </w:rPr>
            </w:pPr>
            <w:r>
              <w:rPr>
                <w:sz w:val="18"/>
                <w:szCs w:val="18"/>
              </w:rPr>
              <w:noBreakHyphen/>
            </w:r>
          </w:p>
        </w:tc>
        <w:tc>
          <w:tcPr>
            <w:tcW w:w="507" w:type="pct"/>
            <w:vAlign w:val="bottom"/>
          </w:tcPr>
          <w:p w:rsidR="00065C6C" w:rsidRPr="00855A9D" w:rsidRDefault="00065C6C" w:rsidP="001B56F1">
            <w:pPr>
              <w:pStyle w:val="TableBodyText"/>
              <w:rPr>
                <w:sz w:val="18"/>
                <w:szCs w:val="18"/>
              </w:rPr>
            </w:pPr>
            <w:r>
              <w:rPr>
                <w:sz w:val="18"/>
                <w:szCs w:val="18"/>
              </w:rPr>
              <w:noBreakHyphen/>
            </w:r>
          </w:p>
        </w:tc>
        <w:tc>
          <w:tcPr>
            <w:tcW w:w="507" w:type="pct"/>
            <w:vAlign w:val="bottom"/>
          </w:tcPr>
          <w:p w:rsidR="00065C6C" w:rsidRPr="00855A9D" w:rsidRDefault="00065C6C" w:rsidP="001B56F1">
            <w:pPr>
              <w:pStyle w:val="TableBodyText"/>
              <w:rPr>
                <w:sz w:val="18"/>
                <w:szCs w:val="18"/>
              </w:rPr>
            </w:pPr>
            <w:r>
              <w:rPr>
                <w:sz w:val="18"/>
                <w:szCs w:val="18"/>
              </w:rPr>
              <w:noBreakHyphen/>
            </w:r>
          </w:p>
        </w:tc>
        <w:tc>
          <w:tcPr>
            <w:tcW w:w="507" w:type="pct"/>
            <w:vAlign w:val="bottom"/>
          </w:tcPr>
          <w:p w:rsidR="00065C6C" w:rsidRPr="00855A9D" w:rsidRDefault="00065C6C"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shd w:val="clear" w:color="auto" w:fill="auto"/>
            <w:vAlign w:val="bottom"/>
          </w:tcPr>
          <w:p w:rsidR="00065C6C" w:rsidRPr="00855A9D" w:rsidRDefault="00065C6C" w:rsidP="001B56F1">
            <w:pPr>
              <w:pStyle w:val="TableBodyText"/>
              <w:rPr>
                <w:sz w:val="18"/>
                <w:szCs w:val="18"/>
              </w:rPr>
            </w:pPr>
            <w:r>
              <w:rPr>
                <w:sz w:val="18"/>
                <w:szCs w:val="18"/>
              </w:rPr>
              <w:noBreakHyphen/>
            </w:r>
          </w:p>
        </w:tc>
        <w:tc>
          <w:tcPr>
            <w:tcW w:w="505" w:type="pct"/>
            <w:shd w:val="clear" w:color="auto" w:fill="auto"/>
            <w:vAlign w:val="bottom"/>
          </w:tcPr>
          <w:p w:rsidR="00065C6C" w:rsidRPr="00855A9D" w:rsidRDefault="00065C6C" w:rsidP="001B56F1">
            <w:pPr>
              <w:pStyle w:val="TableBodyText"/>
              <w:rPr>
                <w:sz w:val="18"/>
                <w:szCs w:val="18"/>
              </w:rPr>
            </w:pPr>
            <w:r>
              <w:rPr>
                <w:sz w:val="18"/>
                <w:szCs w:val="18"/>
              </w:rPr>
              <w:noBreakHyphen/>
            </w:r>
          </w:p>
        </w:tc>
      </w:tr>
      <w:tr w:rsidR="00065C6C" w:rsidRPr="006C5A80" w:rsidTr="001B56F1">
        <w:tc>
          <w:tcPr>
            <w:tcW w:w="1960" w:type="pct"/>
            <w:vAlign w:val="bottom"/>
          </w:tcPr>
          <w:p w:rsidR="00065C6C" w:rsidRPr="00682BD4" w:rsidRDefault="00065C6C" w:rsidP="001B56F1">
            <w:pPr>
              <w:pStyle w:val="TableBodyText"/>
              <w:jc w:val="left"/>
              <w:rPr>
                <w:sz w:val="18"/>
                <w:szCs w:val="18"/>
              </w:rPr>
            </w:pPr>
            <w:r w:rsidRPr="00682BD4">
              <w:rPr>
                <w:sz w:val="18"/>
                <w:szCs w:val="18"/>
              </w:rPr>
              <w:t>Property, professional and administrative services</w:t>
            </w:r>
          </w:p>
        </w:tc>
        <w:tc>
          <w:tcPr>
            <w:tcW w:w="507" w:type="pct"/>
            <w:vAlign w:val="bottom"/>
          </w:tcPr>
          <w:p w:rsidR="00065C6C" w:rsidRPr="00855A9D" w:rsidRDefault="00065C6C" w:rsidP="001B56F1">
            <w:pPr>
              <w:pStyle w:val="TableBodyText"/>
              <w:rPr>
                <w:sz w:val="18"/>
                <w:szCs w:val="18"/>
              </w:rPr>
            </w:pPr>
            <w:r>
              <w:rPr>
                <w:sz w:val="18"/>
                <w:szCs w:val="18"/>
              </w:rPr>
              <w:noBreakHyphen/>
            </w:r>
          </w:p>
        </w:tc>
        <w:tc>
          <w:tcPr>
            <w:tcW w:w="507" w:type="pct"/>
            <w:vAlign w:val="bottom"/>
          </w:tcPr>
          <w:p w:rsidR="00065C6C" w:rsidRPr="00855A9D" w:rsidRDefault="00065C6C" w:rsidP="001B56F1">
            <w:pPr>
              <w:pStyle w:val="TableBodyText"/>
              <w:rPr>
                <w:sz w:val="18"/>
                <w:szCs w:val="18"/>
              </w:rPr>
            </w:pPr>
            <w:r w:rsidRPr="00855A9D">
              <w:rPr>
                <w:sz w:val="18"/>
                <w:szCs w:val="18"/>
              </w:rPr>
              <w:t>0.3</w:t>
            </w:r>
          </w:p>
        </w:tc>
        <w:tc>
          <w:tcPr>
            <w:tcW w:w="507" w:type="pct"/>
            <w:vAlign w:val="bottom"/>
          </w:tcPr>
          <w:p w:rsidR="00065C6C" w:rsidRPr="00855A9D" w:rsidRDefault="00065C6C" w:rsidP="001B56F1">
            <w:pPr>
              <w:pStyle w:val="TableBodyText"/>
              <w:rPr>
                <w:sz w:val="18"/>
                <w:szCs w:val="18"/>
              </w:rPr>
            </w:pPr>
            <w:r w:rsidRPr="00855A9D">
              <w:rPr>
                <w:sz w:val="18"/>
                <w:szCs w:val="18"/>
              </w:rPr>
              <w:t>0.3</w:t>
            </w:r>
          </w:p>
        </w:tc>
        <w:tc>
          <w:tcPr>
            <w:tcW w:w="507" w:type="pct"/>
            <w:vAlign w:val="bottom"/>
          </w:tcPr>
          <w:p w:rsidR="00065C6C" w:rsidRPr="00855A9D" w:rsidRDefault="00065C6C" w:rsidP="001B56F1">
            <w:pPr>
              <w:pStyle w:val="TableBodyText"/>
              <w:rPr>
                <w:sz w:val="18"/>
                <w:szCs w:val="18"/>
              </w:rPr>
            </w:pPr>
            <w:r w:rsidRPr="00855A9D">
              <w:rPr>
                <w:sz w:val="18"/>
                <w:szCs w:val="18"/>
              </w:rPr>
              <w:t>0.5</w:t>
            </w:r>
          </w:p>
        </w:tc>
        <w:tc>
          <w:tcPr>
            <w:tcW w:w="507" w:type="pct"/>
            <w:shd w:val="clear" w:color="auto" w:fill="auto"/>
            <w:vAlign w:val="bottom"/>
          </w:tcPr>
          <w:p w:rsidR="00065C6C" w:rsidRPr="00855A9D" w:rsidRDefault="00065C6C" w:rsidP="001B56F1">
            <w:pPr>
              <w:pStyle w:val="TableBodyText"/>
              <w:rPr>
                <w:sz w:val="18"/>
                <w:szCs w:val="18"/>
              </w:rPr>
            </w:pPr>
            <w:r w:rsidRPr="00855A9D">
              <w:rPr>
                <w:sz w:val="18"/>
                <w:szCs w:val="18"/>
              </w:rPr>
              <w:t>0.3</w:t>
            </w:r>
          </w:p>
        </w:tc>
        <w:tc>
          <w:tcPr>
            <w:tcW w:w="505" w:type="pct"/>
            <w:shd w:val="clear" w:color="auto" w:fill="auto"/>
            <w:vAlign w:val="bottom"/>
          </w:tcPr>
          <w:p w:rsidR="00065C6C" w:rsidRPr="00855A9D" w:rsidRDefault="00065C6C" w:rsidP="001B56F1">
            <w:pPr>
              <w:pStyle w:val="TableBodyText"/>
              <w:rPr>
                <w:sz w:val="18"/>
                <w:szCs w:val="18"/>
              </w:rPr>
            </w:pPr>
            <w:r w:rsidRPr="00855A9D">
              <w:rPr>
                <w:sz w:val="18"/>
                <w:szCs w:val="18"/>
              </w:rPr>
              <w:t>0.3</w:t>
            </w:r>
          </w:p>
        </w:tc>
      </w:tr>
      <w:tr w:rsidR="00065C6C" w:rsidRPr="006C5A80" w:rsidTr="001B56F1">
        <w:tc>
          <w:tcPr>
            <w:tcW w:w="1960" w:type="pct"/>
            <w:vAlign w:val="bottom"/>
          </w:tcPr>
          <w:p w:rsidR="00065C6C" w:rsidRPr="00682BD4" w:rsidRDefault="00065C6C" w:rsidP="001B56F1">
            <w:pPr>
              <w:pStyle w:val="TableBodyText"/>
              <w:jc w:val="left"/>
              <w:rPr>
                <w:sz w:val="18"/>
                <w:szCs w:val="18"/>
              </w:rPr>
            </w:pPr>
            <w:r w:rsidRPr="00682BD4">
              <w:rPr>
                <w:sz w:val="18"/>
                <w:szCs w:val="18"/>
              </w:rPr>
              <w:t>Other services</w:t>
            </w:r>
          </w:p>
        </w:tc>
        <w:tc>
          <w:tcPr>
            <w:tcW w:w="507" w:type="pct"/>
            <w:vAlign w:val="bottom"/>
          </w:tcPr>
          <w:p w:rsidR="00065C6C" w:rsidRPr="00855A9D" w:rsidRDefault="00065C6C" w:rsidP="001B56F1">
            <w:pPr>
              <w:pStyle w:val="TableBodyText"/>
              <w:rPr>
                <w:sz w:val="18"/>
                <w:szCs w:val="18"/>
              </w:rPr>
            </w:pPr>
            <w:r>
              <w:rPr>
                <w:sz w:val="18"/>
                <w:szCs w:val="18"/>
              </w:rPr>
              <w:noBreakHyphen/>
            </w:r>
          </w:p>
        </w:tc>
        <w:tc>
          <w:tcPr>
            <w:tcW w:w="507" w:type="pct"/>
            <w:vAlign w:val="bottom"/>
          </w:tcPr>
          <w:p w:rsidR="00065C6C" w:rsidRPr="00855A9D" w:rsidRDefault="00065C6C" w:rsidP="001B56F1">
            <w:pPr>
              <w:pStyle w:val="TableBodyText"/>
              <w:rPr>
                <w:sz w:val="18"/>
                <w:szCs w:val="18"/>
              </w:rPr>
            </w:pPr>
            <w:r>
              <w:rPr>
                <w:sz w:val="18"/>
                <w:szCs w:val="18"/>
              </w:rPr>
              <w:noBreakHyphen/>
            </w:r>
          </w:p>
        </w:tc>
        <w:tc>
          <w:tcPr>
            <w:tcW w:w="507" w:type="pct"/>
            <w:vAlign w:val="bottom"/>
          </w:tcPr>
          <w:p w:rsidR="00065C6C" w:rsidRPr="00855A9D" w:rsidRDefault="00065C6C" w:rsidP="001B56F1">
            <w:pPr>
              <w:pStyle w:val="TableBodyText"/>
              <w:rPr>
                <w:sz w:val="18"/>
                <w:szCs w:val="18"/>
              </w:rPr>
            </w:pPr>
            <w:r>
              <w:rPr>
                <w:sz w:val="18"/>
                <w:szCs w:val="18"/>
              </w:rPr>
              <w:noBreakHyphen/>
            </w:r>
          </w:p>
        </w:tc>
        <w:tc>
          <w:tcPr>
            <w:tcW w:w="507" w:type="pct"/>
            <w:vAlign w:val="bottom"/>
          </w:tcPr>
          <w:p w:rsidR="00065C6C" w:rsidRPr="00855A9D" w:rsidRDefault="00065C6C"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shd w:val="clear" w:color="auto" w:fill="auto"/>
            <w:vAlign w:val="bottom"/>
          </w:tcPr>
          <w:p w:rsidR="00065C6C" w:rsidRPr="00855A9D" w:rsidRDefault="00065C6C" w:rsidP="001B56F1">
            <w:pPr>
              <w:pStyle w:val="TableBodyText"/>
              <w:rPr>
                <w:sz w:val="18"/>
                <w:szCs w:val="18"/>
              </w:rPr>
            </w:pPr>
            <w:r>
              <w:rPr>
                <w:sz w:val="18"/>
                <w:szCs w:val="18"/>
              </w:rPr>
              <w:noBreakHyphen/>
            </w:r>
          </w:p>
        </w:tc>
        <w:tc>
          <w:tcPr>
            <w:tcW w:w="505" w:type="pct"/>
            <w:shd w:val="clear" w:color="auto" w:fill="auto"/>
            <w:vAlign w:val="bottom"/>
          </w:tcPr>
          <w:p w:rsidR="00065C6C" w:rsidRPr="00855A9D" w:rsidRDefault="00065C6C" w:rsidP="001B56F1">
            <w:pPr>
              <w:pStyle w:val="TableBodyText"/>
              <w:rPr>
                <w:sz w:val="18"/>
                <w:szCs w:val="18"/>
              </w:rPr>
            </w:pPr>
            <w:r>
              <w:rPr>
                <w:sz w:val="18"/>
                <w:szCs w:val="18"/>
              </w:rPr>
              <w:noBreakHyphen/>
            </w:r>
          </w:p>
        </w:tc>
      </w:tr>
      <w:tr w:rsidR="00065C6C" w:rsidRPr="006C5A80" w:rsidTr="001B56F1">
        <w:tc>
          <w:tcPr>
            <w:tcW w:w="1960" w:type="pct"/>
            <w:vAlign w:val="bottom"/>
          </w:tcPr>
          <w:p w:rsidR="00065C6C" w:rsidRPr="00682BD4" w:rsidRDefault="00065C6C" w:rsidP="001B56F1">
            <w:pPr>
              <w:pStyle w:val="TableBodyText"/>
              <w:jc w:val="left"/>
              <w:rPr>
                <w:sz w:val="18"/>
                <w:szCs w:val="18"/>
              </w:rPr>
            </w:pPr>
            <w:r w:rsidRPr="00682BD4">
              <w:rPr>
                <w:sz w:val="18"/>
                <w:szCs w:val="18"/>
              </w:rPr>
              <w:t>Unallocated other</w:t>
            </w:r>
            <w:r w:rsidRPr="00682BD4">
              <w:rPr>
                <w:rStyle w:val="NoteLabel"/>
                <w:szCs w:val="18"/>
              </w:rPr>
              <w:t>a</w:t>
            </w:r>
          </w:p>
        </w:tc>
        <w:tc>
          <w:tcPr>
            <w:tcW w:w="507" w:type="pct"/>
            <w:vAlign w:val="bottom"/>
          </w:tcPr>
          <w:p w:rsidR="00065C6C" w:rsidRPr="00855A9D" w:rsidRDefault="00065C6C" w:rsidP="001B56F1">
            <w:pPr>
              <w:pStyle w:val="TableBodyText"/>
              <w:rPr>
                <w:sz w:val="18"/>
                <w:szCs w:val="18"/>
              </w:rPr>
            </w:pPr>
            <w:r>
              <w:rPr>
                <w:sz w:val="18"/>
                <w:szCs w:val="18"/>
              </w:rPr>
              <w:noBreakHyphen/>
            </w:r>
          </w:p>
        </w:tc>
        <w:tc>
          <w:tcPr>
            <w:tcW w:w="507" w:type="pct"/>
            <w:vAlign w:val="bottom"/>
          </w:tcPr>
          <w:p w:rsidR="00065C6C" w:rsidRPr="00855A9D" w:rsidRDefault="00065C6C" w:rsidP="001B56F1">
            <w:pPr>
              <w:pStyle w:val="TableBodyText"/>
              <w:rPr>
                <w:sz w:val="18"/>
                <w:szCs w:val="18"/>
              </w:rPr>
            </w:pPr>
            <w:r>
              <w:rPr>
                <w:sz w:val="18"/>
                <w:szCs w:val="18"/>
              </w:rPr>
              <w:noBreakHyphen/>
            </w:r>
          </w:p>
        </w:tc>
        <w:tc>
          <w:tcPr>
            <w:tcW w:w="507" w:type="pct"/>
            <w:vAlign w:val="bottom"/>
          </w:tcPr>
          <w:p w:rsidR="00065C6C" w:rsidRPr="00855A9D" w:rsidRDefault="00065C6C" w:rsidP="001B56F1">
            <w:pPr>
              <w:pStyle w:val="TableBodyText"/>
              <w:rPr>
                <w:sz w:val="18"/>
                <w:szCs w:val="18"/>
              </w:rPr>
            </w:pPr>
            <w:r>
              <w:rPr>
                <w:sz w:val="18"/>
                <w:szCs w:val="18"/>
              </w:rPr>
              <w:noBreakHyphen/>
            </w:r>
          </w:p>
        </w:tc>
        <w:tc>
          <w:tcPr>
            <w:tcW w:w="507" w:type="pct"/>
            <w:vAlign w:val="bottom"/>
          </w:tcPr>
          <w:p w:rsidR="00065C6C" w:rsidRPr="00855A9D" w:rsidRDefault="00065C6C" w:rsidP="001B56F1">
            <w:pPr>
              <w:pStyle w:val="TableBodyText"/>
              <w:rPr>
                <w:sz w:val="18"/>
                <w:szCs w:val="18"/>
              </w:rPr>
            </w:pPr>
            <w:r>
              <w:rPr>
                <w:sz w:val="18"/>
                <w:szCs w:val="18"/>
              </w:rPr>
              <w:noBreakHyphen/>
            </w:r>
          </w:p>
        </w:tc>
        <w:tc>
          <w:tcPr>
            <w:tcW w:w="507" w:type="pct"/>
            <w:shd w:val="clear" w:color="auto" w:fill="auto"/>
            <w:vAlign w:val="bottom"/>
          </w:tcPr>
          <w:p w:rsidR="00065C6C" w:rsidRPr="00855A9D" w:rsidRDefault="00065C6C" w:rsidP="001B56F1">
            <w:pPr>
              <w:pStyle w:val="TableBodyText"/>
              <w:rPr>
                <w:sz w:val="18"/>
                <w:szCs w:val="18"/>
              </w:rPr>
            </w:pPr>
            <w:r>
              <w:rPr>
                <w:sz w:val="18"/>
                <w:szCs w:val="18"/>
              </w:rPr>
              <w:noBreakHyphen/>
            </w:r>
          </w:p>
        </w:tc>
        <w:tc>
          <w:tcPr>
            <w:tcW w:w="505" w:type="pct"/>
            <w:shd w:val="clear" w:color="auto" w:fill="auto"/>
            <w:vAlign w:val="bottom"/>
          </w:tcPr>
          <w:p w:rsidR="00065C6C" w:rsidRPr="00855A9D" w:rsidRDefault="00065C6C" w:rsidP="001B56F1">
            <w:pPr>
              <w:pStyle w:val="TableBodyText"/>
              <w:rPr>
                <w:sz w:val="18"/>
                <w:szCs w:val="18"/>
              </w:rPr>
            </w:pPr>
            <w:r w:rsidRPr="00855A9D">
              <w:rPr>
                <w:sz w:val="18"/>
                <w:szCs w:val="18"/>
              </w:rPr>
              <w:t>0.2</w:t>
            </w:r>
          </w:p>
        </w:tc>
      </w:tr>
      <w:tr w:rsidR="00065C6C" w:rsidRPr="006C5A80" w:rsidTr="001B56F1">
        <w:tc>
          <w:tcPr>
            <w:tcW w:w="1960" w:type="pct"/>
            <w:tcBorders>
              <w:bottom w:val="single" w:sz="4" w:space="0" w:color="auto"/>
            </w:tcBorders>
            <w:vAlign w:val="bottom"/>
          </w:tcPr>
          <w:p w:rsidR="00065C6C" w:rsidRPr="00682BD4" w:rsidRDefault="00065C6C" w:rsidP="001B56F1">
            <w:pPr>
              <w:pStyle w:val="TableBodyText"/>
              <w:jc w:val="left"/>
              <w:rPr>
                <w:b/>
                <w:bCs/>
                <w:sz w:val="18"/>
                <w:szCs w:val="18"/>
              </w:rPr>
            </w:pPr>
            <w:r w:rsidRPr="00682BD4">
              <w:rPr>
                <w:b/>
                <w:bCs/>
                <w:sz w:val="18"/>
                <w:szCs w:val="18"/>
              </w:rPr>
              <w:t>Total</w:t>
            </w:r>
          </w:p>
        </w:tc>
        <w:tc>
          <w:tcPr>
            <w:tcW w:w="507" w:type="pct"/>
            <w:tcBorders>
              <w:bottom w:val="single" w:sz="4" w:space="0" w:color="auto"/>
            </w:tcBorders>
            <w:vAlign w:val="bottom"/>
          </w:tcPr>
          <w:p w:rsidR="00065C6C" w:rsidRPr="000B2B31" w:rsidRDefault="00065C6C" w:rsidP="001B56F1">
            <w:pPr>
              <w:pStyle w:val="TableBodyText"/>
              <w:rPr>
                <w:b/>
                <w:sz w:val="18"/>
                <w:szCs w:val="18"/>
              </w:rPr>
            </w:pPr>
            <w:r w:rsidRPr="000B2B31">
              <w:rPr>
                <w:b/>
                <w:sz w:val="18"/>
                <w:szCs w:val="18"/>
              </w:rPr>
              <w:t>2.2</w:t>
            </w:r>
          </w:p>
        </w:tc>
        <w:tc>
          <w:tcPr>
            <w:tcW w:w="507" w:type="pct"/>
            <w:tcBorders>
              <w:bottom w:val="single" w:sz="4" w:space="0" w:color="auto"/>
            </w:tcBorders>
            <w:vAlign w:val="bottom"/>
          </w:tcPr>
          <w:p w:rsidR="00065C6C" w:rsidRPr="000B2B31" w:rsidRDefault="00065C6C" w:rsidP="001B56F1">
            <w:pPr>
              <w:pStyle w:val="TableBodyText"/>
              <w:rPr>
                <w:b/>
                <w:sz w:val="18"/>
                <w:szCs w:val="18"/>
              </w:rPr>
            </w:pPr>
            <w:r w:rsidRPr="000B2B31">
              <w:rPr>
                <w:b/>
                <w:sz w:val="18"/>
                <w:szCs w:val="18"/>
              </w:rPr>
              <w:t>2.3</w:t>
            </w:r>
          </w:p>
        </w:tc>
        <w:tc>
          <w:tcPr>
            <w:tcW w:w="507" w:type="pct"/>
            <w:tcBorders>
              <w:bottom w:val="single" w:sz="4" w:space="0" w:color="auto"/>
            </w:tcBorders>
            <w:vAlign w:val="bottom"/>
          </w:tcPr>
          <w:p w:rsidR="00065C6C" w:rsidRPr="000B2B31" w:rsidRDefault="00065C6C" w:rsidP="001B56F1">
            <w:pPr>
              <w:pStyle w:val="TableBodyText"/>
              <w:rPr>
                <w:b/>
                <w:sz w:val="18"/>
                <w:szCs w:val="18"/>
              </w:rPr>
            </w:pPr>
            <w:r w:rsidRPr="000B2B31">
              <w:rPr>
                <w:b/>
                <w:sz w:val="18"/>
                <w:szCs w:val="18"/>
              </w:rPr>
              <w:t>2.4</w:t>
            </w:r>
          </w:p>
        </w:tc>
        <w:tc>
          <w:tcPr>
            <w:tcW w:w="507" w:type="pct"/>
            <w:tcBorders>
              <w:bottom w:val="single" w:sz="4" w:space="0" w:color="auto"/>
            </w:tcBorders>
            <w:vAlign w:val="bottom"/>
          </w:tcPr>
          <w:p w:rsidR="00065C6C" w:rsidRPr="000B2B31" w:rsidRDefault="00065C6C" w:rsidP="001B56F1">
            <w:pPr>
              <w:pStyle w:val="TableBodyText"/>
              <w:rPr>
                <w:b/>
                <w:sz w:val="18"/>
                <w:szCs w:val="18"/>
              </w:rPr>
            </w:pPr>
            <w:r w:rsidRPr="000B2B31">
              <w:rPr>
                <w:b/>
                <w:sz w:val="18"/>
                <w:szCs w:val="18"/>
              </w:rPr>
              <w:t>2.5</w:t>
            </w:r>
          </w:p>
        </w:tc>
        <w:tc>
          <w:tcPr>
            <w:tcW w:w="507" w:type="pct"/>
            <w:tcBorders>
              <w:bottom w:val="single" w:sz="4" w:space="0" w:color="auto"/>
            </w:tcBorders>
            <w:shd w:val="clear" w:color="auto" w:fill="auto"/>
            <w:vAlign w:val="bottom"/>
          </w:tcPr>
          <w:p w:rsidR="00065C6C" w:rsidRPr="000B2B31" w:rsidRDefault="00065C6C" w:rsidP="001B56F1">
            <w:pPr>
              <w:pStyle w:val="TableBodyText"/>
              <w:rPr>
                <w:b/>
                <w:sz w:val="18"/>
                <w:szCs w:val="18"/>
              </w:rPr>
            </w:pPr>
            <w:r w:rsidRPr="000B2B31">
              <w:rPr>
                <w:b/>
                <w:sz w:val="18"/>
                <w:szCs w:val="18"/>
              </w:rPr>
              <w:t>2.5</w:t>
            </w:r>
          </w:p>
        </w:tc>
        <w:tc>
          <w:tcPr>
            <w:tcW w:w="505" w:type="pct"/>
            <w:tcBorders>
              <w:bottom w:val="single" w:sz="4" w:space="0" w:color="auto"/>
            </w:tcBorders>
            <w:shd w:val="clear" w:color="auto" w:fill="auto"/>
            <w:vAlign w:val="bottom"/>
          </w:tcPr>
          <w:p w:rsidR="00065C6C" w:rsidRPr="000B2B31" w:rsidRDefault="00065C6C" w:rsidP="001B56F1">
            <w:pPr>
              <w:pStyle w:val="TableBodyText"/>
              <w:rPr>
                <w:b/>
                <w:sz w:val="18"/>
                <w:szCs w:val="18"/>
              </w:rPr>
            </w:pPr>
            <w:r w:rsidRPr="000B2B31">
              <w:rPr>
                <w:b/>
                <w:sz w:val="18"/>
                <w:szCs w:val="18"/>
              </w:rPr>
              <w:t>2.6</w:t>
            </w:r>
          </w:p>
        </w:tc>
      </w:tr>
    </w:tbl>
    <w:p w:rsidR="00065C6C" w:rsidRDefault="00065C6C" w:rsidP="00065C6C">
      <w:pPr>
        <w:pStyle w:val="Note"/>
      </w:pPr>
      <w:r>
        <w:t xml:space="preserve">– Nil. </w:t>
      </w:r>
      <w:r w:rsidRPr="008E77FE">
        <w:rPr>
          <w:rStyle w:val="NoteLabel"/>
        </w:rPr>
        <w:t>a</w:t>
      </w:r>
      <w:r>
        <w:t xml:space="preserve"> Unallocated includes general programs where details of beneficiaries are unknown.</w:t>
      </w:r>
    </w:p>
    <w:p w:rsidR="00065C6C" w:rsidRDefault="00065C6C" w:rsidP="00065C6C">
      <w:pPr>
        <w:pStyle w:val="Source"/>
      </w:pPr>
      <w:r>
        <w:rPr>
          <w:i/>
        </w:rPr>
        <w:t>Source</w:t>
      </w:r>
      <w:r w:rsidR="00411E67">
        <w:rPr>
          <w:i/>
        </w:rPr>
        <w:t>s</w:t>
      </w:r>
      <w:r>
        <w:t xml:space="preserve">: </w:t>
      </w:r>
      <w:r w:rsidRPr="003E67DD">
        <w:t>Commis</w:t>
      </w:r>
      <w:r>
        <w:t>sion estimates based on DIISR Annual Report 2010</w:t>
      </w:r>
      <w:r w:rsidR="00411E67">
        <w:noBreakHyphen/>
      </w:r>
      <w:r>
        <w:t>11 (and earlier years), Department of Industry, Tourism and Resources Annual Report 2006</w:t>
      </w:r>
      <w:r>
        <w:noBreakHyphen/>
        <w:t>07; and detailed DIISR data by ANZSIC industry.</w:t>
      </w:r>
    </w:p>
    <w:p w:rsidR="00C26E82" w:rsidRPr="00C26E82" w:rsidRDefault="00C26E82" w:rsidP="00C26E82">
      <w:pPr>
        <w:pStyle w:val="Source"/>
      </w:pPr>
      <w:r>
        <w:br w:type="page"/>
      </w:r>
    </w:p>
    <w:p w:rsidR="001E253F" w:rsidRDefault="00FA09C3" w:rsidP="001E253F">
      <w:pPr>
        <w:pStyle w:val="Heading2"/>
      </w:pPr>
      <w:r>
        <w:t>A.</w:t>
      </w:r>
      <w:r>
        <w:rPr>
          <w:noProof/>
        </w:rPr>
        <w:t>104</w:t>
      </w:r>
      <w:r w:rsidR="001E253F">
        <w:tab/>
        <w:t>Capital expenditure deduction for mining, quarrying and petroleum operations</w:t>
      </w:r>
    </w:p>
    <w:p w:rsidR="001E253F" w:rsidRDefault="001E253F" w:rsidP="001E253F">
      <w:pPr>
        <w:pStyle w:val="BodyText"/>
      </w:pPr>
      <w:r>
        <w:t>Under the scheme, certain capital expenditures incurred in carrying on a prescribed mining, petroleum or quarrying operation can be deducted over the lesser of either the life of the project or 10 years (20 years for quarrying). The deduction is available for expenditure incurred before 1 July 2001 or expenditure relating to a depreciating asset acquired before 1 July 2001 (excluding plant and equipment). Expenditure incurred on or after 1 July 2001 can be deducted over the life of the project (</w:t>
      </w:r>
      <w:r w:rsidRPr="00813174">
        <w:t>Tax Expenditure Statement, Australian Government 2013, Item B 88</w:t>
      </w:r>
      <w:r>
        <w:t>).</w:t>
      </w:r>
    </w:p>
    <w:p w:rsidR="001E253F" w:rsidRDefault="001E253F" w:rsidP="001E253F">
      <w:pPr>
        <w:pStyle w:val="BodyText"/>
      </w:pPr>
      <w:r>
        <w:t xml:space="preserve">The scheme selectively benefits activities in the mining sector, and has therefore been allocated to the </w:t>
      </w:r>
      <w:r w:rsidRPr="00CC2434">
        <w:rPr>
          <w:i/>
        </w:rPr>
        <w:t>Mining</w:t>
      </w:r>
      <w:r>
        <w:t xml:space="preserve"> industry grouping in the Commission’s ANZSIC-based classification (table A.10</w:t>
      </w:r>
      <w:r w:rsidR="00C065C1">
        <w:t>4</w:t>
      </w:r>
      <w:r>
        <w:t>).</w:t>
      </w:r>
    </w:p>
    <w:p w:rsidR="001E253F" w:rsidRDefault="001E253F" w:rsidP="001E253F">
      <w:pPr>
        <w:pStyle w:val="TableTitle"/>
      </w:pPr>
      <w:r>
        <w:rPr>
          <w:b w:val="0"/>
        </w:rPr>
        <w:t xml:space="preserve">Table </w:t>
      </w:r>
      <w:r w:rsidR="00FA09C3">
        <w:rPr>
          <w:b w:val="0"/>
        </w:rPr>
        <w:t>A.</w:t>
      </w:r>
      <w:r w:rsidR="00FA09C3">
        <w:rPr>
          <w:b w:val="0"/>
          <w:noProof/>
        </w:rPr>
        <w:t>104</w:t>
      </w:r>
      <w:r>
        <w:tab/>
        <w:t>Allocation of Capital expenditure deduction for mining, quarrying and petroleum operations</w:t>
      </w:r>
      <w:r w:rsidR="00B6795B" w:rsidRPr="00B6795B">
        <w:t xml:space="preserve"> to industry</w:t>
      </w:r>
      <w:r>
        <w:t>, 2006</w:t>
      </w:r>
      <w:r>
        <w:noBreakHyphen/>
        <w:t>07 to 2011</w:t>
      </w:r>
      <w:r>
        <w:noBreakHyphen/>
        <w:t>12</w:t>
      </w:r>
    </w:p>
    <w:p w:rsidR="001E253F" w:rsidRDefault="001E253F" w:rsidP="001E253F">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1E253F" w:rsidRPr="00AF699A" w:rsidTr="001B56F1">
        <w:tc>
          <w:tcPr>
            <w:tcW w:w="1960" w:type="pct"/>
            <w:tcBorders>
              <w:top w:val="single" w:sz="6" w:space="0" w:color="auto"/>
              <w:bottom w:val="single" w:sz="6" w:space="0" w:color="auto"/>
            </w:tcBorders>
          </w:tcPr>
          <w:p w:rsidR="001E253F" w:rsidRPr="00AF699A" w:rsidRDefault="001E253F"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1E253F" w:rsidRPr="00AF699A" w:rsidRDefault="001E253F"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1E253F" w:rsidRPr="00AF699A" w:rsidRDefault="001E253F"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1E253F" w:rsidRPr="00AF699A" w:rsidRDefault="001E253F"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1E253F" w:rsidRPr="00AF699A" w:rsidRDefault="001E253F"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1E253F" w:rsidRPr="00AF699A" w:rsidRDefault="001E253F"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1E253F" w:rsidRPr="00AF699A" w:rsidRDefault="001E253F" w:rsidP="001B56F1">
            <w:pPr>
              <w:pStyle w:val="TableColumnHeading"/>
              <w:ind w:right="28"/>
              <w:rPr>
                <w:rFonts w:cs="Arial"/>
                <w:sz w:val="18"/>
                <w:szCs w:val="18"/>
              </w:rPr>
            </w:pPr>
            <w:r w:rsidRPr="00AF699A">
              <w:rPr>
                <w:rFonts w:cs="Arial"/>
                <w:sz w:val="18"/>
                <w:szCs w:val="18"/>
              </w:rPr>
              <w:t>2011-12</w:t>
            </w:r>
          </w:p>
        </w:tc>
      </w:tr>
      <w:tr w:rsidR="001E253F" w:rsidRPr="006C5A80" w:rsidTr="001B56F1">
        <w:tc>
          <w:tcPr>
            <w:tcW w:w="1960" w:type="pct"/>
            <w:tcBorders>
              <w:bottom w:val="single" w:sz="4" w:space="0" w:color="auto"/>
            </w:tcBorders>
            <w:vAlign w:val="bottom"/>
          </w:tcPr>
          <w:p w:rsidR="001E253F" w:rsidRPr="00C944BA" w:rsidRDefault="001E253F" w:rsidP="001B56F1">
            <w:pPr>
              <w:pStyle w:val="TableBodyText"/>
              <w:jc w:val="left"/>
            </w:pPr>
            <w:r>
              <w:t>Mining</w:t>
            </w:r>
          </w:p>
        </w:tc>
        <w:tc>
          <w:tcPr>
            <w:tcW w:w="507" w:type="pct"/>
            <w:tcBorders>
              <w:bottom w:val="single" w:sz="4" w:space="0" w:color="auto"/>
            </w:tcBorders>
            <w:vAlign w:val="bottom"/>
          </w:tcPr>
          <w:p w:rsidR="001E253F" w:rsidRDefault="001E253F" w:rsidP="001B56F1">
            <w:pPr>
              <w:pStyle w:val="TableBodyText"/>
            </w:pPr>
            <w:r>
              <w:t>25.0</w:t>
            </w:r>
          </w:p>
        </w:tc>
        <w:tc>
          <w:tcPr>
            <w:tcW w:w="507" w:type="pct"/>
            <w:tcBorders>
              <w:bottom w:val="single" w:sz="4" w:space="0" w:color="auto"/>
            </w:tcBorders>
            <w:vAlign w:val="bottom"/>
          </w:tcPr>
          <w:p w:rsidR="001E253F" w:rsidRDefault="001E253F" w:rsidP="001B56F1">
            <w:pPr>
              <w:pStyle w:val="TableBodyText"/>
            </w:pPr>
            <w:r>
              <w:t>20.0</w:t>
            </w:r>
          </w:p>
        </w:tc>
        <w:tc>
          <w:tcPr>
            <w:tcW w:w="507" w:type="pct"/>
            <w:tcBorders>
              <w:bottom w:val="single" w:sz="4" w:space="0" w:color="auto"/>
            </w:tcBorders>
            <w:vAlign w:val="bottom"/>
          </w:tcPr>
          <w:p w:rsidR="001E253F" w:rsidRDefault="001E253F" w:rsidP="001B56F1">
            <w:pPr>
              <w:pStyle w:val="TableBodyText"/>
            </w:pPr>
            <w:r>
              <w:t>15.0</w:t>
            </w:r>
          </w:p>
        </w:tc>
        <w:tc>
          <w:tcPr>
            <w:tcW w:w="507" w:type="pct"/>
            <w:tcBorders>
              <w:bottom w:val="single" w:sz="4" w:space="0" w:color="auto"/>
            </w:tcBorders>
            <w:vAlign w:val="bottom"/>
          </w:tcPr>
          <w:p w:rsidR="001E253F" w:rsidRDefault="001E253F" w:rsidP="001B56F1">
            <w:pPr>
              <w:pStyle w:val="TableBodyText"/>
            </w:pPr>
            <w:r>
              <w:t>10.0</w:t>
            </w:r>
          </w:p>
        </w:tc>
        <w:tc>
          <w:tcPr>
            <w:tcW w:w="507" w:type="pct"/>
            <w:tcBorders>
              <w:bottom w:val="single" w:sz="4" w:space="0" w:color="auto"/>
            </w:tcBorders>
            <w:shd w:val="clear" w:color="auto" w:fill="auto"/>
            <w:vAlign w:val="bottom"/>
          </w:tcPr>
          <w:p w:rsidR="001E253F" w:rsidRDefault="001E253F" w:rsidP="001B56F1">
            <w:pPr>
              <w:pStyle w:val="TableBodyText"/>
            </w:pPr>
            <w:r>
              <w:t>7.0</w:t>
            </w:r>
          </w:p>
        </w:tc>
        <w:tc>
          <w:tcPr>
            <w:tcW w:w="505" w:type="pct"/>
            <w:tcBorders>
              <w:bottom w:val="single" w:sz="4" w:space="0" w:color="auto"/>
            </w:tcBorders>
            <w:shd w:val="clear" w:color="auto" w:fill="auto"/>
            <w:vAlign w:val="bottom"/>
          </w:tcPr>
          <w:p w:rsidR="001E253F" w:rsidRDefault="001E253F" w:rsidP="001B56F1">
            <w:pPr>
              <w:pStyle w:val="TableBodyText"/>
            </w:pPr>
            <w:r>
              <w:t>2.0</w:t>
            </w:r>
          </w:p>
        </w:tc>
      </w:tr>
    </w:tbl>
    <w:p w:rsidR="001E253F" w:rsidRPr="008E77FE" w:rsidRDefault="001E253F" w:rsidP="001E253F">
      <w:pPr>
        <w:pStyle w:val="Source"/>
      </w:pPr>
      <w:r>
        <w:rPr>
          <w:i/>
        </w:rPr>
        <w:t>Source</w:t>
      </w:r>
      <w:r>
        <w:t>: Commission estimates based on Tax Expenditure Statement 2012, Australian Government 2013, pp. 107</w:t>
      </w:r>
      <w:r w:rsidR="00411E67">
        <w:noBreakHyphen/>
      </w:r>
      <w:r>
        <w:t>108, item B88.</w:t>
      </w:r>
    </w:p>
    <w:p w:rsidR="00825B1E" w:rsidRDefault="00FA09C3" w:rsidP="00825B1E">
      <w:pPr>
        <w:pStyle w:val="Heading2"/>
      </w:pPr>
      <w:r>
        <w:t>A.</w:t>
      </w:r>
      <w:r>
        <w:rPr>
          <w:noProof/>
        </w:rPr>
        <w:t>105</w:t>
      </w:r>
      <w:r w:rsidR="00825B1E">
        <w:tab/>
        <w:t>Carbon Farming Initiative</w:t>
      </w:r>
    </w:p>
    <w:p w:rsidR="00825B1E" w:rsidRDefault="00825B1E" w:rsidP="00825B1E">
      <w:pPr>
        <w:pStyle w:val="BodyText"/>
      </w:pPr>
      <w:r>
        <w:t xml:space="preserve">Commencing on 8 December 2011, the Carbon Farming Initiative (CFI) </w:t>
      </w:r>
      <w:r w:rsidR="00CA2EC0">
        <w:t xml:space="preserve">aims </w:t>
      </w:r>
      <w:r>
        <w:t xml:space="preserve">to establish a carbon offset market so that Australian farmers, forest growers and landholders can earn carbon credits by voluntarily reducing land sector greenhouse gas emissions or sequestering carbon in their landscape. CFI credits could be sold into domestic and international markets for carbon offsets. In doing so, the Initiative </w:t>
      </w:r>
      <w:r w:rsidR="00CA2EC0">
        <w:t xml:space="preserve">aims </w:t>
      </w:r>
      <w:r>
        <w:t>to provide economic incentives to help farmers, forest growers and landholders to earn income by reducing agricultural emissions through improved land management.</w:t>
      </w:r>
    </w:p>
    <w:p w:rsidR="00825B1E" w:rsidRDefault="00825B1E" w:rsidP="00825B1E">
      <w:pPr>
        <w:pStyle w:val="BodyText"/>
      </w:pPr>
      <w:r>
        <w:t xml:space="preserve">As well as establishing a carbon crediting scheme, the CFI </w:t>
      </w:r>
      <w:r w:rsidR="00CA2EC0">
        <w:t xml:space="preserve">aims </w:t>
      </w:r>
      <w:r>
        <w:t>to facilitate participation in the carbon market through two programs:</w:t>
      </w:r>
    </w:p>
    <w:p w:rsidR="00825B1E" w:rsidRDefault="00825B1E" w:rsidP="00825B1E">
      <w:pPr>
        <w:pStyle w:val="ListBullet"/>
      </w:pPr>
      <w:r>
        <w:t>the $2 million Biochar Capacity Building Program; and</w:t>
      </w:r>
    </w:p>
    <w:p w:rsidR="00825B1E" w:rsidRDefault="00825B1E" w:rsidP="00825B1E">
      <w:pPr>
        <w:pStyle w:val="ListBullet"/>
      </w:pPr>
      <w:r>
        <w:t>the $4 million CFI Communications Program.</w:t>
      </w:r>
    </w:p>
    <w:p w:rsidR="00825B1E" w:rsidRDefault="00825B1E" w:rsidP="00825B1E">
      <w:pPr>
        <w:pStyle w:val="BodyText"/>
      </w:pPr>
      <w:r w:rsidRPr="001C796F">
        <w:t xml:space="preserve">The </w:t>
      </w:r>
      <w:r>
        <w:t>CFI</w:t>
      </w:r>
      <w:r w:rsidRPr="001C796F">
        <w:t xml:space="preserve"> primarily benefits the primary production sector. However, </w:t>
      </w:r>
      <w:r>
        <w:t xml:space="preserve">information on </w:t>
      </w:r>
      <w:r w:rsidRPr="001C796F">
        <w:t xml:space="preserve">the </w:t>
      </w:r>
      <w:r>
        <w:t>specific industry incidence</w:t>
      </w:r>
      <w:r w:rsidRPr="001C796F">
        <w:t xml:space="preserve"> </w:t>
      </w:r>
      <w:r>
        <w:t xml:space="preserve">of the program </w:t>
      </w:r>
      <w:r w:rsidRPr="001C796F">
        <w:t xml:space="preserve">has not been </w:t>
      </w:r>
      <w:r>
        <w:t>readily avail</w:t>
      </w:r>
      <w:r w:rsidRPr="001C796F">
        <w:t xml:space="preserve">able. </w:t>
      </w:r>
      <w:r>
        <w:t>Accordingly</w:t>
      </w:r>
      <w:r w:rsidRPr="001C796F">
        <w:t xml:space="preserve">, the </w:t>
      </w:r>
      <w:r>
        <w:t xml:space="preserve">budget outlay </w:t>
      </w:r>
      <w:r w:rsidRPr="001C796F">
        <w:t xml:space="preserve">has been </w:t>
      </w:r>
      <w:r>
        <w:t>classified</w:t>
      </w:r>
      <w:r w:rsidRPr="001C796F">
        <w:t xml:space="preserve"> to </w:t>
      </w:r>
      <w:r>
        <w:t xml:space="preserve">the </w:t>
      </w:r>
      <w:r w:rsidRPr="001C796F">
        <w:rPr>
          <w:i/>
        </w:rPr>
        <w:t>Unallocated primary production</w:t>
      </w:r>
      <w:r w:rsidRPr="001C796F">
        <w:t xml:space="preserve"> </w:t>
      </w:r>
      <w:r>
        <w:t xml:space="preserve">industry grouping in the Commission’s ANZSIC-based classification </w:t>
      </w:r>
      <w:r w:rsidRPr="001C796F">
        <w:t>(table</w:t>
      </w:r>
      <w:r>
        <w:t> </w:t>
      </w:r>
      <w:r w:rsidRPr="001C796F">
        <w:t>A.</w:t>
      </w:r>
      <w:r>
        <w:t>10</w:t>
      </w:r>
      <w:r w:rsidR="00C065C1">
        <w:t>5</w:t>
      </w:r>
      <w:r w:rsidRPr="001C796F">
        <w:t>).</w:t>
      </w:r>
    </w:p>
    <w:p w:rsidR="00825B1E" w:rsidRDefault="00825B1E" w:rsidP="00825B1E">
      <w:pPr>
        <w:pStyle w:val="TableTitle"/>
      </w:pPr>
      <w:r>
        <w:rPr>
          <w:b w:val="0"/>
        </w:rPr>
        <w:t xml:space="preserve">Table </w:t>
      </w:r>
      <w:r w:rsidR="00FA09C3">
        <w:rPr>
          <w:b w:val="0"/>
        </w:rPr>
        <w:t>A.</w:t>
      </w:r>
      <w:r w:rsidR="00FA09C3">
        <w:rPr>
          <w:b w:val="0"/>
          <w:noProof/>
        </w:rPr>
        <w:t>105</w:t>
      </w:r>
      <w:r>
        <w:tab/>
        <w:t>Allocation of Carbon Farming Initiative</w:t>
      </w:r>
      <w:r w:rsidR="00B6795B" w:rsidRPr="00B6795B">
        <w:t xml:space="preserve"> to industry</w:t>
      </w:r>
      <w:r>
        <w:t>, 2006</w:t>
      </w:r>
      <w:r>
        <w:noBreakHyphen/>
        <w:t>07 to 2011</w:t>
      </w:r>
      <w:r>
        <w:noBreakHyphen/>
        <w:t>12</w:t>
      </w:r>
    </w:p>
    <w:p w:rsidR="00825B1E" w:rsidRDefault="000E1A26" w:rsidP="00825B1E">
      <w:pPr>
        <w:pStyle w:val="Subtitle"/>
      </w:pPr>
      <w:r>
        <w:t>$ m</w:t>
      </w:r>
      <w:r w:rsidR="00825B1E">
        <w:t xml:space="preserve">illion (nominal) </w:t>
      </w:r>
    </w:p>
    <w:tbl>
      <w:tblPr>
        <w:tblW w:w="4999" w:type="pct"/>
        <w:tblCellMar>
          <w:left w:w="0" w:type="dxa"/>
          <w:right w:w="0" w:type="dxa"/>
        </w:tblCellMar>
        <w:tblLook w:val="0000" w:firstRow="0" w:lastRow="0" w:firstColumn="0" w:lastColumn="0" w:noHBand="0" w:noVBand="0"/>
      </w:tblPr>
      <w:tblGrid>
        <w:gridCol w:w="3449"/>
        <w:gridCol w:w="890"/>
        <w:gridCol w:w="890"/>
        <w:gridCol w:w="890"/>
        <w:gridCol w:w="890"/>
        <w:gridCol w:w="889"/>
        <w:gridCol w:w="889"/>
      </w:tblGrid>
      <w:tr w:rsidR="002C4E6A" w:rsidRPr="00AF699A" w:rsidTr="00CB219A">
        <w:trPr>
          <w:trHeight w:val="340"/>
        </w:trPr>
        <w:tc>
          <w:tcPr>
            <w:tcW w:w="1961" w:type="pct"/>
            <w:tcBorders>
              <w:top w:val="single" w:sz="6" w:space="0" w:color="auto"/>
              <w:bottom w:val="single" w:sz="6" w:space="0" w:color="auto"/>
            </w:tcBorders>
          </w:tcPr>
          <w:p w:rsidR="002C4E6A" w:rsidRPr="00AF699A" w:rsidRDefault="002C4E6A" w:rsidP="001B56F1">
            <w:pPr>
              <w:pStyle w:val="TableColumnHeading"/>
              <w:jc w:val="left"/>
              <w:rPr>
                <w:rFonts w:cs="Arial"/>
                <w:sz w:val="18"/>
                <w:szCs w:val="18"/>
              </w:rPr>
            </w:pPr>
            <w:r w:rsidRPr="00AF699A">
              <w:rPr>
                <w:rFonts w:cs="Arial"/>
                <w:sz w:val="18"/>
                <w:szCs w:val="18"/>
              </w:rPr>
              <w:t>Industry grouping</w:t>
            </w:r>
          </w:p>
        </w:tc>
        <w:tc>
          <w:tcPr>
            <w:tcW w:w="506" w:type="pct"/>
            <w:tcBorders>
              <w:top w:val="single" w:sz="6" w:space="0" w:color="auto"/>
              <w:bottom w:val="single" w:sz="6" w:space="0" w:color="auto"/>
            </w:tcBorders>
          </w:tcPr>
          <w:p w:rsidR="002C4E6A" w:rsidRPr="00AF699A" w:rsidRDefault="002C4E6A" w:rsidP="001B56F1">
            <w:pPr>
              <w:pStyle w:val="TableColumnHeading"/>
              <w:ind w:right="28"/>
              <w:rPr>
                <w:rFonts w:cs="Arial"/>
                <w:sz w:val="18"/>
                <w:szCs w:val="18"/>
              </w:rPr>
            </w:pPr>
            <w:r w:rsidRPr="00AF699A">
              <w:rPr>
                <w:rFonts w:cs="Arial"/>
                <w:sz w:val="18"/>
                <w:szCs w:val="18"/>
              </w:rPr>
              <w:t>2006-07</w:t>
            </w:r>
          </w:p>
        </w:tc>
        <w:tc>
          <w:tcPr>
            <w:tcW w:w="506" w:type="pct"/>
            <w:tcBorders>
              <w:top w:val="single" w:sz="6" w:space="0" w:color="auto"/>
              <w:bottom w:val="single" w:sz="6" w:space="0" w:color="auto"/>
            </w:tcBorders>
          </w:tcPr>
          <w:p w:rsidR="002C4E6A" w:rsidRPr="00AF699A" w:rsidRDefault="002C4E6A" w:rsidP="001B56F1">
            <w:pPr>
              <w:pStyle w:val="TableColumnHeading"/>
              <w:ind w:right="28"/>
              <w:rPr>
                <w:rFonts w:cs="Arial"/>
                <w:sz w:val="18"/>
                <w:szCs w:val="18"/>
              </w:rPr>
            </w:pPr>
            <w:r w:rsidRPr="00AF699A">
              <w:rPr>
                <w:rFonts w:cs="Arial"/>
                <w:sz w:val="18"/>
                <w:szCs w:val="18"/>
              </w:rPr>
              <w:t>2007-08</w:t>
            </w:r>
          </w:p>
        </w:tc>
        <w:tc>
          <w:tcPr>
            <w:tcW w:w="506" w:type="pct"/>
            <w:tcBorders>
              <w:top w:val="single" w:sz="6" w:space="0" w:color="auto"/>
              <w:bottom w:val="single" w:sz="6" w:space="0" w:color="auto"/>
            </w:tcBorders>
          </w:tcPr>
          <w:p w:rsidR="002C4E6A" w:rsidRPr="00AF699A" w:rsidRDefault="002C4E6A" w:rsidP="001B56F1">
            <w:pPr>
              <w:pStyle w:val="TableColumnHeading"/>
              <w:ind w:right="28"/>
              <w:rPr>
                <w:rFonts w:cs="Arial"/>
                <w:sz w:val="18"/>
                <w:szCs w:val="18"/>
              </w:rPr>
            </w:pPr>
            <w:r w:rsidRPr="00AF699A">
              <w:rPr>
                <w:rFonts w:cs="Arial"/>
                <w:sz w:val="18"/>
                <w:szCs w:val="18"/>
              </w:rPr>
              <w:t>2008-09</w:t>
            </w:r>
          </w:p>
        </w:tc>
        <w:tc>
          <w:tcPr>
            <w:tcW w:w="506" w:type="pct"/>
            <w:tcBorders>
              <w:top w:val="single" w:sz="6" w:space="0" w:color="auto"/>
              <w:bottom w:val="single" w:sz="6" w:space="0" w:color="auto"/>
            </w:tcBorders>
          </w:tcPr>
          <w:p w:rsidR="002C4E6A" w:rsidRPr="00AF699A" w:rsidRDefault="002C4E6A" w:rsidP="001B56F1">
            <w:pPr>
              <w:pStyle w:val="TableColumnHeading"/>
              <w:ind w:right="28"/>
              <w:rPr>
                <w:rFonts w:cs="Arial"/>
                <w:sz w:val="18"/>
                <w:szCs w:val="18"/>
              </w:rPr>
            </w:pPr>
            <w:r w:rsidRPr="00AF699A">
              <w:rPr>
                <w:rFonts w:cs="Arial"/>
                <w:sz w:val="18"/>
                <w:szCs w:val="18"/>
              </w:rPr>
              <w:t>2009-10</w:t>
            </w:r>
          </w:p>
        </w:tc>
        <w:tc>
          <w:tcPr>
            <w:tcW w:w="506" w:type="pct"/>
            <w:tcBorders>
              <w:top w:val="single" w:sz="6" w:space="0" w:color="auto"/>
              <w:bottom w:val="single" w:sz="6" w:space="0" w:color="auto"/>
            </w:tcBorders>
            <w:shd w:val="clear" w:color="auto" w:fill="auto"/>
          </w:tcPr>
          <w:p w:rsidR="002C4E6A" w:rsidRPr="00AF699A" w:rsidRDefault="002C4E6A" w:rsidP="001B56F1">
            <w:pPr>
              <w:pStyle w:val="TableColumnHeading"/>
              <w:ind w:right="28"/>
              <w:rPr>
                <w:rFonts w:cs="Arial"/>
                <w:sz w:val="18"/>
                <w:szCs w:val="18"/>
              </w:rPr>
            </w:pPr>
            <w:r w:rsidRPr="00AF699A">
              <w:rPr>
                <w:rFonts w:cs="Arial"/>
                <w:sz w:val="18"/>
                <w:szCs w:val="18"/>
              </w:rPr>
              <w:t>2010-11</w:t>
            </w:r>
          </w:p>
        </w:tc>
        <w:tc>
          <w:tcPr>
            <w:tcW w:w="506" w:type="pct"/>
            <w:tcBorders>
              <w:top w:val="single" w:sz="6" w:space="0" w:color="auto"/>
              <w:bottom w:val="single" w:sz="6" w:space="0" w:color="auto"/>
            </w:tcBorders>
            <w:shd w:val="clear" w:color="auto" w:fill="auto"/>
          </w:tcPr>
          <w:p w:rsidR="002C4E6A" w:rsidRPr="00AF699A" w:rsidRDefault="002C4E6A" w:rsidP="001B56F1">
            <w:pPr>
              <w:pStyle w:val="TableColumnHeading"/>
              <w:ind w:right="28"/>
              <w:rPr>
                <w:rFonts w:cs="Arial"/>
                <w:sz w:val="18"/>
                <w:szCs w:val="18"/>
              </w:rPr>
            </w:pPr>
            <w:r w:rsidRPr="00AF699A">
              <w:rPr>
                <w:rFonts w:cs="Arial"/>
                <w:sz w:val="18"/>
                <w:szCs w:val="18"/>
              </w:rPr>
              <w:t>2011-12</w:t>
            </w:r>
          </w:p>
        </w:tc>
      </w:tr>
      <w:tr w:rsidR="002C4E6A" w:rsidRPr="00AF69E5" w:rsidTr="002C4E6A">
        <w:tc>
          <w:tcPr>
            <w:tcW w:w="1961" w:type="pct"/>
            <w:tcBorders>
              <w:bottom w:val="single" w:sz="4" w:space="0" w:color="auto"/>
            </w:tcBorders>
            <w:vAlign w:val="bottom"/>
          </w:tcPr>
          <w:p w:rsidR="002C4E6A" w:rsidRPr="00945294" w:rsidRDefault="002C4E6A" w:rsidP="001B56F1">
            <w:pPr>
              <w:pStyle w:val="TableBodyText"/>
              <w:jc w:val="left"/>
            </w:pPr>
            <w:r w:rsidRPr="00945294">
              <w:t>Unallocated primary production</w:t>
            </w:r>
            <w:r w:rsidRPr="008E77FE">
              <w:rPr>
                <w:rStyle w:val="NoteLabel"/>
              </w:rPr>
              <w:t>a</w:t>
            </w:r>
          </w:p>
        </w:tc>
        <w:tc>
          <w:tcPr>
            <w:tcW w:w="506" w:type="pct"/>
            <w:tcBorders>
              <w:bottom w:val="single" w:sz="4" w:space="0" w:color="auto"/>
            </w:tcBorders>
            <w:vAlign w:val="bottom"/>
          </w:tcPr>
          <w:p w:rsidR="002C4E6A" w:rsidRPr="00945294" w:rsidRDefault="002C4E6A" w:rsidP="001B56F1">
            <w:pPr>
              <w:pStyle w:val="TableBodyText"/>
            </w:pPr>
            <w:r w:rsidRPr="00A2379F">
              <w:noBreakHyphen/>
            </w:r>
          </w:p>
        </w:tc>
        <w:tc>
          <w:tcPr>
            <w:tcW w:w="506" w:type="pct"/>
            <w:tcBorders>
              <w:bottom w:val="single" w:sz="4" w:space="0" w:color="auto"/>
            </w:tcBorders>
            <w:vAlign w:val="bottom"/>
          </w:tcPr>
          <w:p w:rsidR="002C4E6A" w:rsidRPr="00945294" w:rsidRDefault="002C4E6A" w:rsidP="001B56F1">
            <w:pPr>
              <w:pStyle w:val="TableBodyText"/>
            </w:pPr>
            <w:r w:rsidRPr="00A2379F">
              <w:noBreakHyphen/>
            </w:r>
          </w:p>
        </w:tc>
        <w:tc>
          <w:tcPr>
            <w:tcW w:w="506" w:type="pct"/>
            <w:tcBorders>
              <w:bottom w:val="single" w:sz="4" w:space="0" w:color="auto"/>
            </w:tcBorders>
            <w:vAlign w:val="bottom"/>
          </w:tcPr>
          <w:p w:rsidR="002C4E6A" w:rsidRPr="00945294" w:rsidRDefault="002C4E6A" w:rsidP="001B56F1">
            <w:pPr>
              <w:pStyle w:val="TableBodyText"/>
            </w:pPr>
            <w:r w:rsidRPr="00A2379F">
              <w:noBreakHyphen/>
            </w:r>
          </w:p>
        </w:tc>
        <w:tc>
          <w:tcPr>
            <w:tcW w:w="506" w:type="pct"/>
            <w:tcBorders>
              <w:bottom w:val="single" w:sz="4" w:space="0" w:color="auto"/>
            </w:tcBorders>
            <w:vAlign w:val="bottom"/>
          </w:tcPr>
          <w:p w:rsidR="002C4E6A" w:rsidRPr="00945294" w:rsidRDefault="002C4E6A" w:rsidP="001B56F1">
            <w:pPr>
              <w:pStyle w:val="TableBodyText"/>
            </w:pPr>
            <w:r w:rsidRPr="00A2379F">
              <w:noBreakHyphen/>
            </w:r>
          </w:p>
        </w:tc>
        <w:tc>
          <w:tcPr>
            <w:tcW w:w="506" w:type="pct"/>
            <w:tcBorders>
              <w:bottom w:val="single" w:sz="4" w:space="0" w:color="auto"/>
            </w:tcBorders>
            <w:shd w:val="clear" w:color="auto" w:fill="auto"/>
            <w:vAlign w:val="bottom"/>
          </w:tcPr>
          <w:p w:rsidR="002C4E6A" w:rsidRPr="00945294" w:rsidRDefault="002C4E6A" w:rsidP="001B56F1">
            <w:pPr>
              <w:pStyle w:val="TableBodyText"/>
            </w:pPr>
            <w:r w:rsidRPr="00945294">
              <w:t>0.3</w:t>
            </w:r>
          </w:p>
        </w:tc>
        <w:tc>
          <w:tcPr>
            <w:tcW w:w="506" w:type="pct"/>
            <w:tcBorders>
              <w:bottom w:val="single" w:sz="4" w:space="0" w:color="auto"/>
            </w:tcBorders>
            <w:shd w:val="clear" w:color="auto" w:fill="auto"/>
            <w:vAlign w:val="bottom"/>
          </w:tcPr>
          <w:p w:rsidR="002C4E6A" w:rsidRPr="00945294" w:rsidRDefault="002C4E6A" w:rsidP="001B56F1">
            <w:pPr>
              <w:pStyle w:val="TableBodyText"/>
            </w:pPr>
            <w:r w:rsidRPr="00945294">
              <w:t>2.0</w:t>
            </w:r>
          </w:p>
        </w:tc>
      </w:tr>
    </w:tbl>
    <w:p w:rsidR="00825B1E" w:rsidRDefault="00825B1E" w:rsidP="00825B1E">
      <w:pPr>
        <w:pStyle w:val="Note"/>
      </w:pPr>
      <w:r w:rsidRPr="00A2379F">
        <w:noBreakHyphen/>
        <w:t xml:space="preserve"> </w:t>
      </w:r>
      <w:r>
        <w:t>Nil</w:t>
      </w:r>
      <w:r w:rsidRPr="00A2379F">
        <w:t>.</w:t>
      </w:r>
      <w:r w:rsidRPr="00B1392F">
        <w:t xml:space="preserve"> </w:t>
      </w:r>
      <w:r w:rsidRPr="008E77FE">
        <w:rPr>
          <w:rStyle w:val="NoteLabel"/>
        </w:rPr>
        <w:t>a</w:t>
      </w:r>
      <w:r>
        <w:t xml:space="preserve"> </w:t>
      </w:r>
      <w:r w:rsidRPr="009B56F1">
        <w:t>Unallocated includes general programs where detai</w:t>
      </w:r>
      <w:r>
        <w:t>ls of beneficiaries are unknown.</w:t>
      </w:r>
    </w:p>
    <w:p w:rsidR="00825B1E" w:rsidRPr="008E77FE" w:rsidRDefault="00825B1E" w:rsidP="00825B1E">
      <w:pPr>
        <w:pStyle w:val="Source"/>
      </w:pPr>
      <w:r>
        <w:rPr>
          <w:i/>
        </w:rPr>
        <w:t>Source</w:t>
      </w:r>
      <w:r>
        <w:t>: Commission estimates based on DAFF Annual Report 2011</w:t>
      </w:r>
      <w:r>
        <w:noBreakHyphen/>
        <w:t>12 (and earlier years).</w:t>
      </w:r>
    </w:p>
    <w:p w:rsidR="004571A3" w:rsidRDefault="00FA09C3" w:rsidP="004571A3">
      <w:pPr>
        <w:pStyle w:val="Heading2"/>
      </w:pPr>
      <w:r>
        <w:t>A.</w:t>
      </w:r>
      <w:r>
        <w:rPr>
          <w:noProof/>
        </w:rPr>
        <w:t>106</w:t>
      </w:r>
      <w:r w:rsidR="004571A3">
        <w:tab/>
        <w:t>Drought Assistance – Professional Advice</w:t>
      </w:r>
    </w:p>
    <w:p w:rsidR="004571A3" w:rsidRDefault="004571A3" w:rsidP="004571A3">
      <w:pPr>
        <w:pStyle w:val="BodyText"/>
      </w:pPr>
      <w:r>
        <w:t>In September 2007, the Australian Government announced a drought assistance package for irrigators, dryland farmers and small businesses severely affected by the drought. As part of the package, funding was provided for additional rural financial counsellors, Centrelink rural support officers and social workers. Further social and emotional counselling was provided through the establishment of 25 family support drought response teams (</w:t>
      </w:r>
      <w:r w:rsidRPr="00813174">
        <w:t>Howard 2007</w:t>
      </w:r>
      <w:r>
        <w:t>).</w:t>
      </w:r>
    </w:p>
    <w:p w:rsidR="004571A3" w:rsidRDefault="004571A3" w:rsidP="004571A3">
      <w:pPr>
        <w:pStyle w:val="BodyText"/>
      </w:pPr>
      <w:r>
        <w:t xml:space="preserve">The </w:t>
      </w:r>
      <w:r w:rsidR="00CA2EC0">
        <w:t>funding is</w:t>
      </w:r>
      <w:r>
        <w:t xml:space="preserve"> targeted towards activities in the primary production sector. However, </w:t>
      </w:r>
      <w:r w:rsidRPr="00813174">
        <w:t xml:space="preserve">information on the specific industry incidence of the program has not been readily available. Accordingly, the budget outlay has been classified to the </w:t>
      </w:r>
      <w:r w:rsidRPr="00813174">
        <w:rPr>
          <w:i/>
        </w:rPr>
        <w:t>Unallocated primary production</w:t>
      </w:r>
      <w:r w:rsidRPr="00813174">
        <w:t xml:space="preserve"> industry grouping in the Commission’s ANZSIC-based classification </w:t>
      </w:r>
      <w:r>
        <w:t>(table A.10</w:t>
      </w:r>
      <w:r w:rsidR="00C065C1">
        <w:t>6</w:t>
      </w:r>
      <w:r>
        <w:t>).</w:t>
      </w:r>
    </w:p>
    <w:p w:rsidR="004571A3" w:rsidRDefault="004571A3" w:rsidP="004571A3">
      <w:pPr>
        <w:pStyle w:val="TableTitle"/>
      </w:pPr>
      <w:r>
        <w:rPr>
          <w:b w:val="0"/>
        </w:rPr>
        <w:t xml:space="preserve">Table </w:t>
      </w:r>
      <w:r w:rsidR="00FA09C3">
        <w:rPr>
          <w:b w:val="0"/>
        </w:rPr>
        <w:t>A.</w:t>
      </w:r>
      <w:r w:rsidR="00FA09C3">
        <w:rPr>
          <w:b w:val="0"/>
          <w:noProof/>
        </w:rPr>
        <w:t>106</w:t>
      </w:r>
      <w:r>
        <w:tab/>
        <w:t>Allocation of Drought Assistance – Professional Advice</w:t>
      </w:r>
      <w:r w:rsidR="00B6795B" w:rsidRPr="00B6795B">
        <w:t xml:space="preserve"> to industry</w:t>
      </w:r>
      <w:r>
        <w:t>, 2006</w:t>
      </w:r>
      <w:r>
        <w:noBreakHyphen/>
        <w:t>07 to 2011</w:t>
      </w:r>
      <w:r>
        <w:noBreakHyphen/>
        <w:t>12</w:t>
      </w:r>
    </w:p>
    <w:p w:rsidR="004571A3" w:rsidRDefault="004571A3" w:rsidP="004571A3">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4571A3" w:rsidRPr="00AF699A" w:rsidTr="001B56F1">
        <w:tc>
          <w:tcPr>
            <w:tcW w:w="1960" w:type="pct"/>
            <w:tcBorders>
              <w:top w:val="single" w:sz="6" w:space="0" w:color="auto"/>
              <w:bottom w:val="single" w:sz="6" w:space="0" w:color="auto"/>
            </w:tcBorders>
          </w:tcPr>
          <w:p w:rsidR="004571A3" w:rsidRPr="00AF699A" w:rsidRDefault="004571A3"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4571A3" w:rsidRPr="00AF699A" w:rsidRDefault="004571A3"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4571A3" w:rsidRPr="00AF699A" w:rsidRDefault="004571A3"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4571A3" w:rsidRPr="00AF699A" w:rsidRDefault="004571A3"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4571A3" w:rsidRPr="00AF699A" w:rsidRDefault="004571A3"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4571A3" w:rsidRPr="00AF699A" w:rsidRDefault="004571A3"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4571A3" w:rsidRPr="00AF699A" w:rsidRDefault="004571A3" w:rsidP="001B56F1">
            <w:pPr>
              <w:pStyle w:val="TableColumnHeading"/>
              <w:ind w:right="28"/>
              <w:rPr>
                <w:rFonts w:cs="Arial"/>
                <w:sz w:val="18"/>
                <w:szCs w:val="18"/>
              </w:rPr>
            </w:pPr>
            <w:r w:rsidRPr="00AF699A">
              <w:rPr>
                <w:rFonts w:cs="Arial"/>
                <w:sz w:val="18"/>
                <w:szCs w:val="18"/>
              </w:rPr>
              <w:t>2011-12</w:t>
            </w:r>
          </w:p>
        </w:tc>
      </w:tr>
      <w:tr w:rsidR="004571A3" w:rsidRPr="006C5A80" w:rsidTr="001B56F1">
        <w:tc>
          <w:tcPr>
            <w:tcW w:w="1960" w:type="pct"/>
            <w:tcBorders>
              <w:bottom w:val="single" w:sz="4" w:space="0" w:color="auto"/>
            </w:tcBorders>
            <w:vAlign w:val="bottom"/>
          </w:tcPr>
          <w:p w:rsidR="004571A3" w:rsidRPr="00C944BA" w:rsidRDefault="004571A3" w:rsidP="001B56F1">
            <w:pPr>
              <w:pStyle w:val="TableBodyText"/>
              <w:jc w:val="left"/>
            </w:pPr>
            <w:r>
              <w:t>Unallocated primary production</w:t>
            </w:r>
            <w:r w:rsidRPr="00BD3CDA">
              <w:rPr>
                <w:rStyle w:val="NoteLabel"/>
                <w:szCs w:val="18"/>
              </w:rPr>
              <w:t>a</w:t>
            </w:r>
          </w:p>
        </w:tc>
        <w:tc>
          <w:tcPr>
            <w:tcW w:w="507" w:type="pct"/>
            <w:tcBorders>
              <w:bottom w:val="single" w:sz="4" w:space="0" w:color="auto"/>
            </w:tcBorders>
            <w:vAlign w:val="bottom"/>
          </w:tcPr>
          <w:p w:rsidR="004571A3" w:rsidRDefault="004571A3" w:rsidP="001B56F1">
            <w:pPr>
              <w:pStyle w:val="TableBodyText"/>
            </w:pPr>
            <w:r>
              <w:noBreakHyphen/>
            </w:r>
          </w:p>
        </w:tc>
        <w:tc>
          <w:tcPr>
            <w:tcW w:w="507" w:type="pct"/>
            <w:tcBorders>
              <w:bottom w:val="single" w:sz="4" w:space="0" w:color="auto"/>
            </w:tcBorders>
            <w:vAlign w:val="bottom"/>
          </w:tcPr>
          <w:p w:rsidR="004571A3" w:rsidRDefault="004571A3" w:rsidP="001B56F1">
            <w:pPr>
              <w:pStyle w:val="TableBodyText"/>
            </w:pPr>
            <w:r>
              <w:t>6.2</w:t>
            </w:r>
          </w:p>
        </w:tc>
        <w:tc>
          <w:tcPr>
            <w:tcW w:w="507" w:type="pct"/>
            <w:tcBorders>
              <w:bottom w:val="single" w:sz="4" w:space="0" w:color="auto"/>
            </w:tcBorders>
            <w:vAlign w:val="bottom"/>
          </w:tcPr>
          <w:p w:rsidR="004571A3" w:rsidRDefault="004571A3" w:rsidP="001B56F1">
            <w:pPr>
              <w:pStyle w:val="TableBodyText"/>
            </w:pPr>
            <w:r>
              <w:t>14.2</w:t>
            </w:r>
          </w:p>
        </w:tc>
        <w:tc>
          <w:tcPr>
            <w:tcW w:w="507" w:type="pct"/>
            <w:tcBorders>
              <w:bottom w:val="single" w:sz="4" w:space="0" w:color="auto"/>
            </w:tcBorders>
            <w:vAlign w:val="bottom"/>
          </w:tcPr>
          <w:p w:rsidR="004571A3" w:rsidRDefault="004571A3" w:rsidP="001B56F1">
            <w:pPr>
              <w:pStyle w:val="TableBodyText"/>
            </w:pPr>
            <w:r>
              <w:t>12.5</w:t>
            </w:r>
          </w:p>
        </w:tc>
        <w:tc>
          <w:tcPr>
            <w:tcW w:w="507" w:type="pct"/>
            <w:tcBorders>
              <w:bottom w:val="single" w:sz="4" w:space="0" w:color="auto"/>
            </w:tcBorders>
            <w:shd w:val="clear" w:color="auto" w:fill="auto"/>
            <w:vAlign w:val="bottom"/>
          </w:tcPr>
          <w:p w:rsidR="004571A3" w:rsidRDefault="004571A3" w:rsidP="001B56F1">
            <w:pPr>
              <w:pStyle w:val="TableBodyText"/>
            </w:pPr>
            <w:r>
              <w:t>7.1</w:t>
            </w:r>
          </w:p>
        </w:tc>
        <w:tc>
          <w:tcPr>
            <w:tcW w:w="505" w:type="pct"/>
            <w:tcBorders>
              <w:bottom w:val="single" w:sz="4" w:space="0" w:color="auto"/>
            </w:tcBorders>
            <w:shd w:val="clear" w:color="auto" w:fill="auto"/>
            <w:vAlign w:val="bottom"/>
          </w:tcPr>
          <w:p w:rsidR="004571A3" w:rsidRDefault="004571A3" w:rsidP="001B56F1">
            <w:pPr>
              <w:pStyle w:val="TableBodyText"/>
            </w:pPr>
            <w:r>
              <w:t>1.9</w:t>
            </w:r>
          </w:p>
        </w:tc>
      </w:tr>
    </w:tbl>
    <w:p w:rsidR="004571A3" w:rsidRPr="00F60026" w:rsidRDefault="004571A3" w:rsidP="004571A3">
      <w:pPr>
        <w:pStyle w:val="Source"/>
        <w:spacing w:after="0"/>
        <w:rPr>
          <w:i/>
        </w:rPr>
      </w:pPr>
      <w:r w:rsidRPr="00A2379F">
        <w:noBreakHyphen/>
        <w:t xml:space="preserve"> </w:t>
      </w:r>
      <w:r>
        <w:t>Nil</w:t>
      </w:r>
      <w:r w:rsidRPr="00A2379F">
        <w:t>.</w:t>
      </w:r>
      <w:r w:rsidRPr="00B1392F">
        <w:t xml:space="preserve"> </w:t>
      </w:r>
      <w:r w:rsidRPr="009B56F1">
        <w:rPr>
          <w:rStyle w:val="NoteLabel"/>
        </w:rPr>
        <w:t>a</w:t>
      </w:r>
      <w:r w:rsidRPr="009B56F1">
        <w:t xml:space="preserve"> Unallocated includes general programs where detai</w:t>
      </w:r>
      <w:r>
        <w:t>ls of beneficiaries are unknown.</w:t>
      </w:r>
    </w:p>
    <w:p w:rsidR="004571A3" w:rsidRPr="008E77FE" w:rsidRDefault="004571A3" w:rsidP="004571A3">
      <w:pPr>
        <w:pStyle w:val="Source"/>
      </w:pPr>
      <w:r>
        <w:rPr>
          <w:i/>
        </w:rPr>
        <w:t>Source</w:t>
      </w:r>
      <w:r>
        <w:t>: Commission estimates based on DAFF Annual Report 2011</w:t>
      </w:r>
      <w:r>
        <w:noBreakHyphen/>
        <w:t>12 (and earlier years).</w:t>
      </w:r>
    </w:p>
    <w:p w:rsidR="0012435B" w:rsidRDefault="00FA09C3" w:rsidP="0012435B">
      <w:pPr>
        <w:pStyle w:val="Heading2"/>
      </w:pPr>
      <w:r>
        <w:t>A.</w:t>
      </w:r>
      <w:r>
        <w:rPr>
          <w:noProof/>
        </w:rPr>
        <w:t>107</w:t>
      </w:r>
      <w:r w:rsidR="0012435B">
        <w:tab/>
        <w:t>Australian Egg Corporation Limited – Research and Development</w:t>
      </w:r>
    </w:p>
    <w:p w:rsidR="0012435B" w:rsidRDefault="0012435B" w:rsidP="0012435B">
      <w:pPr>
        <w:pStyle w:val="BodyText"/>
      </w:pPr>
      <w:r>
        <w:t xml:space="preserve">The Australian Egg Corporation Limited (AECL), which commenced in 2003, is a producer-owned company that undertakes marketing and research activities for the egg industry. The Corporation is funded by industry levies and </w:t>
      </w:r>
      <w:r w:rsidR="00E03F23">
        <w:t xml:space="preserve">Australian Government </w:t>
      </w:r>
      <w:r>
        <w:t>contributions (which match industry levies for research) (</w:t>
      </w:r>
      <w:r w:rsidRPr="00813174">
        <w:t>AECL 2012</w:t>
      </w:r>
      <w:r>
        <w:t>).</w:t>
      </w:r>
    </w:p>
    <w:p w:rsidR="0012435B" w:rsidRDefault="0012435B" w:rsidP="0012435B">
      <w:pPr>
        <w:pStyle w:val="BodyText"/>
      </w:pPr>
      <w:r>
        <w:t xml:space="preserve">Government funding of the AECL is used for research purposes, to the benefit of the egg producers. Egg production is classified to the </w:t>
      </w:r>
      <w:r w:rsidRPr="001E1F3C">
        <w:rPr>
          <w:i/>
        </w:rPr>
        <w:t>Other livestock f</w:t>
      </w:r>
      <w:r>
        <w:rPr>
          <w:i/>
        </w:rPr>
        <w:t>ar</w:t>
      </w:r>
      <w:r w:rsidRPr="001E1F3C">
        <w:rPr>
          <w:i/>
        </w:rPr>
        <w:t>ming</w:t>
      </w:r>
      <w:r>
        <w:t xml:space="preserve"> industry grouping in the Commission’s ANZSIC-based classification (table A.10</w:t>
      </w:r>
      <w:r w:rsidR="00C065C1">
        <w:t>7</w:t>
      </w:r>
      <w:r>
        <w:t>).</w:t>
      </w:r>
    </w:p>
    <w:p w:rsidR="0012435B" w:rsidRDefault="0012435B" w:rsidP="0012435B">
      <w:pPr>
        <w:pStyle w:val="TableTitle"/>
      </w:pPr>
      <w:r>
        <w:rPr>
          <w:b w:val="0"/>
        </w:rPr>
        <w:t xml:space="preserve">Table </w:t>
      </w:r>
      <w:r w:rsidR="00FA09C3">
        <w:rPr>
          <w:b w:val="0"/>
        </w:rPr>
        <w:t>A.</w:t>
      </w:r>
      <w:r w:rsidR="00FA09C3">
        <w:rPr>
          <w:b w:val="0"/>
          <w:noProof/>
        </w:rPr>
        <w:t>107</w:t>
      </w:r>
      <w:r>
        <w:tab/>
        <w:t>Allocation of Australian Egg Corporation Limited – Research and Development</w:t>
      </w:r>
      <w:r w:rsidR="00B6795B" w:rsidRPr="00B6795B">
        <w:t xml:space="preserve"> to industry</w:t>
      </w:r>
      <w:r>
        <w:t>, 2006</w:t>
      </w:r>
      <w:r>
        <w:noBreakHyphen/>
        <w:t>07 to 2011</w:t>
      </w:r>
      <w:r>
        <w:noBreakHyphen/>
        <w:t>12</w:t>
      </w:r>
    </w:p>
    <w:p w:rsidR="0012435B" w:rsidRDefault="0012435B" w:rsidP="0012435B">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12435B" w:rsidRPr="00AF699A" w:rsidTr="001B56F1">
        <w:tc>
          <w:tcPr>
            <w:tcW w:w="1960" w:type="pct"/>
            <w:tcBorders>
              <w:top w:val="single" w:sz="6" w:space="0" w:color="auto"/>
              <w:bottom w:val="single" w:sz="6" w:space="0" w:color="auto"/>
            </w:tcBorders>
          </w:tcPr>
          <w:p w:rsidR="0012435B" w:rsidRPr="00AF699A" w:rsidRDefault="0012435B"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12435B" w:rsidRPr="00AF699A" w:rsidRDefault="0012435B"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12435B" w:rsidRPr="00AF699A" w:rsidRDefault="0012435B"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12435B" w:rsidRPr="00AF699A" w:rsidRDefault="0012435B"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12435B" w:rsidRPr="00AF699A" w:rsidRDefault="0012435B"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12435B" w:rsidRPr="00AF699A" w:rsidRDefault="0012435B"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12435B" w:rsidRPr="00AF699A" w:rsidRDefault="0012435B" w:rsidP="001B56F1">
            <w:pPr>
              <w:pStyle w:val="TableColumnHeading"/>
              <w:ind w:right="28"/>
              <w:rPr>
                <w:rFonts w:cs="Arial"/>
                <w:sz w:val="18"/>
                <w:szCs w:val="18"/>
              </w:rPr>
            </w:pPr>
            <w:r w:rsidRPr="00AF699A">
              <w:rPr>
                <w:rFonts w:cs="Arial"/>
                <w:sz w:val="18"/>
                <w:szCs w:val="18"/>
              </w:rPr>
              <w:t>2011-12</w:t>
            </w:r>
          </w:p>
        </w:tc>
      </w:tr>
      <w:tr w:rsidR="0012435B" w:rsidRPr="006C5A80" w:rsidTr="001B56F1">
        <w:tc>
          <w:tcPr>
            <w:tcW w:w="1960" w:type="pct"/>
            <w:tcBorders>
              <w:bottom w:val="single" w:sz="4" w:space="0" w:color="auto"/>
            </w:tcBorders>
            <w:vAlign w:val="bottom"/>
          </w:tcPr>
          <w:p w:rsidR="0012435B" w:rsidRPr="00C944BA" w:rsidRDefault="0012435B" w:rsidP="001B56F1">
            <w:pPr>
              <w:pStyle w:val="TableBodyText"/>
              <w:jc w:val="left"/>
            </w:pPr>
            <w:r>
              <w:t>Other livestock farming</w:t>
            </w:r>
          </w:p>
        </w:tc>
        <w:tc>
          <w:tcPr>
            <w:tcW w:w="507" w:type="pct"/>
            <w:tcBorders>
              <w:bottom w:val="single" w:sz="4" w:space="0" w:color="auto"/>
            </w:tcBorders>
            <w:vAlign w:val="bottom"/>
          </w:tcPr>
          <w:p w:rsidR="0012435B" w:rsidRPr="00A8411F" w:rsidRDefault="0012435B" w:rsidP="001B56F1">
            <w:pPr>
              <w:pStyle w:val="TableBodyText"/>
            </w:pPr>
            <w:r w:rsidRPr="00A8411F">
              <w:t>1.2</w:t>
            </w:r>
          </w:p>
        </w:tc>
        <w:tc>
          <w:tcPr>
            <w:tcW w:w="507" w:type="pct"/>
            <w:tcBorders>
              <w:bottom w:val="single" w:sz="4" w:space="0" w:color="auto"/>
            </w:tcBorders>
            <w:vAlign w:val="bottom"/>
          </w:tcPr>
          <w:p w:rsidR="0012435B" w:rsidRPr="00A8411F" w:rsidRDefault="0012435B" w:rsidP="001B56F1">
            <w:pPr>
              <w:pStyle w:val="TableBodyText"/>
            </w:pPr>
            <w:r w:rsidRPr="00A8411F">
              <w:t>1.0</w:t>
            </w:r>
          </w:p>
        </w:tc>
        <w:tc>
          <w:tcPr>
            <w:tcW w:w="507" w:type="pct"/>
            <w:tcBorders>
              <w:bottom w:val="single" w:sz="4" w:space="0" w:color="auto"/>
            </w:tcBorders>
            <w:vAlign w:val="bottom"/>
          </w:tcPr>
          <w:p w:rsidR="0012435B" w:rsidRPr="00A8411F" w:rsidRDefault="0012435B" w:rsidP="001B56F1">
            <w:pPr>
              <w:pStyle w:val="TableBodyText"/>
            </w:pPr>
            <w:r w:rsidRPr="00A8411F">
              <w:t>1.0</w:t>
            </w:r>
          </w:p>
        </w:tc>
        <w:tc>
          <w:tcPr>
            <w:tcW w:w="507" w:type="pct"/>
            <w:tcBorders>
              <w:bottom w:val="single" w:sz="4" w:space="0" w:color="auto"/>
            </w:tcBorders>
            <w:vAlign w:val="bottom"/>
          </w:tcPr>
          <w:p w:rsidR="0012435B" w:rsidRPr="00A8411F" w:rsidRDefault="0012435B" w:rsidP="001B56F1">
            <w:pPr>
              <w:pStyle w:val="TableBodyText"/>
            </w:pPr>
            <w:r w:rsidRPr="00A8411F">
              <w:t>1.0</w:t>
            </w:r>
          </w:p>
        </w:tc>
        <w:tc>
          <w:tcPr>
            <w:tcW w:w="507" w:type="pct"/>
            <w:tcBorders>
              <w:bottom w:val="single" w:sz="4" w:space="0" w:color="auto"/>
            </w:tcBorders>
            <w:shd w:val="clear" w:color="auto" w:fill="auto"/>
            <w:vAlign w:val="bottom"/>
          </w:tcPr>
          <w:p w:rsidR="0012435B" w:rsidRPr="00A8411F" w:rsidRDefault="0012435B" w:rsidP="001B56F1">
            <w:pPr>
              <w:pStyle w:val="TableBodyText"/>
            </w:pPr>
            <w:r w:rsidRPr="00A8411F">
              <w:t>1.6</w:t>
            </w:r>
          </w:p>
        </w:tc>
        <w:tc>
          <w:tcPr>
            <w:tcW w:w="505" w:type="pct"/>
            <w:tcBorders>
              <w:bottom w:val="single" w:sz="4" w:space="0" w:color="auto"/>
            </w:tcBorders>
            <w:shd w:val="clear" w:color="auto" w:fill="auto"/>
            <w:vAlign w:val="bottom"/>
          </w:tcPr>
          <w:p w:rsidR="0012435B" w:rsidRPr="00A8411F" w:rsidRDefault="0012435B" w:rsidP="001B56F1">
            <w:pPr>
              <w:pStyle w:val="TableBodyText"/>
            </w:pPr>
            <w:r w:rsidRPr="00A8411F">
              <w:t>1.9</w:t>
            </w:r>
          </w:p>
        </w:tc>
      </w:tr>
    </w:tbl>
    <w:p w:rsidR="0012435B" w:rsidRDefault="0012435B" w:rsidP="0012435B">
      <w:pPr>
        <w:pStyle w:val="Source"/>
      </w:pPr>
      <w:r>
        <w:rPr>
          <w:i/>
        </w:rPr>
        <w:t>Source</w:t>
      </w:r>
      <w:r>
        <w:t>: Commission estimates based on Australian Egg Corporation Limited Annual Report 2011</w:t>
      </w:r>
      <w:r>
        <w:noBreakHyphen/>
        <w:t>12 (and earlier years).</w:t>
      </w:r>
    </w:p>
    <w:p w:rsidR="00A814BD" w:rsidRDefault="00FA09C3" w:rsidP="00A814BD">
      <w:pPr>
        <w:pStyle w:val="Heading2"/>
      </w:pPr>
      <w:r>
        <w:t>A.</w:t>
      </w:r>
      <w:r>
        <w:rPr>
          <w:noProof/>
        </w:rPr>
        <w:t>108</w:t>
      </w:r>
      <w:r w:rsidR="00A814BD">
        <w:tab/>
        <w:t xml:space="preserve">Clean Technology Investment </w:t>
      </w:r>
      <w:r w:rsidR="00035915">
        <w:t xml:space="preserve">– </w:t>
      </w:r>
      <w:r w:rsidR="00A814BD">
        <w:t>Food and Foundries Program</w:t>
      </w:r>
    </w:p>
    <w:p w:rsidR="00A814BD" w:rsidRDefault="00A814BD" w:rsidP="00A814BD">
      <w:pPr>
        <w:pStyle w:val="BodyText"/>
      </w:pPr>
      <w:r>
        <w:t>Part of the Australian Government’s Clean Energy Future plan, and launched on 16 February 2012, the Clean Technology Investment Food and Foundries Program is a merit-based grants program that aims to support Australian manufacturers to maintain competitiveness in a carbon constrained economy through the provision of grants for investments in energy efficient capital equipment and low emission technologies, processes and products (</w:t>
      </w:r>
      <w:r w:rsidRPr="00813174">
        <w:t>AusIndustry 2013j</w:t>
      </w:r>
      <w:r>
        <w:t>)</w:t>
      </w:r>
      <w:r w:rsidR="0052461D">
        <w:t>.</w:t>
      </w:r>
    </w:p>
    <w:p w:rsidR="00A814BD" w:rsidRDefault="00A814BD" w:rsidP="00A814BD">
      <w:pPr>
        <w:pStyle w:val="BodyText"/>
      </w:pPr>
      <w:r>
        <w:t xml:space="preserve">The program primarily benefits the food product manufacturing industry, which is part of the broader </w:t>
      </w:r>
      <w:r>
        <w:rPr>
          <w:i/>
        </w:rPr>
        <w:t>Food, beverage</w:t>
      </w:r>
      <w:r w:rsidRPr="00707218">
        <w:rPr>
          <w:i/>
        </w:rPr>
        <w:t xml:space="preserve"> and tobacco products</w:t>
      </w:r>
      <w:r>
        <w:t xml:space="preserve"> industry grouping in the Commission’s ANZSIC-based classification (table</w:t>
      </w:r>
      <w:r w:rsidR="00C065C1">
        <w:t> </w:t>
      </w:r>
      <w:r>
        <w:t>A.10</w:t>
      </w:r>
      <w:r w:rsidR="00C065C1">
        <w:t>8</w:t>
      </w:r>
      <w:r>
        <w:t>).</w:t>
      </w:r>
    </w:p>
    <w:p w:rsidR="0063501B" w:rsidRDefault="00273F7E" w:rsidP="00273F7E">
      <w:pPr>
        <w:pStyle w:val="BodyText"/>
      </w:pPr>
      <w:r>
        <w:br w:type="page"/>
      </w:r>
    </w:p>
    <w:p w:rsidR="00A814BD" w:rsidRDefault="00A814BD" w:rsidP="00A814BD">
      <w:pPr>
        <w:pStyle w:val="TableTitle"/>
      </w:pPr>
      <w:r>
        <w:rPr>
          <w:b w:val="0"/>
        </w:rPr>
        <w:t xml:space="preserve">Table </w:t>
      </w:r>
      <w:r w:rsidR="00FA09C3">
        <w:rPr>
          <w:b w:val="0"/>
        </w:rPr>
        <w:t>A.</w:t>
      </w:r>
      <w:r w:rsidR="00FA09C3">
        <w:rPr>
          <w:b w:val="0"/>
          <w:noProof/>
        </w:rPr>
        <w:t>108</w:t>
      </w:r>
      <w:r>
        <w:tab/>
        <w:t>Allocation of Clean Technology Investment – Food and Foundries Program</w:t>
      </w:r>
      <w:r w:rsidR="00B6795B" w:rsidRPr="00B6795B">
        <w:t xml:space="preserve"> to industry</w:t>
      </w:r>
      <w:r>
        <w:t>, 2006</w:t>
      </w:r>
      <w:r>
        <w:noBreakHyphen/>
        <w:t>07 to 2011</w:t>
      </w:r>
      <w:r>
        <w:noBreakHyphen/>
        <w:t>12</w:t>
      </w:r>
    </w:p>
    <w:p w:rsidR="00A814BD" w:rsidRDefault="00A814BD" w:rsidP="00A814BD">
      <w:pPr>
        <w:pStyle w:val="Subtitle"/>
      </w:pPr>
      <w:r>
        <w:t>$</w:t>
      </w:r>
      <w:r w:rsidR="00EB3DA2">
        <w:t xml:space="preserve"> </w:t>
      </w:r>
      <w:r>
        <w:t xml:space="preserve">million (nominal) </w:t>
      </w:r>
    </w:p>
    <w:tbl>
      <w:tblPr>
        <w:tblW w:w="5000" w:type="pct"/>
        <w:tblCellMar>
          <w:left w:w="0" w:type="dxa"/>
          <w:right w:w="0" w:type="dxa"/>
        </w:tblCellMar>
        <w:tblLook w:val="0000" w:firstRow="0" w:lastRow="0" w:firstColumn="0" w:lastColumn="0" w:noHBand="0" w:noVBand="0"/>
      </w:tblPr>
      <w:tblGrid>
        <w:gridCol w:w="3445"/>
        <w:gridCol w:w="891"/>
        <w:gridCol w:w="891"/>
        <w:gridCol w:w="891"/>
        <w:gridCol w:w="891"/>
        <w:gridCol w:w="891"/>
        <w:gridCol w:w="889"/>
      </w:tblGrid>
      <w:tr w:rsidR="00A814BD" w:rsidRPr="00AF699A" w:rsidTr="00CB219A">
        <w:trPr>
          <w:trHeight w:val="340"/>
        </w:trPr>
        <w:tc>
          <w:tcPr>
            <w:tcW w:w="1959" w:type="pct"/>
            <w:tcBorders>
              <w:top w:val="single" w:sz="6" w:space="0" w:color="auto"/>
              <w:bottom w:val="single" w:sz="6" w:space="0" w:color="auto"/>
            </w:tcBorders>
          </w:tcPr>
          <w:p w:rsidR="00A814BD" w:rsidRPr="00AF699A" w:rsidRDefault="00A814BD"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A814BD" w:rsidRPr="00AF699A" w:rsidRDefault="00A814BD"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A814BD" w:rsidRPr="00AF699A" w:rsidRDefault="00A814BD"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A814BD" w:rsidRPr="00AF699A" w:rsidRDefault="00A814BD"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A814BD" w:rsidRPr="00AF699A" w:rsidRDefault="00A814BD"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A814BD" w:rsidRPr="00AF699A" w:rsidRDefault="00A814BD" w:rsidP="001B56F1">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A814BD" w:rsidRPr="00AF699A" w:rsidRDefault="00A814BD" w:rsidP="001B56F1">
            <w:pPr>
              <w:pStyle w:val="TableColumnHeading"/>
              <w:ind w:right="28"/>
              <w:rPr>
                <w:rFonts w:cs="Arial"/>
                <w:sz w:val="18"/>
                <w:szCs w:val="18"/>
              </w:rPr>
            </w:pPr>
            <w:r w:rsidRPr="00AF699A">
              <w:rPr>
                <w:rFonts w:cs="Arial"/>
                <w:sz w:val="18"/>
                <w:szCs w:val="18"/>
              </w:rPr>
              <w:t>2011-12</w:t>
            </w:r>
          </w:p>
        </w:tc>
      </w:tr>
      <w:tr w:rsidR="00A814BD" w:rsidRPr="00FB7943" w:rsidTr="001B56F1">
        <w:tc>
          <w:tcPr>
            <w:tcW w:w="1959" w:type="pct"/>
            <w:tcBorders>
              <w:bottom w:val="single" w:sz="4" w:space="0" w:color="auto"/>
            </w:tcBorders>
            <w:vAlign w:val="bottom"/>
          </w:tcPr>
          <w:p w:rsidR="00A814BD" w:rsidRPr="00FB7943" w:rsidRDefault="00A814BD" w:rsidP="001B56F1">
            <w:pPr>
              <w:pStyle w:val="TableBodyText"/>
              <w:jc w:val="left"/>
            </w:pPr>
            <w:r w:rsidRPr="00FB7943">
              <w:t>Food, beverages and tobacco</w:t>
            </w:r>
          </w:p>
        </w:tc>
        <w:tc>
          <w:tcPr>
            <w:tcW w:w="507" w:type="pct"/>
            <w:tcBorders>
              <w:bottom w:val="single" w:sz="4" w:space="0" w:color="auto"/>
            </w:tcBorders>
            <w:vAlign w:val="bottom"/>
          </w:tcPr>
          <w:p w:rsidR="00A814BD" w:rsidRPr="00FB7943" w:rsidRDefault="00A814BD" w:rsidP="001B56F1">
            <w:pPr>
              <w:pStyle w:val="TableBodyText"/>
            </w:pPr>
            <w:r>
              <w:noBreakHyphen/>
            </w:r>
          </w:p>
        </w:tc>
        <w:tc>
          <w:tcPr>
            <w:tcW w:w="507" w:type="pct"/>
            <w:tcBorders>
              <w:bottom w:val="single" w:sz="4" w:space="0" w:color="auto"/>
            </w:tcBorders>
            <w:vAlign w:val="bottom"/>
          </w:tcPr>
          <w:p w:rsidR="00A814BD" w:rsidRPr="00FB7943" w:rsidRDefault="00A814BD" w:rsidP="001B56F1">
            <w:pPr>
              <w:pStyle w:val="TableBodyText"/>
            </w:pPr>
            <w:r>
              <w:noBreakHyphen/>
            </w:r>
          </w:p>
        </w:tc>
        <w:tc>
          <w:tcPr>
            <w:tcW w:w="507" w:type="pct"/>
            <w:tcBorders>
              <w:bottom w:val="single" w:sz="4" w:space="0" w:color="auto"/>
            </w:tcBorders>
            <w:vAlign w:val="bottom"/>
          </w:tcPr>
          <w:p w:rsidR="00A814BD" w:rsidRPr="00FB7943" w:rsidRDefault="00A814BD" w:rsidP="001B56F1">
            <w:pPr>
              <w:pStyle w:val="TableBodyText"/>
            </w:pPr>
            <w:r>
              <w:noBreakHyphen/>
            </w:r>
          </w:p>
        </w:tc>
        <w:tc>
          <w:tcPr>
            <w:tcW w:w="507" w:type="pct"/>
            <w:tcBorders>
              <w:bottom w:val="single" w:sz="4" w:space="0" w:color="auto"/>
            </w:tcBorders>
            <w:vAlign w:val="bottom"/>
          </w:tcPr>
          <w:p w:rsidR="00A814BD" w:rsidRPr="00FB7943" w:rsidRDefault="00A814BD" w:rsidP="001B56F1">
            <w:pPr>
              <w:pStyle w:val="TableBodyText"/>
            </w:pPr>
            <w:r>
              <w:noBreakHyphen/>
            </w:r>
          </w:p>
        </w:tc>
        <w:tc>
          <w:tcPr>
            <w:tcW w:w="507" w:type="pct"/>
            <w:tcBorders>
              <w:bottom w:val="single" w:sz="4" w:space="0" w:color="auto"/>
            </w:tcBorders>
            <w:shd w:val="clear" w:color="auto" w:fill="auto"/>
            <w:vAlign w:val="bottom"/>
          </w:tcPr>
          <w:p w:rsidR="00A814BD" w:rsidRPr="00FB7943" w:rsidRDefault="00A814BD" w:rsidP="001B56F1">
            <w:pPr>
              <w:pStyle w:val="TableBodyText"/>
            </w:pPr>
            <w:r>
              <w:noBreakHyphen/>
            </w:r>
          </w:p>
        </w:tc>
        <w:tc>
          <w:tcPr>
            <w:tcW w:w="507" w:type="pct"/>
            <w:tcBorders>
              <w:bottom w:val="single" w:sz="4" w:space="0" w:color="auto"/>
            </w:tcBorders>
            <w:shd w:val="clear" w:color="auto" w:fill="auto"/>
            <w:vAlign w:val="bottom"/>
          </w:tcPr>
          <w:p w:rsidR="00A814BD" w:rsidRPr="00FB7943" w:rsidRDefault="00A814BD" w:rsidP="001B56F1">
            <w:pPr>
              <w:pStyle w:val="TableBodyText"/>
            </w:pPr>
            <w:r w:rsidRPr="00FB7943">
              <w:t>1.2</w:t>
            </w:r>
          </w:p>
        </w:tc>
      </w:tr>
    </w:tbl>
    <w:p w:rsidR="00A814BD" w:rsidRDefault="00A814BD" w:rsidP="00A814BD">
      <w:pPr>
        <w:pStyle w:val="Note"/>
      </w:pPr>
      <w:r w:rsidRPr="00A2379F">
        <w:noBreakHyphen/>
        <w:t xml:space="preserve"> </w:t>
      </w:r>
      <w:r>
        <w:t>Nil.</w:t>
      </w:r>
    </w:p>
    <w:p w:rsidR="00A814BD" w:rsidRPr="008E77FE" w:rsidRDefault="00A814BD" w:rsidP="00A814BD">
      <w:pPr>
        <w:pStyle w:val="Source"/>
      </w:pPr>
      <w:r>
        <w:rPr>
          <w:i/>
        </w:rPr>
        <w:t>Source</w:t>
      </w:r>
      <w:r>
        <w:t>: Commission estimates based on detailed DIISR data by ANZSIC industry.</w:t>
      </w:r>
    </w:p>
    <w:p w:rsidR="00180F56" w:rsidRDefault="00FA09C3" w:rsidP="00180F56">
      <w:pPr>
        <w:pStyle w:val="Heading2"/>
      </w:pPr>
      <w:r>
        <w:t>A.</w:t>
      </w:r>
      <w:r>
        <w:rPr>
          <w:noProof/>
        </w:rPr>
        <w:t>109</w:t>
      </w:r>
      <w:r w:rsidR="00180F56">
        <w:tab/>
        <w:t>South East South Australia Innovation and Investment Fund</w:t>
      </w:r>
    </w:p>
    <w:p w:rsidR="00180F56" w:rsidRDefault="00180F56" w:rsidP="00180F56">
      <w:pPr>
        <w:pStyle w:val="BodyText"/>
      </w:pPr>
      <w:r>
        <w:t>Jointly administered by the Australian and South Australian governments, t</w:t>
      </w:r>
      <w:r w:rsidRPr="00871C91">
        <w:t>he S</w:t>
      </w:r>
      <w:r>
        <w:t xml:space="preserve">outh </w:t>
      </w:r>
      <w:r w:rsidRPr="00871C91">
        <w:t>E</w:t>
      </w:r>
      <w:r>
        <w:t xml:space="preserve">ast </w:t>
      </w:r>
      <w:r w:rsidRPr="00871C91">
        <w:t>S</w:t>
      </w:r>
      <w:r>
        <w:t xml:space="preserve">outh </w:t>
      </w:r>
      <w:r w:rsidRPr="00871C91">
        <w:t>A</w:t>
      </w:r>
      <w:r>
        <w:t xml:space="preserve">ustralia </w:t>
      </w:r>
      <w:r w:rsidRPr="00871C91">
        <w:t>I</w:t>
      </w:r>
      <w:r>
        <w:t xml:space="preserve">nnovation and </w:t>
      </w:r>
      <w:r w:rsidRPr="00871C91">
        <w:t>I</w:t>
      </w:r>
      <w:r>
        <w:t xml:space="preserve">nvestment </w:t>
      </w:r>
      <w:r w:rsidRPr="00871C91">
        <w:t>F</w:t>
      </w:r>
      <w:r>
        <w:t>und</w:t>
      </w:r>
      <w:r w:rsidRPr="00871C91">
        <w:t xml:space="preserve"> </w:t>
      </w:r>
      <w:r>
        <w:t xml:space="preserve">(SESAIIF) </w:t>
      </w:r>
      <w:r w:rsidRPr="00871C91">
        <w:t>is a $12</w:t>
      </w:r>
      <w:r>
        <w:t> </w:t>
      </w:r>
      <w:r w:rsidRPr="00871C91">
        <w:t xml:space="preserve">million competitive, merit-based grants program </w:t>
      </w:r>
      <w:r>
        <w:t xml:space="preserve">that aims to </w:t>
      </w:r>
      <w:r w:rsidRPr="00785F04">
        <w:t>support innovative job creation projects intended to strengthen south east South Australia’s region</w:t>
      </w:r>
      <w:r>
        <w:t>al economy and employment base,</w:t>
      </w:r>
      <w:r w:rsidRPr="00785F04">
        <w:t xml:space="preserve"> following the decision of Kimberly-Clark Australia to restructure its operations in South Australia</w:t>
      </w:r>
      <w:r>
        <w:t>. The SESAIIF</w:t>
      </w:r>
      <w:r w:rsidRPr="00871C91">
        <w:t xml:space="preserve"> is intended to encourage applications for manufacturing, manufacturing services and other services projects</w:t>
      </w:r>
      <w:r>
        <w:t xml:space="preserve"> (</w:t>
      </w:r>
      <w:r w:rsidRPr="00813174">
        <w:t>AusIndustry 2013h</w:t>
      </w:r>
      <w:r w:rsidR="00481DE5">
        <w:t>)</w:t>
      </w:r>
      <w:r>
        <w:t>.</w:t>
      </w:r>
    </w:p>
    <w:p w:rsidR="00180F56" w:rsidRDefault="00180F56" w:rsidP="00180F56">
      <w:pPr>
        <w:pStyle w:val="BodyText"/>
      </w:pPr>
      <w:r>
        <w:t>The Commission has obtained information from the Department of Innovation, Industry, Science and Research detailing program funding according to ANZSIC industry. This information has been used to allocate the Department’s estimate of total program expenditure to the Commission’s ANZSIC-based industry groupings (table</w:t>
      </w:r>
      <w:r w:rsidR="00C065C1">
        <w:t> </w:t>
      </w:r>
      <w:r>
        <w:t>A.10</w:t>
      </w:r>
      <w:r w:rsidR="00C065C1">
        <w:t>9</w:t>
      </w:r>
      <w:r>
        <w:t>).</w:t>
      </w:r>
    </w:p>
    <w:p w:rsidR="00180F56" w:rsidRDefault="00180F56" w:rsidP="00180F56">
      <w:pPr>
        <w:pStyle w:val="TableTitle"/>
      </w:pPr>
      <w:r>
        <w:rPr>
          <w:b w:val="0"/>
        </w:rPr>
        <w:t xml:space="preserve">Table </w:t>
      </w:r>
      <w:r w:rsidR="00FA09C3">
        <w:rPr>
          <w:b w:val="0"/>
        </w:rPr>
        <w:t>A.</w:t>
      </w:r>
      <w:r w:rsidR="00FA09C3">
        <w:rPr>
          <w:b w:val="0"/>
          <w:noProof/>
        </w:rPr>
        <w:t>109</w:t>
      </w:r>
      <w:r>
        <w:tab/>
        <w:t xml:space="preserve">Allocation of South East South Australia Innovation and Investment Fund </w:t>
      </w:r>
      <w:r w:rsidR="00B6795B" w:rsidRPr="00B6795B">
        <w:t>to industry</w:t>
      </w:r>
      <w:r>
        <w:t>, 2006</w:t>
      </w:r>
      <w:r>
        <w:noBreakHyphen/>
        <w:t>07 to 2011</w:t>
      </w:r>
      <w:r>
        <w:noBreakHyphen/>
        <w:t>12</w:t>
      </w:r>
    </w:p>
    <w:p w:rsidR="00180F56" w:rsidRDefault="00180F56" w:rsidP="00180F56">
      <w:pPr>
        <w:pStyle w:val="Subtitle"/>
      </w:pPr>
      <w:r>
        <w:t>$</w:t>
      </w:r>
      <w:r w:rsidR="003F4237">
        <w:t xml:space="preserve"> </w:t>
      </w:r>
      <w:r>
        <w:t xml:space="preserve">million (nominal) </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180F56" w:rsidRPr="00AF699A" w:rsidTr="00CB219A">
        <w:trPr>
          <w:trHeight w:val="340"/>
        </w:trPr>
        <w:tc>
          <w:tcPr>
            <w:tcW w:w="1960" w:type="pct"/>
            <w:tcBorders>
              <w:top w:val="single" w:sz="6" w:space="0" w:color="auto"/>
              <w:bottom w:val="single" w:sz="6" w:space="0" w:color="auto"/>
            </w:tcBorders>
          </w:tcPr>
          <w:p w:rsidR="00180F56" w:rsidRPr="00AF699A" w:rsidRDefault="00180F56"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180F56" w:rsidRPr="00AF699A" w:rsidRDefault="00180F56"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180F56" w:rsidRPr="00AF699A" w:rsidRDefault="00180F56"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180F56" w:rsidRPr="00AF699A" w:rsidRDefault="00180F56"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180F56" w:rsidRPr="00AF699A" w:rsidRDefault="00180F56"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180F56" w:rsidRPr="00AF699A" w:rsidRDefault="00180F56"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180F56" w:rsidRPr="00AF699A" w:rsidRDefault="00180F56" w:rsidP="001B56F1">
            <w:pPr>
              <w:pStyle w:val="TableColumnHeading"/>
              <w:ind w:right="28"/>
              <w:rPr>
                <w:rFonts w:cs="Arial"/>
                <w:sz w:val="18"/>
                <w:szCs w:val="18"/>
              </w:rPr>
            </w:pPr>
            <w:r w:rsidRPr="00AF699A">
              <w:rPr>
                <w:rFonts w:cs="Arial"/>
                <w:sz w:val="18"/>
                <w:szCs w:val="18"/>
              </w:rPr>
              <w:t>2011-12</w:t>
            </w:r>
          </w:p>
        </w:tc>
      </w:tr>
      <w:tr w:rsidR="00180F56" w:rsidRPr="00CC39F4" w:rsidTr="001B56F1">
        <w:tc>
          <w:tcPr>
            <w:tcW w:w="1960" w:type="pct"/>
            <w:vAlign w:val="bottom"/>
          </w:tcPr>
          <w:p w:rsidR="00180F56" w:rsidRPr="00D04898" w:rsidRDefault="00180F56" w:rsidP="001B56F1">
            <w:pPr>
              <w:pStyle w:val="TableBodyText"/>
              <w:jc w:val="left"/>
              <w:rPr>
                <w:b/>
                <w:sz w:val="18"/>
                <w:szCs w:val="18"/>
              </w:rPr>
            </w:pPr>
            <w:r w:rsidRPr="00D04898">
              <w:rPr>
                <w:b/>
                <w:sz w:val="18"/>
                <w:szCs w:val="18"/>
              </w:rPr>
              <w:t>Primary production</w:t>
            </w:r>
          </w:p>
        </w:tc>
        <w:tc>
          <w:tcPr>
            <w:tcW w:w="507" w:type="pct"/>
            <w:vAlign w:val="bottom"/>
          </w:tcPr>
          <w:p w:rsidR="00180F56" w:rsidRPr="00D04898" w:rsidRDefault="00180F56" w:rsidP="001B56F1">
            <w:pPr>
              <w:pStyle w:val="TableBodyText"/>
              <w:rPr>
                <w:b/>
                <w:sz w:val="18"/>
                <w:szCs w:val="18"/>
              </w:rPr>
            </w:pPr>
            <w:r w:rsidRPr="00D04898">
              <w:rPr>
                <w:b/>
                <w:sz w:val="18"/>
                <w:szCs w:val="18"/>
              </w:rPr>
              <w:noBreakHyphen/>
            </w:r>
          </w:p>
        </w:tc>
        <w:tc>
          <w:tcPr>
            <w:tcW w:w="507" w:type="pct"/>
            <w:vAlign w:val="bottom"/>
          </w:tcPr>
          <w:p w:rsidR="00180F56" w:rsidRPr="00D04898" w:rsidRDefault="00180F56" w:rsidP="001B56F1">
            <w:pPr>
              <w:pStyle w:val="TableBodyText"/>
              <w:rPr>
                <w:b/>
                <w:sz w:val="18"/>
                <w:szCs w:val="18"/>
              </w:rPr>
            </w:pPr>
            <w:r w:rsidRPr="00D04898">
              <w:rPr>
                <w:b/>
                <w:sz w:val="18"/>
                <w:szCs w:val="18"/>
              </w:rPr>
              <w:noBreakHyphen/>
            </w:r>
          </w:p>
        </w:tc>
        <w:tc>
          <w:tcPr>
            <w:tcW w:w="507" w:type="pct"/>
            <w:vAlign w:val="bottom"/>
          </w:tcPr>
          <w:p w:rsidR="00180F56" w:rsidRPr="00D04898" w:rsidRDefault="00180F56" w:rsidP="001B56F1">
            <w:pPr>
              <w:pStyle w:val="TableBodyText"/>
              <w:rPr>
                <w:b/>
                <w:sz w:val="18"/>
                <w:szCs w:val="18"/>
              </w:rPr>
            </w:pPr>
            <w:r w:rsidRPr="00D04898">
              <w:rPr>
                <w:b/>
                <w:sz w:val="18"/>
                <w:szCs w:val="18"/>
              </w:rPr>
              <w:noBreakHyphen/>
            </w:r>
          </w:p>
        </w:tc>
        <w:tc>
          <w:tcPr>
            <w:tcW w:w="507" w:type="pct"/>
            <w:vAlign w:val="bottom"/>
          </w:tcPr>
          <w:p w:rsidR="00180F56" w:rsidRPr="00D04898" w:rsidRDefault="00180F56" w:rsidP="001B56F1">
            <w:pPr>
              <w:pStyle w:val="TableBodyText"/>
              <w:rPr>
                <w:b/>
                <w:sz w:val="18"/>
                <w:szCs w:val="18"/>
              </w:rPr>
            </w:pPr>
            <w:r w:rsidRPr="00D04898">
              <w:rPr>
                <w:b/>
                <w:sz w:val="18"/>
                <w:szCs w:val="18"/>
              </w:rPr>
              <w:noBreakHyphen/>
            </w:r>
          </w:p>
        </w:tc>
        <w:tc>
          <w:tcPr>
            <w:tcW w:w="507" w:type="pct"/>
            <w:shd w:val="clear" w:color="auto" w:fill="auto"/>
            <w:vAlign w:val="bottom"/>
          </w:tcPr>
          <w:p w:rsidR="00180F56" w:rsidRPr="00D04898" w:rsidRDefault="00180F56" w:rsidP="001B56F1">
            <w:pPr>
              <w:pStyle w:val="TableBodyText"/>
              <w:rPr>
                <w:b/>
                <w:sz w:val="18"/>
                <w:szCs w:val="18"/>
              </w:rPr>
            </w:pPr>
            <w:r w:rsidRPr="00D04898">
              <w:rPr>
                <w:b/>
                <w:sz w:val="18"/>
                <w:szCs w:val="18"/>
              </w:rPr>
              <w:noBreakHyphen/>
            </w:r>
          </w:p>
        </w:tc>
        <w:tc>
          <w:tcPr>
            <w:tcW w:w="505" w:type="pct"/>
            <w:shd w:val="clear" w:color="auto" w:fill="auto"/>
            <w:vAlign w:val="bottom"/>
          </w:tcPr>
          <w:p w:rsidR="00180F56" w:rsidRPr="00D04898" w:rsidRDefault="00180F56" w:rsidP="001B56F1">
            <w:pPr>
              <w:pStyle w:val="TableBodyText"/>
              <w:rPr>
                <w:b/>
                <w:sz w:val="18"/>
                <w:szCs w:val="18"/>
              </w:rPr>
            </w:pPr>
            <w:r w:rsidRPr="00D04898">
              <w:rPr>
                <w:b/>
                <w:sz w:val="18"/>
                <w:szCs w:val="18"/>
              </w:rPr>
              <w:t>0.6</w:t>
            </w:r>
          </w:p>
        </w:tc>
      </w:tr>
      <w:tr w:rsidR="00180F56" w:rsidRPr="00CC39F4" w:rsidTr="001B56F1">
        <w:tc>
          <w:tcPr>
            <w:tcW w:w="1960" w:type="pct"/>
            <w:vAlign w:val="bottom"/>
          </w:tcPr>
          <w:p w:rsidR="00180F56" w:rsidRPr="00D04898" w:rsidRDefault="00180F56" w:rsidP="001B56F1">
            <w:pPr>
              <w:pStyle w:val="TableBodyText"/>
              <w:jc w:val="left"/>
              <w:rPr>
                <w:sz w:val="18"/>
                <w:szCs w:val="18"/>
              </w:rPr>
            </w:pPr>
            <w:r w:rsidRPr="00D04898">
              <w:rPr>
                <w:sz w:val="18"/>
                <w:szCs w:val="18"/>
              </w:rPr>
              <w:t>Horticulture and fruit growing</w:t>
            </w:r>
          </w:p>
        </w:tc>
        <w:tc>
          <w:tcPr>
            <w:tcW w:w="507" w:type="pct"/>
            <w:vAlign w:val="bottom"/>
          </w:tcPr>
          <w:p w:rsidR="00180F56" w:rsidRPr="00D04898" w:rsidRDefault="00180F56" w:rsidP="001B56F1">
            <w:pPr>
              <w:pStyle w:val="TableBodyText"/>
              <w:rPr>
                <w:sz w:val="18"/>
                <w:szCs w:val="18"/>
              </w:rPr>
            </w:pPr>
            <w:r w:rsidRPr="00D04898">
              <w:rPr>
                <w:sz w:val="18"/>
                <w:szCs w:val="18"/>
              </w:rPr>
              <w:noBreakHyphen/>
            </w:r>
          </w:p>
        </w:tc>
        <w:tc>
          <w:tcPr>
            <w:tcW w:w="507" w:type="pct"/>
            <w:vAlign w:val="bottom"/>
          </w:tcPr>
          <w:p w:rsidR="00180F56" w:rsidRPr="00D04898" w:rsidRDefault="00180F56" w:rsidP="001B56F1">
            <w:pPr>
              <w:pStyle w:val="TableBodyText"/>
              <w:rPr>
                <w:sz w:val="18"/>
                <w:szCs w:val="18"/>
              </w:rPr>
            </w:pPr>
            <w:r w:rsidRPr="00D04898">
              <w:rPr>
                <w:sz w:val="18"/>
                <w:szCs w:val="18"/>
              </w:rPr>
              <w:noBreakHyphen/>
            </w:r>
          </w:p>
        </w:tc>
        <w:tc>
          <w:tcPr>
            <w:tcW w:w="507" w:type="pct"/>
            <w:vAlign w:val="bottom"/>
          </w:tcPr>
          <w:p w:rsidR="00180F56" w:rsidRPr="00D04898" w:rsidRDefault="00180F56" w:rsidP="001B56F1">
            <w:pPr>
              <w:pStyle w:val="TableBodyText"/>
              <w:rPr>
                <w:sz w:val="18"/>
                <w:szCs w:val="18"/>
              </w:rPr>
            </w:pPr>
            <w:r w:rsidRPr="00D04898">
              <w:rPr>
                <w:sz w:val="18"/>
                <w:szCs w:val="18"/>
              </w:rPr>
              <w:noBreakHyphen/>
            </w:r>
          </w:p>
        </w:tc>
        <w:tc>
          <w:tcPr>
            <w:tcW w:w="507" w:type="pct"/>
            <w:vAlign w:val="bottom"/>
          </w:tcPr>
          <w:p w:rsidR="00180F56" w:rsidRPr="00D04898" w:rsidRDefault="00180F56" w:rsidP="001B56F1">
            <w:pPr>
              <w:pStyle w:val="TableBodyText"/>
              <w:rPr>
                <w:sz w:val="18"/>
                <w:szCs w:val="18"/>
              </w:rPr>
            </w:pPr>
            <w:r w:rsidRPr="00D04898">
              <w:rPr>
                <w:sz w:val="18"/>
                <w:szCs w:val="18"/>
              </w:rPr>
              <w:noBreakHyphen/>
            </w:r>
          </w:p>
        </w:tc>
        <w:tc>
          <w:tcPr>
            <w:tcW w:w="507" w:type="pct"/>
            <w:shd w:val="clear" w:color="auto" w:fill="auto"/>
            <w:vAlign w:val="bottom"/>
          </w:tcPr>
          <w:p w:rsidR="00180F56" w:rsidRPr="00D04898" w:rsidRDefault="00180F56" w:rsidP="001B56F1">
            <w:pPr>
              <w:pStyle w:val="TableBodyText"/>
              <w:rPr>
                <w:sz w:val="18"/>
                <w:szCs w:val="18"/>
              </w:rPr>
            </w:pPr>
            <w:r w:rsidRPr="00D04898">
              <w:rPr>
                <w:sz w:val="18"/>
                <w:szCs w:val="18"/>
              </w:rPr>
              <w:noBreakHyphen/>
            </w:r>
          </w:p>
        </w:tc>
        <w:tc>
          <w:tcPr>
            <w:tcW w:w="505" w:type="pct"/>
            <w:shd w:val="clear" w:color="auto" w:fill="auto"/>
            <w:vAlign w:val="bottom"/>
          </w:tcPr>
          <w:p w:rsidR="00180F56" w:rsidRPr="00D04898" w:rsidRDefault="00180F56" w:rsidP="001B56F1">
            <w:pPr>
              <w:pStyle w:val="TableBodyText"/>
              <w:rPr>
                <w:sz w:val="18"/>
                <w:szCs w:val="18"/>
              </w:rPr>
            </w:pPr>
            <w:r w:rsidRPr="00D04898">
              <w:rPr>
                <w:sz w:val="18"/>
                <w:szCs w:val="18"/>
              </w:rPr>
              <w:t>0.5</w:t>
            </w:r>
          </w:p>
        </w:tc>
      </w:tr>
      <w:tr w:rsidR="00180F56" w:rsidRPr="00CC39F4" w:rsidTr="001B56F1">
        <w:tc>
          <w:tcPr>
            <w:tcW w:w="1960" w:type="pct"/>
            <w:vAlign w:val="bottom"/>
          </w:tcPr>
          <w:p w:rsidR="00180F56" w:rsidRPr="00D04898" w:rsidRDefault="00180F56" w:rsidP="001B56F1">
            <w:pPr>
              <w:pStyle w:val="TableBodyText"/>
              <w:jc w:val="left"/>
              <w:rPr>
                <w:sz w:val="18"/>
                <w:szCs w:val="18"/>
              </w:rPr>
            </w:pPr>
            <w:r w:rsidRPr="00D04898">
              <w:rPr>
                <w:sz w:val="18"/>
                <w:szCs w:val="18"/>
              </w:rPr>
              <w:t>Aquaculture and fishing</w:t>
            </w:r>
          </w:p>
        </w:tc>
        <w:tc>
          <w:tcPr>
            <w:tcW w:w="507" w:type="pct"/>
            <w:vAlign w:val="bottom"/>
          </w:tcPr>
          <w:p w:rsidR="00180F56" w:rsidRPr="00D04898" w:rsidRDefault="00180F56" w:rsidP="001B56F1">
            <w:pPr>
              <w:pStyle w:val="TableBodyText"/>
              <w:rPr>
                <w:sz w:val="18"/>
                <w:szCs w:val="18"/>
              </w:rPr>
            </w:pPr>
            <w:r w:rsidRPr="00D04898">
              <w:rPr>
                <w:sz w:val="18"/>
                <w:szCs w:val="18"/>
              </w:rPr>
              <w:noBreakHyphen/>
            </w:r>
          </w:p>
        </w:tc>
        <w:tc>
          <w:tcPr>
            <w:tcW w:w="507" w:type="pct"/>
            <w:vAlign w:val="bottom"/>
          </w:tcPr>
          <w:p w:rsidR="00180F56" w:rsidRPr="00D04898" w:rsidRDefault="00180F56" w:rsidP="001B56F1">
            <w:pPr>
              <w:pStyle w:val="TableBodyText"/>
              <w:rPr>
                <w:sz w:val="18"/>
                <w:szCs w:val="18"/>
              </w:rPr>
            </w:pPr>
            <w:r w:rsidRPr="00D04898">
              <w:rPr>
                <w:sz w:val="18"/>
                <w:szCs w:val="18"/>
              </w:rPr>
              <w:noBreakHyphen/>
            </w:r>
          </w:p>
        </w:tc>
        <w:tc>
          <w:tcPr>
            <w:tcW w:w="507" w:type="pct"/>
            <w:vAlign w:val="bottom"/>
          </w:tcPr>
          <w:p w:rsidR="00180F56" w:rsidRPr="00D04898" w:rsidRDefault="00180F56" w:rsidP="001B56F1">
            <w:pPr>
              <w:pStyle w:val="TableBodyText"/>
              <w:rPr>
                <w:sz w:val="18"/>
                <w:szCs w:val="18"/>
              </w:rPr>
            </w:pPr>
            <w:r w:rsidRPr="00D04898">
              <w:rPr>
                <w:sz w:val="18"/>
                <w:szCs w:val="18"/>
              </w:rPr>
              <w:noBreakHyphen/>
            </w:r>
          </w:p>
        </w:tc>
        <w:tc>
          <w:tcPr>
            <w:tcW w:w="507" w:type="pct"/>
            <w:vAlign w:val="bottom"/>
          </w:tcPr>
          <w:p w:rsidR="00180F56" w:rsidRPr="00D04898" w:rsidRDefault="00180F56" w:rsidP="001B56F1">
            <w:pPr>
              <w:pStyle w:val="TableBodyText"/>
              <w:rPr>
                <w:sz w:val="18"/>
                <w:szCs w:val="18"/>
              </w:rPr>
            </w:pPr>
            <w:r w:rsidRPr="00D04898">
              <w:rPr>
                <w:sz w:val="18"/>
                <w:szCs w:val="18"/>
              </w:rPr>
              <w:noBreakHyphen/>
            </w:r>
          </w:p>
        </w:tc>
        <w:tc>
          <w:tcPr>
            <w:tcW w:w="507" w:type="pct"/>
            <w:shd w:val="clear" w:color="auto" w:fill="auto"/>
            <w:vAlign w:val="bottom"/>
          </w:tcPr>
          <w:p w:rsidR="00180F56" w:rsidRPr="00D04898" w:rsidRDefault="00180F56" w:rsidP="001B56F1">
            <w:pPr>
              <w:pStyle w:val="TableBodyText"/>
              <w:rPr>
                <w:sz w:val="18"/>
                <w:szCs w:val="18"/>
              </w:rPr>
            </w:pPr>
            <w:r w:rsidRPr="00D04898">
              <w:rPr>
                <w:sz w:val="18"/>
                <w:szCs w:val="18"/>
              </w:rPr>
              <w:noBreakHyphen/>
            </w:r>
          </w:p>
        </w:tc>
        <w:tc>
          <w:tcPr>
            <w:tcW w:w="505" w:type="pct"/>
            <w:shd w:val="clear" w:color="auto" w:fill="auto"/>
            <w:vAlign w:val="bottom"/>
          </w:tcPr>
          <w:p w:rsidR="00180F56" w:rsidRPr="00D04898" w:rsidRDefault="00180F56" w:rsidP="001B56F1">
            <w:pPr>
              <w:pStyle w:val="TableBodyText"/>
              <w:rPr>
                <w:sz w:val="18"/>
                <w:szCs w:val="18"/>
              </w:rPr>
            </w:pPr>
            <w:r w:rsidRPr="00D04898">
              <w:rPr>
                <w:sz w:val="18"/>
                <w:szCs w:val="18"/>
              </w:rPr>
              <w:t>0.1</w:t>
            </w:r>
          </w:p>
        </w:tc>
      </w:tr>
      <w:tr w:rsidR="00180F56" w:rsidRPr="00CC39F4" w:rsidTr="001B56F1">
        <w:tc>
          <w:tcPr>
            <w:tcW w:w="1960" w:type="pct"/>
            <w:vAlign w:val="bottom"/>
          </w:tcPr>
          <w:p w:rsidR="00180F56" w:rsidRPr="00D04898" w:rsidRDefault="00180F56" w:rsidP="001B56F1">
            <w:pPr>
              <w:pStyle w:val="TableBodyText"/>
              <w:jc w:val="left"/>
              <w:rPr>
                <w:b/>
                <w:sz w:val="18"/>
                <w:szCs w:val="18"/>
              </w:rPr>
            </w:pPr>
            <w:r w:rsidRPr="00D04898">
              <w:rPr>
                <w:b/>
                <w:sz w:val="18"/>
                <w:szCs w:val="18"/>
              </w:rPr>
              <w:t>Manufacturing</w:t>
            </w:r>
          </w:p>
        </w:tc>
        <w:tc>
          <w:tcPr>
            <w:tcW w:w="507" w:type="pct"/>
            <w:vAlign w:val="bottom"/>
          </w:tcPr>
          <w:p w:rsidR="00180F56" w:rsidRPr="00D04898" w:rsidRDefault="00180F56" w:rsidP="001B56F1">
            <w:pPr>
              <w:pStyle w:val="TableBodyText"/>
              <w:rPr>
                <w:sz w:val="18"/>
                <w:szCs w:val="18"/>
              </w:rPr>
            </w:pPr>
            <w:r w:rsidRPr="00D04898">
              <w:rPr>
                <w:sz w:val="18"/>
                <w:szCs w:val="18"/>
              </w:rPr>
              <w:noBreakHyphen/>
            </w:r>
          </w:p>
        </w:tc>
        <w:tc>
          <w:tcPr>
            <w:tcW w:w="507" w:type="pct"/>
            <w:vAlign w:val="bottom"/>
          </w:tcPr>
          <w:p w:rsidR="00180F56" w:rsidRPr="00D04898" w:rsidRDefault="00180F56" w:rsidP="001B56F1">
            <w:pPr>
              <w:pStyle w:val="TableBodyText"/>
              <w:rPr>
                <w:sz w:val="18"/>
                <w:szCs w:val="18"/>
              </w:rPr>
            </w:pPr>
            <w:r w:rsidRPr="00D04898">
              <w:rPr>
                <w:sz w:val="18"/>
                <w:szCs w:val="18"/>
              </w:rPr>
              <w:noBreakHyphen/>
            </w:r>
          </w:p>
        </w:tc>
        <w:tc>
          <w:tcPr>
            <w:tcW w:w="507" w:type="pct"/>
            <w:vAlign w:val="bottom"/>
          </w:tcPr>
          <w:p w:rsidR="00180F56" w:rsidRPr="00D04898" w:rsidRDefault="00180F56" w:rsidP="001B56F1">
            <w:pPr>
              <w:pStyle w:val="TableBodyText"/>
              <w:rPr>
                <w:sz w:val="18"/>
                <w:szCs w:val="18"/>
              </w:rPr>
            </w:pPr>
            <w:r w:rsidRPr="00D04898">
              <w:rPr>
                <w:sz w:val="18"/>
                <w:szCs w:val="18"/>
              </w:rPr>
              <w:noBreakHyphen/>
            </w:r>
          </w:p>
        </w:tc>
        <w:tc>
          <w:tcPr>
            <w:tcW w:w="507" w:type="pct"/>
            <w:vAlign w:val="bottom"/>
          </w:tcPr>
          <w:p w:rsidR="00180F56" w:rsidRPr="00D04898" w:rsidRDefault="00180F56" w:rsidP="001B56F1">
            <w:pPr>
              <w:pStyle w:val="TableBodyText"/>
              <w:rPr>
                <w:sz w:val="18"/>
                <w:szCs w:val="18"/>
              </w:rPr>
            </w:pPr>
            <w:r w:rsidRPr="00D04898">
              <w:rPr>
                <w:sz w:val="18"/>
                <w:szCs w:val="18"/>
              </w:rPr>
              <w:noBreakHyphen/>
            </w:r>
          </w:p>
        </w:tc>
        <w:tc>
          <w:tcPr>
            <w:tcW w:w="507" w:type="pct"/>
            <w:shd w:val="clear" w:color="auto" w:fill="auto"/>
            <w:vAlign w:val="bottom"/>
          </w:tcPr>
          <w:p w:rsidR="00180F56" w:rsidRPr="00D04898" w:rsidRDefault="00180F56" w:rsidP="001B56F1">
            <w:pPr>
              <w:pStyle w:val="TableBodyText"/>
              <w:rPr>
                <w:sz w:val="18"/>
                <w:szCs w:val="18"/>
              </w:rPr>
            </w:pPr>
            <w:r w:rsidRPr="00D04898">
              <w:rPr>
                <w:sz w:val="18"/>
                <w:szCs w:val="18"/>
              </w:rPr>
              <w:noBreakHyphen/>
            </w:r>
          </w:p>
        </w:tc>
        <w:tc>
          <w:tcPr>
            <w:tcW w:w="505" w:type="pct"/>
            <w:shd w:val="clear" w:color="auto" w:fill="auto"/>
            <w:vAlign w:val="bottom"/>
          </w:tcPr>
          <w:p w:rsidR="00180F56" w:rsidRPr="00D04898" w:rsidRDefault="00180F56" w:rsidP="001B56F1">
            <w:pPr>
              <w:pStyle w:val="TableBodyText"/>
              <w:rPr>
                <w:b/>
                <w:sz w:val="18"/>
                <w:szCs w:val="18"/>
              </w:rPr>
            </w:pPr>
            <w:r w:rsidRPr="00D04898">
              <w:rPr>
                <w:b/>
                <w:sz w:val="18"/>
                <w:szCs w:val="18"/>
              </w:rPr>
              <w:t>0.4</w:t>
            </w:r>
          </w:p>
        </w:tc>
      </w:tr>
      <w:tr w:rsidR="00180F56" w:rsidRPr="00CC39F4" w:rsidTr="001B56F1">
        <w:tc>
          <w:tcPr>
            <w:tcW w:w="1960" w:type="pct"/>
            <w:vAlign w:val="bottom"/>
          </w:tcPr>
          <w:p w:rsidR="00180F56" w:rsidRPr="00D04898" w:rsidRDefault="00180F56" w:rsidP="001B56F1">
            <w:pPr>
              <w:pStyle w:val="TableBodyText"/>
              <w:jc w:val="left"/>
              <w:rPr>
                <w:sz w:val="18"/>
                <w:szCs w:val="18"/>
              </w:rPr>
            </w:pPr>
            <w:r w:rsidRPr="00D04898">
              <w:rPr>
                <w:sz w:val="18"/>
                <w:szCs w:val="18"/>
              </w:rPr>
              <w:t>Wood and paper products</w:t>
            </w:r>
          </w:p>
        </w:tc>
        <w:tc>
          <w:tcPr>
            <w:tcW w:w="507" w:type="pct"/>
            <w:vAlign w:val="bottom"/>
          </w:tcPr>
          <w:p w:rsidR="00180F56" w:rsidRPr="00D04898" w:rsidRDefault="00180F56" w:rsidP="001B56F1">
            <w:pPr>
              <w:pStyle w:val="TableBodyText"/>
              <w:rPr>
                <w:sz w:val="18"/>
                <w:szCs w:val="18"/>
              </w:rPr>
            </w:pPr>
            <w:r w:rsidRPr="00D04898">
              <w:rPr>
                <w:sz w:val="18"/>
                <w:szCs w:val="18"/>
              </w:rPr>
              <w:noBreakHyphen/>
            </w:r>
          </w:p>
        </w:tc>
        <w:tc>
          <w:tcPr>
            <w:tcW w:w="507" w:type="pct"/>
            <w:vAlign w:val="bottom"/>
          </w:tcPr>
          <w:p w:rsidR="00180F56" w:rsidRPr="00D04898" w:rsidRDefault="00180F56" w:rsidP="001B56F1">
            <w:pPr>
              <w:pStyle w:val="TableBodyText"/>
              <w:rPr>
                <w:sz w:val="18"/>
                <w:szCs w:val="18"/>
              </w:rPr>
            </w:pPr>
            <w:r w:rsidRPr="00D04898">
              <w:rPr>
                <w:sz w:val="18"/>
                <w:szCs w:val="18"/>
              </w:rPr>
              <w:noBreakHyphen/>
            </w:r>
          </w:p>
        </w:tc>
        <w:tc>
          <w:tcPr>
            <w:tcW w:w="507" w:type="pct"/>
            <w:vAlign w:val="bottom"/>
          </w:tcPr>
          <w:p w:rsidR="00180F56" w:rsidRPr="00D04898" w:rsidRDefault="00180F56" w:rsidP="001B56F1">
            <w:pPr>
              <w:pStyle w:val="TableBodyText"/>
              <w:rPr>
                <w:sz w:val="18"/>
                <w:szCs w:val="18"/>
              </w:rPr>
            </w:pPr>
            <w:r w:rsidRPr="00D04898">
              <w:rPr>
                <w:sz w:val="18"/>
                <w:szCs w:val="18"/>
              </w:rPr>
              <w:noBreakHyphen/>
            </w:r>
          </w:p>
        </w:tc>
        <w:tc>
          <w:tcPr>
            <w:tcW w:w="507" w:type="pct"/>
            <w:vAlign w:val="bottom"/>
          </w:tcPr>
          <w:p w:rsidR="00180F56" w:rsidRPr="00D04898" w:rsidRDefault="00180F56" w:rsidP="001B56F1">
            <w:pPr>
              <w:pStyle w:val="TableBodyText"/>
              <w:rPr>
                <w:sz w:val="18"/>
                <w:szCs w:val="18"/>
              </w:rPr>
            </w:pPr>
            <w:r w:rsidRPr="00D04898">
              <w:rPr>
                <w:sz w:val="18"/>
                <w:szCs w:val="18"/>
              </w:rPr>
              <w:noBreakHyphen/>
            </w:r>
          </w:p>
        </w:tc>
        <w:tc>
          <w:tcPr>
            <w:tcW w:w="507" w:type="pct"/>
            <w:shd w:val="clear" w:color="auto" w:fill="auto"/>
            <w:vAlign w:val="bottom"/>
          </w:tcPr>
          <w:p w:rsidR="00180F56" w:rsidRPr="00D04898" w:rsidRDefault="00180F56" w:rsidP="001B56F1">
            <w:pPr>
              <w:pStyle w:val="TableBodyText"/>
              <w:rPr>
                <w:sz w:val="18"/>
                <w:szCs w:val="18"/>
              </w:rPr>
            </w:pPr>
            <w:r w:rsidRPr="00D04898">
              <w:rPr>
                <w:sz w:val="18"/>
                <w:szCs w:val="18"/>
              </w:rPr>
              <w:noBreakHyphen/>
            </w:r>
          </w:p>
        </w:tc>
        <w:tc>
          <w:tcPr>
            <w:tcW w:w="505" w:type="pct"/>
            <w:shd w:val="clear" w:color="auto" w:fill="auto"/>
            <w:vAlign w:val="bottom"/>
          </w:tcPr>
          <w:p w:rsidR="00180F56" w:rsidRPr="00D04898" w:rsidRDefault="00180F56" w:rsidP="001B56F1">
            <w:pPr>
              <w:pStyle w:val="TableBodyText"/>
              <w:rPr>
                <w:sz w:val="18"/>
                <w:szCs w:val="18"/>
              </w:rPr>
            </w:pPr>
            <w:r w:rsidRPr="00D04898">
              <w:rPr>
                <w:sz w:val="18"/>
                <w:szCs w:val="18"/>
              </w:rPr>
              <w:t>0.3</w:t>
            </w:r>
          </w:p>
        </w:tc>
      </w:tr>
      <w:tr w:rsidR="00180F56" w:rsidRPr="00CC39F4" w:rsidTr="001B56F1">
        <w:tc>
          <w:tcPr>
            <w:tcW w:w="1960" w:type="pct"/>
            <w:vAlign w:val="bottom"/>
          </w:tcPr>
          <w:p w:rsidR="00180F56" w:rsidRPr="00D04898" w:rsidRDefault="00180F56" w:rsidP="001B56F1">
            <w:pPr>
              <w:pStyle w:val="TableBodyText"/>
              <w:jc w:val="left"/>
              <w:rPr>
                <w:sz w:val="18"/>
                <w:szCs w:val="18"/>
              </w:rPr>
            </w:pPr>
            <w:r w:rsidRPr="00D04898">
              <w:rPr>
                <w:sz w:val="18"/>
                <w:szCs w:val="18"/>
              </w:rPr>
              <w:t>Metal and fabricated metal products</w:t>
            </w:r>
          </w:p>
        </w:tc>
        <w:tc>
          <w:tcPr>
            <w:tcW w:w="507" w:type="pct"/>
            <w:vAlign w:val="bottom"/>
          </w:tcPr>
          <w:p w:rsidR="00180F56" w:rsidRPr="00D04898" w:rsidRDefault="00180F56" w:rsidP="001B56F1">
            <w:pPr>
              <w:pStyle w:val="TableBodyText"/>
              <w:rPr>
                <w:sz w:val="18"/>
                <w:szCs w:val="18"/>
              </w:rPr>
            </w:pPr>
            <w:r w:rsidRPr="00D04898">
              <w:rPr>
                <w:sz w:val="18"/>
                <w:szCs w:val="18"/>
              </w:rPr>
              <w:noBreakHyphen/>
            </w:r>
          </w:p>
        </w:tc>
        <w:tc>
          <w:tcPr>
            <w:tcW w:w="507" w:type="pct"/>
            <w:vAlign w:val="bottom"/>
          </w:tcPr>
          <w:p w:rsidR="00180F56" w:rsidRPr="00D04898" w:rsidRDefault="00180F56" w:rsidP="001B56F1">
            <w:pPr>
              <w:pStyle w:val="TableBodyText"/>
              <w:rPr>
                <w:sz w:val="18"/>
                <w:szCs w:val="18"/>
              </w:rPr>
            </w:pPr>
            <w:r w:rsidRPr="00D04898">
              <w:rPr>
                <w:sz w:val="18"/>
                <w:szCs w:val="18"/>
              </w:rPr>
              <w:noBreakHyphen/>
            </w:r>
          </w:p>
        </w:tc>
        <w:tc>
          <w:tcPr>
            <w:tcW w:w="507" w:type="pct"/>
            <w:vAlign w:val="bottom"/>
          </w:tcPr>
          <w:p w:rsidR="00180F56" w:rsidRPr="00D04898" w:rsidRDefault="00180F56" w:rsidP="001B56F1">
            <w:pPr>
              <w:pStyle w:val="TableBodyText"/>
              <w:rPr>
                <w:sz w:val="18"/>
                <w:szCs w:val="18"/>
              </w:rPr>
            </w:pPr>
            <w:r w:rsidRPr="00D04898">
              <w:rPr>
                <w:sz w:val="18"/>
                <w:szCs w:val="18"/>
              </w:rPr>
              <w:noBreakHyphen/>
            </w:r>
          </w:p>
        </w:tc>
        <w:tc>
          <w:tcPr>
            <w:tcW w:w="507" w:type="pct"/>
            <w:vAlign w:val="bottom"/>
          </w:tcPr>
          <w:p w:rsidR="00180F56" w:rsidRPr="00D04898" w:rsidRDefault="00180F56" w:rsidP="001B56F1">
            <w:pPr>
              <w:pStyle w:val="TableBodyText"/>
              <w:rPr>
                <w:sz w:val="18"/>
                <w:szCs w:val="18"/>
              </w:rPr>
            </w:pPr>
            <w:r w:rsidRPr="00D04898">
              <w:rPr>
                <w:sz w:val="18"/>
                <w:szCs w:val="18"/>
              </w:rPr>
              <w:noBreakHyphen/>
            </w:r>
          </w:p>
        </w:tc>
        <w:tc>
          <w:tcPr>
            <w:tcW w:w="507" w:type="pct"/>
            <w:shd w:val="clear" w:color="auto" w:fill="auto"/>
            <w:vAlign w:val="bottom"/>
          </w:tcPr>
          <w:p w:rsidR="00180F56" w:rsidRPr="00D04898" w:rsidRDefault="00180F56" w:rsidP="001B56F1">
            <w:pPr>
              <w:pStyle w:val="TableBodyText"/>
              <w:rPr>
                <w:sz w:val="18"/>
                <w:szCs w:val="18"/>
              </w:rPr>
            </w:pPr>
            <w:r w:rsidRPr="00D04898">
              <w:rPr>
                <w:sz w:val="18"/>
                <w:szCs w:val="18"/>
              </w:rPr>
              <w:noBreakHyphen/>
            </w:r>
          </w:p>
        </w:tc>
        <w:tc>
          <w:tcPr>
            <w:tcW w:w="505" w:type="pct"/>
            <w:shd w:val="clear" w:color="auto" w:fill="auto"/>
            <w:vAlign w:val="bottom"/>
          </w:tcPr>
          <w:p w:rsidR="00180F56" w:rsidRPr="00D04898" w:rsidRDefault="00180F56" w:rsidP="001B56F1">
            <w:pPr>
              <w:pStyle w:val="TableBodyText"/>
              <w:rPr>
                <w:sz w:val="18"/>
                <w:szCs w:val="18"/>
              </w:rPr>
            </w:pPr>
            <w:r w:rsidRPr="00D04898">
              <w:rPr>
                <w:sz w:val="18"/>
                <w:szCs w:val="18"/>
              </w:rPr>
              <w:t>0.1</w:t>
            </w:r>
          </w:p>
        </w:tc>
      </w:tr>
      <w:tr w:rsidR="00180F56" w:rsidRPr="00CC39F4" w:rsidTr="001B56F1">
        <w:tc>
          <w:tcPr>
            <w:tcW w:w="1960" w:type="pct"/>
            <w:vAlign w:val="bottom"/>
          </w:tcPr>
          <w:p w:rsidR="00180F56" w:rsidRPr="00D04898" w:rsidRDefault="00180F56" w:rsidP="001B56F1">
            <w:pPr>
              <w:pStyle w:val="TableBodyText"/>
              <w:jc w:val="left"/>
              <w:rPr>
                <w:b/>
                <w:sz w:val="18"/>
                <w:szCs w:val="18"/>
              </w:rPr>
            </w:pPr>
            <w:r w:rsidRPr="00D04898">
              <w:rPr>
                <w:b/>
                <w:sz w:val="18"/>
                <w:szCs w:val="18"/>
              </w:rPr>
              <w:t>Services</w:t>
            </w:r>
          </w:p>
        </w:tc>
        <w:tc>
          <w:tcPr>
            <w:tcW w:w="507" w:type="pct"/>
            <w:vAlign w:val="bottom"/>
          </w:tcPr>
          <w:p w:rsidR="00180F56" w:rsidRPr="00D04898" w:rsidRDefault="00180F56" w:rsidP="001B56F1">
            <w:pPr>
              <w:pStyle w:val="TableBodyText"/>
              <w:rPr>
                <w:sz w:val="18"/>
                <w:szCs w:val="18"/>
              </w:rPr>
            </w:pPr>
            <w:r w:rsidRPr="00D04898">
              <w:rPr>
                <w:sz w:val="18"/>
                <w:szCs w:val="18"/>
              </w:rPr>
              <w:noBreakHyphen/>
            </w:r>
          </w:p>
        </w:tc>
        <w:tc>
          <w:tcPr>
            <w:tcW w:w="507" w:type="pct"/>
            <w:vAlign w:val="bottom"/>
          </w:tcPr>
          <w:p w:rsidR="00180F56" w:rsidRPr="00D04898" w:rsidRDefault="00180F56" w:rsidP="001B56F1">
            <w:pPr>
              <w:pStyle w:val="TableBodyText"/>
              <w:rPr>
                <w:sz w:val="18"/>
                <w:szCs w:val="18"/>
              </w:rPr>
            </w:pPr>
            <w:r w:rsidRPr="00D04898">
              <w:rPr>
                <w:sz w:val="18"/>
                <w:szCs w:val="18"/>
              </w:rPr>
              <w:noBreakHyphen/>
            </w:r>
          </w:p>
        </w:tc>
        <w:tc>
          <w:tcPr>
            <w:tcW w:w="507" w:type="pct"/>
            <w:vAlign w:val="bottom"/>
          </w:tcPr>
          <w:p w:rsidR="00180F56" w:rsidRPr="00D04898" w:rsidRDefault="00180F56" w:rsidP="001B56F1">
            <w:pPr>
              <w:pStyle w:val="TableBodyText"/>
              <w:rPr>
                <w:sz w:val="18"/>
                <w:szCs w:val="18"/>
              </w:rPr>
            </w:pPr>
            <w:r w:rsidRPr="00D04898">
              <w:rPr>
                <w:sz w:val="18"/>
                <w:szCs w:val="18"/>
              </w:rPr>
              <w:noBreakHyphen/>
            </w:r>
          </w:p>
        </w:tc>
        <w:tc>
          <w:tcPr>
            <w:tcW w:w="507" w:type="pct"/>
            <w:vAlign w:val="bottom"/>
          </w:tcPr>
          <w:p w:rsidR="00180F56" w:rsidRPr="00D04898" w:rsidRDefault="00180F56" w:rsidP="001B56F1">
            <w:pPr>
              <w:pStyle w:val="TableBodyText"/>
              <w:rPr>
                <w:sz w:val="18"/>
                <w:szCs w:val="18"/>
              </w:rPr>
            </w:pPr>
            <w:r w:rsidRPr="00D04898">
              <w:rPr>
                <w:sz w:val="18"/>
                <w:szCs w:val="18"/>
              </w:rPr>
              <w:noBreakHyphen/>
            </w:r>
          </w:p>
        </w:tc>
        <w:tc>
          <w:tcPr>
            <w:tcW w:w="507" w:type="pct"/>
            <w:shd w:val="clear" w:color="auto" w:fill="auto"/>
            <w:vAlign w:val="bottom"/>
          </w:tcPr>
          <w:p w:rsidR="00180F56" w:rsidRPr="00D04898" w:rsidRDefault="00180F56" w:rsidP="001B56F1">
            <w:pPr>
              <w:pStyle w:val="TableBodyText"/>
              <w:rPr>
                <w:sz w:val="18"/>
                <w:szCs w:val="18"/>
              </w:rPr>
            </w:pPr>
            <w:r w:rsidRPr="00D04898">
              <w:rPr>
                <w:sz w:val="18"/>
                <w:szCs w:val="18"/>
              </w:rPr>
              <w:noBreakHyphen/>
            </w:r>
          </w:p>
        </w:tc>
        <w:tc>
          <w:tcPr>
            <w:tcW w:w="505" w:type="pct"/>
            <w:shd w:val="clear" w:color="auto" w:fill="auto"/>
            <w:vAlign w:val="bottom"/>
          </w:tcPr>
          <w:p w:rsidR="00180F56" w:rsidRPr="00D04898" w:rsidRDefault="00180F56" w:rsidP="001B56F1">
            <w:pPr>
              <w:pStyle w:val="TableBodyText"/>
              <w:rPr>
                <w:b/>
                <w:sz w:val="18"/>
                <w:szCs w:val="18"/>
              </w:rPr>
            </w:pPr>
            <w:r w:rsidRPr="00D04898">
              <w:rPr>
                <w:b/>
                <w:sz w:val="18"/>
                <w:szCs w:val="18"/>
              </w:rPr>
              <w:t>0.1</w:t>
            </w:r>
          </w:p>
        </w:tc>
      </w:tr>
      <w:tr w:rsidR="00180F56" w:rsidRPr="00CC39F4" w:rsidTr="001B56F1">
        <w:tc>
          <w:tcPr>
            <w:tcW w:w="1960" w:type="pct"/>
            <w:vAlign w:val="bottom"/>
          </w:tcPr>
          <w:p w:rsidR="00180F56" w:rsidRPr="00D04898" w:rsidRDefault="00180F56" w:rsidP="001B56F1">
            <w:pPr>
              <w:pStyle w:val="TableBodyText"/>
              <w:jc w:val="left"/>
              <w:rPr>
                <w:sz w:val="18"/>
                <w:szCs w:val="18"/>
              </w:rPr>
            </w:pPr>
            <w:r w:rsidRPr="00D04898">
              <w:rPr>
                <w:sz w:val="18"/>
                <w:szCs w:val="18"/>
              </w:rPr>
              <w:t>Wholesale trade</w:t>
            </w:r>
          </w:p>
        </w:tc>
        <w:tc>
          <w:tcPr>
            <w:tcW w:w="507" w:type="pct"/>
            <w:vAlign w:val="bottom"/>
          </w:tcPr>
          <w:p w:rsidR="00180F56" w:rsidRPr="00D04898" w:rsidRDefault="00180F56" w:rsidP="001B56F1">
            <w:pPr>
              <w:pStyle w:val="TableBodyText"/>
              <w:rPr>
                <w:sz w:val="18"/>
                <w:szCs w:val="18"/>
              </w:rPr>
            </w:pPr>
            <w:r w:rsidRPr="00D04898">
              <w:rPr>
                <w:sz w:val="18"/>
                <w:szCs w:val="18"/>
              </w:rPr>
              <w:noBreakHyphen/>
            </w:r>
          </w:p>
        </w:tc>
        <w:tc>
          <w:tcPr>
            <w:tcW w:w="507" w:type="pct"/>
            <w:vAlign w:val="bottom"/>
          </w:tcPr>
          <w:p w:rsidR="00180F56" w:rsidRPr="00D04898" w:rsidRDefault="00180F56" w:rsidP="001B56F1">
            <w:pPr>
              <w:pStyle w:val="TableBodyText"/>
              <w:rPr>
                <w:sz w:val="18"/>
                <w:szCs w:val="18"/>
              </w:rPr>
            </w:pPr>
            <w:r w:rsidRPr="00D04898">
              <w:rPr>
                <w:sz w:val="18"/>
                <w:szCs w:val="18"/>
              </w:rPr>
              <w:noBreakHyphen/>
            </w:r>
          </w:p>
        </w:tc>
        <w:tc>
          <w:tcPr>
            <w:tcW w:w="507" w:type="pct"/>
            <w:vAlign w:val="bottom"/>
          </w:tcPr>
          <w:p w:rsidR="00180F56" w:rsidRPr="00D04898" w:rsidRDefault="00180F56" w:rsidP="001B56F1">
            <w:pPr>
              <w:pStyle w:val="TableBodyText"/>
              <w:rPr>
                <w:sz w:val="18"/>
                <w:szCs w:val="18"/>
              </w:rPr>
            </w:pPr>
            <w:r w:rsidRPr="00D04898">
              <w:rPr>
                <w:sz w:val="18"/>
                <w:szCs w:val="18"/>
              </w:rPr>
              <w:noBreakHyphen/>
            </w:r>
          </w:p>
        </w:tc>
        <w:tc>
          <w:tcPr>
            <w:tcW w:w="507" w:type="pct"/>
            <w:vAlign w:val="bottom"/>
          </w:tcPr>
          <w:p w:rsidR="00180F56" w:rsidRPr="00D04898" w:rsidRDefault="00180F56" w:rsidP="001B56F1">
            <w:pPr>
              <w:pStyle w:val="TableBodyText"/>
              <w:rPr>
                <w:sz w:val="18"/>
                <w:szCs w:val="18"/>
              </w:rPr>
            </w:pPr>
            <w:r w:rsidRPr="00D04898">
              <w:rPr>
                <w:sz w:val="18"/>
                <w:szCs w:val="18"/>
              </w:rPr>
              <w:noBreakHyphen/>
            </w:r>
          </w:p>
        </w:tc>
        <w:tc>
          <w:tcPr>
            <w:tcW w:w="507" w:type="pct"/>
            <w:shd w:val="clear" w:color="auto" w:fill="auto"/>
            <w:vAlign w:val="bottom"/>
          </w:tcPr>
          <w:p w:rsidR="00180F56" w:rsidRPr="00D04898" w:rsidRDefault="00180F56" w:rsidP="001B56F1">
            <w:pPr>
              <w:pStyle w:val="TableBodyText"/>
              <w:rPr>
                <w:sz w:val="18"/>
                <w:szCs w:val="18"/>
              </w:rPr>
            </w:pPr>
            <w:r w:rsidRPr="00D04898">
              <w:rPr>
                <w:sz w:val="18"/>
                <w:szCs w:val="18"/>
              </w:rPr>
              <w:noBreakHyphen/>
            </w:r>
          </w:p>
        </w:tc>
        <w:tc>
          <w:tcPr>
            <w:tcW w:w="505" w:type="pct"/>
            <w:shd w:val="clear" w:color="auto" w:fill="auto"/>
            <w:vAlign w:val="bottom"/>
          </w:tcPr>
          <w:p w:rsidR="00180F56" w:rsidRPr="00D04898" w:rsidRDefault="00180F56" w:rsidP="001B56F1">
            <w:pPr>
              <w:pStyle w:val="TableBodyText"/>
              <w:rPr>
                <w:sz w:val="18"/>
                <w:szCs w:val="18"/>
              </w:rPr>
            </w:pPr>
            <w:r w:rsidRPr="00D04898">
              <w:rPr>
                <w:sz w:val="18"/>
                <w:szCs w:val="18"/>
              </w:rPr>
              <w:t>0.1</w:t>
            </w:r>
          </w:p>
        </w:tc>
      </w:tr>
      <w:tr w:rsidR="00180F56" w:rsidRPr="00CC39F4" w:rsidTr="001B56F1">
        <w:tc>
          <w:tcPr>
            <w:tcW w:w="1960" w:type="pct"/>
            <w:vAlign w:val="bottom"/>
          </w:tcPr>
          <w:p w:rsidR="00180F56" w:rsidRPr="00D04898" w:rsidRDefault="00180F56" w:rsidP="001B56F1">
            <w:pPr>
              <w:pStyle w:val="TableBodyText"/>
              <w:jc w:val="left"/>
              <w:rPr>
                <w:sz w:val="18"/>
                <w:szCs w:val="18"/>
              </w:rPr>
            </w:pPr>
            <w:r w:rsidRPr="00D04898">
              <w:rPr>
                <w:sz w:val="18"/>
                <w:szCs w:val="18"/>
              </w:rPr>
              <w:t>Other services</w:t>
            </w:r>
          </w:p>
        </w:tc>
        <w:tc>
          <w:tcPr>
            <w:tcW w:w="507" w:type="pct"/>
            <w:vAlign w:val="bottom"/>
          </w:tcPr>
          <w:p w:rsidR="00180F56" w:rsidRPr="00D04898" w:rsidRDefault="00180F56" w:rsidP="001B56F1">
            <w:pPr>
              <w:pStyle w:val="TableBodyText"/>
              <w:rPr>
                <w:sz w:val="18"/>
                <w:szCs w:val="18"/>
              </w:rPr>
            </w:pPr>
            <w:r w:rsidRPr="00D04898">
              <w:rPr>
                <w:sz w:val="18"/>
                <w:szCs w:val="18"/>
              </w:rPr>
              <w:noBreakHyphen/>
            </w:r>
          </w:p>
        </w:tc>
        <w:tc>
          <w:tcPr>
            <w:tcW w:w="507" w:type="pct"/>
            <w:vAlign w:val="bottom"/>
          </w:tcPr>
          <w:p w:rsidR="00180F56" w:rsidRPr="00D04898" w:rsidRDefault="00180F56" w:rsidP="001B56F1">
            <w:pPr>
              <w:pStyle w:val="TableBodyText"/>
              <w:rPr>
                <w:sz w:val="18"/>
                <w:szCs w:val="18"/>
              </w:rPr>
            </w:pPr>
            <w:r w:rsidRPr="00D04898">
              <w:rPr>
                <w:sz w:val="18"/>
                <w:szCs w:val="18"/>
              </w:rPr>
              <w:noBreakHyphen/>
            </w:r>
          </w:p>
        </w:tc>
        <w:tc>
          <w:tcPr>
            <w:tcW w:w="507" w:type="pct"/>
            <w:vAlign w:val="bottom"/>
          </w:tcPr>
          <w:p w:rsidR="00180F56" w:rsidRPr="00D04898" w:rsidRDefault="00180F56" w:rsidP="001B56F1">
            <w:pPr>
              <w:pStyle w:val="TableBodyText"/>
              <w:rPr>
                <w:sz w:val="18"/>
                <w:szCs w:val="18"/>
              </w:rPr>
            </w:pPr>
            <w:r w:rsidRPr="00D04898">
              <w:rPr>
                <w:sz w:val="18"/>
                <w:szCs w:val="18"/>
              </w:rPr>
              <w:noBreakHyphen/>
            </w:r>
          </w:p>
        </w:tc>
        <w:tc>
          <w:tcPr>
            <w:tcW w:w="507" w:type="pct"/>
            <w:vAlign w:val="bottom"/>
          </w:tcPr>
          <w:p w:rsidR="00180F56" w:rsidRPr="00D04898" w:rsidRDefault="00180F56" w:rsidP="001B56F1">
            <w:pPr>
              <w:pStyle w:val="TableBodyText"/>
              <w:rPr>
                <w:sz w:val="18"/>
                <w:szCs w:val="18"/>
              </w:rPr>
            </w:pPr>
            <w:r w:rsidRPr="00D04898">
              <w:rPr>
                <w:sz w:val="18"/>
                <w:szCs w:val="18"/>
              </w:rPr>
              <w:noBreakHyphen/>
            </w:r>
          </w:p>
        </w:tc>
        <w:tc>
          <w:tcPr>
            <w:tcW w:w="507" w:type="pct"/>
            <w:shd w:val="clear" w:color="auto" w:fill="auto"/>
            <w:vAlign w:val="bottom"/>
          </w:tcPr>
          <w:p w:rsidR="00180F56" w:rsidRPr="00D04898" w:rsidRDefault="00180F56" w:rsidP="001B56F1">
            <w:pPr>
              <w:pStyle w:val="TableBodyText"/>
              <w:rPr>
                <w:sz w:val="18"/>
                <w:szCs w:val="18"/>
              </w:rPr>
            </w:pPr>
            <w:r w:rsidRPr="00D04898">
              <w:rPr>
                <w:sz w:val="18"/>
                <w:szCs w:val="18"/>
              </w:rPr>
              <w:noBreakHyphen/>
            </w:r>
          </w:p>
        </w:tc>
        <w:tc>
          <w:tcPr>
            <w:tcW w:w="505" w:type="pct"/>
            <w:shd w:val="clear" w:color="auto" w:fill="auto"/>
            <w:vAlign w:val="bottom"/>
          </w:tcPr>
          <w:p w:rsidR="00180F56" w:rsidRPr="00D04898" w:rsidRDefault="00180F56" w:rsidP="001B56F1">
            <w:pPr>
              <w:pStyle w:val="TableBodyText"/>
              <w:rPr>
                <w:sz w:val="18"/>
                <w:szCs w:val="18"/>
              </w:rPr>
            </w:pPr>
            <w:r w:rsidRPr="00D04898">
              <w:rPr>
                <w:sz w:val="18"/>
                <w:szCs w:val="18"/>
              </w:rPr>
              <w:t>&lt;0.1</w:t>
            </w:r>
          </w:p>
        </w:tc>
      </w:tr>
      <w:tr w:rsidR="00180F56" w:rsidRPr="00CC39F4" w:rsidTr="001B56F1">
        <w:tc>
          <w:tcPr>
            <w:tcW w:w="1960" w:type="pct"/>
            <w:tcBorders>
              <w:bottom w:val="single" w:sz="4" w:space="0" w:color="auto"/>
            </w:tcBorders>
            <w:vAlign w:val="bottom"/>
          </w:tcPr>
          <w:p w:rsidR="00180F56" w:rsidRPr="00D04898" w:rsidRDefault="00180F56" w:rsidP="001B56F1">
            <w:pPr>
              <w:pStyle w:val="TableBodyText"/>
              <w:jc w:val="left"/>
              <w:rPr>
                <w:b/>
                <w:bCs/>
                <w:sz w:val="18"/>
                <w:szCs w:val="18"/>
              </w:rPr>
            </w:pPr>
            <w:r w:rsidRPr="00D04898">
              <w:rPr>
                <w:b/>
                <w:bCs/>
                <w:sz w:val="18"/>
                <w:szCs w:val="18"/>
              </w:rPr>
              <w:t>Total</w:t>
            </w:r>
          </w:p>
        </w:tc>
        <w:tc>
          <w:tcPr>
            <w:tcW w:w="507" w:type="pct"/>
            <w:tcBorders>
              <w:bottom w:val="single" w:sz="4" w:space="0" w:color="auto"/>
            </w:tcBorders>
            <w:vAlign w:val="bottom"/>
          </w:tcPr>
          <w:p w:rsidR="00180F56" w:rsidRPr="00D04898" w:rsidRDefault="00180F56" w:rsidP="001B56F1">
            <w:pPr>
              <w:pStyle w:val="TableBodyText"/>
              <w:rPr>
                <w:b/>
                <w:bCs/>
                <w:sz w:val="18"/>
                <w:szCs w:val="18"/>
              </w:rPr>
            </w:pPr>
            <w:r w:rsidRPr="00D04898">
              <w:rPr>
                <w:b/>
                <w:bCs/>
                <w:sz w:val="18"/>
                <w:szCs w:val="18"/>
              </w:rPr>
              <w:noBreakHyphen/>
            </w:r>
          </w:p>
        </w:tc>
        <w:tc>
          <w:tcPr>
            <w:tcW w:w="507" w:type="pct"/>
            <w:tcBorders>
              <w:bottom w:val="single" w:sz="4" w:space="0" w:color="auto"/>
            </w:tcBorders>
            <w:vAlign w:val="bottom"/>
          </w:tcPr>
          <w:p w:rsidR="00180F56" w:rsidRPr="00D04898" w:rsidRDefault="00180F56" w:rsidP="001B56F1">
            <w:pPr>
              <w:pStyle w:val="TableBodyText"/>
              <w:rPr>
                <w:b/>
                <w:bCs/>
                <w:sz w:val="18"/>
                <w:szCs w:val="18"/>
              </w:rPr>
            </w:pPr>
            <w:r w:rsidRPr="00D04898">
              <w:rPr>
                <w:b/>
                <w:bCs/>
                <w:sz w:val="18"/>
                <w:szCs w:val="18"/>
              </w:rPr>
              <w:noBreakHyphen/>
            </w:r>
          </w:p>
        </w:tc>
        <w:tc>
          <w:tcPr>
            <w:tcW w:w="507" w:type="pct"/>
            <w:tcBorders>
              <w:bottom w:val="single" w:sz="4" w:space="0" w:color="auto"/>
            </w:tcBorders>
            <w:vAlign w:val="bottom"/>
          </w:tcPr>
          <w:p w:rsidR="00180F56" w:rsidRPr="00D04898" w:rsidRDefault="00180F56" w:rsidP="001B56F1">
            <w:pPr>
              <w:pStyle w:val="TableBodyText"/>
              <w:rPr>
                <w:b/>
                <w:bCs/>
                <w:sz w:val="18"/>
                <w:szCs w:val="18"/>
              </w:rPr>
            </w:pPr>
            <w:r w:rsidRPr="00D04898">
              <w:rPr>
                <w:b/>
                <w:bCs/>
                <w:sz w:val="18"/>
                <w:szCs w:val="18"/>
              </w:rPr>
              <w:noBreakHyphen/>
            </w:r>
          </w:p>
        </w:tc>
        <w:tc>
          <w:tcPr>
            <w:tcW w:w="507" w:type="pct"/>
            <w:tcBorders>
              <w:bottom w:val="single" w:sz="4" w:space="0" w:color="auto"/>
            </w:tcBorders>
            <w:vAlign w:val="bottom"/>
          </w:tcPr>
          <w:p w:rsidR="00180F56" w:rsidRPr="00D04898" w:rsidRDefault="00180F56" w:rsidP="001B56F1">
            <w:pPr>
              <w:pStyle w:val="TableBodyText"/>
              <w:rPr>
                <w:b/>
                <w:bCs/>
                <w:sz w:val="18"/>
                <w:szCs w:val="18"/>
              </w:rPr>
            </w:pPr>
            <w:r w:rsidRPr="00D04898">
              <w:rPr>
                <w:b/>
                <w:bCs/>
                <w:sz w:val="18"/>
                <w:szCs w:val="18"/>
              </w:rPr>
              <w:noBreakHyphen/>
            </w:r>
          </w:p>
        </w:tc>
        <w:tc>
          <w:tcPr>
            <w:tcW w:w="507" w:type="pct"/>
            <w:tcBorders>
              <w:bottom w:val="single" w:sz="4" w:space="0" w:color="auto"/>
            </w:tcBorders>
            <w:shd w:val="clear" w:color="auto" w:fill="auto"/>
            <w:vAlign w:val="bottom"/>
          </w:tcPr>
          <w:p w:rsidR="00180F56" w:rsidRPr="00D04898" w:rsidRDefault="00180F56" w:rsidP="001B56F1">
            <w:pPr>
              <w:pStyle w:val="TableBodyText"/>
              <w:rPr>
                <w:b/>
                <w:bCs/>
                <w:sz w:val="18"/>
                <w:szCs w:val="18"/>
              </w:rPr>
            </w:pPr>
            <w:r w:rsidRPr="00D04898">
              <w:rPr>
                <w:b/>
                <w:bCs/>
                <w:sz w:val="18"/>
                <w:szCs w:val="18"/>
              </w:rPr>
              <w:noBreakHyphen/>
            </w:r>
          </w:p>
        </w:tc>
        <w:tc>
          <w:tcPr>
            <w:tcW w:w="505" w:type="pct"/>
            <w:tcBorders>
              <w:bottom w:val="single" w:sz="4" w:space="0" w:color="auto"/>
            </w:tcBorders>
            <w:shd w:val="clear" w:color="auto" w:fill="auto"/>
            <w:vAlign w:val="bottom"/>
          </w:tcPr>
          <w:p w:rsidR="00180F56" w:rsidRPr="00D04898" w:rsidRDefault="00180F56" w:rsidP="001B56F1">
            <w:pPr>
              <w:pStyle w:val="TableBodyText"/>
              <w:rPr>
                <w:b/>
                <w:bCs/>
                <w:sz w:val="18"/>
                <w:szCs w:val="18"/>
              </w:rPr>
            </w:pPr>
            <w:r w:rsidRPr="00D04898">
              <w:rPr>
                <w:b/>
                <w:bCs/>
                <w:sz w:val="18"/>
                <w:szCs w:val="18"/>
              </w:rPr>
              <w:t>1.1</w:t>
            </w:r>
          </w:p>
        </w:tc>
      </w:tr>
    </w:tbl>
    <w:p w:rsidR="00180F56" w:rsidRDefault="00180F56" w:rsidP="00180F56">
      <w:pPr>
        <w:pStyle w:val="Note"/>
      </w:pPr>
      <w:r w:rsidRPr="00A2379F">
        <w:noBreakHyphen/>
        <w:t xml:space="preserve"> Nil</w:t>
      </w:r>
      <w:r>
        <w:t>.</w:t>
      </w:r>
    </w:p>
    <w:p w:rsidR="00180F56" w:rsidRPr="008E77FE" w:rsidRDefault="00180F56" w:rsidP="00180F56">
      <w:pPr>
        <w:pStyle w:val="Source"/>
      </w:pPr>
      <w:r>
        <w:rPr>
          <w:i/>
        </w:rPr>
        <w:t>Source</w:t>
      </w:r>
      <w:r>
        <w:t>: Commission estimates based on detailed DIISR data by ANZSIC industry.</w:t>
      </w:r>
    </w:p>
    <w:p w:rsidR="00B154B4" w:rsidRDefault="00FA09C3" w:rsidP="00B154B4">
      <w:pPr>
        <w:pStyle w:val="Heading2"/>
      </w:pPr>
      <w:r>
        <w:t>A.</w:t>
      </w:r>
      <w:r>
        <w:rPr>
          <w:noProof/>
        </w:rPr>
        <w:t>110</w:t>
      </w:r>
      <w:r w:rsidR="00B154B4">
        <w:tab/>
        <w:t>Regional Equalisation Plan</w:t>
      </w:r>
    </w:p>
    <w:p w:rsidR="00B154B4" w:rsidRDefault="00B154B4" w:rsidP="00B154B4">
      <w:pPr>
        <w:pStyle w:val="BodyText"/>
      </w:pPr>
      <w:r>
        <w:t xml:space="preserve">Introduced by the Australian Government in May 2011, the Regional Equalisation Plan provides regional and remote commercial broadcasters with a 50 per cent subsidy to convert their terrestrial transmission facilities to digital and operate them for a period of eight years. Funding is provided </w:t>
      </w:r>
      <w:r w:rsidR="003F4237">
        <w:t>by</w:t>
      </w:r>
      <w:r>
        <w:t xml:space="preserve"> licence area in the form of capped annual rebates against broadcasters’ licence fees. This is supplemented by a grants component, where necessary, to achieve full compliance. Licence fee rebates are administered by the ACMA (</w:t>
      </w:r>
      <w:r w:rsidRPr="00813174">
        <w:t>DBCDE 2012a</w:t>
      </w:r>
      <w:r>
        <w:t>).</w:t>
      </w:r>
    </w:p>
    <w:p w:rsidR="00B154B4" w:rsidRDefault="00B154B4" w:rsidP="00B154B4">
      <w:pPr>
        <w:pStyle w:val="BodyText"/>
      </w:pPr>
      <w:r>
        <w:t xml:space="preserve">The plan selectively benefits commercial television broadcasting activities and funding has been allocated to the </w:t>
      </w:r>
      <w:r w:rsidRPr="005C7898">
        <w:rPr>
          <w:i/>
        </w:rPr>
        <w:t>Information media and telecommunications</w:t>
      </w:r>
      <w:r>
        <w:t xml:space="preserve"> industry in the Commission’s ANZSIC-based industry groupings (table A.1</w:t>
      </w:r>
      <w:r w:rsidR="00C065C1">
        <w:t>10</w:t>
      </w:r>
      <w:r>
        <w:t>).</w:t>
      </w:r>
    </w:p>
    <w:p w:rsidR="00B154B4" w:rsidRDefault="00B154B4" w:rsidP="00B154B4">
      <w:pPr>
        <w:pStyle w:val="TableTitle"/>
      </w:pPr>
      <w:r>
        <w:rPr>
          <w:b w:val="0"/>
        </w:rPr>
        <w:t xml:space="preserve">Table </w:t>
      </w:r>
      <w:r w:rsidR="00FA09C3">
        <w:rPr>
          <w:b w:val="0"/>
        </w:rPr>
        <w:t>A.</w:t>
      </w:r>
      <w:r w:rsidR="00FA09C3">
        <w:rPr>
          <w:b w:val="0"/>
          <w:noProof/>
        </w:rPr>
        <w:t>110</w:t>
      </w:r>
      <w:r>
        <w:tab/>
        <w:t>Allocation of Regional Equalisation Plan</w:t>
      </w:r>
      <w:r w:rsidR="00B6795B" w:rsidRPr="00B6795B">
        <w:t xml:space="preserve"> to industry</w:t>
      </w:r>
      <w:r>
        <w:t>, 2006</w:t>
      </w:r>
      <w:r>
        <w:noBreakHyphen/>
        <w:t>07 to 2011</w:t>
      </w:r>
      <w:r>
        <w:noBreakHyphen/>
        <w:t>12</w:t>
      </w:r>
    </w:p>
    <w:p w:rsidR="00B154B4" w:rsidRDefault="00B154B4" w:rsidP="00B154B4">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B154B4" w:rsidRPr="00AF699A" w:rsidTr="001B56F1">
        <w:tc>
          <w:tcPr>
            <w:tcW w:w="1960" w:type="pct"/>
            <w:tcBorders>
              <w:top w:val="single" w:sz="6" w:space="0" w:color="auto"/>
              <w:bottom w:val="single" w:sz="6" w:space="0" w:color="auto"/>
            </w:tcBorders>
          </w:tcPr>
          <w:p w:rsidR="00B154B4" w:rsidRPr="00AF699A" w:rsidRDefault="00B154B4"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B154B4" w:rsidRPr="00AF699A" w:rsidRDefault="00B154B4"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B154B4" w:rsidRPr="00AF699A" w:rsidRDefault="00B154B4"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B154B4" w:rsidRPr="00AF699A" w:rsidRDefault="00B154B4"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B154B4" w:rsidRPr="00AF699A" w:rsidRDefault="00B154B4"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B154B4" w:rsidRPr="00AF699A" w:rsidRDefault="00B154B4"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B154B4" w:rsidRPr="00AF699A" w:rsidRDefault="00B154B4" w:rsidP="001B56F1">
            <w:pPr>
              <w:pStyle w:val="TableColumnHeading"/>
              <w:ind w:right="28"/>
              <w:rPr>
                <w:rFonts w:cs="Arial"/>
                <w:sz w:val="18"/>
                <w:szCs w:val="18"/>
              </w:rPr>
            </w:pPr>
            <w:r w:rsidRPr="00AF699A">
              <w:rPr>
                <w:rFonts w:cs="Arial"/>
                <w:sz w:val="18"/>
                <w:szCs w:val="18"/>
              </w:rPr>
              <w:t>2011-12</w:t>
            </w:r>
          </w:p>
        </w:tc>
      </w:tr>
      <w:tr w:rsidR="00B154B4" w:rsidRPr="006C5A80" w:rsidTr="001B56F1">
        <w:tc>
          <w:tcPr>
            <w:tcW w:w="1960" w:type="pct"/>
            <w:tcBorders>
              <w:bottom w:val="single" w:sz="4" w:space="0" w:color="auto"/>
            </w:tcBorders>
            <w:vAlign w:val="bottom"/>
          </w:tcPr>
          <w:p w:rsidR="00B154B4" w:rsidRPr="00C944BA" w:rsidRDefault="00B154B4" w:rsidP="001B56F1">
            <w:pPr>
              <w:pStyle w:val="TableBodyText"/>
              <w:jc w:val="left"/>
            </w:pPr>
            <w:r>
              <w:t>Information media and telecommunications</w:t>
            </w:r>
          </w:p>
        </w:tc>
        <w:tc>
          <w:tcPr>
            <w:tcW w:w="507" w:type="pct"/>
            <w:tcBorders>
              <w:bottom w:val="single" w:sz="4" w:space="0" w:color="auto"/>
            </w:tcBorders>
            <w:vAlign w:val="bottom"/>
          </w:tcPr>
          <w:p w:rsidR="00B154B4" w:rsidRPr="00E44D5B" w:rsidRDefault="00B154B4" w:rsidP="001B56F1">
            <w:pPr>
              <w:pStyle w:val="TableBodyText"/>
            </w:pPr>
            <w:r w:rsidRPr="00E44D5B">
              <w:t>24.8</w:t>
            </w:r>
          </w:p>
        </w:tc>
        <w:tc>
          <w:tcPr>
            <w:tcW w:w="507" w:type="pct"/>
            <w:tcBorders>
              <w:bottom w:val="single" w:sz="4" w:space="0" w:color="auto"/>
            </w:tcBorders>
            <w:vAlign w:val="bottom"/>
          </w:tcPr>
          <w:p w:rsidR="00B154B4" w:rsidRPr="00E44D5B" w:rsidRDefault="00B154B4" w:rsidP="001B56F1">
            <w:pPr>
              <w:pStyle w:val="TableBodyText"/>
            </w:pPr>
            <w:r w:rsidRPr="00E44D5B">
              <w:t>23.7</w:t>
            </w:r>
          </w:p>
        </w:tc>
        <w:tc>
          <w:tcPr>
            <w:tcW w:w="507" w:type="pct"/>
            <w:tcBorders>
              <w:bottom w:val="single" w:sz="4" w:space="0" w:color="auto"/>
            </w:tcBorders>
            <w:vAlign w:val="bottom"/>
          </w:tcPr>
          <w:p w:rsidR="00B154B4" w:rsidRPr="00E44D5B" w:rsidRDefault="00B154B4" w:rsidP="001B56F1">
            <w:pPr>
              <w:pStyle w:val="TableBodyText"/>
            </w:pPr>
            <w:r w:rsidRPr="00E44D5B">
              <w:t>0.3</w:t>
            </w:r>
          </w:p>
        </w:tc>
        <w:tc>
          <w:tcPr>
            <w:tcW w:w="507" w:type="pct"/>
            <w:tcBorders>
              <w:bottom w:val="single" w:sz="4" w:space="0" w:color="auto"/>
            </w:tcBorders>
            <w:vAlign w:val="bottom"/>
          </w:tcPr>
          <w:p w:rsidR="00B154B4" w:rsidRPr="00E44D5B" w:rsidRDefault="00B154B4" w:rsidP="001B56F1">
            <w:pPr>
              <w:pStyle w:val="TableBodyText"/>
            </w:pPr>
            <w:r w:rsidRPr="00E44D5B">
              <w:t>1.3</w:t>
            </w:r>
          </w:p>
        </w:tc>
        <w:tc>
          <w:tcPr>
            <w:tcW w:w="507" w:type="pct"/>
            <w:tcBorders>
              <w:bottom w:val="single" w:sz="4" w:space="0" w:color="auto"/>
            </w:tcBorders>
            <w:shd w:val="clear" w:color="auto" w:fill="auto"/>
            <w:vAlign w:val="bottom"/>
          </w:tcPr>
          <w:p w:rsidR="00B154B4" w:rsidRPr="00E44D5B" w:rsidRDefault="00B154B4" w:rsidP="001B56F1">
            <w:pPr>
              <w:pStyle w:val="TableBodyText"/>
            </w:pPr>
            <w:r w:rsidRPr="00E44D5B">
              <w:t>1.3</w:t>
            </w:r>
          </w:p>
        </w:tc>
        <w:tc>
          <w:tcPr>
            <w:tcW w:w="505" w:type="pct"/>
            <w:tcBorders>
              <w:bottom w:val="single" w:sz="4" w:space="0" w:color="auto"/>
            </w:tcBorders>
            <w:shd w:val="clear" w:color="auto" w:fill="auto"/>
            <w:vAlign w:val="bottom"/>
          </w:tcPr>
          <w:p w:rsidR="00B154B4" w:rsidRPr="00E44D5B" w:rsidRDefault="00B154B4" w:rsidP="001B56F1">
            <w:pPr>
              <w:pStyle w:val="TableBodyText"/>
            </w:pPr>
            <w:r w:rsidRPr="00E44D5B">
              <w:t>1.1</w:t>
            </w:r>
          </w:p>
        </w:tc>
      </w:tr>
    </w:tbl>
    <w:p w:rsidR="00B154B4" w:rsidRDefault="00B154B4" w:rsidP="00B154B4">
      <w:pPr>
        <w:pStyle w:val="Source"/>
      </w:pPr>
      <w:r>
        <w:rPr>
          <w:i/>
        </w:rPr>
        <w:t>Source</w:t>
      </w:r>
      <w:r w:rsidR="003F4237">
        <w:rPr>
          <w:i/>
        </w:rPr>
        <w:t>s</w:t>
      </w:r>
      <w:r>
        <w:t>: Commission estimates based on Department of Broadband, Communications and the Digital Economy Annual Report 2011</w:t>
      </w:r>
      <w:r>
        <w:noBreakHyphen/>
        <w:t>12 (and earlier years); and Department of Communications, Information Technology and the Arts Annual Report 2006</w:t>
      </w:r>
      <w:r>
        <w:noBreakHyphen/>
        <w:t>07.</w:t>
      </w:r>
    </w:p>
    <w:p w:rsidR="00F55BB0" w:rsidRDefault="00FA09C3" w:rsidP="00F55BB0">
      <w:pPr>
        <w:pStyle w:val="Heading2"/>
      </w:pPr>
      <w:r>
        <w:t>A.</w:t>
      </w:r>
      <w:r>
        <w:rPr>
          <w:noProof/>
        </w:rPr>
        <w:t>111</w:t>
      </w:r>
      <w:r w:rsidR="00F55BB0">
        <w:tab/>
        <w:t>Innovation Investment Follow-on Fund</w:t>
      </w:r>
    </w:p>
    <w:p w:rsidR="00F55BB0" w:rsidRPr="00BD3EAB" w:rsidRDefault="00F55BB0" w:rsidP="00F55BB0">
      <w:pPr>
        <w:pStyle w:val="BodyText"/>
      </w:pPr>
      <w:r w:rsidRPr="00BD3EAB">
        <w:t xml:space="preserve">The Innovation Investment Follow-on Fund (IIFF) program was introduced in March 2009 as a temporary, targeted measure that </w:t>
      </w:r>
      <w:r w:rsidR="003F4237" w:rsidRPr="00BD3EAB">
        <w:t>aim</w:t>
      </w:r>
      <w:r w:rsidR="003F4237">
        <w:t>ed</w:t>
      </w:r>
      <w:r w:rsidR="003F4237" w:rsidRPr="00BD3EAB">
        <w:t xml:space="preserve"> </w:t>
      </w:r>
      <w:r w:rsidRPr="00BD3EAB">
        <w:t xml:space="preserve">to assist early-stage companies with high potential through the Global Financial Crisis by addressing a lack of capital available in the early stage venture capital market. The principal activities of the IIFF </w:t>
      </w:r>
      <w:r w:rsidR="003F4237">
        <w:t>we</w:t>
      </w:r>
      <w:r w:rsidR="003F4237" w:rsidRPr="00BD3EAB">
        <w:t xml:space="preserve">re </w:t>
      </w:r>
      <w:r w:rsidRPr="00BD3EAB">
        <w:t xml:space="preserve">to support some of the existing fund managers within Rounds 1 and 2 of the Innovation Investment Fund (IIF), the Pre-Seed Fund or the ICT Incubator programs </w:t>
      </w:r>
      <w:r w:rsidRPr="00345044">
        <w:t>(</w:t>
      </w:r>
      <w:r w:rsidRPr="00813174">
        <w:t>DIISR 2011 and DIISR 2012</w:t>
      </w:r>
      <w:r w:rsidRPr="00BD3EAB">
        <w:t>).</w:t>
      </w:r>
    </w:p>
    <w:p w:rsidR="00F55BB0" w:rsidRPr="00BD3EAB" w:rsidRDefault="00F55BB0" w:rsidP="00F55BB0">
      <w:pPr>
        <w:pStyle w:val="BodyText"/>
      </w:pPr>
      <w:r>
        <w:t xml:space="preserve">Information on the industry incidence of the program has not been readily available. Accordingly, the budget outlay has been classified to </w:t>
      </w:r>
      <w:r w:rsidRPr="00BD3EAB">
        <w:t xml:space="preserve">the </w:t>
      </w:r>
      <w:r w:rsidRPr="00BD3EAB">
        <w:rPr>
          <w:i/>
        </w:rPr>
        <w:t>Unallocated other</w:t>
      </w:r>
      <w:r w:rsidRPr="00BD3EAB">
        <w:t xml:space="preserve"> </w:t>
      </w:r>
      <w:r>
        <w:t xml:space="preserve">industry </w:t>
      </w:r>
      <w:r w:rsidRPr="00BD3EAB">
        <w:t>grouping in the Commission’s ANZSIC-based classification</w:t>
      </w:r>
      <w:r>
        <w:t xml:space="preserve"> (table A.11</w:t>
      </w:r>
      <w:r w:rsidR="00C065C1">
        <w:t>1</w:t>
      </w:r>
      <w:r>
        <w:t>)</w:t>
      </w:r>
      <w:r w:rsidRPr="00BD3EAB">
        <w:t>.</w:t>
      </w:r>
    </w:p>
    <w:p w:rsidR="00F55BB0" w:rsidRDefault="00F55BB0" w:rsidP="00F55BB0">
      <w:pPr>
        <w:pStyle w:val="TableTitle"/>
      </w:pPr>
      <w:r>
        <w:rPr>
          <w:b w:val="0"/>
        </w:rPr>
        <w:t xml:space="preserve">Table </w:t>
      </w:r>
      <w:r w:rsidR="00FA09C3">
        <w:rPr>
          <w:b w:val="0"/>
        </w:rPr>
        <w:t>A.</w:t>
      </w:r>
      <w:r w:rsidR="00FA09C3">
        <w:rPr>
          <w:b w:val="0"/>
          <w:noProof/>
        </w:rPr>
        <w:t>111</w:t>
      </w:r>
      <w:r>
        <w:tab/>
        <w:t>Allocation of Innovation Investment Follow-on</w:t>
      </w:r>
      <w:r w:rsidR="003F4237">
        <w:t xml:space="preserve"> </w:t>
      </w:r>
      <w:r>
        <w:t>Fund</w:t>
      </w:r>
      <w:r w:rsidR="00B6795B" w:rsidRPr="00B6795B">
        <w:t xml:space="preserve"> to industry</w:t>
      </w:r>
      <w:r>
        <w:t>, 2006</w:t>
      </w:r>
      <w:r>
        <w:noBreakHyphen/>
        <w:t>07 to 2011</w:t>
      </w:r>
      <w:r>
        <w:noBreakHyphen/>
        <w:t>12</w:t>
      </w:r>
    </w:p>
    <w:p w:rsidR="00F55BB0" w:rsidRDefault="000E1A26" w:rsidP="00F55BB0">
      <w:pPr>
        <w:pStyle w:val="Subtitle"/>
      </w:pPr>
      <w:r>
        <w:t>$ m</w:t>
      </w:r>
      <w:r w:rsidR="00F55BB0">
        <w:t xml:space="preserve">illion (nominal) </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F55BB0" w:rsidRPr="00AF699A" w:rsidTr="001B56F1">
        <w:tc>
          <w:tcPr>
            <w:tcW w:w="1958" w:type="pct"/>
            <w:tcBorders>
              <w:top w:val="single" w:sz="6" w:space="0" w:color="auto"/>
              <w:bottom w:val="single" w:sz="6" w:space="0" w:color="auto"/>
            </w:tcBorders>
          </w:tcPr>
          <w:p w:rsidR="00F55BB0" w:rsidRPr="00AF699A" w:rsidRDefault="00F55BB0"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F55BB0" w:rsidRPr="00AF699A" w:rsidRDefault="00F55BB0"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F55BB0" w:rsidRPr="00AF699A" w:rsidRDefault="00F55BB0"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F55BB0" w:rsidRPr="00AF699A" w:rsidRDefault="00F55BB0"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F55BB0" w:rsidRPr="00AF699A" w:rsidRDefault="00F55BB0"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F55BB0" w:rsidRPr="00AF699A" w:rsidRDefault="00F55BB0" w:rsidP="001B56F1">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F55BB0" w:rsidRPr="00AF699A" w:rsidRDefault="00F55BB0" w:rsidP="001B56F1">
            <w:pPr>
              <w:pStyle w:val="TableColumnHeading"/>
              <w:ind w:right="28"/>
              <w:rPr>
                <w:rFonts w:cs="Arial"/>
                <w:sz w:val="18"/>
                <w:szCs w:val="18"/>
              </w:rPr>
            </w:pPr>
            <w:r w:rsidRPr="00AF699A">
              <w:rPr>
                <w:rFonts w:cs="Arial"/>
                <w:sz w:val="18"/>
                <w:szCs w:val="18"/>
              </w:rPr>
              <w:t>2011-12</w:t>
            </w:r>
          </w:p>
        </w:tc>
      </w:tr>
      <w:tr w:rsidR="00F55BB0" w:rsidRPr="00EB51A6" w:rsidTr="001B56F1">
        <w:tc>
          <w:tcPr>
            <w:tcW w:w="1958" w:type="pct"/>
            <w:tcBorders>
              <w:bottom w:val="single" w:sz="4" w:space="0" w:color="auto"/>
            </w:tcBorders>
            <w:vAlign w:val="bottom"/>
          </w:tcPr>
          <w:p w:rsidR="00F55BB0" w:rsidRPr="007560C2" w:rsidRDefault="00F55BB0" w:rsidP="001B56F1">
            <w:pPr>
              <w:pStyle w:val="TableBodyText"/>
              <w:jc w:val="left"/>
            </w:pPr>
            <w:r w:rsidRPr="007560C2">
              <w:t>Unallocated other</w:t>
            </w:r>
            <w:r w:rsidRPr="00BD3CDA">
              <w:rPr>
                <w:rStyle w:val="NoteLabel"/>
                <w:szCs w:val="18"/>
              </w:rPr>
              <w:t>a</w:t>
            </w:r>
          </w:p>
        </w:tc>
        <w:tc>
          <w:tcPr>
            <w:tcW w:w="507" w:type="pct"/>
            <w:tcBorders>
              <w:bottom w:val="single" w:sz="4" w:space="0" w:color="auto"/>
            </w:tcBorders>
            <w:vAlign w:val="bottom"/>
          </w:tcPr>
          <w:p w:rsidR="00F55BB0" w:rsidRPr="007560C2" w:rsidRDefault="00F55BB0" w:rsidP="001B56F1">
            <w:pPr>
              <w:pStyle w:val="TableBodyText"/>
            </w:pPr>
            <w:r>
              <w:noBreakHyphen/>
            </w:r>
          </w:p>
        </w:tc>
        <w:tc>
          <w:tcPr>
            <w:tcW w:w="507" w:type="pct"/>
            <w:tcBorders>
              <w:bottom w:val="single" w:sz="4" w:space="0" w:color="auto"/>
            </w:tcBorders>
            <w:vAlign w:val="bottom"/>
          </w:tcPr>
          <w:p w:rsidR="00F55BB0" w:rsidRPr="007560C2" w:rsidRDefault="00F55BB0" w:rsidP="001B56F1">
            <w:pPr>
              <w:pStyle w:val="TableBodyText"/>
            </w:pPr>
            <w:r>
              <w:noBreakHyphen/>
            </w:r>
          </w:p>
        </w:tc>
        <w:tc>
          <w:tcPr>
            <w:tcW w:w="507" w:type="pct"/>
            <w:tcBorders>
              <w:bottom w:val="single" w:sz="4" w:space="0" w:color="auto"/>
            </w:tcBorders>
            <w:vAlign w:val="bottom"/>
          </w:tcPr>
          <w:p w:rsidR="00F55BB0" w:rsidRPr="007560C2" w:rsidRDefault="00F55BB0" w:rsidP="001B56F1">
            <w:pPr>
              <w:pStyle w:val="TableBodyText"/>
            </w:pPr>
            <w:r>
              <w:noBreakHyphen/>
            </w:r>
          </w:p>
        </w:tc>
        <w:tc>
          <w:tcPr>
            <w:tcW w:w="507" w:type="pct"/>
            <w:tcBorders>
              <w:bottom w:val="single" w:sz="4" w:space="0" w:color="auto"/>
            </w:tcBorders>
            <w:vAlign w:val="bottom"/>
          </w:tcPr>
          <w:p w:rsidR="00F55BB0" w:rsidRPr="007560C2" w:rsidRDefault="00F55BB0" w:rsidP="001B56F1">
            <w:pPr>
              <w:pStyle w:val="TableBodyText"/>
            </w:pPr>
            <w:r w:rsidRPr="007560C2">
              <w:t>40.9</w:t>
            </w:r>
          </w:p>
        </w:tc>
        <w:tc>
          <w:tcPr>
            <w:tcW w:w="507" w:type="pct"/>
            <w:tcBorders>
              <w:bottom w:val="single" w:sz="4" w:space="0" w:color="auto"/>
            </w:tcBorders>
            <w:shd w:val="clear" w:color="auto" w:fill="auto"/>
            <w:vAlign w:val="bottom"/>
          </w:tcPr>
          <w:p w:rsidR="00F55BB0" w:rsidRPr="007560C2" w:rsidRDefault="00F55BB0" w:rsidP="001B56F1">
            <w:pPr>
              <w:pStyle w:val="TableBodyText"/>
            </w:pPr>
            <w:r w:rsidRPr="007560C2">
              <w:t>17.2</w:t>
            </w:r>
          </w:p>
        </w:tc>
        <w:tc>
          <w:tcPr>
            <w:tcW w:w="507" w:type="pct"/>
            <w:tcBorders>
              <w:bottom w:val="single" w:sz="4" w:space="0" w:color="auto"/>
            </w:tcBorders>
            <w:shd w:val="clear" w:color="auto" w:fill="auto"/>
            <w:vAlign w:val="bottom"/>
          </w:tcPr>
          <w:p w:rsidR="00F55BB0" w:rsidRPr="007560C2" w:rsidRDefault="00F55BB0" w:rsidP="001B56F1">
            <w:pPr>
              <w:pStyle w:val="TableBodyText"/>
            </w:pPr>
            <w:r w:rsidRPr="007560C2">
              <w:t>1.0</w:t>
            </w:r>
          </w:p>
        </w:tc>
      </w:tr>
    </w:tbl>
    <w:p w:rsidR="00F55BB0" w:rsidRDefault="00F55BB0" w:rsidP="00F55BB0">
      <w:pPr>
        <w:pStyle w:val="Note"/>
      </w:pPr>
      <w:r w:rsidRPr="00A2379F">
        <w:noBreakHyphen/>
        <w:t xml:space="preserve"> Nil</w:t>
      </w:r>
      <w:r>
        <w:t>.</w:t>
      </w:r>
      <w:r w:rsidRPr="008E77FE">
        <w:rPr>
          <w:rStyle w:val="NoteLabel"/>
        </w:rPr>
        <w:t xml:space="preserve"> a</w:t>
      </w:r>
      <w:r>
        <w:t xml:space="preserve"> </w:t>
      </w:r>
      <w:r w:rsidRPr="009B56F1">
        <w:t>Unallocated includes general programs where detai</w:t>
      </w:r>
      <w:r>
        <w:t>ls of beneficiaries are unknown.</w:t>
      </w:r>
    </w:p>
    <w:p w:rsidR="00F55BB0" w:rsidRPr="008E77FE" w:rsidRDefault="00F55BB0" w:rsidP="00F55BB0">
      <w:pPr>
        <w:pStyle w:val="Source"/>
      </w:pPr>
      <w:r>
        <w:rPr>
          <w:i/>
        </w:rPr>
        <w:t>Sources</w:t>
      </w:r>
      <w:r>
        <w:t>: Commission estimates based on Innovation Australia Annual Report 2011</w:t>
      </w:r>
      <w:r>
        <w:noBreakHyphen/>
        <w:t>12; and DIISR Annual Report 2010</w:t>
      </w:r>
      <w:r>
        <w:noBreakHyphen/>
        <w:t>11 (and earlier years).</w:t>
      </w:r>
    </w:p>
    <w:p w:rsidR="00AD2CBD" w:rsidRDefault="00FA09C3" w:rsidP="00AD2CBD">
      <w:pPr>
        <w:pStyle w:val="Heading2"/>
      </w:pPr>
      <w:r>
        <w:t>A.</w:t>
      </w:r>
      <w:r>
        <w:rPr>
          <w:noProof/>
        </w:rPr>
        <w:t>112</w:t>
      </w:r>
      <w:r w:rsidR="00AD2CBD">
        <w:tab/>
        <w:t>Assistance for Upgrade of Simplot processing plant</w:t>
      </w:r>
    </w:p>
    <w:p w:rsidR="00AD2CBD" w:rsidRPr="00DF3CC9" w:rsidRDefault="00AD2CBD" w:rsidP="00AD2CBD">
      <w:pPr>
        <w:pStyle w:val="BodyText"/>
      </w:pPr>
      <w:r w:rsidRPr="00DF3CC9">
        <w:t>To fulfil a 2010 election commitment, the Australian Government provided a $3 million grant to Simplot Australia Pty Ltd to support a $15.</w:t>
      </w:r>
      <w:r>
        <w:t>6</w:t>
      </w:r>
      <w:r w:rsidRPr="00DF3CC9">
        <w:t> million investment by the company to upgrade the coal-fired boilers to natural gas at its Ulverstone plant in Northern Tasmania. The investment aimed to reduce the plant’s ongoing energy costs and cut carbon emissions by some 48 per cent or 39 000 tonnes annually. The $3 million grant was paid across 2010</w:t>
      </w:r>
      <w:r w:rsidRPr="00DF3CC9">
        <w:noBreakHyphen/>
        <w:t>11 and 2011</w:t>
      </w:r>
      <w:r w:rsidRPr="00DF3CC9">
        <w:noBreakHyphen/>
        <w:t>12. The first payment of $2 million was made in May 2011 (</w:t>
      </w:r>
      <w:r w:rsidRPr="00813174">
        <w:t>DIISR 2011</w:t>
      </w:r>
      <w:r w:rsidRPr="00DF3CC9">
        <w:t>).</w:t>
      </w:r>
    </w:p>
    <w:p w:rsidR="00AD2CBD" w:rsidRDefault="00AD2CBD" w:rsidP="00AD2CBD">
      <w:pPr>
        <w:pStyle w:val="BodyText"/>
      </w:pPr>
      <w:r w:rsidRPr="00D97798">
        <w:t xml:space="preserve">The </w:t>
      </w:r>
      <w:r>
        <w:t>grant</w:t>
      </w:r>
      <w:r w:rsidRPr="00D97798">
        <w:t xml:space="preserve"> benefit</w:t>
      </w:r>
      <w:r>
        <w:t>s</w:t>
      </w:r>
      <w:r w:rsidRPr="00D97798">
        <w:t xml:space="preserve"> </w:t>
      </w:r>
      <w:r>
        <w:t xml:space="preserve">a firm operating in </w:t>
      </w:r>
      <w:r w:rsidRPr="00D97798">
        <w:t xml:space="preserve">the </w:t>
      </w:r>
      <w:r>
        <w:t>food processing</w:t>
      </w:r>
      <w:r w:rsidRPr="00D97798">
        <w:t xml:space="preserve"> industry and has been allocated to the </w:t>
      </w:r>
      <w:r w:rsidRPr="00D97798">
        <w:rPr>
          <w:i/>
        </w:rPr>
        <w:t>Food, beverages and tobacco</w:t>
      </w:r>
      <w:r w:rsidRPr="00D97798">
        <w:t xml:space="preserve"> industry grouping in the Commission’s ANZSIC-based classification (table A.</w:t>
      </w:r>
      <w:r>
        <w:t>11</w:t>
      </w:r>
      <w:r w:rsidR="00C065C1">
        <w:t>2</w:t>
      </w:r>
      <w:r w:rsidRPr="00D97798">
        <w:t>).</w:t>
      </w:r>
    </w:p>
    <w:p w:rsidR="00AD2CBD" w:rsidRDefault="00AD2CBD" w:rsidP="00AD2CBD">
      <w:pPr>
        <w:pStyle w:val="TableTitle"/>
      </w:pPr>
      <w:r>
        <w:rPr>
          <w:b w:val="0"/>
        </w:rPr>
        <w:t xml:space="preserve">Table </w:t>
      </w:r>
      <w:r w:rsidR="00FA09C3">
        <w:rPr>
          <w:b w:val="0"/>
        </w:rPr>
        <w:t>A.</w:t>
      </w:r>
      <w:r w:rsidR="00FA09C3">
        <w:rPr>
          <w:b w:val="0"/>
          <w:noProof/>
        </w:rPr>
        <w:t>112</w:t>
      </w:r>
      <w:r>
        <w:tab/>
        <w:t>Allocation of Assistance for upgrade of Sim</w:t>
      </w:r>
      <w:r w:rsidR="00B6795B">
        <w:t xml:space="preserve">plot Processing Plant </w:t>
      </w:r>
      <w:r w:rsidR="00B6795B" w:rsidRPr="00B6795B">
        <w:t>to industry</w:t>
      </w:r>
      <w:r>
        <w:t>, 2006</w:t>
      </w:r>
      <w:r>
        <w:noBreakHyphen/>
        <w:t>07 to 2011</w:t>
      </w:r>
      <w:r>
        <w:noBreakHyphen/>
        <w:t>12</w:t>
      </w:r>
    </w:p>
    <w:p w:rsidR="00AD2CBD" w:rsidRDefault="00AD2CBD" w:rsidP="00AD2CBD">
      <w:pPr>
        <w:pStyle w:val="Subtitle"/>
      </w:pPr>
      <w:r>
        <w:t>$</w:t>
      </w:r>
      <w:r w:rsidR="00C46C42">
        <w:t xml:space="preserve"> </w:t>
      </w:r>
      <w:r>
        <w:t>million (nominal)</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AD2CBD" w:rsidRPr="00AF699A" w:rsidTr="00CB219A">
        <w:trPr>
          <w:trHeight w:val="340"/>
        </w:trPr>
        <w:tc>
          <w:tcPr>
            <w:tcW w:w="1958" w:type="pct"/>
            <w:tcBorders>
              <w:top w:val="single" w:sz="6" w:space="0" w:color="auto"/>
              <w:bottom w:val="single" w:sz="6" w:space="0" w:color="auto"/>
            </w:tcBorders>
          </w:tcPr>
          <w:p w:rsidR="00AD2CBD" w:rsidRPr="00AF699A" w:rsidRDefault="00AD2CBD"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AD2CBD" w:rsidRPr="00AF699A" w:rsidRDefault="00AD2CBD"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AD2CBD" w:rsidRPr="00AF699A" w:rsidRDefault="00AD2CBD"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AD2CBD" w:rsidRPr="00AF699A" w:rsidRDefault="00AD2CBD"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AD2CBD" w:rsidRPr="00AF699A" w:rsidRDefault="00AD2CBD"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AD2CBD" w:rsidRPr="00AF699A" w:rsidRDefault="00AD2CBD" w:rsidP="001B56F1">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AD2CBD" w:rsidRPr="00AF699A" w:rsidRDefault="00AD2CBD" w:rsidP="001B56F1">
            <w:pPr>
              <w:pStyle w:val="TableColumnHeading"/>
              <w:ind w:right="28"/>
              <w:rPr>
                <w:rFonts w:cs="Arial"/>
                <w:sz w:val="18"/>
                <w:szCs w:val="18"/>
              </w:rPr>
            </w:pPr>
            <w:r w:rsidRPr="00AF699A">
              <w:rPr>
                <w:rFonts w:cs="Arial"/>
                <w:sz w:val="18"/>
                <w:szCs w:val="18"/>
              </w:rPr>
              <w:t>2011-12</w:t>
            </w:r>
          </w:p>
        </w:tc>
      </w:tr>
      <w:tr w:rsidR="00AD2CBD" w:rsidRPr="00CE1906" w:rsidTr="001B56F1">
        <w:tc>
          <w:tcPr>
            <w:tcW w:w="1958" w:type="pct"/>
            <w:tcBorders>
              <w:bottom w:val="single" w:sz="4" w:space="0" w:color="auto"/>
            </w:tcBorders>
            <w:vAlign w:val="bottom"/>
          </w:tcPr>
          <w:p w:rsidR="00AD2CBD" w:rsidRPr="00CE1906" w:rsidRDefault="00AD2CBD" w:rsidP="001B56F1">
            <w:pPr>
              <w:pStyle w:val="TableBodyText"/>
              <w:jc w:val="left"/>
            </w:pPr>
            <w:r w:rsidRPr="00CE1906">
              <w:t>Food, beverages and tobacco</w:t>
            </w:r>
          </w:p>
        </w:tc>
        <w:tc>
          <w:tcPr>
            <w:tcW w:w="507" w:type="pct"/>
            <w:tcBorders>
              <w:bottom w:val="single" w:sz="4" w:space="0" w:color="auto"/>
            </w:tcBorders>
            <w:vAlign w:val="bottom"/>
          </w:tcPr>
          <w:p w:rsidR="00AD2CBD" w:rsidRPr="00CE1906" w:rsidRDefault="00AD2CBD" w:rsidP="001B56F1">
            <w:pPr>
              <w:pStyle w:val="TableBodyText"/>
            </w:pPr>
            <w:r>
              <w:noBreakHyphen/>
            </w:r>
          </w:p>
        </w:tc>
        <w:tc>
          <w:tcPr>
            <w:tcW w:w="507" w:type="pct"/>
            <w:tcBorders>
              <w:bottom w:val="single" w:sz="4" w:space="0" w:color="auto"/>
            </w:tcBorders>
            <w:vAlign w:val="bottom"/>
          </w:tcPr>
          <w:p w:rsidR="00AD2CBD" w:rsidRPr="00CE1906" w:rsidRDefault="00AD2CBD" w:rsidP="001B56F1">
            <w:pPr>
              <w:pStyle w:val="TableBodyText"/>
            </w:pPr>
            <w:r>
              <w:noBreakHyphen/>
            </w:r>
          </w:p>
        </w:tc>
        <w:tc>
          <w:tcPr>
            <w:tcW w:w="507" w:type="pct"/>
            <w:tcBorders>
              <w:bottom w:val="single" w:sz="4" w:space="0" w:color="auto"/>
            </w:tcBorders>
            <w:vAlign w:val="bottom"/>
          </w:tcPr>
          <w:p w:rsidR="00AD2CBD" w:rsidRPr="00CE1906" w:rsidRDefault="00AD2CBD" w:rsidP="001B56F1">
            <w:pPr>
              <w:pStyle w:val="TableBodyText"/>
            </w:pPr>
            <w:r>
              <w:noBreakHyphen/>
            </w:r>
          </w:p>
        </w:tc>
        <w:tc>
          <w:tcPr>
            <w:tcW w:w="507" w:type="pct"/>
            <w:tcBorders>
              <w:bottom w:val="single" w:sz="4" w:space="0" w:color="auto"/>
            </w:tcBorders>
            <w:vAlign w:val="bottom"/>
          </w:tcPr>
          <w:p w:rsidR="00AD2CBD" w:rsidRPr="00CE1906" w:rsidRDefault="00AD2CBD" w:rsidP="001B56F1">
            <w:pPr>
              <w:pStyle w:val="TableBodyText"/>
            </w:pPr>
            <w:r>
              <w:noBreakHyphen/>
            </w:r>
          </w:p>
        </w:tc>
        <w:tc>
          <w:tcPr>
            <w:tcW w:w="507" w:type="pct"/>
            <w:tcBorders>
              <w:bottom w:val="single" w:sz="4" w:space="0" w:color="auto"/>
            </w:tcBorders>
            <w:shd w:val="clear" w:color="auto" w:fill="auto"/>
            <w:vAlign w:val="bottom"/>
          </w:tcPr>
          <w:p w:rsidR="00AD2CBD" w:rsidRPr="00CE1906" w:rsidRDefault="00AD2CBD" w:rsidP="001B56F1">
            <w:pPr>
              <w:pStyle w:val="TableBodyText"/>
            </w:pPr>
            <w:r w:rsidRPr="00CE1906">
              <w:t>2</w:t>
            </w:r>
            <w:r>
              <w:t>.0</w:t>
            </w:r>
          </w:p>
        </w:tc>
        <w:tc>
          <w:tcPr>
            <w:tcW w:w="507" w:type="pct"/>
            <w:tcBorders>
              <w:bottom w:val="single" w:sz="4" w:space="0" w:color="auto"/>
            </w:tcBorders>
            <w:shd w:val="clear" w:color="auto" w:fill="auto"/>
            <w:vAlign w:val="bottom"/>
          </w:tcPr>
          <w:p w:rsidR="00AD2CBD" w:rsidRPr="00CE1906" w:rsidRDefault="00AD2CBD" w:rsidP="001B56F1">
            <w:pPr>
              <w:pStyle w:val="TableBodyText"/>
            </w:pPr>
            <w:r w:rsidRPr="00CE1906">
              <w:t>1</w:t>
            </w:r>
            <w:r>
              <w:t>.0</w:t>
            </w:r>
          </w:p>
        </w:tc>
      </w:tr>
    </w:tbl>
    <w:p w:rsidR="00AD2CBD" w:rsidRDefault="00AD2CBD" w:rsidP="00AD2CBD">
      <w:pPr>
        <w:pStyle w:val="Note"/>
      </w:pPr>
      <w:r w:rsidRPr="00A2379F">
        <w:noBreakHyphen/>
        <w:t xml:space="preserve"> Nil</w:t>
      </w:r>
      <w:r>
        <w:t>.</w:t>
      </w:r>
    </w:p>
    <w:p w:rsidR="00AD2CBD" w:rsidRDefault="00AD2CBD" w:rsidP="00AD2CBD">
      <w:pPr>
        <w:pStyle w:val="Source"/>
      </w:pPr>
      <w:r>
        <w:rPr>
          <w:i/>
        </w:rPr>
        <w:t>Sources</w:t>
      </w:r>
      <w:r>
        <w:t>: Commission estimates based on DIISR Annual Report 2010</w:t>
      </w:r>
      <w:r>
        <w:noBreakHyphen/>
        <w:t>11; and detailed DIISR data by ANZSIC industry.</w:t>
      </w:r>
    </w:p>
    <w:p w:rsidR="0063501B" w:rsidRPr="0063501B" w:rsidRDefault="0063501B" w:rsidP="0063501B">
      <w:r>
        <w:br w:type="page"/>
      </w:r>
    </w:p>
    <w:p w:rsidR="00300D73" w:rsidRDefault="00FA09C3" w:rsidP="00300D73">
      <w:pPr>
        <w:pStyle w:val="Heading2"/>
      </w:pPr>
      <w:r>
        <w:t>A.</w:t>
      </w:r>
      <w:r>
        <w:rPr>
          <w:noProof/>
        </w:rPr>
        <w:t>113</w:t>
      </w:r>
      <w:r w:rsidR="00300D73">
        <w:tab/>
        <w:t>National Enabling Technologies Strategy</w:t>
      </w:r>
    </w:p>
    <w:p w:rsidR="00300D73" w:rsidRPr="00620297" w:rsidRDefault="00300D73" w:rsidP="00300D73">
      <w:pPr>
        <w:pStyle w:val="BodyText"/>
      </w:pPr>
      <w:r>
        <w:t xml:space="preserve">The National Enabling Technologies Strategy (NETS) aims to guide the responsible development and uptake of enabling technologies, such as biotechnology and nanotechnology </w:t>
      </w:r>
      <w:r w:rsidRPr="002F5C9C">
        <w:t>(</w:t>
      </w:r>
      <w:r w:rsidRPr="00813174">
        <w:t>DIISR 2011</w:t>
      </w:r>
      <w:r w:rsidRPr="002F5C9C">
        <w:t>)</w:t>
      </w:r>
      <w:r>
        <w:t>.</w:t>
      </w:r>
    </w:p>
    <w:p w:rsidR="00300D73" w:rsidRPr="00956B35" w:rsidRDefault="00300D73" w:rsidP="00300D73">
      <w:pPr>
        <w:pStyle w:val="BodyText"/>
      </w:pPr>
      <w:r w:rsidRPr="00E91635">
        <w:t xml:space="preserve">The Commission has obtained information from the Department of Innovation, Industry, Science and Research (DIISR) detailing expenditure data for </w:t>
      </w:r>
      <w:r>
        <w:t>the NETS</w:t>
      </w:r>
      <w:r w:rsidRPr="00E91635">
        <w:t xml:space="preserve"> by ANZSIC industry. These industry shares have been used to allocate total </w:t>
      </w:r>
      <w:r>
        <w:t>NETS</w:t>
      </w:r>
      <w:r w:rsidRPr="00E91635">
        <w:t xml:space="preserve"> funding to the Commission</w:t>
      </w:r>
      <w:r>
        <w:t>’</w:t>
      </w:r>
      <w:r w:rsidRPr="00E91635">
        <w:t>s ANZSIC-based industry groupings (table A.</w:t>
      </w:r>
      <w:r>
        <w:t>11</w:t>
      </w:r>
      <w:r w:rsidR="00C065C1">
        <w:t>3</w:t>
      </w:r>
      <w:r w:rsidRPr="00E91635">
        <w:t>).</w:t>
      </w:r>
    </w:p>
    <w:p w:rsidR="00300D73" w:rsidRDefault="00300D73" w:rsidP="00300D73">
      <w:pPr>
        <w:pStyle w:val="TableTitle"/>
      </w:pPr>
      <w:r>
        <w:rPr>
          <w:b w:val="0"/>
        </w:rPr>
        <w:t xml:space="preserve">Table </w:t>
      </w:r>
      <w:r w:rsidR="00FA09C3">
        <w:rPr>
          <w:b w:val="0"/>
        </w:rPr>
        <w:t>A.</w:t>
      </w:r>
      <w:r w:rsidR="00FA09C3">
        <w:rPr>
          <w:b w:val="0"/>
          <w:noProof/>
        </w:rPr>
        <w:t>113</w:t>
      </w:r>
      <w:r>
        <w:tab/>
        <w:t xml:space="preserve">Allocation of National Enabling Technologies Strategy </w:t>
      </w:r>
      <w:r w:rsidR="00B6795B" w:rsidRPr="00B6795B">
        <w:t>to industry</w:t>
      </w:r>
      <w:r>
        <w:t>, 2006</w:t>
      </w:r>
      <w:r>
        <w:noBreakHyphen/>
        <w:t>07 to 2011</w:t>
      </w:r>
      <w:r>
        <w:noBreakHyphen/>
        <w:t>12</w:t>
      </w:r>
    </w:p>
    <w:p w:rsidR="00300D73" w:rsidRDefault="000E1A26" w:rsidP="00300D73">
      <w:pPr>
        <w:pStyle w:val="Subtitle"/>
      </w:pPr>
      <w:r>
        <w:t>$ m</w:t>
      </w:r>
      <w:r w:rsidR="00300D73">
        <w:t>illion (nominal)</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300D73" w:rsidRPr="00AF699A" w:rsidTr="00CB219A">
        <w:trPr>
          <w:trHeight w:val="340"/>
        </w:trPr>
        <w:tc>
          <w:tcPr>
            <w:tcW w:w="1958" w:type="pct"/>
            <w:tcBorders>
              <w:top w:val="single" w:sz="6" w:space="0" w:color="auto"/>
              <w:bottom w:val="single" w:sz="6" w:space="0" w:color="auto"/>
            </w:tcBorders>
          </w:tcPr>
          <w:p w:rsidR="00300D73" w:rsidRPr="00AF699A" w:rsidRDefault="00300D73"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300D73" w:rsidRPr="00AF699A" w:rsidRDefault="00300D73"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300D73" w:rsidRPr="00AF699A" w:rsidRDefault="00300D73"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300D73" w:rsidRPr="00AF699A" w:rsidRDefault="00300D73"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300D73" w:rsidRPr="00AF699A" w:rsidRDefault="00300D73"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300D73" w:rsidRPr="00AF699A" w:rsidRDefault="00300D73" w:rsidP="001B56F1">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300D73" w:rsidRPr="00AF699A" w:rsidRDefault="00300D73" w:rsidP="001B56F1">
            <w:pPr>
              <w:pStyle w:val="TableColumnHeading"/>
              <w:ind w:right="28"/>
              <w:rPr>
                <w:rFonts w:cs="Arial"/>
                <w:sz w:val="18"/>
                <w:szCs w:val="18"/>
              </w:rPr>
            </w:pPr>
            <w:r w:rsidRPr="00AF699A">
              <w:rPr>
                <w:rFonts w:cs="Arial"/>
                <w:sz w:val="18"/>
                <w:szCs w:val="18"/>
              </w:rPr>
              <w:t>2011-12</w:t>
            </w:r>
          </w:p>
        </w:tc>
      </w:tr>
      <w:tr w:rsidR="00300D73" w:rsidRPr="002A35C8" w:rsidTr="001B56F1">
        <w:tc>
          <w:tcPr>
            <w:tcW w:w="1958" w:type="pct"/>
            <w:vAlign w:val="bottom"/>
          </w:tcPr>
          <w:p w:rsidR="00300D73" w:rsidRPr="00017CEC" w:rsidRDefault="00300D73" w:rsidP="001B56F1">
            <w:pPr>
              <w:pStyle w:val="TableBodyText"/>
              <w:jc w:val="left"/>
            </w:pPr>
            <w:r w:rsidRPr="00017CEC">
              <w:t>Property, professional and administrative services</w:t>
            </w:r>
          </w:p>
        </w:tc>
        <w:tc>
          <w:tcPr>
            <w:tcW w:w="507" w:type="pct"/>
            <w:vAlign w:val="bottom"/>
          </w:tcPr>
          <w:p w:rsidR="00300D73" w:rsidRPr="00017CEC" w:rsidRDefault="00300D73" w:rsidP="001B56F1">
            <w:pPr>
              <w:pStyle w:val="TableBodyText"/>
            </w:pPr>
            <w:r>
              <w:noBreakHyphen/>
            </w:r>
          </w:p>
        </w:tc>
        <w:tc>
          <w:tcPr>
            <w:tcW w:w="507" w:type="pct"/>
            <w:vAlign w:val="bottom"/>
          </w:tcPr>
          <w:p w:rsidR="00300D73" w:rsidRPr="00017CEC" w:rsidRDefault="00300D73" w:rsidP="001B56F1">
            <w:pPr>
              <w:pStyle w:val="TableBodyText"/>
            </w:pPr>
            <w:r>
              <w:noBreakHyphen/>
            </w:r>
          </w:p>
        </w:tc>
        <w:tc>
          <w:tcPr>
            <w:tcW w:w="507" w:type="pct"/>
            <w:vAlign w:val="bottom"/>
          </w:tcPr>
          <w:p w:rsidR="00300D73" w:rsidRPr="00017CEC" w:rsidRDefault="00300D73" w:rsidP="001B56F1">
            <w:pPr>
              <w:pStyle w:val="TableBodyText"/>
            </w:pPr>
            <w:r>
              <w:noBreakHyphen/>
            </w:r>
          </w:p>
        </w:tc>
        <w:tc>
          <w:tcPr>
            <w:tcW w:w="507" w:type="pct"/>
            <w:vAlign w:val="bottom"/>
          </w:tcPr>
          <w:p w:rsidR="00300D73" w:rsidRPr="00017CEC" w:rsidRDefault="00300D73" w:rsidP="001B56F1">
            <w:pPr>
              <w:pStyle w:val="TableBodyText"/>
            </w:pPr>
            <w:r w:rsidRPr="00017CEC">
              <w:t>0.2</w:t>
            </w:r>
          </w:p>
        </w:tc>
        <w:tc>
          <w:tcPr>
            <w:tcW w:w="507" w:type="pct"/>
            <w:shd w:val="clear" w:color="auto" w:fill="auto"/>
            <w:vAlign w:val="bottom"/>
          </w:tcPr>
          <w:p w:rsidR="00300D73" w:rsidRPr="00017CEC" w:rsidRDefault="00300D73" w:rsidP="001B56F1">
            <w:pPr>
              <w:pStyle w:val="TableBodyText"/>
            </w:pPr>
            <w:r w:rsidRPr="00017CEC">
              <w:t>0.2</w:t>
            </w:r>
          </w:p>
        </w:tc>
        <w:tc>
          <w:tcPr>
            <w:tcW w:w="507" w:type="pct"/>
            <w:shd w:val="clear" w:color="auto" w:fill="auto"/>
            <w:vAlign w:val="bottom"/>
          </w:tcPr>
          <w:p w:rsidR="00300D73" w:rsidRPr="00017CEC" w:rsidRDefault="00300D73" w:rsidP="001B56F1">
            <w:pPr>
              <w:pStyle w:val="TableBodyText"/>
            </w:pPr>
            <w:r w:rsidRPr="00017CEC">
              <w:t>0.3</w:t>
            </w:r>
          </w:p>
        </w:tc>
      </w:tr>
      <w:tr w:rsidR="00300D73" w:rsidRPr="002A35C8" w:rsidTr="001B56F1">
        <w:tc>
          <w:tcPr>
            <w:tcW w:w="1958" w:type="pct"/>
            <w:vAlign w:val="bottom"/>
          </w:tcPr>
          <w:p w:rsidR="00300D73" w:rsidRPr="00017CEC" w:rsidRDefault="00300D73" w:rsidP="001B56F1">
            <w:pPr>
              <w:pStyle w:val="TableBodyText"/>
              <w:jc w:val="left"/>
            </w:pPr>
            <w:r w:rsidRPr="00017CEC">
              <w:t>Unallocated other</w:t>
            </w:r>
            <w:r w:rsidRPr="00BD3CDA">
              <w:rPr>
                <w:rStyle w:val="NoteLabel"/>
                <w:szCs w:val="18"/>
              </w:rPr>
              <w:t>a</w:t>
            </w:r>
          </w:p>
        </w:tc>
        <w:tc>
          <w:tcPr>
            <w:tcW w:w="507" w:type="pct"/>
            <w:vAlign w:val="bottom"/>
          </w:tcPr>
          <w:p w:rsidR="00300D73" w:rsidRPr="00017CEC" w:rsidRDefault="00300D73" w:rsidP="001B56F1">
            <w:pPr>
              <w:pStyle w:val="TableBodyText"/>
            </w:pPr>
            <w:r>
              <w:noBreakHyphen/>
            </w:r>
          </w:p>
        </w:tc>
        <w:tc>
          <w:tcPr>
            <w:tcW w:w="507" w:type="pct"/>
            <w:vAlign w:val="bottom"/>
          </w:tcPr>
          <w:p w:rsidR="00300D73" w:rsidRPr="00017CEC" w:rsidRDefault="00300D73" w:rsidP="001B56F1">
            <w:pPr>
              <w:pStyle w:val="TableBodyText"/>
            </w:pPr>
            <w:r>
              <w:noBreakHyphen/>
            </w:r>
          </w:p>
        </w:tc>
        <w:tc>
          <w:tcPr>
            <w:tcW w:w="507" w:type="pct"/>
            <w:vAlign w:val="bottom"/>
          </w:tcPr>
          <w:p w:rsidR="00300D73" w:rsidRPr="00017CEC" w:rsidRDefault="00300D73" w:rsidP="001B56F1">
            <w:pPr>
              <w:pStyle w:val="TableBodyText"/>
            </w:pPr>
            <w:r>
              <w:noBreakHyphen/>
            </w:r>
          </w:p>
        </w:tc>
        <w:tc>
          <w:tcPr>
            <w:tcW w:w="507" w:type="pct"/>
            <w:vAlign w:val="bottom"/>
          </w:tcPr>
          <w:p w:rsidR="00300D73" w:rsidRPr="00017CEC" w:rsidRDefault="00300D73" w:rsidP="001B56F1">
            <w:pPr>
              <w:pStyle w:val="TableBodyText"/>
            </w:pPr>
            <w:r w:rsidRPr="00017CEC">
              <w:t>0.1</w:t>
            </w:r>
          </w:p>
        </w:tc>
        <w:tc>
          <w:tcPr>
            <w:tcW w:w="507" w:type="pct"/>
            <w:shd w:val="clear" w:color="auto" w:fill="auto"/>
            <w:vAlign w:val="bottom"/>
          </w:tcPr>
          <w:p w:rsidR="00300D73" w:rsidRPr="00017CEC" w:rsidRDefault="00300D73" w:rsidP="001B56F1">
            <w:pPr>
              <w:pStyle w:val="TableBodyText"/>
            </w:pPr>
            <w:r w:rsidRPr="00017CEC">
              <w:t>0.4</w:t>
            </w:r>
          </w:p>
        </w:tc>
        <w:tc>
          <w:tcPr>
            <w:tcW w:w="507" w:type="pct"/>
            <w:shd w:val="clear" w:color="auto" w:fill="auto"/>
            <w:vAlign w:val="bottom"/>
          </w:tcPr>
          <w:p w:rsidR="00300D73" w:rsidRPr="00017CEC" w:rsidRDefault="00300D73" w:rsidP="001B56F1">
            <w:pPr>
              <w:pStyle w:val="TableBodyText"/>
            </w:pPr>
            <w:r w:rsidRPr="00017CEC">
              <w:t>0.6</w:t>
            </w:r>
          </w:p>
        </w:tc>
      </w:tr>
      <w:tr w:rsidR="00300D73" w:rsidRPr="002A35C8" w:rsidTr="001B56F1">
        <w:tc>
          <w:tcPr>
            <w:tcW w:w="1958" w:type="pct"/>
            <w:tcBorders>
              <w:bottom w:val="single" w:sz="4" w:space="0" w:color="auto"/>
            </w:tcBorders>
            <w:vAlign w:val="bottom"/>
          </w:tcPr>
          <w:p w:rsidR="00300D73" w:rsidRPr="00017CEC" w:rsidRDefault="00300D73" w:rsidP="001B56F1">
            <w:pPr>
              <w:pStyle w:val="TableBodyText"/>
              <w:jc w:val="left"/>
              <w:rPr>
                <w:b/>
              </w:rPr>
            </w:pPr>
            <w:r w:rsidRPr="00017CEC">
              <w:rPr>
                <w:b/>
              </w:rPr>
              <w:t>Total</w:t>
            </w:r>
          </w:p>
        </w:tc>
        <w:tc>
          <w:tcPr>
            <w:tcW w:w="507" w:type="pct"/>
            <w:tcBorders>
              <w:bottom w:val="single" w:sz="4" w:space="0" w:color="auto"/>
            </w:tcBorders>
            <w:vAlign w:val="bottom"/>
          </w:tcPr>
          <w:p w:rsidR="00300D73" w:rsidRPr="00017CEC" w:rsidRDefault="00300D73" w:rsidP="001B56F1">
            <w:pPr>
              <w:pStyle w:val="TableBodyText"/>
              <w:rPr>
                <w:b/>
              </w:rPr>
            </w:pPr>
            <w:r>
              <w:rPr>
                <w:b/>
              </w:rPr>
              <w:noBreakHyphen/>
            </w:r>
          </w:p>
        </w:tc>
        <w:tc>
          <w:tcPr>
            <w:tcW w:w="507" w:type="pct"/>
            <w:tcBorders>
              <w:bottom w:val="single" w:sz="4" w:space="0" w:color="auto"/>
            </w:tcBorders>
            <w:vAlign w:val="bottom"/>
          </w:tcPr>
          <w:p w:rsidR="00300D73" w:rsidRPr="00017CEC" w:rsidRDefault="00300D73" w:rsidP="001B56F1">
            <w:pPr>
              <w:pStyle w:val="TableBodyText"/>
              <w:rPr>
                <w:b/>
              </w:rPr>
            </w:pPr>
            <w:r>
              <w:rPr>
                <w:b/>
              </w:rPr>
              <w:noBreakHyphen/>
            </w:r>
          </w:p>
        </w:tc>
        <w:tc>
          <w:tcPr>
            <w:tcW w:w="507" w:type="pct"/>
            <w:tcBorders>
              <w:bottom w:val="single" w:sz="4" w:space="0" w:color="auto"/>
            </w:tcBorders>
            <w:vAlign w:val="bottom"/>
          </w:tcPr>
          <w:p w:rsidR="00300D73" w:rsidRPr="00017CEC" w:rsidRDefault="00300D73" w:rsidP="001B56F1">
            <w:pPr>
              <w:pStyle w:val="TableBodyText"/>
              <w:rPr>
                <w:b/>
              </w:rPr>
            </w:pPr>
            <w:r>
              <w:rPr>
                <w:b/>
              </w:rPr>
              <w:noBreakHyphen/>
            </w:r>
          </w:p>
        </w:tc>
        <w:tc>
          <w:tcPr>
            <w:tcW w:w="507" w:type="pct"/>
            <w:tcBorders>
              <w:bottom w:val="single" w:sz="4" w:space="0" w:color="auto"/>
            </w:tcBorders>
            <w:vAlign w:val="bottom"/>
          </w:tcPr>
          <w:p w:rsidR="00300D73" w:rsidRPr="00017CEC" w:rsidRDefault="00300D73" w:rsidP="001B56F1">
            <w:pPr>
              <w:pStyle w:val="TableBodyText"/>
              <w:rPr>
                <w:b/>
              </w:rPr>
            </w:pPr>
            <w:r w:rsidRPr="00017CEC">
              <w:rPr>
                <w:b/>
              </w:rPr>
              <w:t>0.4</w:t>
            </w:r>
          </w:p>
        </w:tc>
        <w:tc>
          <w:tcPr>
            <w:tcW w:w="507" w:type="pct"/>
            <w:tcBorders>
              <w:bottom w:val="single" w:sz="4" w:space="0" w:color="auto"/>
            </w:tcBorders>
            <w:shd w:val="clear" w:color="auto" w:fill="auto"/>
            <w:vAlign w:val="bottom"/>
          </w:tcPr>
          <w:p w:rsidR="00300D73" w:rsidRPr="00017CEC" w:rsidRDefault="00300D73" w:rsidP="001B56F1">
            <w:pPr>
              <w:pStyle w:val="TableBodyText"/>
              <w:rPr>
                <w:b/>
              </w:rPr>
            </w:pPr>
            <w:r w:rsidRPr="00017CEC">
              <w:rPr>
                <w:b/>
              </w:rPr>
              <w:t>0.6</w:t>
            </w:r>
          </w:p>
        </w:tc>
        <w:tc>
          <w:tcPr>
            <w:tcW w:w="507" w:type="pct"/>
            <w:tcBorders>
              <w:bottom w:val="single" w:sz="4" w:space="0" w:color="auto"/>
            </w:tcBorders>
            <w:shd w:val="clear" w:color="auto" w:fill="auto"/>
            <w:vAlign w:val="bottom"/>
          </w:tcPr>
          <w:p w:rsidR="00300D73" w:rsidRPr="00017CEC" w:rsidRDefault="00300D73" w:rsidP="001B56F1">
            <w:pPr>
              <w:pStyle w:val="TableBodyText"/>
              <w:rPr>
                <w:b/>
              </w:rPr>
            </w:pPr>
            <w:r w:rsidRPr="00017CEC">
              <w:rPr>
                <w:b/>
              </w:rPr>
              <w:t>0.8</w:t>
            </w:r>
          </w:p>
        </w:tc>
      </w:tr>
    </w:tbl>
    <w:p w:rsidR="00300D73" w:rsidRDefault="00300D73" w:rsidP="00300D73">
      <w:pPr>
        <w:pStyle w:val="Note"/>
      </w:pPr>
      <w:r w:rsidRPr="00A2379F">
        <w:noBreakHyphen/>
        <w:t xml:space="preserve"> Nil</w:t>
      </w:r>
      <w:r>
        <w:t>.</w:t>
      </w:r>
      <w:r w:rsidRPr="008E77FE">
        <w:rPr>
          <w:rStyle w:val="NoteLabel"/>
        </w:rPr>
        <w:t xml:space="preserve"> a</w:t>
      </w:r>
      <w:r>
        <w:t xml:space="preserve"> </w:t>
      </w:r>
      <w:r w:rsidRPr="009B56F1">
        <w:t>Unallocated includes general programs where detai</w:t>
      </w:r>
      <w:r>
        <w:t>ls of beneficiaries are unknown.</w:t>
      </w:r>
    </w:p>
    <w:p w:rsidR="00300D73" w:rsidRPr="008E77FE" w:rsidRDefault="00300D73" w:rsidP="00300D73">
      <w:pPr>
        <w:pStyle w:val="Source"/>
      </w:pPr>
      <w:r>
        <w:rPr>
          <w:i/>
        </w:rPr>
        <w:t>Sources</w:t>
      </w:r>
      <w:r>
        <w:t>: Commission estimates based on DIISR Annual Report 2009</w:t>
      </w:r>
      <w:r w:rsidR="00A461C3">
        <w:noBreakHyphen/>
      </w:r>
      <w:r>
        <w:t>10; and detailed DIISR data by ANZSIC industry.</w:t>
      </w:r>
    </w:p>
    <w:p w:rsidR="001240AE" w:rsidRDefault="00FA09C3" w:rsidP="001240AE">
      <w:pPr>
        <w:pStyle w:val="Heading2"/>
      </w:pPr>
      <w:r>
        <w:t>A.</w:t>
      </w:r>
      <w:r>
        <w:rPr>
          <w:noProof/>
        </w:rPr>
        <w:t>114</w:t>
      </w:r>
      <w:r w:rsidR="001240AE">
        <w:tab/>
        <w:t xml:space="preserve">Commercial Ready </w:t>
      </w:r>
      <w:r w:rsidR="00103886">
        <w:t>P</w:t>
      </w:r>
      <w:r w:rsidR="001240AE">
        <w:t>rogram</w:t>
      </w:r>
    </w:p>
    <w:p w:rsidR="001240AE" w:rsidRDefault="001240AE" w:rsidP="001240AE">
      <w:pPr>
        <w:pStyle w:val="BodyText"/>
      </w:pPr>
      <w:r>
        <w:t>The Commercial Ready Program (CRP) was introduced in 2004 as part of the ‘Backing Australia’s Ability’ program. The CRP provides merit-based competitive grants to small and medium sized enterprises for early-stage commercialisation, research and development with a high commercial potential, and proof of concept activities. The program replaced previous firm-specific support for R&amp;D, early-stage commercialisation and aspects of technology adaptation, delivered under the R&amp;D Start Program (Grants), the Biotechnology Innovation Fund and elements of the Innovation Access Program.</w:t>
      </w:r>
    </w:p>
    <w:p w:rsidR="001240AE" w:rsidRDefault="001240AE" w:rsidP="001240AE">
      <w:pPr>
        <w:pStyle w:val="BodyText"/>
      </w:pPr>
      <w:r>
        <w:t>The CRP was closed to new applications in May 2008, although existing participants continue to receive funding under the program.</w:t>
      </w:r>
    </w:p>
    <w:p w:rsidR="001240AE" w:rsidRDefault="001240AE" w:rsidP="001240AE">
      <w:pPr>
        <w:pStyle w:val="BodyText"/>
      </w:pPr>
      <w:r>
        <w:t>The Commission has obtained information from the Department of Industry detailing the split of CRP funding across ANZSIC industries. This information has been allocated to the Commission’s ANZSIC-based industry groupings (table A.11</w:t>
      </w:r>
      <w:r w:rsidR="00C065C1">
        <w:t>4</w:t>
      </w:r>
      <w:r>
        <w:t>).</w:t>
      </w:r>
    </w:p>
    <w:p w:rsidR="001240AE" w:rsidRDefault="001240AE" w:rsidP="001240AE">
      <w:pPr>
        <w:pStyle w:val="TableTitle"/>
      </w:pPr>
      <w:r>
        <w:rPr>
          <w:b w:val="0"/>
        </w:rPr>
        <w:t xml:space="preserve">Table </w:t>
      </w:r>
      <w:r w:rsidR="00FA09C3">
        <w:rPr>
          <w:b w:val="0"/>
        </w:rPr>
        <w:t>A.</w:t>
      </w:r>
      <w:r w:rsidR="00FA09C3">
        <w:rPr>
          <w:b w:val="0"/>
          <w:noProof/>
        </w:rPr>
        <w:t>114</w:t>
      </w:r>
      <w:r>
        <w:tab/>
        <w:t xml:space="preserve">Allocation of Commercial Ready </w:t>
      </w:r>
      <w:r w:rsidR="00103886">
        <w:t>P</w:t>
      </w:r>
      <w:r>
        <w:t xml:space="preserve">rogram </w:t>
      </w:r>
      <w:r w:rsidR="00B6795B" w:rsidRPr="00B6795B">
        <w:t>to industry</w:t>
      </w:r>
      <w:r>
        <w:t>, 2006</w:t>
      </w:r>
      <w:r>
        <w:noBreakHyphen/>
        <w:t>07 to 2011</w:t>
      </w:r>
      <w:r>
        <w:noBreakHyphen/>
        <w:t>12</w:t>
      </w:r>
    </w:p>
    <w:p w:rsidR="001240AE" w:rsidRDefault="001240AE" w:rsidP="001240AE">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1240AE" w:rsidRPr="00AF699A" w:rsidTr="001B56F1">
        <w:tc>
          <w:tcPr>
            <w:tcW w:w="1960" w:type="pct"/>
            <w:tcBorders>
              <w:top w:val="single" w:sz="6" w:space="0" w:color="auto"/>
              <w:bottom w:val="single" w:sz="6" w:space="0" w:color="auto"/>
            </w:tcBorders>
          </w:tcPr>
          <w:p w:rsidR="001240AE" w:rsidRPr="00AF699A" w:rsidRDefault="001240AE"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1240AE" w:rsidRPr="00AF699A" w:rsidRDefault="001240AE"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1240AE" w:rsidRPr="00AF699A" w:rsidRDefault="001240AE"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1240AE" w:rsidRPr="00AF699A" w:rsidRDefault="001240AE"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1240AE" w:rsidRPr="00AF699A" w:rsidRDefault="001240AE"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1240AE" w:rsidRPr="00AF699A" w:rsidRDefault="001240AE"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1240AE" w:rsidRPr="00AF699A" w:rsidRDefault="001240AE" w:rsidP="001B56F1">
            <w:pPr>
              <w:pStyle w:val="TableColumnHeading"/>
              <w:ind w:right="28"/>
              <w:rPr>
                <w:rFonts w:cs="Arial"/>
                <w:sz w:val="18"/>
                <w:szCs w:val="18"/>
              </w:rPr>
            </w:pPr>
            <w:r w:rsidRPr="00AF699A">
              <w:rPr>
                <w:rFonts w:cs="Arial"/>
                <w:sz w:val="18"/>
                <w:szCs w:val="18"/>
              </w:rPr>
              <w:t>2011-12</w:t>
            </w:r>
          </w:p>
        </w:tc>
      </w:tr>
      <w:tr w:rsidR="001240AE" w:rsidRPr="006C5A80" w:rsidTr="001B56F1">
        <w:tc>
          <w:tcPr>
            <w:tcW w:w="1960" w:type="pct"/>
            <w:tcBorders>
              <w:top w:val="single" w:sz="6" w:space="0" w:color="auto"/>
            </w:tcBorders>
            <w:vAlign w:val="bottom"/>
          </w:tcPr>
          <w:p w:rsidR="001240AE" w:rsidRPr="006C0DD3" w:rsidRDefault="001240AE" w:rsidP="001B56F1">
            <w:pPr>
              <w:pStyle w:val="TableBodyText"/>
              <w:jc w:val="left"/>
              <w:rPr>
                <w:b/>
                <w:sz w:val="18"/>
                <w:szCs w:val="18"/>
              </w:rPr>
            </w:pPr>
            <w:r w:rsidRPr="006C0DD3">
              <w:rPr>
                <w:b/>
                <w:sz w:val="18"/>
                <w:szCs w:val="18"/>
              </w:rPr>
              <w:t>Primary production</w:t>
            </w:r>
          </w:p>
        </w:tc>
        <w:tc>
          <w:tcPr>
            <w:tcW w:w="507" w:type="pct"/>
            <w:tcBorders>
              <w:top w:val="single" w:sz="6" w:space="0" w:color="auto"/>
            </w:tcBorders>
            <w:vAlign w:val="bottom"/>
          </w:tcPr>
          <w:p w:rsidR="001240AE" w:rsidRPr="006C0DD3" w:rsidRDefault="001240AE" w:rsidP="001B56F1">
            <w:pPr>
              <w:pStyle w:val="TableBodyText"/>
              <w:rPr>
                <w:b/>
                <w:sz w:val="18"/>
                <w:szCs w:val="18"/>
              </w:rPr>
            </w:pPr>
            <w:r w:rsidRPr="006C0DD3">
              <w:rPr>
                <w:b/>
                <w:sz w:val="18"/>
                <w:szCs w:val="18"/>
              </w:rPr>
              <w:t>6.4</w:t>
            </w:r>
          </w:p>
        </w:tc>
        <w:tc>
          <w:tcPr>
            <w:tcW w:w="507" w:type="pct"/>
            <w:tcBorders>
              <w:top w:val="single" w:sz="6" w:space="0" w:color="auto"/>
            </w:tcBorders>
            <w:vAlign w:val="bottom"/>
          </w:tcPr>
          <w:p w:rsidR="001240AE" w:rsidRPr="006C0DD3" w:rsidRDefault="001240AE" w:rsidP="001B56F1">
            <w:pPr>
              <w:pStyle w:val="TableBodyText"/>
              <w:rPr>
                <w:b/>
                <w:sz w:val="18"/>
                <w:szCs w:val="18"/>
              </w:rPr>
            </w:pPr>
            <w:r w:rsidRPr="006C0DD3">
              <w:rPr>
                <w:b/>
                <w:sz w:val="18"/>
                <w:szCs w:val="18"/>
              </w:rPr>
              <w:t>6.4</w:t>
            </w:r>
          </w:p>
        </w:tc>
        <w:tc>
          <w:tcPr>
            <w:tcW w:w="507" w:type="pct"/>
            <w:tcBorders>
              <w:top w:val="single" w:sz="6" w:space="0" w:color="auto"/>
            </w:tcBorders>
            <w:vAlign w:val="bottom"/>
          </w:tcPr>
          <w:p w:rsidR="001240AE" w:rsidRPr="006C0DD3" w:rsidRDefault="001240AE" w:rsidP="001B56F1">
            <w:pPr>
              <w:pStyle w:val="TableBodyText"/>
              <w:rPr>
                <w:b/>
                <w:sz w:val="18"/>
                <w:szCs w:val="18"/>
              </w:rPr>
            </w:pPr>
            <w:r w:rsidRPr="006C0DD3">
              <w:rPr>
                <w:b/>
                <w:sz w:val="18"/>
                <w:szCs w:val="18"/>
              </w:rPr>
              <w:t>3.7</w:t>
            </w:r>
          </w:p>
        </w:tc>
        <w:tc>
          <w:tcPr>
            <w:tcW w:w="507" w:type="pct"/>
            <w:tcBorders>
              <w:top w:val="single" w:sz="6" w:space="0" w:color="auto"/>
            </w:tcBorders>
            <w:vAlign w:val="bottom"/>
          </w:tcPr>
          <w:p w:rsidR="001240AE" w:rsidRPr="006C0DD3" w:rsidRDefault="001240AE" w:rsidP="001B56F1">
            <w:pPr>
              <w:pStyle w:val="TableBodyText"/>
              <w:rPr>
                <w:b/>
                <w:sz w:val="18"/>
                <w:szCs w:val="18"/>
              </w:rPr>
            </w:pPr>
            <w:r w:rsidRPr="006C0DD3">
              <w:rPr>
                <w:b/>
                <w:sz w:val="18"/>
                <w:szCs w:val="18"/>
              </w:rPr>
              <w:t>1.6</w:t>
            </w:r>
          </w:p>
        </w:tc>
        <w:tc>
          <w:tcPr>
            <w:tcW w:w="507" w:type="pct"/>
            <w:tcBorders>
              <w:top w:val="single" w:sz="6" w:space="0" w:color="auto"/>
            </w:tcBorders>
            <w:vAlign w:val="bottom"/>
          </w:tcPr>
          <w:p w:rsidR="001240AE" w:rsidRPr="006C0DD3" w:rsidRDefault="001240AE" w:rsidP="001B56F1">
            <w:pPr>
              <w:pStyle w:val="TableBodyText"/>
              <w:rPr>
                <w:b/>
                <w:sz w:val="18"/>
                <w:szCs w:val="18"/>
              </w:rPr>
            </w:pPr>
            <w:r w:rsidRPr="006C0DD3">
              <w:rPr>
                <w:b/>
                <w:sz w:val="18"/>
                <w:szCs w:val="18"/>
              </w:rPr>
              <w:t>0.2</w:t>
            </w:r>
          </w:p>
        </w:tc>
        <w:tc>
          <w:tcPr>
            <w:tcW w:w="505" w:type="pct"/>
            <w:tcBorders>
              <w:top w:val="single" w:sz="6" w:space="0" w:color="auto"/>
            </w:tcBorders>
            <w:vAlign w:val="bottom"/>
          </w:tcPr>
          <w:p w:rsidR="001240AE" w:rsidRPr="006C0DD3" w:rsidRDefault="001240AE" w:rsidP="001B56F1">
            <w:pPr>
              <w:pStyle w:val="TableBodyText"/>
              <w:rPr>
                <w:b/>
                <w:sz w:val="18"/>
                <w:szCs w:val="18"/>
              </w:rPr>
            </w:pPr>
            <w:r w:rsidRPr="00B37B77">
              <w:rPr>
                <w:b/>
                <w:sz w:val="18"/>
                <w:szCs w:val="18"/>
              </w:rPr>
              <w:t>&lt;0.1</w:t>
            </w:r>
          </w:p>
        </w:tc>
      </w:tr>
      <w:tr w:rsidR="001240AE" w:rsidRPr="006C5A80" w:rsidTr="001B56F1">
        <w:tc>
          <w:tcPr>
            <w:tcW w:w="1960" w:type="pct"/>
            <w:vAlign w:val="bottom"/>
          </w:tcPr>
          <w:p w:rsidR="001240AE" w:rsidRPr="00267504" w:rsidRDefault="001240AE" w:rsidP="001B56F1">
            <w:pPr>
              <w:pStyle w:val="TableBodyText"/>
              <w:jc w:val="left"/>
              <w:rPr>
                <w:sz w:val="18"/>
                <w:szCs w:val="18"/>
              </w:rPr>
            </w:pPr>
            <w:r w:rsidRPr="006C0DD3">
              <w:rPr>
                <w:sz w:val="18"/>
                <w:szCs w:val="18"/>
              </w:rPr>
              <w:t>Horticulture and fruit growing</w:t>
            </w:r>
          </w:p>
        </w:tc>
        <w:tc>
          <w:tcPr>
            <w:tcW w:w="507" w:type="pct"/>
            <w:vAlign w:val="bottom"/>
          </w:tcPr>
          <w:p w:rsidR="001240AE" w:rsidRPr="006C0DD3" w:rsidRDefault="001240AE" w:rsidP="001B56F1">
            <w:pPr>
              <w:pStyle w:val="TableBodyText"/>
              <w:rPr>
                <w:sz w:val="18"/>
                <w:szCs w:val="18"/>
              </w:rPr>
            </w:pPr>
            <w:r w:rsidRPr="006C0DD3">
              <w:rPr>
                <w:sz w:val="18"/>
                <w:szCs w:val="18"/>
              </w:rPr>
              <w:t>1.3</w:t>
            </w:r>
          </w:p>
        </w:tc>
        <w:tc>
          <w:tcPr>
            <w:tcW w:w="507" w:type="pct"/>
            <w:vAlign w:val="bottom"/>
          </w:tcPr>
          <w:p w:rsidR="001240AE" w:rsidRPr="006C0DD3" w:rsidRDefault="001240AE" w:rsidP="001B56F1">
            <w:pPr>
              <w:pStyle w:val="TableBodyText"/>
              <w:rPr>
                <w:sz w:val="18"/>
                <w:szCs w:val="18"/>
              </w:rPr>
            </w:pPr>
            <w:r w:rsidRPr="006C0DD3">
              <w:rPr>
                <w:sz w:val="18"/>
                <w:szCs w:val="18"/>
              </w:rPr>
              <w:t>0.6</w:t>
            </w:r>
          </w:p>
        </w:tc>
        <w:tc>
          <w:tcPr>
            <w:tcW w:w="507" w:type="pct"/>
            <w:vAlign w:val="bottom"/>
          </w:tcPr>
          <w:p w:rsidR="001240AE" w:rsidRPr="006C0DD3" w:rsidRDefault="001240AE" w:rsidP="001B56F1">
            <w:pPr>
              <w:pStyle w:val="TableBodyText"/>
              <w:rPr>
                <w:sz w:val="18"/>
                <w:szCs w:val="18"/>
              </w:rPr>
            </w:pPr>
            <w:r w:rsidRPr="006C0DD3">
              <w:rPr>
                <w:sz w:val="18"/>
                <w:szCs w:val="18"/>
              </w:rPr>
              <w:t>0.5</w:t>
            </w:r>
          </w:p>
        </w:tc>
        <w:tc>
          <w:tcPr>
            <w:tcW w:w="507" w:type="pct"/>
            <w:vAlign w:val="bottom"/>
          </w:tcPr>
          <w:p w:rsidR="001240AE" w:rsidRPr="006C0DD3" w:rsidRDefault="001240AE" w:rsidP="001B56F1">
            <w:pPr>
              <w:pStyle w:val="TableBodyText"/>
              <w:rPr>
                <w:sz w:val="18"/>
                <w:szCs w:val="18"/>
              </w:rPr>
            </w:pPr>
            <w:r w:rsidRPr="006C0DD3">
              <w:rPr>
                <w:sz w:val="18"/>
                <w:szCs w:val="18"/>
              </w:rPr>
              <w:t>0.1</w:t>
            </w:r>
          </w:p>
        </w:tc>
        <w:tc>
          <w:tcPr>
            <w:tcW w:w="507" w:type="pct"/>
            <w:vAlign w:val="bottom"/>
          </w:tcPr>
          <w:p w:rsidR="001240AE" w:rsidRPr="006C0DD3" w:rsidRDefault="001240AE" w:rsidP="001B56F1">
            <w:pPr>
              <w:pStyle w:val="TableBodyText"/>
              <w:rPr>
                <w:sz w:val="18"/>
                <w:szCs w:val="18"/>
              </w:rPr>
            </w:pPr>
            <w:r>
              <w:rPr>
                <w:sz w:val="18"/>
                <w:szCs w:val="18"/>
              </w:rPr>
              <w:noBreakHyphen/>
            </w:r>
          </w:p>
        </w:tc>
        <w:tc>
          <w:tcPr>
            <w:tcW w:w="505" w:type="pct"/>
            <w:vAlign w:val="bottom"/>
          </w:tcPr>
          <w:p w:rsidR="001240AE" w:rsidRPr="006C0DD3" w:rsidRDefault="001240AE" w:rsidP="001B56F1">
            <w:pPr>
              <w:pStyle w:val="TableBodyText"/>
              <w:rPr>
                <w:sz w:val="18"/>
                <w:szCs w:val="18"/>
              </w:rPr>
            </w:pPr>
            <w:r>
              <w:rPr>
                <w:sz w:val="18"/>
                <w:szCs w:val="18"/>
              </w:rPr>
              <w:noBreakHyphen/>
            </w:r>
          </w:p>
        </w:tc>
      </w:tr>
      <w:tr w:rsidR="001240AE" w:rsidRPr="006C5A80" w:rsidTr="001B56F1">
        <w:tc>
          <w:tcPr>
            <w:tcW w:w="1960" w:type="pct"/>
            <w:vAlign w:val="bottom"/>
          </w:tcPr>
          <w:p w:rsidR="001240AE" w:rsidRPr="00267504" w:rsidRDefault="001240AE" w:rsidP="001B56F1">
            <w:pPr>
              <w:pStyle w:val="TableBodyText"/>
              <w:jc w:val="left"/>
              <w:rPr>
                <w:sz w:val="18"/>
                <w:szCs w:val="18"/>
              </w:rPr>
            </w:pPr>
            <w:r w:rsidRPr="00267504">
              <w:rPr>
                <w:sz w:val="18"/>
                <w:szCs w:val="18"/>
              </w:rPr>
              <w:t>Other crop growing</w:t>
            </w:r>
          </w:p>
        </w:tc>
        <w:tc>
          <w:tcPr>
            <w:tcW w:w="507" w:type="pct"/>
            <w:vAlign w:val="bottom"/>
          </w:tcPr>
          <w:p w:rsidR="001240AE" w:rsidRPr="006C0DD3" w:rsidRDefault="001240AE"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1240AE" w:rsidRPr="006C0DD3" w:rsidRDefault="001240AE" w:rsidP="001B56F1">
            <w:pPr>
              <w:pStyle w:val="TableBodyText"/>
              <w:rPr>
                <w:sz w:val="18"/>
                <w:szCs w:val="18"/>
              </w:rPr>
            </w:pPr>
            <w:r w:rsidRPr="006C0DD3">
              <w:rPr>
                <w:sz w:val="18"/>
                <w:szCs w:val="18"/>
              </w:rPr>
              <w:t>0.6</w:t>
            </w:r>
          </w:p>
        </w:tc>
        <w:tc>
          <w:tcPr>
            <w:tcW w:w="507" w:type="pct"/>
            <w:vAlign w:val="bottom"/>
          </w:tcPr>
          <w:p w:rsidR="001240AE" w:rsidRPr="006C0DD3" w:rsidRDefault="001240AE" w:rsidP="001B56F1">
            <w:pPr>
              <w:pStyle w:val="TableBodyText"/>
              <w:rPr>
                <w:sz w:val="18"/>
                <w:szCs w:val="18"/>
              </w:rPr>
            </w:pPr>
            <w:r>
              <w:rPr>
                <w:sz w:val="18"/>
                <w:szCs w:val="18"/>
              </w:rPr>
              <w:noBreakHyphen/>
            </w:r>
          </w:p>
        </w:tc>
        <w:tc>
          <w:tcPr>
            <w:tcW w:w="507" w:type="pct"/>
            <w:vAlign w:val="bottom"/>
          </w:tcPr>
          <w:p w:rsidR="001240AE" w:rsidRPr="006C0DD3" w:rsidRDefault="001240AE" w:rsidP="001B56F1">
            <w:pPr>
              <w:pStyle w:val="TableBodyText"/>
              <w:rPr>
                <w:sz w:val="18"/>
                <w:szCs w:val="18"/>
              </w:rPr>
            </w:pPr>
            <w:r>
              <w:rPr>
                <w:sz w:val="18"/>
                <w:szCs w:val="18"/>
              </w:rPr>
              <w:noBreakHyphen/>
            </w:r>
          </w:p>
        </w:tc>
        <w:tc>
          <w:tcPr>
            <w:tcW w:w="507" w:type="pct"/>
            <w:shd w:val="clear" w:color="auto" w:fill="auto"/>
            <w:vAlign w:val="bottom"/>
          </w:tcPr>
          <w:p w:rsidR="001240AE" w:rsidRPr="006C0DD3" w:rsidRDefault="001240AE" w:rsidP="001B56F1">
            <w:pPr>
              <w:pStyle w:val="TableBodyText"/>
              <w:rPr>
                <w:sz w:val="18"/>
                <w:szCs w:val="18"/>
              </w:rPr>
            </w:pPr>
            <w:r>
              <w:rPr>
                <w:sz w:val="18"/>
                <w:szCs w:val="18"/>
              </w:rPr>
              <w:noBreakHyphen/>
            </w:r>
          </w:p>
        </w:tc>
        <w:tc>
          <w:tcPr>
            <w:tcW w:w="505" w:type="pct"/>
            <w:shd w:val="clear" w:color="auto" w:fill="auto"/>
            <w:vAlign w:val="bottom"/>
          </w:tcPr>
          <w:p w:rsidR="001240AE" w:rsidRPr="006C0DD3" w:rsidRDefault="001240AE" w:rsidP="001B56F1">
            <w:pPr>
              <w:pStyle w:val="TableBodyText"/>
              <w:rPr>
                <w:sz w:val="18"/>
                <w:szCs w:val="18"/>
              </w:rPr>
            </w:pPr>
            <w:r>
              <w:rPr>
                <w:sz w:val="18"/>
                <w:szCs w:val="18"/>
              </w:rPr>
              <w:noBreakHyphen/>
            </w:r>
          </w:p>
        </w:tc>
      </w:tr>
      <w:tr w:rsidR="001240AE" w:rsidRPr="006C5A80" w:rsidTr="001B56F1">
        <w:tc>
          <w:tcPr>
            <w:tcW w:w="1960" w:type="pct"/>
            <w:vAlign w:val="bottom"/>
          </w:tcPr>
          <w:p w:rsidR="001240AE" w:rsidRPr="00267504" w:rsidRDefault="001240AE" w:rsidP="001B56F1">
            <w:pPr>
              <w:pStyle w:val="TableBodyText"/>
              <w:jc w:val="left"/>
              <w:rPr>
                <w:sz w:val="18"/>
                <w:szCs w:val="18"/>
              </w:rPr>
            </w:pPr>
            <w:r w:rsidRPr="00267504">
              <w:rPr>
                <w:sz w:val="18"/>
                <w:szCs w:val="18"/>
              </w:rPr>
              <w:t>Aquaculture and fishing</w:t>
            </w:r>
          </w:p>
        </w:tc>
        <w:tc>
          <w:tcPr>
            <w:tcW w:w="507" w:type="pct"/>
            <w:vAlign w:val="bottom"/>
          </w:tcPr>
          <w:p w:rsidR="001240AE" w:rsidRPr="006C0DD3" w:rsidRDefault="001240AE" w:rsidP="001B56F1">
            <w:pPr>
              <w:pStyle w:val="TableBodyText"/>
              <w:rPr>
                <w:sz w:val="18"/>
                <w:szCs w:val="18"/>
              </w:rPr>
            </w:pPr>
            <w:r w:rsidRPr="006C0DD3">
              <w:rPr>
                <w:sz w:val="18"/>
                <w:szCs w:val="18"/>
              </w:rPr>
              <w:t>3.0</w:t>
            </w:r>
          </w:p>
        </w:tc>
        <w:tc>
          <w:tcPr>
            <w:tcW w:w="507" w:type="pct"/>
            <w:vAlign w:val="bottom"/>
          </w:tcPr>
          <w:p w:rsidR="001240AE" w:rsidRPr="006C0DD3" w:rsidRDefault="001240AE" w:rsidP="001B56F1">
            <w:pPr>
              <w:pStyle w:val="TableBodyText"/>
              <w:rPr>
                <w:sz w:val="18"/>
                <w:szCs w:val="18"/>
              </w:rPr>
            </w:pPr>
            <w:r w:rsidRPr="006C0DD3">
              <w:rPr>
                <w:sz w:val="18"/>
                <w:szCs w:val="18"/>
              </w:rPr>
              <w:t>3.4</w:t>
            </w:r>
          </w:p>
        </w:tc>
        <w:tc>
          <w:tcPr>
            <w:tcW w:w="507" w:type="pct"/>
            <w:vAlign w:val="bottom"/>
          </w:tcPr>
          <w:p w:rsidR="001240AE" w:rsidRPr="006C0DD3" w:rsidRDefault="001240AE" w:rsidP="001B56F1">
            <w:pPr>
              <w:pStyle w:val="TableBodyText"/>
              <w:rPr>
                <w:sz w:val="18"/>
                <w:szCs w:val="18"/>
              </w:rPr>
            </w:pPr>
            <w:r w:rsidRPr="006C0DD3">
              <w:rPr>
                <w:sz w:val="18"/>
                <w:szCs w:val="18"/>
              </w:rPr>
              <w:t>1.9</w:t>
            </w:r>
          </w:p>
        </w:tc>
        <w:tc>
          <w:tcPr>
            <w:tcW w:w="507" w:type="pct"/>
            <w:vAlign w:val="bottom"/>
          </w:tcPr>
          <w:p w:rsidR="001240AE" w:rsidRPr="006C0DD3" w:rsidRDefault="001240AE" w:rsidP="001B56F1">
            <w:pPr>
              <w:pStyle w:val="TableBodyText"/>
              <w:rPr>
                <w:sz w:val="18"/>
                <w:szCs w:val="18"/>
              </w:rPr>
            </w:pPr>
            <w:r w:rsidRPr="006C0DD3">
              <w:rPr>
                <w:sz w:val="18"/>
                <w:szCs w:val="18"/>
              </w:rPr>
              <w:t>1.2</w:t>
            </w:r>
          </w:p>
        </w:tc>
        <w:tc>
          <w:tcPr>
            <w:tcW w:w="507" w:type="pct"/>
            <w:shd w:val="clear" w:color="auto" w:fill="auto"/>
            <w:vAlign w:val="bottom"/>
          </w:tcPr>
          <w:p w:rsidR="001240AE" w:rsidRPr="006C0DD3" w:rsidRDefault="001240AE" w:rsidP="001B56F1">
            <w:pPr>
              <w:pStyle w:val="TableBodyText"/>
              <w:rPr>
                <w:sz w:val="18"/>
                <w:szCs w:val="18"/>
              </w:rPr>
            </w:pPr>
            <w:r w:rsidRPr="006C0DD3">
              <w:rPr>
                <w:sz w:val="18"/>
                <w:szCs w:val="18"/>
              </w:rPr>
              <w:t>0.2</w:t>
            </w:r>
          </w:p>
        </w:tc>
        <w:tc>
          <w:tcPr>
            <w:tcW w:w="505" w:type="pct"/>
            <w:shd w:val="clear" w:color="auto" w:fill="auto"/>
            <w:vAlign w:val="bottom"/>
          </w:tcPr>
          <w:p w:rsidR="001240AE" w:rsidRPr="006C0DD3" w:rsidRDefault="001240AE" w:rsidP="001B56F1">
            <w:pPr>
              <w:pStyle w:val="TableBodyText"/>
              <w:rPr>
                <w:sz w:val="18"/>
                <w:szCs w:val="18"/>
              </w:rPr>
            </w:pPr>
            <w:r>
              <w:rPr>
                <w:sz w:val="18"/>
                <w:szCs w:val="18"/>
              </w:rPr>
              <w:t>&lt;</w:t>
            </w:r>
            <w:r w:rsidRPr="00E17EEF">
              <w:rPr>
                <w:sz w:val="18"/>
                <w:szCs w:val="18"/>
              </w:rPr>
              <w:t>0.</w:t>
            </w:r>
            <w:r>
              <w:rPr>
                <w:sz w:val="18"/>
                <w:szCs w:val="18"/>
              </w:rPr>
              <w:t>1</w:t>
            </w:r>
          </w:p>
        </w:tc>
      </w:tr>
      <w:tr w:rsidR="001240AE" w:rsidRPr="006C5A80" w:rsidTr="001B56F1">
        <w:tc>
          <w:tcPr>
            <w:tcW w:w="1960" w:type="pct"/>
            <w:vAlign w:val="bottom"/>
          </w:tcPr>
          <w:p w:rsidR="001240AE" w:rsidRPr="00267504" w:rsidRDefault="001240AE" w:rsidP="001B56F1">
            <w:pPr>
              <w:pStyle w:val="TableBodyText"/>
              <w:jc w:val="left"/>
              <w:rPr>
                <w:sz w:val="18"/>
                <w:szCs w:val="18"/>
              </w:rPr>
            </w:pPr>
            <w:r w:rsidRPr="00267504">
              <w:rPr>
                <w:sz w:val="18"/>
                <w:szCs w:val="18"/>
              </w:rPr>
              <w:t>Forestry and logging</w:t>
            </w:r>
          </w:p>
        </w:tc>
        <w:tc>
          <w:tcPr>
            <w:tcW w:w="507" w:type="pct"/>
            <w:vAlign w:val="bottom"/>
          </w:tcPr>
          <w:p w:rsidR="001240AE" w:rsidRPr="006C0DD3" w:rsidRDefault="001240AE" w:rsidP="001B56F1">
            <w:pPr>
              <w:pStyle w:val="TableBodyText"/>
              <w:rPr>
                <w:sz w:val="18"/>
                <w:szCs w:val="18"/>
              </w:rPr>
            </w:pPr>
            <w:r w:rsidRPr="006C0DD3">
              <w:rPr>
                <w:sz w:val="18"/>
                <w:szCs w:val="18"/>
              </w:rPr>
              <w:t>1.1</w:t>
            </w:r>
          </w:p>
        </w:tc>
        <w:tc>
          <w:tcPr>
            <w:tcW w:w="507" w:type="pct"/>
            <w:vAlign w:val="bottom"/>
          </w:tcPr>
          <w:p w:rsidR="001240AE" w:rsidRPr="006C0DD3" w:rsidRDefault="001240AE" w:rsidP="001B56F1">
            <w:pPr>
              <w:pStyle w:val="TableBodyText"/>
              <w:rPr>
                <w:sz w:val="18"/>
                <w:szCs w:val="18"/>
              </w:rPr>
            </w:pPr>
            <w:r w:rsidRPr="006C0DD3">
              <w:rPr>
                <w:sz w:val="18"/>
                <w:szCs w:val="18"/>
              </w:rPr>
              <w:t>0.6</w:t>
            </w:r>
          </w:p>
        </w:tc>
        <w:tc>
          <w:tcPr>
            <w:tcW w:w="507" w:type="pct"/>
            <w:vAlign w:val="bottom"/>
          </w:tcPr>
          <w:p w:rsidR="001240AE" w:rsidRPr="006C0DD3" w:rsidRDefault="001240AE" w:rsidP="001B56F1">
            <w:pPr>
              <w:pStyle w:val="TableBodyText"/>
              <w:rPr>
                <w:sz w:val="18"/>
                <w:szCs w:val="18"/>
              </w:rPr>
            </w:pPr>
            <w:r w:rsidRPr="006C0DD3">
              <w:rPr>
                <w:sz w:val="18"/>
                <w:szCs w:val="18"/>
              </w:rPr>
              <w:t>0.4</w:t>
            </w:r>
          </w:p>
        </w:tc>
        <w:tc>
          <w:tcPr>
            <w:tcW w:w="507" w:type="pct"/>
            <w:vAlign w:val="bottom"/>
          </w:tcPr>
          <w:p w:rsidR="001240AE" w:rsidRPr="006C0DD3" w:rsidRDefault="001240AE" w:rsidP="001B56F1">
            <w:pPr>
              <w:pStyle w:val="TableBodyText"/>
              <w:rPr>
                <w:sz w:val="18"/>
                <w:szCs w:val="18"/>
              </w:rPr>
            </w:pPr>
            <w:r>
              <w:rPr>
                <w:sz w:val="18"/>
                <w:szCs w:val="18"/>
              </w:rPr>
              <w:noBreakHyphen/>
            </w:r>
          </w:p>
        </w:tc>
        <w:tc>
          <w:tcPr>
            <w:tcW w:w="507" w:type="pct"/>
            <w:shd w:val="clear" w:color="auto" w:fill="auto"/>
            <w:vAlign w:val="bottom"/>
          </w:tcPr>
          <w:p w:rsidR="001240AE" w:rsidRPr="006C0DD3" w:rsidRDefault="001240AE" w:rsidP="001B56F1">
            <w:pPr>
              <w:pStyle w:val="TableBodyText"/>
              <w:rPr>
                <w:sz w:val="18"/>
                <w:szCs w:val="18"/>
              </w:rPr>
            </w:pPr>
            <w:r>
              <w:rPr>
                <w:sz w:val="18"/>
                <w:szCs w:val="18"/>
              </w:rPr>
              <w:noBreakHyphen/>
            </w:r>
          </w:p>
        </w:tc>
        <w:tc>
          <w:tcPr>
            <w:tcW w:w="505" w:type="pct"/>
            <w:shd w:val="clear" w:color="auto" w:fill="auto"/>
            <w:vAlign w:val="bottom"/>
          </w:tcPr>
          <w:p w:rsidR="001240AE" w:rsidRPr="006C0DD3" w:rsidRDefault="001240AE" w:rsidP="001B56F1">
            <w:pPr>
              <w:pStyle w:val="TableBodyText"/>
              <w:rPr>
                <w:sz w:val="18"/>
                <w:szCs w:val="18"/>
              </w:rPr>
            </w:pPr>
            <w:r>
              <w:rPr>
                <w:sz w:val="18"/>
                <w:szCs w:val="18"/>
              </w:rPr>
              <w:noBreakHyphen/>
            </w:r>
          </w:p>
        </w:tc>
      </w:tr>
      <w:tr w:rsidR="001240AE" w:rsidRPr="006C5A80" w:rsidTr="001B56F1">
        <w:tc>
          <w:tcPr>
            <w:tcW w:w="1960" w:type="pct"/>
            <w:vAlign w:val="bottom"/>
          </w:tcPr>
          <w:p w:rsidR="001240AE" w:rsidRPr="00267504" w:rsidRDefault="001240AE" w:rsidP="001B56F1">
            <w:pPr>
              <w:pStyle w:val="TableBodyText"/>
              <w:jc w:val="left"/>
              <w:rPr>
                <w:sz w:val="18"/>
                <w:szCs w:val="18"/>
              </w:rPr>
            </w:pPr>
            <w:r w:rsidRPr="00267504">
              <w:rPr>
                <w:sz w:val="18"/>
                <w:szCs w:val="18"/>
              </w:rPr>
              <w:t>Primary production support services</w:t>
            </w:r>
          </w:p>
        </w:tc>
        <w:tc>
          <w:tcPr>
            <w:tcW w:w="507" w:type="pct"/>
            <w:vAlign w:val="bottom"/>
          </w:tcPr>
          <w:p w:rsidR="001240AE" w:rsidRPr="006C0DD3" w:rsidRDefault="001240AE" w:rsidP="001B56F1">
            <w:pPr>
              <w:pStyle w:val="TableBodyText"/>
              <w:rPr>
                <w:sz w:val="18"/>
                <w:szCs w:val="18"/>
              </w:rPr>
            </w:pPr>
            <w:r w:rsidRPr="006C0DD3">
              <w:rPr>
                <w:sz w:val="18"/>
                <w:szCs w:val="18"/>
              </w:rPr>
              <w:t>1.1</w:t>
            </w:r>
          </w:p>
        </w:tc>
        <w:tc>
          <w:tcPr>
            <w:tcW w:w="507" w:type="pct"/>
            <w:vAlign w:val="bottom"/>
          </w:tcPr>
          <w:p w:rsidR="001240AE" w:rsidRPr="006C0DD3" w:rsidRDefault="001240AE" w:rsidP="001B56F1">
            <w:pPr>
              <w:pStyle w:val="TableBodyText"/>
              <w:rPr>
                <w:sz w:val="18"/>
                <w:szCs w:val="18"/>
              </w:rPr>
            </w:pPr>
            <w:r w:rsidRPr="006C0DD3">
              <w:rPr>
                <w:sz w:val="18"/>
                <w:szCs w:val="18"/>
              </w:rPr>
              <w:t>1.2</w:t>
            </w:r>
          </w:p>
        </w:tc>
        <w:tc>
          <w:tcPr>
            <w:tcW w:w="507" w:type="pct"/>
            <w:vAlign w:val="bottom"/>
          </w:tcPr>
          <w:p w:rsidR="001240AE" w:rsidRPr="006C0DD3" w:rsidRDefault="001240AE" w:rsidP="001B56F1">
            <w:pPr>
              <w:pStyle w:val="TableBodyText"/>
              <w:rPr>
                <w:sz w:val="18"/>
                <w:szCs w:val="18"/>
              </w:rPr>
            </w:pPr>
            <w:r w:rsidRPr="006C0DD3">
              <w:rPr>
                <w:sz w:val="18"/>
                <w:szCs w:val="18"/>
              </w:rPr>
              <w:t>0.9</w:t>
            </w:r>
          </w:p>
        </w:tc>
        <w:tc>
          <w:tcPr>
            <w:tcW w:w="507" w:type="pct"/>
            <w:vAlign w:val="bottom"/>
          </w:tcPr>
          <w:p w:rsidR="001240AE" w:rsidRPr="006C0DD3" w:rsidRDefault="001240AE" w:rsidP="001B56F1">
            <w:pPr>
              <w:pStyle w:val="TableBodyText"/>
              <w:rPr>
                <w:sz w:val="18"/>
                <w:szCs w:val="18"/>
              </w:rPr>
            </w:pPr>
            <w:r w:rsidRPr="006C0DD3">
              <w:rPr>
                <w:sz w:val="18"/>
                <w:szCs w:val="18"/>
              </w:rPr>
              <w:t>0.3</w:t>
            </w:r>
          </w:p>
        </w:tc>
        <w:tc>
          <w:tcPr>
            <w:tcW w:w="507" w:type="pct"/>
            <w:shd w:val="clear" w:color="auto" w:fill="auto"/>
            <w:vAlign w:val="bottom"/>
          </w:tcPr>
          <w:p w:rsidR="001240AE" w:rsidRPr="006C0DD3" w:rsidRDefault="001240AE" w:rsidP="001B56F1">
            <w:pPr>
              <w:pStyle w:val="TableBodyText"/>
              <w:rPr>
                <w:sz w:val="18"/>
                <w:szCs w:val="18"/>
              </w:rPr>
            </w:pPr>
            <w:r>
              <w:rPr>
                <w:sz w:val="18"/>
                <w:szCs w:val="18"/>
              </w:rPr>
              <w:t>&lt;</w:t>
            </w:r>
            <w:r w:rsidRPr="00E17EEF">
              <w:rPr>
                <w:sz w:val="18"/>
                <w:szCs w:val="18"/>
              </w:rPr>
              <w:t>0.</w:t>
            </w:r>
            <w:r>
              <w:rPr>
                <w:sz w:val="18"/>
                <w:szCs w:val="18"/>
              </w:rPr>
              <w:t>1</w:t>
            </w:r>
          </w:p>
        </w:tc>
        <w:tc>
          <w:tcPr>
            <w:tcW w:w="505" w:type="pct"/>
            <w:shd w:val="clear" w:color="auto" w:fill="auto"/>
            <w:vAlign w:val="bottom"/>
          </w:tcPr>
          <w:p w:rsidR="001240AE" w:rsidRPr="006C0DD3" w:rsidRDefault="001240AE" w:rsidP="001B56F1">
            <w:pPr>
              <w:pStyle w:val="TableBodyText"/>
              <w:rPr>
                <w:sz w:val="18"/>
                <w:szCs w:val="18"/>
              </w:rPr>
            </w:pPr>
            <w:r>
              <w:rPr>
                <w:sz w:val="18"/>
                <w:szCs w:val="18"/>
              </w:rPr>
              <w:noBreakHyphen/>
            </w:r>
          </w:p>
        </w:tc>
      </w:tr>
      <w:tr w:rsidR="001240AE" w:rsidRPr="006C5A80" w:rsidTr="001B56F1">
        <w:tc>
          <w:tcPr>
            <w:tcW w:w="1960" w:type="pct"/>
            <w:vAlign w:val="bottom"/>
          </w:tcPr>
          <w:p w:rsidR="001240AE" w:rsidRPr="006C0DD3" w:rsidRDefault="001240AE" w:rsidP="001B56F1">
            <w:pPr>
              <w:pStyle w:val="TableBodyText"/>
              <w:jc w:val="left"/>
              <w:rPr>
                <w:b/>
                <w:sz w:val="18"/>
                <w:szCs w:val="18"/>
              </w:rPr>
            </w:pPr>
            <w:r w:rsidRPr="006C0DD3">
              <w:rPr>
                <w:b/>
                <w:sz w:val="18"/>
                <w:szCs w:val="18"/>
              </w:rPr>
              <w:t>Mining</w:t>
            </w:r>
          </w:p>
        </w:tc>
        <w:tc>
          <w:tcPr>
            <w:tcW w:w="507" w:type="pct"/>
            <w:vAlign w:val="bottom"/>
          </w:tcPr>
          <w:p w:rsidR="001240AE" w:rsidRPr="006C0DD3" w:rsidRDefault="001240AE" w:rsidP="001B56F1">
            <w:pPr>
              <w:pStyle w:val="TableBodyText"/>
              <w:rPr>
                <w:b/>
                <w:sz w:val="18"/>
                <w:szCs w:val="18"/>
              </w:rPr>
            </w:pPr>
            <w:r w:rsidRPr="006C0DD3">
              <w:rPr>
                <w:b/>
                <w:sz w:val="18"/>
                <w:szCs w:val="18"/>
              </w:rPr>
              <w:t>6.3</w:t>
            </w:r>
          </w:p>
        </w:tc>
        <w:tc>
          <w:tcPr>
            <w:tcW w:w="507" w:type="pct"/>
            <w:vAlign w:val="bottom"/>
          </w:tcPr>
          <w:p w:rsidR="001240AE" w:rsidRPr="006C0DD3" w:rsidRDefault="001240AE" w:rsidP="001B56F1">
            <w:pPr>
              <w:pStyle w:val="TableBodyText"/>
              <w:rPr>
                <w:b/>
                <w:sz w:val="18"/>
                <w:szCs w:val="18"/>
              </w:rPr>
            </w:pPr>
            <w:r w:rsidRPr="006C0DD3">
              <w:rPr>
                <w:b/>
                <w:sz w:val="18"/>
                <w:szCs w:val="18"/>
              </w:rPr>
              <w:t>9.2</w:t>
            </w:r>
          </w:p>
        </w:tc>
        <w:tc>
          <w:tcPr>
            <w:tcW w:w="507" w:type="pct"/>
            <w:vAlign w:val="bottom"/>
          </w:tcPr>
          <w:p w:rsidR="001240AE" w:rsidRPr="006C0DD3" w:rsidRDefault="001240AE" w:rsidP="001B56F1">
            <w:pPr>
              <w:pStyle w:val="TableBodyText"/>
              <w:rPr>
                <w:b/>
                <w:sz w:val="18"/>
                <w:szCs w:val="18"/>
              </w:rPr>
            </w:pPr>
            <w:r w:rsidRPr="006C0DD3">
              <w:rPr>
                <w:b/>
                <w:sz w:val="18"/>
                <w:szCs w:val="18"/>
              </w:rPr>
              <w:t>3.7</w:t>
            </w:r>
          </w:p>
        </w:tc>
        <w:tc>
          <w:tcPr>
            <w:tcW w:w="507" w:type="pct"/>
            <w:vAlign w:val="bottom"/>
          </w:tcPr>
          <w:p w:rsidR="001240AE" w:rsidRPr="006C0DD3" w:rsidRDefault="001240AE" w:rsidP="001B56F1">
            <w:pPr>
              <w:pStyle w:val="TableBodyText"/>
              <w:rPr>
                <w:b/>
                <w:sz w:val="18"/>
                <w:szCs w:val="18"/>
              </w:rPr>
            </w:pPr>
            <w:r w:rsidRPr="006C0DD3">
              <w:rPr>
                <w:b/>
                <w:sz w:val="18"/>
                <w:szCs w:val="18"/>
              </w:rPr>
              <w:t>0.2</w:t>
            </w:r>
          </w:p>
        </w:tc>
        <w:tc>
          <w:tcPr>
            <w:tcW w:w="507" w:type="pct"/>
            <w:shd w:val="clear" w:color="auto" w:fill="auto"/>
            <w:vAlign w:val="bottom"/>
          </w:tcPr>
          <w:p w:rsidR="001240AE" w:rsidRPr="006C0DD3" w:rsidRDefault="001240AE" w:rsidP="001B56F1">
            <w:pPr>
              <w:pStyle w:val="TableBodyText"/>
              <w:rPr>
                <w:b/>
                <w:sz w:val="18"/>
                <w:szCs w:val="18"/>
              </w:rPr>
            </w:pPr>
            <w:r>
              <w:rPr>
                <w:sz w:val="18"/>
                <w:szCs w:val="18"/>
              </w:rPr>
              <w:noBreakHyphen/>
            </w:r>
          </w:p>
        </w:tc>
        <w:tc>
          <w:tcPr>
            <w:tcW w:w="505" w:type="pct"/>
            <w:shd w:val="clear" w:color="auto" w:fill="auto"/>
            <w:vAlign w:val="bottom"/>
          </w:tcPr>
          <w:p w:rsidR="001240AE" w:rsidRPr="006C0DD3" w:rsidRDefault="001240AE" w:rsidP="001B56F1">
            <w:pPr>
              <w:pStyle w:val="TableBodyText"/>
              <w:rPr>
                <w:b/>
                <w:sz w:val="18"/>
                <w:szCs w:val="18"/>
              </w:rPr>
            </w:pPr>
            <w:r>
              <w:rPr>
                <w:sz w:val="18"/>
                <w:szCs w:val="18"/>
              </w:rPr>
              <w:noBreakHyphen/>
            </w:r>
          </w:p>
        </w:tc>
      </w:tr>
      <w:tr w:rsidR="001240AE" w:rsidRPr="006C5A80" w:rsidTr="001B56F1">
        <w:tc>
          <w:tcPr>
            <w:tcW w:w="1960" w:type="pct"/>
            <w:vAlign w:val="bottom"/>
          </w:tcPr>
          <w:p w:rsidR="001240AE" w:rsidRPr="006C0DD3" w:rsidRDefault="001240AE" w:rsidP="001B56F1">
            <w:pPr>
              <w:pStyle w:val="TableBodyText"/>
              <w:jc w:val="left"/>
              <w:rPr>
                <w:b/>
                <w:sz w:val="18"/>
                <w:szCs w:val="18"/>
              </w:rPr>
            </w:pPr>
            <w:r w:rsidRPr="006C0DD3">
              <w:rPr>
                <w:b/>
                <w:sz w:val="18"/>
                <w:szCs w:val="18"/>
              </w:rPr>
              <w:t>Manufacturing</w:t>
            </w:r>
          </w:p>
        </w:tc>
        <w:tc>
          <w:tcPr>
            <w:tcW w:w="507" w:type="pct"/>
            <w:vAlign w:val="bottom"/>
          </w:tcPr>
          <w:p w:rsidR="001240AE" w:rsidRPr="006C0DD3" w:rsidRDefault="001240AE" w:rsidP="001B56F1">
            <w:pPr>
              <w:pStyle w:val="TableBodyText"/>
              <w:rPr>
                <w:b/>
                <w:sz w:val="18"/>
                <w:szCs w:val="18"/>
              </w:rPr>
            </w:pPr>
            <w:r w:rsidRPr="006C0DD3">
              <w:rPr>
                <w:b/>
                <w:sz w:val="18"/>
                <w:szCs w:val="18"/>
              </w:rPr>
              <w:t>67.5</w:t>
            </w:r>
          </w:p>
        </w:tc>
        <w:tc>
          <w:tcPr>
            <w:tcW w:w="507" w:type="pct"/>
            <w:vAlign w:val="bottom"/>
          </w:tcPr>
          <w:p w:rsidR="001240AE" w:rsidRPr="006C0DD3" w:rsidRDefault="001240AE" w:rsidP="001B56F1">
            <w:pPr>
              <w:pStyle w:val="TableBodyText"/>
              <w:rPr>
                <w:b/>
                <w:sz w:val="18"/>
                <w:szCs w:val="18"/>
              </w:rPr>
            </w:pPr>
            <w:r w:rsidRPr="006C0DD3">
              <w:rPr>
                <w:b/>
                <w:sz w:val="18"/>
                <w:szCs w:val="18"/>
              </w:rPr>
              <w:t>65.6</w:t>
            </w:r>
          </w:p>
        </w:tc>
        <w:tc>
          <w:tcPr>
            <w:tcW w:w="507" w:type="pct"/>
            <w:vAlign w:val="bottom"/>
          </w:tcPr>
          <w:p w:rsidR="001240AE" w:rsidRPr="006C0DD3" w:rsidRDefault="001240AE" w:rsidP="001B56F1">
            <w:pPr>
              <w:pStyle w:val="TableBodyText"/>
              <w:rPr>
                <w:b/>
                <w:sz w:val="18"/>
                <w:szCs w:val="18"/>
              </w:rPr>
            </w:pPr>
            <w:r w:rsidRPr="006C0DD3">
              <w:rPr>
                <w:b/>
                <w:sz w:val="18"/>
                <w:szCs w:val="18"/>
              </w:rPr>
              <w:t>31.9</w:t>
            </w:r>
          </w:p>
        </w:tc>
        <w:tc>
          <w:tcPr>
            <w:tcW w:w="507" w:type="pct"/>
            <w:vAlign w:val="bottom"/>
          </w:tcPr>
          <w:p w:rsidR="001240AE" w:rsidRPr="006C0DD3" w:rsidRDefault="001240AE" w:rsidP="001B56F1">
            <w:pPr>
              <w:pStyle w:val="TableBodyText"/>
              <w:rPr>
                <w:b/>
                <w:sz w:val="18"/>
                <w:szCs w:val="18"/>
              </w:rPr>
            </w:pPr>
            <w:r w:rsidRPr="006C0DD3">
              <w:rPr>
                <w:b/>
                <w:sz w:val="18"/>
                <w:szCs w:val="18"/>
              </w:rPr>
              <w:t>10.0</w:t>
            </w:r>
          </w:p>
        </w:tc>
        <w:tc>
          <w:tcPr>
            <w:tcW w:w="507" w:type="pct"/>
            <w:shd w:val="clear" w:color="auto" w:fill="auto"/>
            <w:vAlign w:val="bottom"/>
          </w:tcPr>
          <w:p w:rsidR="001240AE" w:rsidRPr="006C0DD3" w:rsidRDefault="001240AE" w:rsidP="001B56F1">
            <w:pPr>
              <w:pStyle w:val="TableBodyText"/>
              <w:rPr>
                <w:b/>
                <w:sz w:val="18"/>
                <w:szCs w:val="18"/>
              </w:rPr>
            </w:pPr>
            <w:r w:rsidRPr="006C0DD3">
              <w:rPr>
                <w:b/>
                <w:sz w:val="18"/>
                <w:szCs w:val="18"/>
              </w:rPr>
              <w:t>1.9</w:t>
            </w:r>
          </w:p>
        </w:tc>
        <w:tc>
          <w:tcPr>
            <w:tcW w:w="505" w:type="pct"/>
            <w:shd w:val="clear" w:color="auto" w:fill="auto"/>
            <w:vAlign w:val="bottom"/>
          </w:tcPr>
          <w:p w:rsidR="001240AE" w:rsidRPr="006C0DD3" w:rsidRDefault="001240AE" w:rsidP="001B56F1">
            <w:pPr>
              <w:pStyle w:val="TableBodyText"/>
              <w:rPr>
                <w:b/>
                <w:sz w:val="18"/>
                <w:szCs w:val="18"/>
              </w:rPr>
            </w:pPr>
            <w:r w:rsidRPr="006C0DD3">
              <w:rPr>
                <w:b/>
                <w:sz w:val="18"/>
                <w:szCs w:val="18"/>
              </w:rPr>
              <w:t>0.1</w:t>
            </w:r>
          </w:p>
        </w:tc>
      </w:tr>
      <w:tr w:rsidR="001240AE" w:rsidRPr="006C5A80" w:rsidTr="001B56F1">
        <w:tc>
          <w:tcPr>
            <w:tcW w:w="1960" w:type="pct"/>
            <w:vAlign w:val="bottom"/>
          </w:tcPr>
          <w:p w:rsidR="001240AE" w:rsidRPr="00267504" w:rsidRDefault="001240AE" w:rsidP="001B56F1">
            <w:pPr>
              <w:pStyle w:val="TableBodyText"/>
              <w:jc w:val="left"/>
              <w:rPr>
                <w:sz w:val="18"/>
                <w:szCs w:val="18"/>
              </w:rPr>
            </w:pPr>
            <w:r w:rsidRPr="00267504">
              <w:rPr>
                <w:sz w:val="18"/>
                <w:szCs w:val="18"/>
              </w:rPr>
              <w:t>Food, beverages and tobacco</w:t>
            </w:r>
          </w:p>
        </w:tc>
        <w:tc>
          <w:tcPr>
            <w:tcW w:w="507" w:type="pct"/>
            <w:vAlign w:val="bottom"/>
          </w:tcPr>
          <w:p w:rsidR="001240AE" w:rsidRPr="006C0DD3" w:rsidRDefault="001240AE" w:rsidP="001B56F1">
            <w:pPr>
              <w:pStyle w:val="TableBodyText"/>
              <w:rPr>
                <w:sz w:val="18"/>
                <w:szCs w:val="18"/>
              </w:rPr>
            </w:pPr>
            <w:r w:rsidRPr="006C0DD3">
              <w:rPr>
                <w:sz w:val="18"/>
                <w:szCs w:val="18"/>
              </w:rPr>
              <w:t>1.1</w:t>
            </w:r>
          </w:p>
        </w:tc>
        <w:tc>
          <w:tcPr>
            <w:tcW w:w="507" w:type="pct"/>
            <w:vAlign w:val="bottom"/>
          </w:tcPr>
          <w:p w:rsidR="001240AE" w:rsidRPr="006C0DD3" w:rsidRDefault="001240AE" w:rsidP="001B56F1">
            <w:pPr>
              <w:pStyle w:val="TableBodyText"/>
              <w:rPr>
                <w:sz w:val="18"/>
                <w:szCs w:val="18"/>
              </w:rPr>
            </w:pPr>
            <w:r w:rsidRPr="006C0DD3">
              <w:rPr>
                <w:sz w:val="18"/>
                <w:szCs w:val="18"/>
              </w:rPr>
              <w:t>1.6</w:t>
            </w:r>
          </w:p>
        </w:tc>
        <w:tc>
          <w:tcPr>
            <w:tcW w:w="507" w:type="pct"/>
            <w:vAlign w:val="bottom"/>
          </w:tcPr>
          <w:p w:rsidR="001240AE" w:rsidRPr="006C0DD3" w:rsidRDefault="001240AE" w:rsidP="001B56F1">
            <w:pPr>
              <w:pStyle w:val="TableBodyText"/>
              <w:rPr>
                <w:sz w:val="18"/>
                <w:szCs w:val="18"/>
              </w:rPr>
            </w:pPr>
            <w:r w:rsidRPr="006C0DD3">
              <w:rPr>
                <w:sz w:val="18"/>
                <w:szCs w:val="18"/>
              </w:rPr>
              <w:t>2.0</w:t>
            </w:r>
          </w:p>
        </w:tc>
        <w:tc>
          <w:tcPr>
            <w:tcW w:w="507" w:type="pct"/>
            <w:vAlign w:val="bottom"/>
          </w:tcPr>
          <w:p w:rsidR="001240AE" w:rsidRPr="006C0DD3" w:rsidRDefault="001240AE" w:rsidP="001B56F1">
            <w:pPr>
              <w:pStyle w:val="TableBodyText"/>
              <w:rPr>
                <w:sz w:val="18"/>
                <w:szCs w:val="18"/>
              </w:rPr>
            </w:pPr>
            <w:r w:rsidRPr="006C0DD3">
              <w:rPr>
                <w:sz w:val="18"/>
                <w:szCs w:val="18"/>
              </w:rPr>
              <w:t>0.3</w:t>
            </w:r>
          </w:p>
        </w:tc>
        <w:tc>
          <w:tcPr>
            <w:tcW w:w="507" w:type="pct"/>
            <w:shd w:val="clear" w:color="auto" w:fill="auto"/>
            <w:vAlign w:val="bottom"/>
          </w:tcPr>
          <w:p w:rsidR="001240AE" w:rsidRPr="006C0DD3" w:rsidRDefault="001240AE" w:rsidP="001B56F1">
            <w:pPr>
              <w:pStyle w:val="TableBodyText"/>
              <w:rPr>
                <w:sz w:val="18"/>
                <w:szCs w:val="18"/>
              </w:rPr>
            </w:pPr>
            <w:r w:rsidRPr="006C0DD3">
              <w:rPr>
                <w:sz w:val="18"/>
                <w:szCs w:val="18"/>
              </w:rPr>
              <w:t>0.1</w:t>
            </w:r>
          </w:p>
        </w:tc>
        <w:tc>
          <w:tcPr>
            <w:tcW w:w="505" w:type="pct"/>
            <w:shd w:val="clear" w:color="auto" w:fill="auto"/>
            <w:vAlign w:val="bottom"/>
          </w:tcPr>
          <w:p w:rsidR="001240AE" w:rsidRPr="006C0DD3" w:rsidRDefault="001240AE" w:rsidP="001B56F1">
            <w:pPr>
              <w:pStyle w:val="TableBodyText"/>
              <w:rPr>
                <w:sz w:val="18"/>
                <w:szCs w:val="18"/>
              </w:rPr>
            </w:pPr>
            <w:r>
              <w:rPr>
                <w:sz w:val="18"/>
                <w:szCs w:val="18"/>
              </w:rPr>
              <w:noBreakHyphen/>
            </w:r>
          </w:p>
        </w:tc>
      </w:tr>
      <w:tr w:rsidR="001240AE" w:rsidRPr="006C5A80" w:rsidTr="001B56F1">
        <w:tc>
          <w:tcPr>
            <w:tcW w:w="1960" w:type="pct"/>
            <w:vAlign w:val="bottom"/>
          </w:tcPr>
          <w:p w:rsidR="001240AE" w:rsidRPr="00267504" w:rsidRDefault="001240AE" w:rsidP="001B56F1">
            <w:pPr>
              <w:pStyle w:val="TableBodyText"/>
              <w:jc w:val="left"/>
              <w:rPr>
                <w:sz w:val="18"/>
                <w:szCs w:val="18"/>
              </w:rPr>
            </w:pPr>
            <w:r w:rsidRPr="00267504">
              <w:rPr>
                <w:sz w:val="18"/>
                <w:szCs w:val="18"/>
              </w:rPr>
              <w:t>Textile, leather, clothing and footwear</w:t>
            </w:r>
          </w:p>
        </w:tc>
        <w:tc>
          <w:tcPr>
            <w:tcW w:w="507" w:type="pct"/>
            <w:vAlign w:val="bottom"/>
          </w:tcPr>
          <w:p w:rsidR="001240AE" w:rsidRPr="006C0DD3" w:rsidRDefault="001240AE" w:rsidP="001B56F1">
            <w:pPr>
              <w:pStyle w:val="TableBodyText"/>
              <w:rPr>
                <w:sz w:val="18"/>
                <w:szCs w:val="18"/>
              </w:rPr>
            </w:pPr>
            <w:r>
              <w:rPr>
                <w:sz w:val="18"/>
                <w:szCs w:val="18"/>
              </w:rPr>
              <w:noBreakHyphen/>
            </w:r>
          </w:p>
        </w:tc>
        <w:tc>
          <w:tcPr>
            <w:tcW w:w="507" w:type="pct"/>
            <w:vAlign w:val="bottom"/>
          </w:tcPr>
          <w:p w:rsidR="001240AE" w:rsidRPr="006C0DD3" w:rsidRDefault="001240AE" w:rsidP="001B56F1">
            <w:pPr>
              <w:pStyle w:val="TableBodyText"/>
              <w:rPr>
                <w:sz w:val="18"/>
                <w:szCs w:val="18"/>
              </w:rPr>
            </w:pPr>
            <w:r w:rsidRPr="006C0DD3">
              <w:rPr>
                <w:sz w:val="18"/>
                <w:szCs w:val="18"/>
              </w:rPr>
              <w:t>0.7</w:t>
            </w:r>
          </w:p>
        </w:tc>
        <w:tc>
          <w:tcPr>
            <w:tcW w:w="507" w:type="pct"/>
            <w:vAlign w:val="bottom"/>
          </w:tcPr>
          <w:p w:rsidR="001240AE" w:rsidRPr="006C0DD3" w:rsidRDefault="001240AE" w:rsidP="001B56F1">
            <w:pPr>
              <w:pStyle w:val="TableBodyText"/>
              <w:rPr>
                <w:sz w:val="18"/>
                <w:szCs w:val="18"/>
              </w:rPr>
            </w:pPr>
            <w:r w:rsidRPr="006C0DD3">
              <w:rPr>
                <w:sz w:val="18"/>
                <w:szCs w:val="18"/>
              </w:rPr>
              <w:t>0.9</w:t>
            </w:r>
          </w:p>
        </w:tc>
        <w:tc>
          <w:tcPr>
            <w:tcW w:w="507" w:type="pct"/>
            <w:vAlign w:val="bottom"/>
          </w:tcPr>
          <w:p w:rsidR="001240AE" w:rsidRPr="006C0DD3" w:rsidRDefault="001240AE" w:rsidP="001B56F1">
            <w:pPr>
              <w:pStyle w:val="TableBodyText"/>
              <w:rPr>
                <w:sz w:val="18"/>
                <w:szCs w:val="18"/>
              </w:rPr>
            </w:pPr>
            <w:r w:rsidRPr="006C0DD3">
              <w:rPr>
                <w:sz w:val="18"/>
                <w:szCs w:val="18"/>
              </w:rPr>
              <w:t>0.7</w:t>
            </w:r>
          </w:p>
        </w:tc>
        <w:tc>
          <w:tcPr>
            <w:tcW w:w="507" w:type="pct"/>
            <w:shd w:val="clear" w:color="auto" w:fill="auto"/>
            <w:vAlign w:val="bottom"/>
          </w:tcPr>
          <w:p w:rsidR="001240AE" w:rsidRPr="006C0DD3" w:rsidRDefault="001240AE" w:rsidP="001B56F1">
            <w:pPr>
              <w:pStyle w:val="TableBodyText"/>
              <w:rPr>
                <w:sz w:val="18"/>
                <w:szCs w:val="18"/>
              </w:rPr>
            </w:pPr>
            <w:r w:rsidRPr="006C0DD3">
              <w:rPr>
                <w:sz w:val="18"/>
                <w:szCs w:val="18"/>
              </w:rPr>
              <w:t>0.2</w:t>
            </w:r>
          </w:p>
        </w:tc>
        <w:tc>
          <w:tcPr>
            <w:tcW w:w="505" w:type="pct"/>
            <w:shd w:val="clear" w:color="auto" w:fill="auto"/>
            <w:vAlign w:val="bottom"/>
          </w:tcPr>
          <w:p w:rsidR="001240AE" w:rsidRPr="006C0DD3" w:rsidRDefault="001240AE" w:rsidP="001B56F1">
            <w:pPr>
              <w:pStyle w:val="TableBodyText"/>
              <w:rPr>
                <w:sz w:val="18"/>
                <w:szCs w:val="18"/>
              </w:rPr>
            </w:pPr>
            <w:r>
              <w:rPr>
                <w:sz w:val="18"/>
                <w:szCs w:val="18"/>
              </w:rPr>
              <w:noBreakHyphen/>
            </w:r>
          </w:p>
        </w:tc>
      </w:tr>
      <w:tr w:rsidR="001240AE" w:rsidRPr="006C5A80" w:rsidTr="001B56F1">
        <w:tc>
          <w:tcPr>
            <w:tcW w:w="1960" w:type="pct"/>
            <w:vAlign w:val="bottom"/>
          </w:tcPr>
          <w:p w:rsidR="001240AE" w:rsidRPr="00267504" w:rsidRDefault="001240AE" w:rsidP="001B56F1">
            <w:pPr>
              <w:pStyle w:val="TableBodyText"/>
              <w:jc w:val="left"/>
              <w:rPr>
                <w:sz w:val="18"/>
                <w:szCs w:val="18"/>
              </w:rPr>
            </w:pPr>
            <w:r w:rsidRPr="00267504">
              <w:rPr>
                <w:sz w:val="18"/>
                <w:szCs w:val="18"/>
              </w:rPr>
              <w:t>Wood and paper products</w:t>
            </w:r>
          </w:p>
        </w:tc>
        <w:tc>
          <w:tcPr>
            <w:tcW w:w="507" w:type="pct"/>
            <w:vAlign w:val="bottom"/>
          </w:tcPr>
          <w:p w:rsidR="001240AE" w:rsidRPr="006C0DD3" w:rsidRDefault="001240AE" w:rsidP="001B56F1">
            <w:pPr>
              <w:pStyle w:val="TableBodyText"/>
              <w:rPr>
                <w:sz w:val="18"/>
                <w:szCs w:val="18"/>
              </w:rPr>
            </w:pPr>
            <w:r w:rsidRPr="006C0DD3">
              <w:rPr>
                <w:sz w:val="18"/>
                <w:szCs w:val="18"/>
              </w:rPr>
              <w:t>1.8</w:t>
            </w:r>
          </w:p>
        </w:tc>
        <w:tc>
          <w:tcPr>
            <w:tcW w:w="507" w:type="pct"/>
            <w:vAlign w:val="bottom"/>
          </w:tcPr>
          <w:p w:rsidR="001240AE" w:rsidRPr="006C0DD3" w:rsidRDefault="001240AE" w:rsidP="001B56F1">
            <w:pPr>
              <w:pStyle w:val="TableBodyText"/>
              <w:rPr>
                <w:sz w:val="18"/>
                <w:szCs w:val="18"/>
              </w:rPr>
            </w:pPr>
            <w:r w:rsidRPr="006C0DD3">
              <w:rPr>
                <w:sz w:val="18"/>
                <w:szCs w:val="18"/>
              </w:rPr>
              <w:t>2.4</w:t>
            </w:r>
          </w:p>
        </w:tc>
        <w:tc>
          <w:tcPr>
            <w:tcW w:w="507" w:type="pct"/>
            <w:vAlign w:val="bottom"/>
          </w:tcPr>
          <w:p w:rsidR="001240AE" w:rsidRPr="006C0DD3" w:rsidRDefault="001240AE" w:rsidP="001B56F1">
            <w:pPr>
              <w:pStyle w:val="TableBodyText"/>
              <w:rPr>
                <w:sz w:val="18"/>
                <w:szCs w:val="18"/>
              </w:rPr>
            </w:pPr>
            <w:r w:rsidRPr="006C0DD3">
              <w:rPr>
                <w:sz w:val="18"/>
                <w:szCs w:val="18"/>
              </w:rPr>
              <w:t>0.4</w:t>
            </w:r>
          </w:p>
        </w:tc>
        <w:tc>
          <w:tcPr>
            <w:tcW w:w="507" w:type="pct"/>
            <w:vAlign w:val="bottom"/>
          </w:tcPr>
          <w:p w:rsidR="001240AE" w:rsidRPr="006C0DD3" w:rsidRDefault="001240AE"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shd w:val="clear" w:color="auto" w:fill="auto"/>
            <w:vAlign w:val="bottom"/>
          </w:tcPr>
          <w:p w:rsidR="001240AE" w:rsidRPr="006C0DD3" w:rsidRDefault="001240AE" w:rsidP="001B56F1">
            <w:pPr>
              <w:pStyle w:val="TableBodyText"/>
              <w:rPr>
                <w:sz w:val="18"/>
                <w:szCs w:val="18"/>
              </w:rPr>
            </w:pPr>
            <w:r>
              <w:rPr>
                <w:sz w:val="18"/>
                <w:szCs w:val="18"/>
              </w:rPr>
              <w:noBreakHyphen/>
            </w:r>
          </w:p>
        </w:tc>
        <w:tc>
          <w:tcPr>
            <w:tcW w:w="505" w:type="pct"/>
            <w:shd w:val="clear" w:color="auto" w:fill="auto"/>
            <w:vAlign w:val="bottom"/>
          </w:tcPr>
          <w:p w:rsidR="001240AE" w:rsidRPr="006C0DD3" w:rsidRDefault="001240AE" w:rsidP="001B56F1">
            <w:pPr>
              <w:pStyle w:val="TableBodyText"/>
              <w:rPr>
                <w:sz w:val="18"/>
                <w:szCs w:val="18"/>
              </w:rPr>
            </w:pPr>
            <w:r>
              <w:rPr>
                <w:sz w:val="18"/>
                <w:szCs w:val="18"/>
              </w:rPr>
              <w:noBreakHyphen/>
            </w:r>
          </w:p>
        </w:tc>
      </w:tr>
      <w:tr w:rsidR="001240AE" w:rsidRPr="006C5A80" w:rsidTr="001B56F1">
        <w:tc>
          <w:tcPr>
            <w:tcW w:w="1960" w:type="pct"/>
            <w:vAlign w:val="bottom"/>
          </w:tcPr>
          <w:p w:rsidR="001240AE" w:rsidRPr="00267504" w:rsidRDefault="001240AE" w:rsidP="001B56F1">
            <w:pPr>
              <w:pStyle w:val="TableBodyText"/>
              <w:jc w:val="left"/>
              <w:rPr>
                <w:sz w:val="18"/>
                <w:szCs w:val="18"/>
              </w:rPr>
            </w:pPr>
            <w:r w:rsidRPr="00267504">
              <w:rPr>
                <w:sz w:val="18"/>
                <w:szCs w:val="18"/>
              </w:rPr>
              <w:t>Printing and recorded media</w:t>
            </w:r>
          </w:p>
        </w:tc>
        <w:tc>
          <w:tcPr>
            <w:tcW w:w="507" w:type="pct"/>
            <w:vAlign w:val="bottom"/>
          </w:tcPr>
          <w:p w:rsidR="001240AE" w:rsidRPr="006C0DD3" w:rsidRDefault="001240AE" w:rsidP="001B56F1">
            <w:pPr>
              <w:pStyle w:val="TableBodyText"/>
              <w:rPr>
                <w:sz w:val="18"/>
                <w:szCs w:val="18"/>
              </w:rPr>
            </w:pPr>
            <w:r w:rsidRPr="006C0DD3">
              <w:rPr>
                <w:sz w:val="18"/>
                <w:szCs w:val="18"/>
              </w:rPr>
              <w:t>0.8</w:t>
            </w:r>
          </w:p>
        </w:tc>
        <w:tc>
          <w:tcPr>
            <w:tcW w:w="507" w:type="pct"/>
            <w:vAlign w:val="bottom"/>
          </w:tcPr>
          <w:p w:rsidR="001240AE" w:rsidRPr="006C0DD3" w:rsidRDefault="001240AE" w:rsidP="001B56F1">
            <w:pPr>
              <w:pStyle w:val="TableBodyText"/>
              <w:rPr>
                <w:sz w:val="18"/>
                <w:szCs w:val="18"/>
              </w:rPr>
            </w:pPr>
            <w:r w:rsidRPr="006C0DD3">
              <w:rPr>
                <w:sz w:val="18"/>
                <w:szCs w:val="18"/>
              </w:rPr>
              <w:t>11.0</w:t>
            </w:r>
          </w:p>
        </w:tc>
        <w:tc>
          <w:tcPr>
            <w:tcW w:w="507" w:type="pct"/>
            <w:vAlign w:val="bottom"/>
          </w:tcPr>
          <w:p w:rsidR="001240AE" w:rsidRPr="006C0DD3" w:rsidRDefault="001240AE" w:rsidP="001B56F1">
            <w:pPr>
              <w:pStyle w:val="TableBodyText"/>
              <w:rPr>
                <w:sz w:val="18"/>
                <w:szCs w:val="18"/>
              </w:rPr>
            </w:pPr>
            <w:r w:rsidRPr="006C0DD3">
              <w:rPr>
                <w:sz w:val="18"/>
                <w:szCs w:val="18"/>
              </w:rPr>
              <w:t>1.1</w:t>
            </w:r>
          </w:p>
        </w:tc>
        <w:tc>
          <w:tcPr>
            <w:tcW w:w="507" w:type="pct"/>
            <w:vAlign w:val="bottom"/>
          </w:tcPr>
          <w:p w:rsidR="001240AE" w:rsidRPr="006C0DD3" w:rsidRDefault="001240AE" w:rsidP="001B56F1">
            <w:pPr>
              <w:pStyle w:val="TableBodyText"/>
              <w:rPr>
                <w:sz w:val="18"/>
                <w:szCs w:val="18"/>
              </w:rPr>
            </w:pPr>
            <w:r w:rsidRPr="006C0DD3">
              <w:rPr>
                <w:sz w:val="18"/>
                <w:szCs w:val="18"/>
              </w:rPr>
              <w:t>0.3</w:t>
            </w:r>
          </w:p>
        </w:tc>
        <w:tc>
          <w:tcPr>
            <w:tcW w:w="507" w:type="pct"/>
            <w:shd w:val="clear" w:color="auto" w:fill="auto"/>
            <w:vAlign w:val="bottom"/>
          </w:tcPr>
          <w:p w:rsidR="001240AE" w:rsidRPr="006C0DD3" w:rsidRDefault="001240AE" w:rsidP="001B56F1">
            <w:pPr>
              <w:pStyle w:val="TableBodyText"/>
              <w:rPr>
                <w:sz w:val="18"/>
                <w:szCs w:val="18"/>
              </w:rPr>
            </w:pPr>
            <w:r>
              <w:rPr>
                <w:sz w:val="18"/>
                <w:szCs w:val="18"/>
              </w:rPr>
              <w:t>&lt;</w:t>
            </w:r>
            <w:r w:rsidRPr="00E17EEF">
              <w:rPr>
                <w:sz w:val="18"/>
                <w:szCs w:val="18"/>
              </w:rPr>
              <w:t>0.</w:t>
            </w:r>
            <w:r>
              <w:rPr>
                <w:sz w:val="18"/>
                <w:szCs w:val="18"/>
              </w:rPr>
              <w:t>1</w:t>
            </w:r>
          </w:p>
        </w:tc>
        <w:tc>
          <w:tcPr>
            <w:tcW w:w="505" w:type="pct"/>
            <w:shd w:val="clear" w:color="auto" w:fill="auto"/>
            <w:vAlign w:val="bottom"/>
          </w:tcPr>
          <w:p w:rsidR="001240AE" w:rsidRPr="006C0DD3" w:rsidRDefault="001240AE" w:rsidP="001B56F1">
            <w:pPr>
              <w:pStyle w:val="TableBodyText"/>
              <w:rPr>
                <w:sz w:val="18"/>
                <w:szCs w:val="18"/>
              </w:rPr>
            </w:pPr>
            <w:r>
              <w:rPr>
                <w:sz w:val="18"/>
                <w:szCs w:val="18"/>
              </w:rPr>
              <w:noBreakHyphen/>
            </w:r>
          </w:p>
        </w:tc>
      </w:tr>
      <w:tr w:rsidR="001240AE" w:rsidRPr="006C5A80" w:rsidTr="001B56F1">
        <w:tc>
          <w:tcPr>
            <w:tcW w:w="1960" w:type="pct"/>
            <w:vAlign w:val="bottom"/>
          </w:tcPr>
          <w:p w:rsidR="001240AE" w:rsidRPr="00267504" w:rsidRDefault="001240AE" w:rsidP="001B56F1">
            <w:pPr>
              <w:pStyle w:val="TableBodyText"/>
              <w:jc w:val="left"/>
              <w:rPr>
                <w:sz w:val="18"/>
                <w:szCs w:val="18"/>
              </w:rPr>
            </w:pPr>
            <w:r w:rsidRPr="00267504">
              <w:rPr>
                <w:sz w:val="18"/>
                <w:szCs w:val="18"/>
              </w:rPr>
              <w:t>Petroleum, coal, chemical and rubber products</w:t>
            </w:r>
          </w:p>
        </w:tc>
        <w:tc>
          <w:tcPr>
            <w:tcW w:w="507" w:type="pct"/>
            <w:vAlign w:val="bottom"/>
          </w:tcPr>
          <w:p w:rsidR="001240AE" w:rsidRPr="006C0DD3" w:rsidRDefault="001240AE" w:rsidP="001B56F1">
            <w:pPr>
              <w:pStyle w:val="TableBodyText"/>
              <w:rPr>
                <w:sz w:val="18"/>
                <w:szCs w:val="18"/>
              </w:rPr>
            </w:pPr>
            <w:r w:rsidRPr="006C0DD3">
              <w:rPr>
                <w:sz w:val="18"/>
                <w:szCs w:val="18"/>
              </w:rPr>
              <w:t>12.6</w:t>
            </w:r>
          </w:p>
        </w:tc>
        <w:tc>
          <w:tcPr>
            <w:tcW w:w="507" w:type="pct"/>
            <w:vAlign w:val="bottom"/>
          </w:tcPr>
          <w:p w:rsidR="001240AE" w:rsidRPr="006C0DD3" w:rsidRDefault="001240AE" w:rsidP="001B56F1">
            <w:pPr>
              <w:pStyle w:val="TableBodyText"/>
              <w:rPr>
                <w:sz w:val="18"/>
                <w:szCs w:val="18"/>
              </w:rPr>
            </w:pPr>
            <w:r w:rsidRPr="006C0DD3">
              <w:rPr>
                <w:sz w:val="18"/>
                <w:szCs w:val="18"/>
              </w:rPr>
              <w:t>9.2</w:t>
            </w:r>
          </w:p>
        </w:tc>
        <w:tc>
          <w:tcPr>
            <w:tcW w:w="507" w:type="pct"/>
            <w:vAlign w:val="bottom"/>
          </w:tcPr>
          <w:p w:rsidR="001240AE" w:rsidRPr="006C0DD3" w:rsidRDefault="001240AE" w:rsidP="001B56F1">
            <w:pPr>
              <w:pStyle w:val="TableBodyText"/>
              <w:rPr>
                <w:sz w:val="18"/>
                <w:szCs w:val="18"/>
              </w:rPr>
            </w:pPr>
            <w:r w:rsidRPr="006C0DD3">
              <w:rPr>
                <w:sz w:val="18"/>
                <w:szCs w:val="18"/>
              </w:rPr>
              <w:t>5.9</w:t>
            </w:r>
          </w:p>
        </w:tc>
        <w:tc>
          <w:tcPr>
            <w:tcW w:w="507" w:type="pct"/>
            <w:vAlign w:val="bottom"/>
          </w:tcPr>
          <w:p w:rsidR="001240AE" w:rsidRPr="006C0DD3" w:rsidRDefault="001240AE" w:rsidP="001B56F1">
            <w:pPr>
              <w:pStyle w:val="TableBodyText"/>
              <w:rPr>
                <w:sz w:val="18"/>
                <w:szCs w:val="18"/>
              </w:rPr>
            </w:pPr>
            <w:r w:rsidRPr="006C0DD3">
              <w:rPr>
                <w:sz w:val="18"/>
                <w:szCs w:val="18"/>
              </w:rPr>
              <w:t>1.1</w:t>
            </w:r>
          </w:p>
        </w:tc>
        <w:tc>
          <w:tcPr>
            <w:tcW w:w="507" w:type="pct"/>
            <w:shd w:val="clear" w:color="auto" w:fill="auto"/>
            <w:vAlign w:val="bottom"/>
          </w:tcPr>
          <w:p w:rsidR="001240AE" w:rsidRPr="006C0DD3" w:rsidRDefault="001240AE" w:rsidP="001B56F1">
            <w:pPr>
              <w:pStyle w:val="TableBodyText"/>
              <w:rPr>
                <w:sz w:val="18"/>
                <w:szCs w:val="18"/>
              </w:rPr>
            </w:pPr>
            <w:r w:rsidRPr="006C0DD3">
              <w:rPr>
                <w:sz w:val="18"/>
                <w:szCs w:val="18"/>
              </w:rPr>
              <w:t>0.5</w:t>
            </w:r>
          </w:p>
        </w:tc>
        <w:tc>
          <w:tcPr>
            <w:tcW w:w="505" w:type="pct"/>
            <w:shd w:val="clear" w:color="auto" w:fill="auto"/>
            <w:vAlign w:val="bottom"/>
          </w:tcPr>
          <w:p w:rsidR="001240AE" w:rsidRPr="006C0DD3" w:rsidRDefault="001240AE" w:rsidP="001B56F1">
            <w:pPr>
              <w:pStyle w:val="TableBodyText"/>
              <w:rPr>
                <w:sz w:val="18"/>
                <w:szCs w:val="18"/>
              </w:rPr>
            </w:pPr>
            <w:r>
              <w:rPr>
                <w:sz w:val="18"/>
                <w:szCs w:val="18"/>
              </w:rPr>
              <w:t>&lt;</w:t>
            </w:r>
            <w:r w:rsidRPr="00E17EEF">
              <w:rPr>
                <w:sz w:val="18"/>
                <w:szCs w:val="18"/>
              </w:rPr>
              <w:t>0.</w:t>
            </w:r>
            <w:r>
              <w:rPr>
                <w:sz w:val="18"/>
                <w:szCs w:val="18"/>
              </w:rPr>
              <w:t>1</w:t>
            </w:r>
          </w:p>
        </w:tc>
      </w:tr>
      <w:tr w:rsidR="001240AE" w:rsidRPr="006C5A80" w:rsidTr="001B56F1">
        <w:tc>
          <w:tcPr>
            <w:tcW w:w="1960" w:type="pct"/>
            <w:vAlign w:val="bottom"/>
          </w:tcPr>
          <w:p w:rsidR="001240AE" w:rsidRPr="00267504" w:rsidRDefault="001240AE" w:rsidP="00A461C3">
            <w:pPr>
              <w:pStyle w:val="TableBodyText"/>
              <w:jc w:val="left"/>
              <w:rPr>
                <w:sz w:val="18"/>
                <w:szCs w:val="18"/>
              </w:rPr>
            </w:pPr>
            <w:r w:rsidRPr="00267504">
              <w:rPr>
                <w:sz w:val="18"/>
                <w:szCs w:val="18"/>
              </w:rPr>
              <w:t>Non-</w:t>
            </w:r>
            <w:r w:rsidR="00A461C3">
              <w:rPr>
                <w:sz w:val="18"/>
                <w:szCs w:val="18"/>
              </w:rPr>
              <w:t>m</w:t>
            </w:r>
            <w:r w:rsidR="00A461C3" w:rsidRPr="00267504">
              <w:rPr>
                <w:sz w:val="18"/>
                <w:szCs w:val="18"/>
              </w:rPr>
              <w:t xml:space="preserve">etallic </w:t>
            </w:r>
            <w:r w:rsidRPr="00267504">
              <w:rPr>
                <w:sz w:val="18"/>
                <w:szCs w:val="18"/>
              </w:rPr>
              <w:t>mineral products</w:t>
            </w:r>
          </w:p>
        </w:tc>
        <w:tc>
          <w:tcPr>
            <w:tcW w:w="507" w:type="pct"/>
            <w:vAlign w:val="bottom"/>
          </w:tcPr>
          <w:p w:rsidR="001240AE" w:rsidRPr="006C0DD3" w:rsidRDefault="001240AE" w:rsidP="001B56F1">
            <w:pPr>
              <w:pStyle w:val="TableBodyText"/>
              <w:rPr>
                <w:sz w:val="18"/>
                <w:szCs w:val="18"/>
              </w:rPr>
            </w:pPr>
            <w:r w:rsidRPr="006C0DD3">
              <w:rPr>
                <w:sz w:val="18"/>
                <w:szCs w:val="18"/>
              </w:rPr>
              <w:t>1.2</w:t>
            </w:r>
          </w:p>
        </w:tc>
        <w:tc>
          <w:tcPr>
            <w:tcW w:w="507" w:type="pct"/>
            <w:vAlign w:val="bottom"/>
          </w:tcPr>
          <w:p w:rsidR="001240AE" w:rsidRPr="006C0DD3" w:rsidRDefault="001240AE" w:rsidP="001B56F1">
            <w:pPr>
              <w:pStyle w:val="TableBodyText"/>
              <w:rPr>
                <w:sz w:val="18"/>
                <w:szCs w:val="18"/>
              </w:rPr>
            </w:pPr>
            <w:r w:rsidRPr="006C0DD3">
              <w:rPr>
                <w:sz w:val="18"/>
                <w:szCs w:val="18"/>
              </w:rPr>
              <w:t>1.2</w:t>
            </w:r>
          </w:p>
        </w:tc>
        <w:tc>
          <w:tcPr>
            <w:tcW w:w="507" w:type="pct"/>
            <w:vAlign w:val="bottom"/>
          </w:tcPr>
          <w:p w:rsidR="001240AE" w:rsidRPr="006C0DD3" w:rsidRDefault="001240AE" w:rsidP="001B56F1">
            <w:pPr>
              <w:pStyle w:val="TableBodyText"/>
              <w:rPr>
                <w:sz w:val="18"/>
                <w:szCs w:val="18"/>
              </w:rPr>
            </w:pPr>
            <w:r w:rsidRPr="006C0DD3">
              <w:rPr>
                <w:sz w:val="18"/>
                <w:szCs w:val="18"/>
              </w:rPr>
              <w:t>0.4</w:t>
            </w:r>
          </w:p>
        </w:tc>
        <w:tc>
          <w:tcPr>
            <w:tcW w:w="507" w:type="pct"/>
            <w:vAlign w:val="bottom"/>
          </w:tcPr>
          <w:p w:rsidR="001240AE" w:rsidRPr="006C0DD3" w:rsidRDefault="001240AE"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shd w:val="clear" w:color="auto" w:fill="auto"/>
            <w:vAlign w:val="bottom"/>
          </w:tcPr>
          <w:p w:rsidR="001240AE" w:rsidRPr="006C0DD3" w:rsidRDefault="001240AE" w:rsidP="001B56F1">
            <w:pPr>
              <w:pStyle w:val="TableBodyText"/>
              <w:rPr>
                <w:sz w:val="18"/>
                <w:szCs w:val="18"/>
              </w:rPr>
            </w:pPr>
            <w:r>
              <w:rPr>
                <w:sz w:val="18"/>
                <w:szCs w:val="18"/>
              </w:rPr>
              <w:noBreakHyphen/>
            </w:r>
          </w:p>
        </w:tc>
        <w:tc>
          <w:tcPr>
            <w:tcW w:w="505" w:type="pct"/>
            <w:shd w:val="clear" w:color="auto" w:fill="auto"/>
            <w:vAlign w:val="bottom"/>
          </w:tcPr>
          <w:p w:rsidR="001240AE" w:rsidRPr="006C0DD3" w:rsidRDefault="001240AE" w:rsidP="001B56F1">
            <w:pPr>
              <w:pStyle w:val="TableBodyText"/>
              <w:rPr>
                <w:sz w:val="18"/>
                <w:szCs w:val="18"/>
              </w:rPr>
            </w:pPr>
            <w:r>
              <w:rPr>
                <w:sz w:val="18"/>
                <w:szCs w:val="18"/>
              </w:rPr>
              <w:noBreakHyphen/>
            </w:r>
          </w:p>
        </w:tc>
      </w:tr>
      <w:tr w:rsidR="001240AE" w:rsidRPr="006C5A80" w:rsidTr="001B56F1">
        <w:tc>
          <w:tcPr>
            <w:tcW w:w="1960" w:type="pct"/>
            <w:vAlign w:val="bottom"/>
          </w:tcPr>
          <w:p w:rsidR="001240AE" w:rsidRPr="00267504" w:rsidRDefault="001240AE" w:rsidP="001B56F1">
            <w:pPr>
              <w:pStyle w:val="TableBodyText"/>
              <w:jc w:val="left"/>
              <w:rPr>
                <w:sz w:val="18"/>
                <w:szCs w:val="18"/>
              </w:rPr>
            </w:pPr>
            <w:r w:rsidRPr="00267504">
              <w:rPr>
                <w:sz w:val="18"/>
                <w:szCs w:val="18"/>
              </w:rPr>
              <w:t>Metal and fabricated metal products</w:t>
            </w:r>
          </w:p>
        </w:tc>
        <w:tc>
          <w:tcPr>
            <w:tcW w:w="507" w:type="pct"/>
            <w:vAlign w:val="bottom"/>
          </w:tcPr>
          <w:p w:rsidR="001240AE" w:rsidRPr="006C0DD3" w:rsidRDefault="001240AE" w:rsidP="001B56F1">
            <w:pPr>
              <w:pStyle w:val="TableBodyText"/>
              <w:rPr>
                <w:sz w:val="18"/>
                <w:szCs w:val="18"/>
              </w:rPr>
            </w:pPr>
            <w:r w:rsidRPr="006C0DD3">
              <w:rPr>
                <w:sz w:val="18"/>
                <w:szCs w:val="18"/>
              </w:rPr>
              <w:t>3.6</w:t>
            </w:r>
          </w:p>
        </w:tc>
        <w:tc>
          <w:tcPr>
            <w:tcW w:w="507" w:type="pct"/>
            <w:vAlign w:val="bottom"/>
          </w:tcPr>
          <w:p w:rsidR="001240AE" w:rsidRPr="006C0DD3" w:rsidRDefault="001240AE" w:rsidP="001B56F1">
            <w:pPr>
              <w:pStyle w:val="TableBodyText"/>
              <w:rPr>
                <w:sz w:val="18"/>
                <w:szCs w:val="18"/>
              </w:rPr>
            </w:pPr>
            <w:r w:rsidRPr="006C0DD3">
              <w:rPr>
                <w:sz w:val="18"/>
                <w:szCs w:val="18"/>
              </w:rPr>
              <w:t>2.4</w:t>
            </w:r>
          </w:p>
        </w:tc>
        <w:tc>
          <w:tcPr>
            <w:tcW w:w="507" w:type="pct"/>
            <w:vAlign w:val="bottom"/>
          </w:tcPr>
          <w:p w:rsidR="001240AE" w:rsidRPr="006C0DD3" w:rsidRDefault="001240AE" w:rsidP="001B56F1">
            <w:pPr>
              <w:pStyle w:val="TableBodyText"/>
              <w:rPr>
                <w:sz w:val="18"/>
                <w:szCs w:val="18"/>
              </w:rPr>
            </w:pPr>
            <w:r w:rsidRPr="006C0DD3">
              <w:rPr>
                <w:sz w:val="18"/>
                <w:szCs w:val="18"/>
              </w:rPr>
              <w:t>2.4</w:t>
            </w:r>
          </w:p>
        </w:tc>
        <w:tc>
          <w:tcPr>
            <w:tcW w:w="507" w:type="pct"/>
            <w:vAlign w:val="bottom"/>
          </w:tcPr>
          <w:p w:rsidR="001240AE" w:rsidRPr="006C0DD3" w:rsidRDefault="001240AE" w:rsidP="001B56F1">
            <w:pPr>
              <w:pStyle w:val="TableBodyText"/>
              <w:rPr>
                <w:sz w:val="18"/>
                <w:szCs w:val="18"/>
              </w:rPr>
            </w:pPr>
            <w:r w:rsidRPr="006C0DD3">
              <w:rPr>
                <w:sz w:val="18"/>
                <w:szCs w:val="18"/>
              </w:rPr>
              <w:t>2.4</w:t>
            </w:r>
          </w:p>
        </w:tc>
        <w:tc>
          <w:tcPr>
            <w:tcW w:w="507" w:type="pct"/>
            <w:shd w:val="clear" w:color="auto" w:fill="auto"/>
            <w:vAlign w:val="bottom"/>
          </w:tcPr>
          <w:p w:rsidR="001240AE" w:rsidRPr="006C0DD3" w:rsidRDefault="001240AE" w:rsidP="001B56F1">
            <w:pPr>
              <w:pStyle w:val="TableBodyText"/>
              <w:rPr>
                <w:sz w:val="18"/>
                <w:szCs w:val="18"/>
              </w:rPr>
            </w:pPr>
            <w:r w:rsidRPr="006C0DD3">
              <w:rPr>
                <w:sz w:val="18"/>
                <w:szCs w:val="18"/>
              </w:rPr>
              <w:t>0.4</w:t>
            </w:r>
          </w:p>
        </w:tc>
        <w:tc>
          <w:tcPr>
            <w:tcW w:w="505" w:type="pct"/>
            <w:shd w:val="clear" w:color="auto" w:fill="auto"/>
            <w:vAlign w:val="bottom"/>
          </w:tcPr>
          <w:p w:rsidR="001240AE" w:rsidRPr="006C0DD3" w:rsidRDefault="001240AE" w:rsidP="001B56F1">
            <w:pPr>
              <w:pStyle w:val="TableBodyText"/>
              <w:rPr>
                <w:sz w:val="18"/>
                <w:szCs w:val="18"/>
              </w:rPr>
            </w:pPr>
            <w:r>
              <w:rPr>
                <w:sz w:val="18"/>
                <w:szCs w:val="18"/>
              </w:rPr>
              <w:noBreakHyphen/>
            </w:r>
          </w:p>
        </w:tc>
      </w:tr>
      <w:tr w:rsidR="001240AE" w:rsidRPr="006C5A80" w:rsidTr="001B56F1">
        <w:tc>
          <w:tcPr>
            <w:tcW w:w="1960" w:type="pct"/>
            <w:vAlign w:val="bottom"/>
          </w:tcPr>
          <w:p w:rsidR="001240AE" w:rsidRPr="00267504" w:rsidRDefault="001240AE" w:rsidP="001B56F1">
            <w:pPr>
              <w:pStyle w:val="TableBodyText"/>
              <w:jc w:val="left"/>
              <w:rPr>
                <w:sz w:val="18"/>
                <w:szCs w:val="18"/>
              </w:rPr>
            </w:pPr>
            <w:r w:rsidRPr="00267504">
              <w:rPr>
                <w:sz w:val="18"/>
                <w:szCs w:val="18"/>
              </w:rPr>
              <w:t>Motor vehicle and parts</w:t>
            </w:r>
          </w:p>
        </w:tc>
        <w:tc>
          <w:tcPr>
            <w:tcW w:w="507" w:type="pct"/>
            <w:vAlign w:val="bottom"/>
          </w:tcPr>
          <w:p w:rsidR="001240AE" w:rsidRPr="006C0DD3" w:rsidRDefault="001240AE" w:rsidP="001B56F1">
            <w:pPr>
              <w:pStyle w:val="TableBodyText"/>
              <w:rPr>
                <w:sz w:val="18"/>
                <w:szCs w:val="18"/>
              </w:rPr>
            </w:pPr>
            <w:r w:rsidRPr="006C0DD3">
              <w:rPr>
                <w:sz w:val="18"/>
                <w:szCs w:val="18"/>
              </w:rPr>
              <w:t>2.2</w:t>
            </w:r>
          </w:p>
        </w:tc>
        <w:tc>
          <w:tcPr>
            <w:tcW w:w="507" w:type="pct"/>
            <w:vAlign w:val="bottom"/>
          </w:tcPr>
          <w:p w:rsidR="001240AE" w:rsidRPr="006C0DD3" w:rsidRDefault="001240AE" w:rsidP="001B56F1">
            <w:pPr>
              <w:pStyle w:val="TableBodyText"/>
              <w:rPr>
                <w:sz w:val="18"/>
                <w:szCs w:val="18"/>
              </w:rPr>
            </w:pPr>
            <w:r w:rsidRPr="006C0DD3">
              <w:rPr>
                <w:sz w:val="18"/>
                <w:szCs w:val="18"/>
              </w:rPr>
              <w:t>0.8</w:t>
            </w:r>
          </w:p>
        </w:tc>
        <w:tc>
          <w:tcPr>
            <w:tcW w:w="507" w:type="pct"/>
            <w:vAlign w:val="bottom"/>
          </w:tcPr>
          <w:p w:rsidR="001240AE" w:rsidRPr="006C0DD3" w:rsidRDefault="001240AE" w:rsidP="001B56F1">
            <w:pPr>
              <w:pStyle w:val="TableBodyText"/>
              <w:rPr>
                <w:sz w:val="18"/>
                <w:szCs w:val="18"/>
              </w:rPr>
            </w:pPr>
            <w:r w:rsidRPr="006C0DD3">
              <w:rPr>
                <w:sz w:val="18"/>
                <w:szCs w:val="18"/>
              </w:rPr>
              <w:t>0.5</w:t>
            </w:r>
          </w:p>
        </w:tc>
        <w:tc>
          <w:tcPr>
            <w:tcW w:w="507" w:type="pct"/>
            <w:vAlign w:val="bottom"/>
          </w:tcPr>
          <w:p w:rsidR="001240AE" w:rsidRPr="006C0DD3" w:rsidRDefault="001240AE" w:rsidP="001B56F1">
            <w:pPr>
              <w:pStyle w:val="TableBodyText"/>
              <w:rPr>
                <w:sz w:val="18"/>
                <w:szCs w:val="18"/>
              </w:rPr>
            </w:pPr>
            <w:r w:rsidRPr="006C0DD3">
              <w:rPr>
                <w:sz w:val="18"/>
                <w:szCs w:val="18"/>
              </w:rPr>
              <w:t>0.2</w:t>
            </w:r>
          </w:p>
        </w:tc>
        <w:tc>
          <w:tcPr>
            <w:tcW w:w="507" w:type="pct"/>
            <w:shd w:val="clear" w:color="auto" w:fill="auto"/>
            <w:vAlign w:val="bottom"/>
          </w:tcPr>
          <w:p w:rsidR="001240AE" w:rsidRPr="006C0DD3" w:rsidRDefault="001240AE" w:rsidP="001B56F1">
            <w:pPr>
              <w:pStyle w:val="TableBodyText"/>
              <w:rPr>
                <w:sz w:val="18"/>
                <w:szCs w:val="18"/>
              </w:rPr>
            </w:pPr>
            <w:r>
              <w:rPr>
                <w:sz w:val="18"/>
                <w:szCs w:val="18"/>
              </w:rPr>
              <w:noBreakHyphen/>
            </w:r>
          </w:p>
        </w:tc>
        <w:tc>
          <w:tcPr>
            <w:tcW w:w="505" w:type="pct"/>
            <w:shd w:val="clear" w:color="auto" w:fill="auto"/>
            <w:vAlign w:val="bottom"/>
          </w:tcPr>
          <w:p w:rsidR="001240AE" w:rsidRPr="006C0DD3" w:rsidRDefault="001240AE" w:rsidP="001B56F1">
            <w:pPr>
              <w:pStyle w:val="TableBodyText"/>
              <w:rPr>
                <w:sz w:val="18"/>
                <w:szCs w:val="18"/>
              </w:rPr>
            </w:pPr>
            <w:r>
              <w:rPr>
                <w:sz w:val="18"/>
                <w:szCs w:val="18"/>
              </w:rPr>
              <w:noBreakHyphen/>
            </w:r>
          </w:p>
        </w:tc>
      </w:tr>
      <w:tr w:rsidR="001240AE" w:rsidRPr="006C5A80" w:rsidTr="001B56F1">
        <w:tc>
          <w:tcPr>
            <w:tcW w:w="1960" w:type="pct"/>
            <w:vAlign w:val="bottom"/>
          </w:tcPr>
          <w:p w:rsidR="001240AE" w:rsidRPr="00267504" w:rsidRDefault="001240AE" w:rsidP="001B56F1">
            <w:pPr>
              <w:pStyle w:val="TableBodyText"/>
              <w:jc w:val="left"/>
              <w:rPr>
                <w:sz w:val="18"/>
                <w:szCs w:val="18"/>
              </w:rPr>
            </w:pPr>
            <w:r w:rsidRPr="00267504">
              <w:rPr>
                <w:sz w:val="18"/>
                <w:szCs w:val="18"/>
              </w:rPr>
              <w:t>Other transport equipment</w:t>
            </w:r>
          </w:p>
        </w:tc>
        <w:tc>
          <w:tcPr>
            <w:tcW w:w="507" w:type="pct"/>
            <w:vAlign w:val="bottom"/>
          </w:tcPr>
          <w:p w:rsidR="001240AE" w:rsidRPr="006C0DD3" w:rsidRDefault="001240AE" w:rsidP="001B56F1">
            <w:pPr>
              <w:pStyle w:val="TableBodyText"/>
              <w:rPr>
                <w:sz w:val="18"/>
                <w:szCs w:val="18"/>
              </w:rPr>
            </w:pPr>
            <w:r w:rsidRPr="006C0DD3">
              <w:rPr>
                <w:sz w:val="18"/>
                <w:szCs w:val="18"/>
              </w:rPr>
              <w:t>0.9</w:t>
            </w:r>
          </w:p>
        </w:tc>
        <w:tc>
          <w:tcPr>
            <w:tcW w:w="507" w:type="pct"/>
            <w:vAlign w:val="bottom"/>
          </w:tcPr>
          <w:p w:rsidR="001240AE" w:rsidRPr="006C0DD3" w:rsidRDefault="001240AE" w:rsidP="001B56F1">
            <w:pPr>
              <w:pStyle w:val="TableBodyText"/>
              <w:rPr>
                <w:sz w:val="18"/>
                <w:szCs w:val="18"/>
              </w:rPr>
            </w:pPr>
            <w:r w:rsidRPr="006C0DD3">
              <w:rPr>
                <w:sz w:val="18"/>
                <w:szCs w:val="18"/>
              </w:rPr>
              <w:t>0.1</w:t>
            </w:r>
          </w:p>
        </w:tc>
        <w:tc>
          <w:tcPr>
            <w:tcW w:w="507" w:type="pct"/>
            <w:vAlign w:val="bottom"/>
          </w:tcPr>
          <w:p w:rsidR="001240AE" w:rsidRPr="006C0DD3" w:rsidRDefault="001240AE" w:rsidP="001B56F1">
            <w:pPr>
              <w:pStyle w:val="TableBodyText"/>
              <w:rPr>
                <w:sz w:val="18"/>
                <w:szCs w:val="18"/>
              </w:rPr>
            </w:pPr>
            <w:r w:rsidRPr="006C0DD3">
              <w:rPr>
                <w:sz w:val="18"/>
                <w:szCs w:val="18"/>
              </w:rPr>
              <w:t>0.3</w:t>
            </w:r>
          </w:p>
        </w:tc>
        <w:tc>
          <w:tcPr>
            <w:tcW w:w="507" w:type="pct"/>
            <w:vAlign w:val="bottom"/>
          </w:tcPr>
          <w:p w:rsidR="001240AE" w:rsidRPr="006C0DD3" w:rsidRDefault="001240AE"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shd w:val="clear" w:color="auto" w:fill="auto"/>
            <w:vAlign w:val="bottom"/>
          </w:tcPr>
          <w:p w:rsidR="001240AE" w:rsidRPr="006C0DD3" w:rsidRDefault="001240AE" w:rsidP="001B56F1">
            <w:pPr>
              <w:pStyle w:val="TableBodyText"/>
              <w:rPr>
                <w:sz w:val="18"/>
                <w:szCs w:val="18"/>
              </w:rPr>
            </w:pPr>
            <w:r>
              <w:rPr>
                <w:sz w:val="18"/>
                <w:szCs w:val="18"/>
              </w:rPr>
              <w:noBreakHyphen/>
            </w:r>
          </w:p>
        </w:tc>
        <w:tc>
          <w:tcPr>
            <w:tcW w:w="505" w:type="pct"/>
            <w:shd w:val="clear" w:color="auto" w:fill="auto"/>
            <w:vAlign w:val="bottom"/>
          </w:tcPr>
          <w:p w:rsidR="001240AE" w:rsidRPr="006C0DD3" w:rsidRDefault="001240AE" w:rsidP="001B56F1">
            <w:pPr>
              <w:pStyle w:val="TableBodyText"/>
              <w:rPr>
                <w:sz w:val="18"/>
                <w:szCs w:val="18"/>
              </w:rPr>
            </w:pPr>
            <w:r>
              <w:rPr>
                <w:sz w:val="18"/>
                <w:szCs w:val="18"/>
              </w:rPr>
              <w:noBreakHyphen/>
            </w:r>
          </w:p>
        </w:tc>
      </w:tr>
      <w:tr w:rsidR="001240AE" w:rsidRPr="006C5A80" w:rsidTr="001B56F1">
        <w:tc>
          <w:tcPr>
            <w:tcW w:w="1960" w:type="pct"/>
            <w:vAlign w:val="bottom"/>
          </w:tcPr>
          <w:p w:rsidR="001240AE" w:rsidRPr="00267504" w:rsidRDefault="001240AE" w:rsidP="001B56F1">
            <w:pPr>
              <w:pStyle w:val="TableBodyText"/>
              <w:jc w:val="left"/>
              <w:rPr>
                <w:sz w:val="18"/>
                <w:szCs w:val="18"/>
              </w:rPr>
            </w:pPr>
            <w:r w:rsidRPr="00267504">
              <w:rPr>
                <w:sz w:val="18"/>
                <w:szCs w:val="18"/>
              </w:rPr>
              <w:t>Machinery and equipment manufacturing</w:t>
            </w:r>
          </w:p>
        </w:tc>
        <w:tc>
          <w:tcPr>
            <w:tcW w:w="507" w:type="pct"/>
            <w:vAlign w:val="bottom"/>
          </w:tcPr>
          <w:p w:rsidR="001240AE" w:rsidRPr="006C0DD3" w:rsidRDefault="001240AE" w:rsidP="001B56F1">
            <w:pPr>
              <w:pStyle w:val="TableBodyText"/>
              <w:rPr>
                <w:sz w:val="18"/>
                <w:szCs w:val="18"/>
              </w:rPr>
            </w:pPr>
            <w:r w:rsidRPr="006C0DD3">
              <w:rPr>
                <w:sz w:val="18"/>
                <w:szCs w:val="18"/>
              </w:rPr>
              <w:t>36.5</w:t>
            </w:r>
          </w:p>
        </w:tc>
        <w:tc>
          <w:tcPr>
            <w:tcW w:w="507" w:type="pct"/>
            <w:vAlign w:val="bottom"/>
          </w:tcPr>
          <w:p w:rsidR="001240AE" w:rsidRPr="006C0DD3" w:rsidRDefault="001240AE" w:rsidP="001B56F1">
            <w:pPr>
              <w:pStyle w:val="TableBodyText"/>
              <w:rPr>
                <w:sz w:val="18"/>
                <w:szCs w:val="18"/>
              </w:rPr>
            </w:pPr>
            <w:r w:rsidRPr="006C0DD3">
              <w:rPr>
                <w:sz w:val="18"/>
                <w:szCs w:val="18"/>
              </w:rPr>
              <w:t>28.2</w:t>
            </w:r>
          </w:p>
        </w:tc>
        <w:tc>
          <w:tcPr>
            <w:tcW w:w="507" w:type="pct"/>
            <w:vAlign w:val="bottom"/>
          </w:tcPr>
          <w:p w:rsidR="001240AE" w:rsidRPr="006C0DD3" w:rsidRDefault="001240AE" w:rsidP="001B56F1">
            <w:pPr>
              <w:pStyle w:val="TableBodyText"/>
              <w:rPr>
                <w:sz w:val="18"/>
                <w:szCs w:val="18"/>
              </w:rPr>
            </w:pPr>
            <w:r w:rsidRPr="006C0DD3">
              <w:rPr>
                <w:sz w:val="18"/>
                <w:szCs w:val="18"/>
              </w:rPr>
              <w:t>17.0</w:t>
            </w:r>
          </w:p>
        </w:tc>
        <w:tc>
          <w:tcPr>
            <w:tcW w:w="507" w:type="pct"/>
            <w:vAlign w:val="bottom"/>
          </w:tcPr>
          <w:p w:rsidR="001240AE" w:rsidRPr="006C0DD3" w:rsidRDefault="001240AE" w:rsidP="001B56F1">
            <w:pPr>
              <w:pStyle w:val="TableBodyText"/>
              <w:rPr>
                <w:sz w:val="18"/>
                <w:szCs w:val="18"/>
              </w:rPr>
            </w:pPr>
            <w:r w:rsidRPr="006C0DD3">
              <w:rPr>
                <w:sz w:val="18"/>
                <w:szCs w:val="18"/>
              </w:rPr>
              <w:t>4.5</w:t>
            </w:r>
          </w:p>
        </w:tc>
        <w:tc>
          <w:tcPr>
            <w:tcW w:w="507" w:type="pct"/>
            <w:shd w:val="clear" w:color="auto" w:fill="auto"/>
            <w:vAlign w:val="bottom"/>
          </w:tcPr>
          <w:p w:rsidR="001240AE" w:rsidRPr="006C0DD3" w:rsidRDefault="001240AE" w:rsidP="001B56F1">
            <w:pPr>
              <w:pStyle w:val="TableBodyText"/>
              <w:rPr>
                <w:sz w:val="18"/>
                <w:szCs w:val="18"/>
              </w:rPr>
            </w:pPr>
            <w:r w:rsidRPr="006C0DD3">
              <w:rPr>
                <w:sz w:val="18"/>
                <w:szCs w:val="18"/>
              </w:rPr>
              <w:t>0.7</w:t>
            </w:r>
          </w:p>
        </w:tc>
        <w:tc>
          <w:tcPr>
            <w:tcW w:w="505" w:type="pct"/>
            <w:shd w:val="clear" w:color="auto" w:fill="auto"/>
            <w:vAlign w:val="bottom"/>
          </w:tcPr>
          <w:p w:rsidR="001240AE" w:rsidRPr="006C0DD3" w:rsidRDefault="001240AE" w:rsidP="001B56F1">
            <w:pPr>
              <w:pStyle w:val="TableBodyText"/>
              <w:rPr>
                <w:sz w:val="18"/>
                <w:szCs w:val="18"/>
              </w:rPr>
            </w:pPr>
            <w:r>
              <w:rPr>
                <w:sz w:val="18"/>
                <w:szCs w:val="18"/>
              </w:rPr>
              <w:t>&lt;</w:t>
            </w:r>
            <w:r w:rsidRPr="00E17EEF">
              <w:rPr>
                <w:sz w:val="18"/>
                <w:szCs w:val="18"/>
              </w:rPr>
              <w:t>0.</w:t>
            </w:r>
            <w:r>
              <w:rPr>
                <w:sz w:val="18"/>
                <w:szCs w:val="18"/>
              </w:rPr>
              <w:t>1</w:t>
            </w:r>
          </w:p>
        </w:tc>
      </w:tr>
      <w:tr w:rsidR="001240AE" w:rsidRPr="006C5A80" w:rsidTr="001B56F1">
        <w:tc>
          <w:tcPr>
            <w:tcW w:w="1960" w:type="pct"/>
            <w:vAlign w:val="bottom"/>
          </w:tcPr>
          <w:p w:rsidR="001240AE" w:rsidRPr="00267504" w:rsidRDefault="001240AE" w:rsidP="001B56F1">
            <w:pPr>
              <w:pStyle w:val="TableBodyText"/>
              <w:jc w:val="left"/>
              <w:rPr>
                <w:sz w:val="18"/>
                <w:szCs w:val="18"/>
              </w:rPr>
            </w:pPr>
            <w:r w:rsidRPr="00267504">
              <w:rPr>
                <w:sz w:val="18"/>
                <w:szCs w:val="18"/>
              </w:rPr>
              <w:t>Furniture and other manufacturing</w:t>
            </w:r>
          </w:p>
        </w:tc>
        <w:tc>
          <w:tcPr>
            <w:tcW w:w="507" w:type="pct"/>
            <w:vAlign w:val="bottom"/>
          </w:tcPr>
          <w:p w:rsidR="001240AE" w:rsidRPr="006C0DD3" w:rsidRDefault="001240AE" w:rsidP="001B56F1">
            <w:pPr>
              <w:pStyle w:val="TableBodyText"/>
              <w:rPr>
                <w:sz w:val="18"/>
                <w:szCs w:val="18"/>
              </w:rPr>
            </w:pPr>
            <w:r w:rsidRPr="006C0DD3">
              <w:rPr>
                <w:sz w:val="18"/>
                <w:szCs w:val="18"/>
              </w:rPr>
              <w:t>6.9</w:t>
            </w:r>
          </w:p>
        </w:tc>
        <w:tc>
          <w:tcPr>
            <w:tcW w:w="507" w:type="pct"/>
            <w:vAlign w:val="bottom"/>
          </w:tcPr>
          <w:p w:rsidR="001240AE" w:rsidRPr="006C0DD3" w:rsidRDefault="001240AE" w:rsidP="001B56F1">
            <w:pPr>
              <w:pStyle w:val="TableBodyText"/>
              <w:rPr>
                <w:sz w:val="18"/>
                <w:szCs w:val="18"/>
              </w:rPr>
            </w:pPr>
            <w:r w:rsidRPr="006C0DD3">
              <w:rPr>
                <w:sz w:val="18"/>
                <w:szCs w:val="18"/>
              </w:rPr>
              <w:t>8.1</w:t>
            </w:r>
          </w:p>
        </w:tc>
        <w:tc>
          <w:tcPr>
            <w:tcW w:w="507" w:type="pct"/>
            <w:vAlign w:val="bottom"/>
          </w:tcPr>
          <w:p w:rsidR="001240AE" w:rsidRPr="006C0DD3" w:rsidRDefault="001240AE" w:rsidP="001B56F1">
            <w:pPr>
              <w:pStyle w:val="TableBodyText"/>
              <w:rPr>
                <w:sz w:val="18"/>
                <w:szCs w:val="18"/>
              </w:rPr>
            </w:pPr>
            <w:r w:rsidRPr="006C0DD3">
              <w:rPr>
                <w:sz w:val="18"/>
                <w:szCs w:val="18"/>
              </w:rPr>
              <w:t>0.9</w:t>
            </w:r>
          </w:p>
        </w:tc>
        <w:tc>
          <w:tcPr>
            <w:tcW w:w="507" w:type="pct"/>
            <w:vAlign w:val="bottom"/>
          </w:tcPr>
          <w:p w:rsidR="001240AE" w:rsidRPr="006C0DD3" w:rsidRDefault="001240AE" w:rsidP="001B56F1">
            <w:pPr>
              <w:pStyle w:val="TableBodyText"/>
              <w:rPr>
                <w:sz w:val="18"/>
                <w:szCs w:val="18"/>
              </w:rPr>
            </w:pPr>
            <w:r w:rsidRPr="006C0DD3">
              <w:rPr>
                <w:sz w:val="18"/>
                <w:szCs w:val="18"/>
              </w:rPr>
              <w:t>0.5</w:t>
            </w:r>
          </w:p>
        </w:tc>
        <w:tc>
          <w:tcPr>
            <w:tcW w:w="507" w:type="pct"/>
            <w:shd w:val="clear" w:color="auto" w:fill="auto"/>
            <w:vAlign w:val="bottom"/>
          </w:tcPr>
          <w:p w:rsidR="001240AE" w:rsidRPr="006C0DD3" w:rsidRDefault="001240AE" w:rsidP="001B56F1">
            <w:pPr>
              <w:pStyle w:val="TableBodyText"/>
              <w:rPr>
                <w:sz w:val="18"/>
                <w:szCs w:val="18"/>
              </w:rPr>
            </w:pPr>
            <w:r>
              <w:rPr>
                <w:sz w:val="18"/>
                <w:szCs w:val="18"/>
              </w:rPr>
              <w:t>&lt;</w:t>
            </w:r>
            <w:r w:rsidRPr="00E17EEF">
              <w:rPr>
                <w:sz w:val="18"/>
                <w:szCs w:val="18"/>
              </w:rPr>
              <w:t>0.</w:t>
            </w:r>
            <w:r>
              <w:rPr>
                <w:sz w:val="18"/>
                <w:szCs w:val="18"/>
              </w:rPr>
              <w:t>1</w:t>
            </w:r>
          </w:p>
        </w:tc>
        <w:tc>
          <w:tcPr>
            <w:tcW w:w="505" w:type="pct"/>
            <w:shd w:val="clear" w:color="auto" w:fill="auto"/>
            <w:vAlign w:val="bottom"/>
          </w:tcPr>
          <w:p w:rsidR="001240AE" w:rsidRPr="006C0DD3" w:rsidRDefault="001240AE" w:rsidP="001B56F1">
            <w:pPr>
              <w:pStyle w:val="TableBodyText"/>
              <w:rPr>
                <w:sz w:val="18"/>
                <w:szCs w:val="18"/>
              </w:rPr>
            </w:pPr>
            <w:r>
              <w:rPr>
                <w:sz w:val="18"/>
                <w:szCs w:val="18"/>
              </w:rPr>
              <w:noBreakHyphen/>
            </w:r>
          </w:p>
        </w:tc>
      </w:tr>
      <w:tr w:rsidR="001240AE" w:rsidRPr="006C5A80" w:rsidTr="001B56F1">
        <w:tc>
          <w:tcPr>
            <w:tcW w:w="1960" w:type="pct"/>
            <w:vAlign w:val="bottom"/>
          </w:tcPr>
          <w:p w:rsidR="001240AE" w:rsidRPr="006C0DD3" w:rsidRDefault="001240AE" w:rsidP="001B56F1">
            <w:pPr>
              <w:pStyle w:val="TableBodyText"/>
              <w:jc w:val="left"/>
              <w:rPr>
                <w:b/>
                <w:sz w:val="18"/>
                <w:szCs w:val="18"/>
              </w:rPr>
            </w:pPr>
            <w:r w:rsidRPr="006C0DD3">
              <w:rPr>
                <w:b/>
                <w:sz w:val="18"/>
                <w:szCs w:val="18"/>
              </w:rPr>
              <w:t>Services</w:t>
            </w:r>
          </w:p>
        </w:tc>
        <w:tc>
          <w:tcPr>
            <w:tcW w:w="507" w:type="pct"/>
            <w:vAlign w:val="bottom"/>
          </w:tcPr>
          <w:p w:rsidR="001240AE" w:rsidRPr="006C0DD3" w:rsidRDefault="001240AE" w:rsidP="001B56F1">
            <w:pPr>
              <w:pStyle w:val="TableBodyText"/>
              <w:rPr>
                <w:b/>
                <w:sz w:val="18"/>
                <w:szCs w:val="18"/>
              </w:rPr>
            </w:pPr>
            <w:r w:rsidRPr="006C0DD3">
              <w:rPr>
                <w:b/>
                <w:sz w:val="18"/>
                <w:szCs w:val="18"/>
              </w:rPr>
              <w:t>45.6</w:t>
            </w:r>
          </w:p>
        </w:tc>
        <w:tc>
          <w:tcPr>
            <w:tcW w:w="507" w:type="pct"/>
            <w:vAlign w:val="bottom"/>
          </w:tcPr>
          <w:p w:rsidR="001240AE" w:rsidRPr="006C0DD3" w:rsidRDefault="001240AE" w:rsidP="001B56F1">
            <w:pPr>
              <w:pStyle w:val="TableBodyText"/>
              <w:rPr>
                <w:b/>
                <w:sz w:val="18"/>
                <w:szCs w:val="18"/>
              </w:rPr>
            </w:pPr>
            <w:r w:rsidRPr="006C0DD3">
              <w:rPr>
                <w:b/>
                <w:sz w:val="18"/>
                <w:szCs w:val="18"/>
              </w:rPr>
              <w:t>40.0</w:t>
            </w:r>
          </w:p>
        </w:tc>
        <w:tc>
          <w:tcPr>
            <w:tcW w:w="507" w:type="pct"/>
            <w:vAlign w:val="bottom"/>
          </w:tcPr>
          <w:p w:rsidR="001240AE" w:rsidRPr="006C0DD3" w:rsidRDefault="001240AE" w:rsidP="001B56F1">
            <w:pPr>
              <w:pStyle w:val="TableBodyText"/>
              <w:rPr>
                <w:b/>
                <w:sz w:val="18"/>
                <w:szCs w:val="18"/>
              </w:rPr>
            </w:pPr>
            <w:r w:rsidRPr="006C0DD3">
              <w:rPr>
                <w:b/>
                <w:sz w:val="18"/>
                <w:szCs w:val="18"/>
              </w:rPr>
              <w:t>45.1</w:t>
            </w:r>
          </w:p>
        </w:tc>
        <w:tc>
          <w:tcPr>
            <w:tcW w:w="507" w:type="pct"/>
            <w:vAlign w:val="bottom"/>
          </w:tcPr>
          <w:p w:rsidR="001240AE" w:rsidRPr="006C0DD3" w:rsidRDefault="001240AE" w:rsidP="001B56F1">
            <w:pPr>
              <w:pStyle w:val="TableBodyText"/>
              <w:rPr>
                <w:b/>
                <w:sz w:val="18"/>
                <w:szCs w:val="18"/>
              </w:rPr>
            </w:pPr>
            <w:r w:rsidRPr="006C0DD3">
              <w:rPr>
                <w:b/>
                <w:sz w:val="18"/>
                <w:szCs w:val="18"/>
              </w:rPr>
              <w:t>14.7</w:t>
            </w:r>
          </w:p>
        </w:tc>
        <w:tc>
          <w:tcPr>
            <w:tcW w:w="507" w:type="pct"/>
            <w:shd w:val="clear" w:color="auto" w:fill="auto"/>
            <w:vAlign w:val="bottom"/>
          </w:tcPr>
          <w:p w:rsidR="001240AE" w:rsidRPr="006C0DD3" w:rsidRDefault="001240AE" w:rsidP="001B56F1">
            <w:pPr>
              <w:pStyle w:val="TableBodyText"/>
              <w:rPr>
                <w:b/>
                <w:sz w:val="18"/>
                <w:szCs w:val="18"/>
              </w:rPr>
            </w:pPr>
            <w:r w:rsidRPr="006C0DD3">
              <w:rPr>
                <w:b/>
                <w:sz w:val="18"/>
                <w:szCs w:val="18"/>
              </w:rPr>
              <w:t>3.4</w:t>
            </w:r>
          </w:p>
        </w:tc>
        <w:tc>
          <w:tcPr>
            <w:tcW w:w="505" w:type="pct"/>
            <w:shd w:val="clear" w:color="auto" w:fill="auto"/>
            <w:vAlign w:val="bottom"/>
          </w:tcPr>
          <w:p w:rsidR="001240AE" w:rsidRPr="006C0DD3" w:rsidRDefault="001240AE" w:rsidP="001B56F1">
            <w:pPr>
              <w:pStyle w:val="TableBodyText"/>
              <w:rPr>
                <w:b/>
                <w:sz w:val="18"/>
                <w:szCs w:val="18"/>
              </w:rPr>
            </w:pPr>
            <w:r w:rsidRPr="006C0DD3">
              <w:rPr>
                <w:b/>
                <w:sz w:val="18"/>
                <w:szCs w:val="18"/>
              </w:rPr>
              <w:t>0.7</w:t>
            </w:r>
          </w:p>
        </w:tc>
      </w:tr>
      <w:tr w:rsidR="001240AE" w:rsidRPr="006C5A80" w:rsidTr="001B56F1">
        <w:tc>
          <w:tcPr>
            <w:tcW w:w="1960" w:type="pct"/>
            <w:vAlign w:val="bottom"/>
          </w:tcPr>
          <w:p w:rsidR="001240AE" w:rsidRPr="00267504" w:rsidRDefault="001240AE" w:rsidP="001B56F1">
            <w:pPr>
              <w:pStyle w:val="TableBodyText"/>
              <w:jc w:val="left"/>
              <w:rPr>
                <w:sz w:val="18"/>
                <w:szCs w:val="18"/>
              </w:rPr>
            </w:pPr>
            <w:r w:rsidRPr="00267504">
              <w:rPr>
                <w:sz w:val="18"/>
                <w:szCs w:val="18"/>
              </w:rPr>
              <w:t>Electricity, gas, water and waste services</w:t>
            </w:r>
          </w:p>
        </w:tc>
        <w:tc>
          <w:tcPr>
            <w:tcW w:w="507" w:type="pct"/>
            <w:vAlign w:val="bottom"/>
          </w:tcPr>
          <w:p w:rsidR="001240AE" w:rsidRPr="006C0DD3" w:rsidRDefault="001240AE" w:rsidP="001B56F1">
            <w:pPr>
              <w:pStyle w:val="TableBodyText"/>
              <w:rPr>
                <w:sz w:val="18"/>
                <w:szCs w:val="18"/>
              </w:rPr>
            </w:pPr>
            <w:r w:rsidRPr="006C0DD3">
              <w:rPr>
                <w:sz w:val="18"/>
                <w:szCs w:val="18"/>
              </w:rPr>
              <w:t>1.1</w:t>
            </w:r>
          </w:p>
        </w:tc>
        <w:tc>
          <w:tcPr>
            <w:tcW w:w="507" w:type="pct"/>
            <w:vAlign w:val="bottom"/>
          </w:tcPr>
          <w:p w:rsidR="001240AE" w:rsidRPr="006C0DD3" w:rsidRDefault="001240AE" w:rsidP="001B56F1">
            <w:pPr>
              <w:pStyle w:val="TableBodyText"/>
              <w:rPr>
                <w:sz w:val="18"/>
                <w:szCs w:val="18"/>
              </w:rPr>
            </w:pPr>
            <w:r w:rsidRPr="006C0DD3">
              <w:rPr>
                <w:sz w:val="18"/>
                <w:szCs w:val="18"/>
              </w:rPr>
              <w:t>0.9</w:t>
            </w:r>
          </w:p>
        </w:tc>
        <w:tc>
          <w:tcPr>
            <w:tcW w:w="507" w:type="pct"/>
            <w:vAlign w:val="bottom"/>
          </w:tcPr>
          <w:p w:rsidR="001240AE" w:rsidRPr="006C0DD3" w:rsidRDefault="001240AE" w:rsidP="001B56F1">
            <w:pPr>
              <w:pStyle w:val="TableBodyText"/>
              <w:rPr>
                <w:sz w:val="18"/>
                <w:szCs w:val="18"/>
              </w:rPr>
            </w:pPr>
            <w:r w:rsidRPr="006C0DD3">
              <w:rPr>
                <w:sz w:val="18"/>
                <w:szCs w:val="18"/>
              </w:rPr>
              <w:t>0.7</w:t>
            </w:r>
          </w:p>
        </w:tc>
        <w:tc>
          <w:tcPr>
            <w:tcW w:w="507" w:type="pct"/>
            <w:vAlign w:val="bottom"/>
          </w:tcPr>
          <w:p w:rsidR="001240AE" w:rsidRPr="006C0DD3" w:rsidRDefault="001240AE" w:rsidP="001B56F1">
            <w:pPr>
              <w:pStyle w:val="TableBodyText"/>
              <w:rPr>
                <w:sz w:val="18"/>
                <w:szCs w:val="18"/>
              </w:rPr>
            </w:pPr>
            <w:r w:rsidRPr="006C0DD3">
              <w:rPr>
                <w:sz w:val="18"/>
                <w:szCs w:val="18"/>
              </w:rPr>
              <w:t>0.3</w:t>
            </w:r>
          </w:p>
        </w:tc>
        <w:tc>
          <w:tcPr>
            <w:tcW w:w="507" w:type="pct"/>
            <w:shd w:val="clear" w:color="auto" w:fill="auto"/>
            <w:vAlign w:val="bottom"/>
          </w:tcPr>
          <w:p w:rsidR="001240AE" w:rsidRPr="006C0DD3" w:rsidRDefault="001240AE" w:rsidP="001B56F1">
            <w:pPr>
              <w:pStyle w:val="TableBodyText"/>
              <w:rPr>
                <w:sz w:val="18"/>
                <w:szCs w:val="18"/>
              </w:rPr>
            </w:pPr>
            <w:r>
              <w:rPr>
                <w:sz w:val="18"/>
                <w:szCs w:val="18"/>
              </w:rPr>
              <w:t>&lt;</w:t>
            </w:r>
            <w:r w:rsidRPr="006C0DD3">
              <w:rPr>
                <w:sz w:val="18"/>
                <w:szCs w:val="18"/>
              </w:rPr>
              <w:t>0.1</w:t>
            </w:r>
          </w:p>
        </w:tc>
        <w:tc>
          <w:tcPr>
            <w:tcW w:w="505" w:type="pct"/>
            <w:shd w:val="clear" w:color="auto" w:fill="auto"/>
            <w:vAlign w:val="bottom"/>
          </w:tcPr>
          <w:p w:rsidR="001240AE" w:rsidRPr="006C0DD3" w:rsidRDefault="001240AE" w:rsidP="001B56F1">
            <w:pPr>
              <w:pStyle w:val="TableBodyText"/>
              <w:rPr>
                <w:sz w:val="18"/>
                <w:szCs w:val="18"/>
              </w:rPr>
            </w:pPr>
            <w:r>
              <w:rPr>
                <w:sz w:val="18"/>
                <w:szCs w:val="18"/>
              </w:rPr>
              <w:noBreakHyphen/>
            </w:r>
          </w:p>
        </w:tc>
      </w:tr>
      <w:tr w:rsidR="001240AE" w:rsidRPr="006C5A80" w:rsidTr="001B56F1">
        <w:tc>
          <w:tcPr>
            <w:tcW w:w="1960" w:type="pct"/>
            <w:vAlign w:val="bottom"/>
          </w:tcPr>
          <w:p w:rsidR="001240AE" w:rsidRPr="00267504" w:rsidRDefault="001240AE" w:rsidP="001B56F1">
            <w:pPr>
              <w:pStyle w:val="TableBodyText"/>
              <w:jc w:val="left"/>
              <w:rPr>
                <w:sz w:val="18"/>
                <w:szCs w:val="18"/>
              </w:rPr>
            </w:pPr>
            <w:r w:rsidRPr="00267504">
              <w:rPr>
                <w:sz w:val="18"/>
                <w:szCs w:val="18"/>
              </w:rPr>
              <w:t>Construction</w:t>
            </w:r>
          </w:p>
        </w:tc>
        <w:tc>
          <w:tcPr>
            <w:tcW w:w="507" w:type="pct"/>
            <w:vAlign w:val="bottom"/>
          </w:tcPr>
          <w:p w:rsidR="001240AE" w:rsidRPr="006C0DD3" w:rsidRDefault="001240AE" w:rsidP="001B56F1">
            <w:pPr>
              <w:pStyle w:val="TableBodyText"/>
              <w:rPr>
                <w:sz w:val="18"/>
                <w:szCs w:val="18"/>
              </w:rPr>
            </w:pPr>
            <w:r w:rsidRPr="006C0DD3">
              <w:rPr>
                <w:sz w:val="18"/>
                <w:szCs w:val="18"/>
              </w:rPr>
              <w:t>2.5</w:t>
            </w:r>
          </w:p>
        </w:tc>
        <w:tc>
          <w:tcPr>
            <w:tcW w:w="507" w:type="pct"/>
            <w:vAlign w:val="bottom"/>
          </w:tcPr>
          <w:p w:rsidR="001240AE" w:rsidRPr="006C0DD3" w:rsidRDefault="001240AE" w:rsidP="001B56F1">
            <w:pPr>
              <w:pStyle w:val="TableBodyText"/>
              <w:rPr>
                <w:sz w:val="18"/>
                <w:szCs w:val="18"/>
              </w:rPr>
            </w:pPr>
            <w:r w:rsidRPr="006C0DD3">
              <w:rPr>
                <w:sz w:val="18"/>
                <w:szCs w:val="18"/>
              </w:rPr>
              <w:t>1.8</w:t>
            </w:r>
          </w:p>
        </w:tc>
        <w:tc>
          <w:tcPr>
            <w:tcW w:w="507" w:type="pct"/>
            <w:vAlign w:val="bottom"/>
          </w:tcPr>
          <w:p w:rsidR="001240AE" w:rsidRPr="006C0DD3" w:rsidRDefault="001240AE" w:rsidP="001B56F1">
            <w:pPr>
              <w:pStyle w:val="TableBodyText"/>
              <w:rPr>
                <w:sz w:val="18"/>
                <w:szCs w:val="18"/>
              </w:rPr>
            </w:pPr>
            <w:r w:rsidRPr="006C0DD3">
              <w:rPr>
                <w:sz w:val="18"/>
                <w:szCs w:val="18"/>
              </w:rPr>
              <w:t>1.8</w:t>
            </w:r>
          </w:p>
        </w:tc>
        <w:tc>
          <w:tcPr>
            <w:tcW w:w="507" w:type="pct"/>
            <w:vAlign w:val="bottom"/>
          </w:tcPr>
          <w:p w:rsidR="001240AE" w:rsidRPr="006C0DD3" w:rsidRDefault="001240AE" w:rsidP="001B56F1">
            <w:pPr>
              <w:pStyle w:val="TableBodyText"/>
              <w:rPr>
                <w:sz w:val="18"/>
                <w:szCs w:val="18"/>
              </w:rPr>
            </w:pPr>
            <w:r w:rsidRPr="006C0DD3">
              <w:rPr>
                <w:sz w:val="18"/>
                <w:szCs w:val="18"/>
              </w:rPr>
              <w:t>0.9</w:t>
            </w:r>
          </w:p>
        </w:tc>
        <w:tc>
          <w:tcPr>
            <w:tcW w:w="507" w:type="pct"/>
            <w:shd w:val="clear" w:color="auto" w:fill="auto"/>
            <w:vAlign w:val="bottom"/>
          </w:tcPr>
          <w:p w:rsidR="001240AE" w:rsidRPr="006C0DD3" w:rsidRDefault="001240AE" w:rsidP="001B56F1">
            <w:pPr>
              <w:pStyle w:val="TableBodyText"/>
              <w:rPr>
                <w:sz w:val="18"/>
                <w:szCs w:val="18"/>
              </w:rPr>
            </w:pPr>
            <w:r>
              <w:rPr>
                <w:sz w:val="18"/>
                <w:szCs w:val="18"/>
              </w:rPr>
              <w:t>&lt;</w:t>
            </w:r>
            <w:r w:rsidRPr="00E17EEF">
              <w:rPr>
                <w:sz w:val="18"/>
                <w:szCs w:val="18"/>
              </w:rPr>
              <w:t>0.</w:t>
            </w:r>
            <w:r>
              <w:rPr>
                <w:sz w:val="18"/>
                <w:szCs w:val="18"/>
              </w:rPr>
              <w:t>1</w:t>
            </w:r>
          </w:p>
        </w:tc>
        <w:tc>
          <w:tcPr>
            <w:tcW w:w="505" w:type="pct"/>
            <w:shd w:val="clear" w:color="auto" w:fill="auto"/>
            <w:vAlign w:val="bottom"/>
          </w:tcPr>
          <w:p w:rsidR="001240AE" w:rsidRPr="006C0DD3" w:rsidRDefault="001240AE" w:rsidP="001B56F1">
            <w:pPr>
              <w:pStyle w:val="TableBodyText"/>
              <w:rPr>
                <w:sz w:val="18"/>
                <w:szCs w:val="18"/>
              </w:rPr>
            </w:pPr>
            <w:r w:rsidRPr="006C0DD3">
              <w:rPr>
                <w:sz w:val="18"/>
                <w:szCs w:val="18"/>
              </w:rPr>
              <w:t>0.5</w:t>
            </w:r>
          </w:p>
        </w:tc>
      </w:tr>
      <w:tr w:rsidR="001240AE" w:rsidRPr="006C5A80" w:rsidTr="001B56F1">
        <w:tc>
          <w:tcPr>
            <w:tcW w:w="1960" w:type="pct"/>
            <w:vAlign w:val="bottom"/>
          </w:tcPr>
          <w:p w:rsidR="001240AE" w:rsidRPr="00267504" w:rsidRDefault="001240AE" w:rsidP="001B56F1">
            <w:pPr>
              <w:pStyle w:val="TableBodyText"/>
              <w:jc w:val="left"/>
              <w:rPr>
                <w:sz w:val="18"/>
                <w:szCs w:val="18"/>
              </w:rPr>
            </w:pPr>
            <w:r w:rsidRPr="00267504">
              <w:rPr>
                <w:sz w:val="18"/>
                <w:szCs w:val="18"/>
              </w:rPr>
              <w:t>Wholesale trade</w:t>
            </w:r>
          </w:p>
        </w:tc>
        <w:tc>
          <w:tcPr>
            <w:tcW w:w="507" w:type="pct"/>
            <w:vAlign w:val="bottom"/>
          </w:tcPr>
          <w:p w:rsidR="001240AE" w:rsidRPr="006C0DD3" w:rsidRDefault="001240AE" w:rsidP="001B56F1">
            <w:pPr>
              <w:pStyle w:val="TableBodyText"/>
              <w:rPr>
                <w:sz w:val="18"/>
                <w:szCs w:val="18"/>
              </w:rPr>
            </w:pPr>
            <w:r w:rsidRPr="006C0DD3">
              <w:rPr>
                <w:sz w:val="18"/>
                <w:szCs w:val="18"/>
              </w:rPr>
              <w:t>0.2</w:t>
            </w:r>
          </w:p>
        </w:tc>
        <w:tc>
          <w:tcPr>
            <w:tcW w:w="507" w:type="pct"/>
            <w:vAlign w:val="bottom"/>
          </w:tcPr>
          <w:p w:rsidR="001240AE" w:rsidRPr="006C0DD3" w:rsidRDefault="001240AE" w:rsidP="001B56F1">
            <w:pPr>
              <w:pStyle w:val="TableBodyText"/>
              <w:rPr>
                <w:sz w:val="18"/>
                <w:szCs w:val="18"/>
              </w:rPr>
            </w:pPr>
            <w:r>
              <w:rPr>
                <w:sz w:val="18"/>
                <w:szCs w:val="18"/>
              </w:rPr>
              <w:noBreakHyphen/>
            </w:r>
          </w:p>
        </w:tc>
        <w:tc>
          <w:tcPr>
            <w:tcW w:w="507" w:type="pct"/>
            <w:vAlign w:val="bottom"/>
          </w:tcPr>
          <w:p w:rsidR="001240AE" w:rsidRPr="006C0DD3" w:rsidRDefault="001240AE" w:rsidP="001B56F1">
            <w:pPr>
              <w:pStyle w:val="TableBodyText"/>
              <w:rPr>
                <w:sz w:val="18"/>
                <w:szCs w:val="18"/>
              </w:rPr>
            </w:pPr>
            <w:r w:rsidRPr="006C0DD3">
              <w:rPr>
                <w:sz w:val="18"/>
                <w:szCs w:val="18"/>
              </w:rPr>
              <w:t>1.6</w:t>
            </w:r>
          </w:p>
        </w:tc>
        <w:tc>
          <w:tcPr>
            <w:tcW w:w="507" w:type="pct"/>
            <w:vAlign w:val="bottom"/>
          </w:tcPr>
          <w:p w:rsidR="001240AE" w:rsidRPr="006C0DD3" w:rsidRDefault="001240AE" w:rsidP="001B56F1">
            <w:pPr>
              <w:pStyle w:val="TableBodyText"/>
              <w:rPr>
                <w:sz w:val="18"/>
                <w:szCs w:val="18"/>
              </w:rPr>
            </w:pPr>
            <w:r w:rsidRPr="006C0DD3">
              <w:rPr>
                <w:sz w:val="18"/>
                <w:szCs w:val="18"/>
              </w:rPr>
              <w:t>0.8</w:t>
            </w:r>
          </w:p>
        </w:tc>
        <w:tc>
          <w:tcPr>
            <w:tcW w:w="507" w:type="pct"/>
            <w:shd w:val="clear" w:color="auto" w:fill="auto"/>
            <w:vAlign w:val="bottom"/>
          </w:tcPr>
          <w:p w:rsidR="001240AE" w:rsidRPr="006C0DD3" w:rsidRDefault="001240AE" w:rsidP="001B56F1">
            <w:pPr>
              <w:pStyle w:val="TableBodyText"/>
              <w:rPr>
                <w:sz w:val="18"/>
                <w:szCs w:val="18"/>
              </w:rPr>
            </w:pPr>
            <w:r>
              <w:rPr>
                <w:sz w:val="18"/>
                <w:szCs w:val="18"/>
              </w:rPr>
              <w:noBreakHyphen/>
            </w:r>
          </w:p>
        </w:tc>
        <w:tc>
          <w:tcPr>
            <w:tcW w:w="505" w:type="pct"/>
            <w:shd w:val="clear" w:color="auto" w:fill="auto"/>
            <w:vAlign w:val="bottom"/>
          </w:tcPr>
          <w:p w:rsidR="001240AE" w:rsidRPr="006C0DD3" w:rsidRDefault="001240AE" w:rsidP="001B56F1">
            <w:pPr>
              <w:pStyle w:val="TableBodyText"/>
              <w:rPr>
                <w:sz w:val="18"/>
                <w:szCs w:val="18"/>
              </w:rPr>
            </w:pPr>
            <w:r>
              <w:rPr>
                <w:sz w:val="18"/>
                <w:szCs w:val="18"/>
              </w:rPr>
              <w:noBreakHyphen/>
            </w:r>
          </w:p>
        </w:tc>
      </w:tr>
      <w:tr w:rsidR="001240AE" w:rsidRPr="006C5A80" w:rsidTr="001B56F1">
        <w:tc>
          <w:tcPr>
            <w:tcW w:w="1960" w:type="pct"/>
            <w:vAlign w:val="bottom"/>
          </w:tcPr>
          <w:p w:rsidR="001240AE" w:rsidRPr="00267504" w:rsidRDefault="001240AE" w:rsidP="001B56F1">
            <w:pPr>
              <w:pStyle w:val="TableBodyText"/>
              <w:jc w:val="left"/>
              <w:rPr>
                <w:sz w:val="18"/>
                <w:szCs w:val="18"/>
              </w:rPr>
            </w:pPr>
            <w:r w:rsidRPr="00267504">
              <w:rPr>
                <w:sz w:val="18"/>
                <w:szCs w:val="18"/>
              </w:rPr>
              <w:t>Retail trade</w:t>
            </w:r>
          </w:p>
        </w:tc>
        <w:tc>
          <w:tcPr>
            <w:tcW w:w="507" w:type="pct"/>
            <w:vAlign w:val="bottom"/>
          </w:tcPr>
          <w:p w:rsidR="001240AE" w:rsidRPr="006C0DD3" w:rsidRDefault="001240AE" w:rsidP="001B56F1">
            <w:pPr>
              <w:pStyle w:val="TableBodyText"/>
              <w:rPr>
                <w:sz w:val="18"/>
                <w:szCs w:val="18"/>
              </w:rPr>
            </w:pPr>
            <w:r>
              <w:rPr>
                <w:sz w:val="18"/>
                <w:szCs w:val="18"/>
              </w:rPr>
              <w:noBreakHyphen/>
            </w:r>
          </w:p>
        </w:tc>
        <w:tc>
          <w:tcPr>
            <w:tcW w:w="507" w:type="pct"/>
            <w:vAlign w:val="bottom"/>
          </w:tcPr>
          <w:p w:rsidR="001240AE" w:rsidRPr="006C0DD3" w:rsidRDefault="001240AE" w:rsidP="001B56F1">
            <w:pPr>
              <w:pStyle w:val="TableBodyText"/>
              <w:rPr>
                <w:sz w:val="18"/>
                <w:szCs w:val="18"/>
              </w:rPr>
            </w:pPr>
            <w:r>
              <w:rPr>
                <w:sz w:val="18"/>
                <w:szCs w:val="18"/>
              </w:rPr>
              <w:noBreakHyphen/>
            </w:r>
          </w:p>
        </w:tc>
        <w:tc>
          <w:tcPr>
            <w:tcW w:w="507" w:type="pct"/>
            <w:vAlign w:val="bottom"/>
          </w:tcPr>
          <w:p w:rsidR="001240AE" w:rsidRPr="006C0DD3" w:rsidRDefault="001240AE" w:rsidP="001B56F1">
            <w:pPr>
              <w:pStyle w:val="TableBodyText"/>
              <w:rPr>
                <w:sz w:val="18"/>
                <w:szCs w:val="18"/>
              </w:rPr>
            </w:pPr>
            <w:r w:rsidRPr="006C0DD3">
              <w:rPr>
                <w:sz w:val="18"/>
                <w:szCs w:val="18"/>
              </w:rPr>
              <w:t>0.2</w:t>
            </w:r>
          </w:p>
        </w:tc>
        <w:tc>
          <w:tcPr>
            <w:tcW w:w="507" w:type="pct"/>
            <w:vAlign w:val="bottom"/>
          </w:tcPr>
          <w:p w:rsidR="001240AE" w:rsidRPr="006C0DD3" w:rsidRDefault="001240AE"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shd w:val="clear" w:color="auto" w:fill="auto"/>
            <w:vAlign w:val="bottom"/>
          </w:tcPr>
          <w:p w:rsidR="001240AE" w:rsidRPr="006C0DD3" w:rsidRDefault="001240AE" w:rsidP="001B56F1">
            <w:pPr>
              <w:pStyle w:val="TableBodyText"/>
              <w:rPr>
                <w:sz w:val="18"/>
                <w:szCs w:val="18"/>
              </w:rPr>
            </w:pPr>
            <w:r>
              <w:rPr>
                <w:sz w:val="18"/>
                <w:szCs w:val="18"/>
              </w:rPr>
              <w:noBreakHyphen/>
            </w:r>
          </w:p>
        </w:tc>
        <w:tc>
          <w:tcPr>
            <w:tcW w:w="505" w:type="pct"/>
            <w:shd w:val="clear" w:color="auto" w:fill="auto"/>
            <w:vAlign w:val="bottom"/>
          </w:tcPr>
          <w:p w:rsidR="001240AE" w:rsidRPr="006C0DD3" w:rsidRDefault="001240AE" w:rsidP="001B56F1">
            <w:pPr>
              <w:pStyle w:val="TableBodyText"/>
              <w:rPr>
                <w:sz w:val="18"/>
                <w:szCs w:val="18"/>
              </w:rPr>
            </w:pPr>
            <w:r>
              <w:rPr>
                <w:sz w:val="18"/>
                <w:szCs w:val="18"/>
              </w:rPr>
              <w:noBreakHyphen/>
            </w:r>
          </w:p>
        </w:tc>
      </w:tr>
      <w:tr w:rsidR="001240AE" w:rsidRPr="006C5A80" w:rsidTr="001B56F1">
        <w:tc>
          <w:tcPr>
            <w:tcW w:w="1960" w:type="pct"/>
            <w:vAlign w:val="bottom"/>
          </w:tcPr>
          <w:p w:rsidR="001240AE" w:rsidRPr="00267504" w:rsidRDefault="001240AE" w:rsidP="001B56F1">
            <w:pPr>
              <w:pStyle w:val="TableBodyText"/>
              <w:jc w:val="left"/>
              <w:rPr>
                <w:sz w:val="18"/>
                <w:szCs w:val="18"/>
              </w:rPr>
            </w:pPr>
            <w:r w:rsidRPr="00267504">
              <w:rPr>
                <w:sz w:val="18"/>
                <w:szCs w:val="18"/>
              </w:rPr>
              <w:t>Transport, postal and warehousing</w:t>
            </w:r>
          </w:p>
        </w:tc>
        <w:tc>
          <w:tcPr>
            <w:tcW w:w="507" w:type="pct"/>
            <w:vAlign w:val="bottom"/>
          </w:tcPr>
          <w:p w:rsidR="001240AE" w:rsidRPr="006C0DD3" w:rsidRDefault="001240AE" w:rsidP="001B56F1">
            <w:pPr>
              <w:pStyle w:val="TableBodyText"/>
              <w:rPr>
                <w:sz w:val="18"/>
                <w:szCs w:val="18"/>
              </w:rPr>
            </w:pPr>
            <w:r w:rsidRPr="006C0DD3">
              <w:rPr>
                <w:sz w:val="18"/>
                <w:szCs w:val="18"/>
              </w:rPr>
              <w:t>0.8</w:t>
            </w:r>
          </w:p>
        </w:tc>
        <w:tc>
          <w:tcPr>
            <w:tcW w:w="507" w:type="pct"/>
            <w:vAlign w:val="bottom"/>
          </w:tcPr>
          <w:p w:rsidR="001240AE" w:rsidRPr="006C0DD3" w:rsidRDefault="001240AE" w:rsidP="001B56F1">
            <w:pPr>
              <w:pStyle w:val="TableBodyText"/>
              <w:rPr>
                <w:sz w:val="18"/>
                <w:szCs w:val="18"/>
              </w:rPr>
            </w:pPr>
            <w:r w:rsidRPr="006C0DD3">
              <w:rPr>
                <w:sz w:val="18"/>
                <w:szCs w:val="18"/>
              </w:rPr>
              <w:t>1.3</w:t>
            </w:r>
          </w:p>
        </w:tc>
        <w:tc>
          <w:tcPr>
            <w:tcW w:w="507" w:type="pct"/>
            <w:vAlign w:val="bottom"/>
          </w:tcPr>
          <w:p w:rsidR="001240AE" w:rsidRPr="006C0DD3" w:rsidRDefault="001240AE" w:rsidP="001B56F1">
            <w:pPr>
              <w:pStyle w:val="TableBodyText"/>
              <w:rPr>
                <w:sz w:val="18"/>
                <w:szCs w:val="18"/>
              </w:rPr>
            </w:pPr>
            <w:r>
              <w:rPr>
                <w:sz w:val="18"/>
                <w:szCs w:val="18"/>
              </w:rPr>
              <w:noBreakHyphen/>
            </w:r>
          </w:p>
        </w:tc>
        <w:tc>
          <w:tcPr>
            <w:tcW w:w="507" w:type="pct"/>
            <w:vAlign w:val="bottom"/>
          </w:tcPr>
          <w:p w:rsidR="001240AE" w:rsidRPr="006C0DD3" w:rsidRDefault="001240AE" w:rsidP="001B56F1">
            <w:pPr>
              <w:pStyle w:val="TableBodyText"/>
              <w:rPr>
                <w:sz w:val="18"/>
                <w:szCs w:val="18"/>
              </w:rPr>
            </w:pPr>
            <w:r>
              <w:rPr>
                <w:sz w:val="18"/>
                <w:szCs w:val="18"/>
              </w:rPr>
              <w:noBreakHyphen/>
            </w:r>
          </w:p>
        </w:tc>
        <w:tc>
          <w:tcPr>
            <w:tcW w:w="507" w:type="pct"/>
            <w:shd w:val="clear" w:color="auto" w:fill="auto"/>
            <w:vAlign w:val="bottom"/>
          </w:tcPr>
          <w:p w:rsidR="001240AE" w:rsidRPr="006C0DD3" w:rsidRDefault="001240AE" w:rsidP="001B56F1">
            <w:pPr>
              <w:pStyle w:val="TableBodyText"/>
              <w:rPr>
                <w:sz w:val="18"/>
                <w:szCs w:val="18"/>
              </w:rPr>
            </w:pPr>
            <w:r>
              <w:rPr>
                <w:sz w:val="18"/>
                <w:szCs w:val="18"/>
              </w:rPr>
              <w:noBreakHyphen/>
            </w:r>
          </w:p>
        </w:tc>
        <w:tc>
          <w:tcPr>
            <w:tcW w:w="505" w:type="pct"/>
            <w:shd w:val="clear" w:color="auto" w:fill="auto"/>
            <w:vAlign w:val="bottom"/>
          </w:tcPr>
          <w:p w:rsidR="001240AE" w:rsidRPr="006C0DD3" w:rsidRDefault="001240AE" w:rsidP="001B56F1">
            <w:pPr>
              <w:pStyle w:val="TableBodyText"/>
              <w:rPr>
                <w:sz w:val="18"/>
                <w:szCs w:val="18"/>
              </w:rPr>
            </w:pPr>
            <w:r>
              <w:rPr>
                <w:sz w:val="18"/>
                <w:szCs w:val="18"/>
              </w:rPr>
              <w:noBreakHyphen/>
            </w:r>
          </w:p>
        </w:tc>
      </w:tr>
      <w:tr w:rsidR="001240AE" w:rsidRPr="006C5A80" w:rsidTr="001B56F1">
        <w:tc>
          <w:tcPr>
            <w:tcW w:w="1960" w:type="pct"/>
            <w:vAlign w:val="bottom"/>
          </w:tcPr>
          <w:p w:rsidR="001240AE" w:rsidRPr="00267504" w:rsidRDefault="001240AE" w:rsidP="001B56F1">
            <w:pPr>
              <w:pStyle w:val="TableBodyText"/>
              <w:jc w:val="left"/>
              <w:rPr>
                <w:sz w:val="18"/>
                <w:szCs w:val="18"/>
              </w:rPr>
            </w:pPr>
            <w:r w:rsidRPr="00267504">
              <w:rPr>
                <w:sz w:val="18"/>
                <w:szCs w:val="18"/>
              </w:rPr>
              <w:t>Information, media and telecommunications</w:t>
            </w:r>
          </w:p>
        </w:tc>
        <w:tc>
          <w:tcPr>
            <w:tcW w:w="507" w:type="pct"/>
            <w:vAlign w:val="bottom"/>
          </w:tcPr>
          <w:p w:rsidR="001240AE" w:rsidRPr="006C0DD3" w:rsidRDefault="001240AE" w:rsidP="001B56F1">
            <w:pPr>
              <w:pStyle w:val="TableBodyText"/>
              <w:rPr>
                <w:sz w:val="18"/>
                <w:szCs w:val="18"/>
              </w:rPr>
            </w:pPr>
            <w:r w:rsidRPr="006C0DD3">
              <w:rPr>
                <w:sz w:val="18"/>
                <w:szCs w:val="18"/>
              </w:rPr>
              <w:t>5.2</w:t>
            </w:r>
          </w:p>
        </w:tc>
        <w:tc>
          <w:tcPr>
            <w:tcW w:w="507" w:type="pct"/>
            <w:vAlign w:val="bottom"/>
          </w:tcPr>
          <w:p w:rsidR="001240AE" w:rsidRPr="006C0DD3" w:rsidRDefault="001240AE" w:rsidP="001B56F1">
            <w:pPr>
              <w:pStyle w:val="TableBodyText"/>
              <w:rPr>
                <w:sz w:val="18"/>
                <w:szCs w:val="18"/>
              </w:rPr>
            </w:pPr>
            <w:r w:rsidRPr="006C0DD3">
              <w:rPr>
                <w:sz w:val="18"/>
                <w:szCs w:val="18"/>
              </w:rPr>
              <w:t>2.8</w:t>
            </w:r>
          </w:p>
        </w:tc>
        <w:tc>
          <w:tcPr>
            <w:tcW w:w="507" w:type="pct"/>
            <w:vAlign w:val="bottom"/>
          </w:tcPr>
          <w:p w:rsidR="001240AE" w:rsidRPr="006C0DD3" w:rsidRDefault="001240AE" w:rsidP="001B56F1">
            <w:pPr>
              <w:pStyle w:val="TableBodyText"/>
              <w:rPr>
                <w:sz w:val="18"/>
                <w:szCs w:val="18"/>
              </w:rPr>
            </w:pPr>
            <w:r w:rsidRPr="006C0DD3">
              <w:rPr>
                <w:sz w:val="18"/>
                <w:szCs w:val="18"/>
              </w:rPr>
              <w:t>1.8</w:t>
            </w:r>
          </w:p>
        </w:tc>
        <w:tc>
          <w:tcPr>
            <w:tcW w:w="507" w:type="pct"/>
            <w:vAlign w:val="bottom"/>
          </w:tcPr>
          <w:p w:rsidR="001240AE" w:rsidRPr="006C0DD3" w:rsidRDefault="001240AE" w:rsidP="001B56F1">
            <w:pPr>
              <w:pStyle w:val="TableBodyText"/>
              <w:rPr>
                <w:sz w:val="18"/>
                <w:szCs w:val="18"/>
              </w:rPr>
            </w:pPr>
            <w:r w:rsidRPr="006C0DD3">
              <w:rPr>
                <w:sz w:val="18"/>
                <w:szCs w:val="18"/>
              </w:rPr>
              <w:t>0.4</w:t>
            </w:r>
          </w:p>
        </w:tc>
        <w:tc>
          <w:tcPr>
            <w:tcW w:w="507" w:type="pct"/>
            <w:shd w:val="clear" w:color="auto" w:fill="auto"/>
            <w:vAlign w:val="bottom"/>
          </w:tcPr>
          <w:p w:rsidR="001240AE" w:rsidRPr="006C0DD3" w:rsidRDefault="001240AE" w:rsidP="001B56F1">
            <w:pPr>
              <w:pStyle w:val="TableBodyText"/>
              <w:rPr>
                <w:sz w:val="18"/>
                <w:szCs w:val="18"/>
              </w:rPr>
            </w:pPr>
            <w:r>
              <w:rPr>
                <w:sz w:val="18"/>
                <w:szCs w:val="18"/>
              </w:rPr>
              <w:noBreakHyphen/>
            </w:r>
          </w:p>
        </w:tc>
        <w:tc>
          <w:tcPr>
            <w:tcW w:w="505" w:type="pct"/>
            <w:shd w:val="clear" w:color="auto" w:fill="auto"/>
            <w:vAlign w:val="bottom"/>
          </w:tcPr>
          <w:p w:rsidR="001240AE" w:rsidRPr="006C0DD3" w:rsidRDefault="001240AE" w:rsidP="001B56F1">
            <w:pPr>
              <w:pStyle w:val="TableBodyText"/>
              <w:rPr>
                <w:sz w:val="18"/>
                <w:szCs w:val="18"/>
              </w:rPr>
            </w:pPr>
            <w:r>
              <w:rPr>
                <w:sz w:val="18"/>
                <w:szCs w:val="18"/>
              </w:rPr>
              <w:noBreakHyphen/>
            </w:r>
          </w:p>
        </w:tc>
      </w:tr>
      <w:tr w:rsidR="001240AE" w:rsidRPr="006C5A80" w:rsidTr="001B56F1">
        <w:tc>
          <w:tcPr>
            <w:tcW w:w="1960" w:type="pct"/>
            <w:vAlign w:val="bottom"/>
          </w:tcPr>
          <w:p w:rsidR="001240AE" w:rsidRPr="00267504" w:rsidRDefault="001240AE" w:rsidP="001B56F1">
            <w:pPr>
              <w:pStyle w:val="TableBodyText"/>
              <w:jc w:val="left"/>
              <w:rPr>
                <w:sz w:val="18"/>
                <w:szCs w:val="18"/>
              </w:rPr>
            </w:pPr>
            <w:r w:rsidRPr="00267504">
              <w:rPr>
                <w:sz w:val="18"/>
                <w:szCs w:val="18"/>
              </w:rPr>
              <w:t>Financial and insurance services</w:t>
            </w:r>
          </w:p>
        </w:tc>
        <w:tc>
          <w:tcPr>
            <w:tcW w:w="507" w:type="pct"/>
            <w:vAlign w:val="bottom"/>
          </w:tcPr>
          <w:p w:rsidR="001240AE" w:rsidRPr="006C0DD3" w:rsidRDefault="001240AE" w:rsidP="001B56F1">
            <w:pPr>
              <w:pStyle w:val="TableBodyText"/>
              <w:rPr>
                <w:sz w:val="18"/>
                <w:szCs w:val="18"/>
              </w:rPr>
            </w:pPr>
            <w:r w:rsidRPr="006C0DD3">
              <w:rPr>
                <w:sz w:val="18"/>
                <w:szCs w:val="18"/>
              </w:rPr>
              <w:t>1.6</w:t>
            </w:r>
          </w:p>
        </w:tc>
        <w:tc>
          <w:tcPr>
            <w:tcW w:w="507" w:type="pct"/>
            <w:vAlign w:val="bottom"/>
          </w:tcPr>
          <w:p w:rsidR="001240AE" w:rsidRPr="006C0DD3" w:rsidRDefault="001240AE" w:rsidP="001B56F1">
            <w:pPr>
              <w:pStyle w:val="TableBodyText"/>
              <w:rPr>
                <w:sz w:val="18"/>
                <w:szCs w:val="18"/>
              </w:rPr>
            </w:pPr>
            <w:r w:rsidRPr="006C0DD3">
              <w:rPr>
                <w:sz w:val="18"/>
                <w:szCs w:val="18"/>
              </w:rPr>
              <w:t>1.8</w:t>
            </w:r>
          </w:p>
        </w:tc>
        <w:tc>
          <w:tcPr>
            <w:tcW w:w="507" w:type="pct"/>
            <w:vAlign w:val="bottom"/>
          </w:tcPr>
          <w:p w:rsidR="001240AE" w:rsidRPr="006C0DD3" w:rsidRDefault="001240AE" w:rsidP="001B56F1">
            <w:pPr>
              <w:pStyle w:val="TableBodyText"/>
              <w:rPr>
                <w:sz w:val="18"/>
                <w:szCs w:val="18"/>
              </w:rPr>
            </w:pPr>
            <w:r>
              <w:rPr>
                <w:sz w:val="18"/>
                <w:szCs w:val="18"/>
              </w:rPr>
              <w:noBreakHyphen/>
            </w:r>
          </w:p>
        </w:tc>
        <w:tc>
          <w:tcPr>
            <w:tcW w:w="507" w:type="pct"/>
            <w:vAlign w:val="bottom"/>
          </w:tcPr>
          <w:p w:rsidR="001240AE" w:rsidRPr="006C0DD3" w:rsidRDefault="001240AE" w:rsidP="001B56F1">
            <w:pPr>
              <w:pStyle w:val="TableBodyText"/>
              <w:rPr>
                <w:sz w:val="18"/>
                <w:szCs w:val="18"/>
              </w:rPr>
            </w:pPr>
            <w:r>
              <w:rPr>
                <w:sz w:val="18"/>
                <w:szCs w:val="18"/>
              </w:rPr>
              <w:noBreakHyphen/>
            </w:r>
          </w:p>
        </w:tc>
        <w:tc>
          <w:tcPr>
            <w:tcW w:w="507" w:type="pct"/>
            <w:shd w:val="clear" w:color="auto" w:fill="auto"/>
            <w:vAlign w:val="bottom"/>
          </w:tcPr>
          <w:p w:rsidR="001240AE" w:rsidRPr="006C0DD3" w:rsidRDefault="001240AE" w:rsidP="001B56F1">
            <w:pPr>
              <w:pStyle w:val="TableBodyText"/>
              <w:rPr>
                <w:sz w:val="18"/>
                <w:szCs w:val="18"/>
              </w:rPr>
            </w:pPr>
            <w:r>
              <w:rPr>
                <w:sz w:val="18"/>
                <w:szCs w:val="18"/>
              </w:rPr>
              <w:noBreakHyphen/>
            </w:r>
          </w:p>
        </w:tc>
        <w:tc>
          <w:tcPr>
            <w:tcW w:w="505" w:type="pct"/>
            <w:shd w:val="clear" w:color="auto" w:fill="auto"/>
            <w:vAlign w:val="bottom"/>
          </w:tcPr>
          <w:p w:rsidR="001240AE" w:rsidRPr="006C0DD3" w:rsidRDefault="001240AE" w:rsidP="001B56F1">
            <w:pPr>
              <w:pStyle w:val="TableBodyText"/>
              <w:rPr>
                <w:sz w:val="18"/>
                <w:szCs w:val="18"/>
              </w:rPr>
            </w:pPr>
            <w:r>
              <w:rPr>
                <w:sz w:val="18"/>
                <w:szCs w:val="18"/>
              </w:rPr>
              <w:noBreakHyphen/>
            </w:r>
          </w:p>
        </w:tc>
      </w:tr>
      <w:tr w:rsidR="001240AE" w:rsidRPr="006C5A80" w:rsidTr="001B56F1">
        <w:tc>
          <w:tcPr>
            <w:tcW w:w="1960" w:type="pct"/>
            <w:vAlign w:val="bottom"/>
          </w:tcPr>
          <w:p w:rsidR="001240AE" w:rsidRPr="00267504" w:rsidRDefault="001240AE" w:rsidP="001B56F1">
            <w:pPr>
              <w:pStyle w:val="TableBodyText"/>
              <w:jc w:val="left"/>
              <w:rPr>
                <w:sz w:val="18"/>
                <w:szCs w:val="18"/>
              </w:rPr>
            </w:pPr>
            <w:r w:rsidRPr="00267504">
              <w:rPr>
                <w:sz w:val="18"/>
                <w:szCs w:val="18"/>
              </w:rPr>
              <w:t>Property, professional and administrative services</w:t>
            </w:r>
          </w:p>
        </w:tc>
        <w:tc>
          <w:tcPr>
            <w:tcW w:w="507" w:type="pct"/>
            <w:vAlign w:val="bottom"/>
          </w:tcPr>
          <w:p w:rsidR="001240AE" w:rsidRPr="006C0DD3" w:rsidRDefault="001240AE" w:rsidP="001B56F1">
            <w:pPr>
              <w:pStyle w:val="TableBodyText"/>
              <w:rPr>
                <w:sz w:val="18"/>
                <w:szCs w:val="18"/>
              </w:rPr>
            </w:pPr>
            <w:r w:rsidRPr="006C0DD3">
              <w:rPr>
                <w:sz w:val="18"/>
                <w:szCs w:val="18"/>
              </w:rPr>
              <w:t>26.9</w:t>
            </w:r>
          </w:p>
        </w:tc>
        <w:tc>
          <w:tcPr>
            <w:tcW w:w="507" w:type="pct"/>
            <w:vAlign w:val="bottom"/>
          </w:tcPr>
          <w:p w:rsidR="001240AE" w:rsidRPr="006C0DD3" w:rsidRDefault="001240AE" w:rsidP="001B56F1">
            <w:pPr>
              <w:pStyle w:val="TableBodyText"/>
              <w:rPr>
                <w:sz w:val="18"/>
                <w:szCs w:val="18"/>
              </w:rPr>
            </w:pPr>
            <w:r w:rsidRPr="006C0DD3">
              <w:rPr>
                <w:sz w:val="18"/>
                <w:szCs w:val="18"/>
              </w:rPr>
              <w:t>23.3</w:t>
            </w:r>
          </w:p>
        </w:tc>
        <w:tc>
          <w:tcPr>
            <w:tcW w:w="507" w:type="pct"/>
            <w:vAlign w:val="bottom"/>
          </w:tcPr>
          <w:p w:rsidR="001240AE" w:rsidRPr="006C0DD3" w:rsidRDefault="001240AE" w:rsidP="001B56F1">
            <w:pPr>
              <w:pStyle w:val="TableBodyText"/>
              <w:rPr>
                <w:sz w:val="18"/>
                <w:szCs w:val="18"/>
              </w:rPr>
            </w:pPr>
            <w:r w:rsidRPr="006C0DD3">
              <w:rPr>
                <w:sz w:val="18"/>
                <w:szCs w:val="18"/>
              </w:rPr>
              <w:t>36.2</w:t>
            </w:r>
          </w:p>
        </w:tc>
        <w:tc>
          <w:tcPr>
            <w:tcW w:w="507" w:type="pct"/>
            <w:vAlign w:val="bottom"/>
          </w:tcPr>
          <w:p w:rsidR="001240AE" w:rsidRPr="006C0DD3" w:rsidRDefault="001240AE" w:rsidP="001B56F1">
            <w:pPr>
              <w:pStyle w:val="TableBodyText"/>
              <w:rPr>
                <w:sz w:val="18"/>
                <w:szCs w:val="18"/>
              </w:rPr>
            </w:pPr>
            <w:r w:rsidRPr="006C0DD3">
              <w:rPr>
                <w:sz w:val="18"/>
                <w:szCs w:val="18"/>
              </w:rPr>
              <w:t>11.6</w:t>
            </w:r>
          </w:p>
        </w:tc>
        <w:tc>
          <w:tcPr>
            <w:tcW w:w="507" w:type="pct"/>
            <w:shd w:val="clear" w:color="auto" w:fill="auto"/>
            <w:vAlign w:val="bottom"/>
          </w:tcPr>
          <w:p w:rsidR="001240AE" w:rsidRPr="006C0DD3" w:rsidRDefault="001240AE" w:rsidP="001B56F1">
            <w:pPr>
              <w:pStyle w:val="TableBodyText"/>
              <w:rPr>
                <w:sz w:val="18"/>
                <w:szCs w:val="18"/>
              </w:rPr>
            </w:pPr>
            <w:r w:rsidRPr="006C0DD3">
              <w:rPr>
                <w:sz w:val="18"/>
                <w:szCs w:val="18"/>
              </w:rPr>
              <w:t>3.2</w:t>
            </w:r>
          </w:p>
        </w:tc>
        <w:tc>
          <w:tcPr>
            <w:tcW w:w="505" w:type="pct"/>
            <w:shd w:val="clear" w:color="auto" w:fill="auto"/>
            <w:vAlign w:val="bottom"/>
          </w:tcPr>
          <w:p w:rsidR="001240AE" w:rsidRPr="006C0DD3" w:rsidRDefault="001240AE" w:rsidP="001B56F1">
            <w:pPr>
              <w:pStyle w:val="TableBodyText"/>
              <w:rPr>
                <w:sz w:val="18"/>
                <w:szCs w:val="18"/>
              </w:rPr>
            </w:pPr>
            <w:r w:rsidRPr="006C0DD3">
              <w:rPr>
                <w:sz w:val="18"/>
                <w:szCs w:val="18"/>
              </w:rPr>
              <w:t>0.1</w:t>
            </w:r>
          </w:p>
        </w:tc>
      </w:tr>
      <w:tr w:rsidR="001240AE" w:rsidRPr="006C5A80" w:rsidTr="001B56F1">
        <w:tc>
          <w:tcPr>
            <w:tcW w:w="1960" w:type="pct"/>
            <w:vAlign w:val="bottom"/>
          </w:tcPr>
          <w:p w:rsidR="001240AE" w:rsidRPr="00267504" w:rsidRDefault="001240AE" w:rsidP="001B56F1">
            <w:pPr>
              <w:pStyle w:val="TableBodyText"/>
              <w:jc w:val="left"/>
              <w:rPr>
                <w:sz w:val="18"/>
                <w:szCs w:val="18"/>
              </w:rPr>
            </w:pPr>
            <w:r w:rsidRPr="00267504">
              <w:rPr>
                <w:sz w:val="18"/>
                <w:szCs w:val="18"/>
              </w:rPr>
              <w:t>Education and training</w:t>
            </w:r>
          </w:p>
        </w:tc>
        <w:tc>
          <w:tcPr>
            <w:tcW w:w="507" w:type="pct"/>
            <w:vAlign w:val="bottom"/>
          </w:tcPr>
          <w:p w:rsidR="001240AE" w:rsidRPr="006C0DD3" w:rsidRDefault="001240AE" w:rsidP="001B56F1">
            <w:pPr>
              <w:pStyle w:val="TableBodyText"/>
              <w:rPr>
                <w:sz w:val="18"/>
                <w:szCs w:val="18"/>
              </w:rPr>
            </w:pPr>
            <w:r>
              <w:rPr>
                <w:sz w:val="18"/>
                <w:szCs w:val="18"/>
              </w:rPr>
              <w:noBreakHyphen/>
            </w:r>
          </w:p>
        </w:tc>
        <w:tc>
          <w:tcPr>
            <w:tcW w:w="507" w:type="pct"/>
            <w:vAlign w:val="bottom"/>
          </w:tcPr>
          <w:p w:rsidR="001240AE" w:rsidRPr="006C0DD3" w:rsidRDefault="001240AE" w:rsidP="001B56F1">
            <w:pPr>
              <w:pStyle w:val="TableBodyText"/>
              <w:rPr>
                <w:sz w:val="18"/>
                <w:szCs w:val="18"/>
              </w:rPr>
            </w:pPr>
            <w:r>
              <w:rPr>
                <w:sz w:val="18"/>
                <w:szCs w:val="18"/>
              </w:rPr>
              <w:t>&lt;</w:t>
            </w:r>
            <w:r w:rsidRPr="006C0DD3">
              <w:rPr>
                <w:sz w:val="18"/>
                <w:szCs w:val="18"/>
              </w:rPr>
              <w:t>0.1</w:t>
            </w:r>
          </w:p>
        </w:tc>
        <w:tc>
          <w:tcPr>
            <w:tcW w:w="507" w:type="pct"/>
            <w:vAlign w:val="bottom"/>
          </w:tcPr>
          <w:p w:rsidR="001240AE" w:rsidRPr="006C0DD3" w:rsidRDefault="001240AE" w:rsidP="001B56F1">
            <w:pPr>
              <w:pStyle w:val="TableBodyText"/>
              <w:rPr>
                <w:sz w:val="18"/>
                <w:szCs w:val="18"/>
              </w:rPr>
            </w:pPr>
            <w:r w:rsidRPr="006C0DD3">
              <w:rPr>
                <w:sz w:val="18"/>
                <w:szCs w:val="18"/>
              </w:rPr>
              <w:t>0.6</w:t>
            </w:r>
          </w:p>
        </w:tc>
        <w:tc>
          <w:tcPr>
            <w:tcW w:w="507" w:type="pct"/>
            <w:vAlign w:val="bottom"/>
          </w:tcPr>
          <w:p w:rsidR="001240AE" w:rsidRPr="006C0DD3" w:rsidRDefault="001240AE" w:rsidP="001B56F1">
            <w:pPr>
              <w:pStyle w:val="TableBodyText"/>
              <w:rPr>
                <w:sz w:val="18"/>
                <w:szCs w:val="18"/>
              </w:rPr>
            </w:pPr>
            <w:r w:rsidRPr="006C0DD3">
              <w:rPr>
                <w:sz w:val="18"/>
                <w:szCs w:val="18"/>
              </w:rPr>
              <w:t>0.5</w:t>
            </w:r>
          </w:p>
        </w:tc>
        <w:tc>
          <w:tcPr>
            <w:tcW w:w="507" w:type="pct"/>
            <w:shd w:val="clear" w:color="auto" w:fill="auto"/>
            <w:vAlign w:val="bottom"/>
          </w:tcPr>
          <w:p w:rsidR="001240AE" w:rsidRPr="006C0DD3" w:rsidRDefault="001240AE" w:rsidP="001B56F1">
            <w:pPr>
              <w:pStyle w:val="TableBodyText"/>
              <w:rPr>
                <w:sz w:val="18"/>
                <w:szCs w:val="18"/>
              </w:rPr>
            </w:pPr>
            <w:r w:rsidRPr="006C0DD3">
              <w:rPr>
                <w:sz w:val="18"/>
                <w:szCs w:val="18"/>
              </w:rPr>
              <w:t>0.2</w:t>
            </w:r>
          </w:p>
        </w:tc>
        <w:tc>
          <w:tcPr>
            <w:tcW w:w="505" w:type="pct"/>
            <w:shd w:val="clear" w:color="auto" w:fill="auto"/>
            <w:vAlign w:val="bottom"/>
          </w:tcPr>
          <w:p w:rsidR="001240AE" w:rsidRPr="006C0DD3" w:rsidRDefault="001240AE" w:rsidP="001B56F1">
            <w:pPr>
              <w:pStyle w:val="TableBodyText"/>
              <w:rPr>
                <w:sz w:val="18"/>
                <w:szCs w:val="18"/>
              </w:rPr>
            </w:pPr>
            <w:r>
              <w:rPr>
                <w:sz w:val="18"/>
                <w:szCs w:val="18"/>
              </w:rPr>
              <w:t>&lt;</w:t>
            </w:r>
            <w:r w:rsidRPr="006C0DD3">
              <w:rPr>
                <w:sz w:val="18"/>
                <w:szCs w:val="18"/>
              </w:rPr>
              <w:t>0.1</w:t>
            </w:r>
          </w:p>
        </w:tc>
      </w:tr>
      <w:tr w:rsidR="001240AE" w:rsidRPr="006C5A80" w:rsidTr="001B56F1">
        <w:tc>
          <w:tcPr>
            <w:tcW w:w="1960" w:type="pct"/>
            <w:vAlign w:val="bottom"/>
          </w:tcPr>
          <w:p w:rsidR="001240AE" w:rsidRPr="00267504" w:rsidRDefault="001240AE" w:rsidP="001B56F1">
            <w:pPr>
              <w:pStyle w:val="TableBodyText"/>
              <w:jc w:val="left"/>
              <w:rPr>
                <w:sz w:val="18"/>
                <w:szCs w:val="18"/>
              </w:rPr>
            </w:pPr>
            <w:r w:rsidRPr="00267504">
              <w:rPr>
                <w:sz w:val="18"/>
                <w:szCs w:val="18"/>
              </w:rPr>
              <w:t>Health care and social assistance</w:t>
            </w:r>
          </w:p>
        </w:tc>
        <w:tc>
          <w:tcPr>
            <w:tcW w:w="507" w:type="pct"/>
            <w:vAlign w:val="bottom"/>
          </w:tcPr>
          <w:p w:rsidR="001240AE" w:rsidRPr="006C0DD3" w:rsidRDefault="001240AE" w:rsidP="001B56F1">
            <w:pPr>
              <w:pStyle w:val="TableBodyText"/>
              <w:rPr>
                <w:sz w:val="18"/>
                <w:szCs w:val="18"/>
              </w:rPr>
            </w:pPr>
            <w:r w:rsidRPr="006C0DD3">
              <w:rPr>
                <w:sz w:val="18"/>
                <w:szCs w:val="18"/>
              </w:rPr>
              <w:t>7.0</w:t>
            </w:r>
          </w:p>
        </w:tc>
        <w:tc>
          <w:tcPr>
            <w:tcW w:w="507" w:type="pct"/>
            <w:vAlign w:val="bottom"/>
          </w:tcPr>
          <w:p w:rsidR="001240AE" w:rsidRPr="006C0DD3" w:rsidRDefault="001240AE" w:rsidP="001B56F1">
            <w:pPr>
              <w:pStyle w:val="TableBodyText"/>
              <w:rPr>
                <w:sz w:val="18"/>
                <w:szCs w:val="18"/>
              </w:rPr>
            </w:pPr>
            <w:r w:rsidRPr="006C0DD3">
              <w:rPr>
                <w:sz w:val="18"/>
                <w:szCs w:val="18"/>
              </w:rPr>
              <w:t>7.8</w:t>
            </w:r>
          </w:p>
        </w:tc>
        <w:tc>
          <w:tcPr>
            <w:tcW w:w="507" w:type="pct"/>
            <w:vAlign w:val="bottom"/>
          </w:tcPr>
          <w:p w:rsidR="001240AE" w:rsidRPr="006C0DD3" w:rsidRDefault="001240AE" w:rsidP="001B56F1">
            <w:pPr>
              <w:pStyle w:val="TableBodyText"/>
              <w:rPr>
                <w:sz w:val="18"/>
                <w:szCs w:val="18"/>
              </w:rPr>
            </w:pPr>
            <w:r w:rsidRPr="006C0DD3">
              <w:rPr>
                <w:sz w:val="18"/>
                <w:szCs w:val="18"/>
              </w:rPr>
              <w:t>2.3</w:t>
            </w:r>
          </w:p>
        </w:tc>
        <w:tc>
          <w:tcPr>
            <w:tcW w:w="507" w:type="pct"/>
            <w:vAlign w:val="bottom"/>
          </w:tcPr>
          <w:p w:rsidR="001240AE" w:rsidRPr="006C0DD3" w:rsidRDefault="001240AE" w:rsidP="001B56F1">
            <w:pPr>
              <w:pStyle w:val="TableBodyText"/>
              <w:rPr>
                <w:sz w:val="18"/>
                <w:szCs w:val="18"/>
              </w:rPr>
            </w:pPr>
            <w:r w:rsidRPr="006C0DD3">
              <w:rPr>
                <w:sz w:val="18"/>
                <w:szCs w:val="18"/>
              </w:rPr>
              <w:t>0.2</w:t>
            </w:r>
          </w:p>
        </w:tc>
        <w:tc>
          <w:tcPr>
            <w:tcW w:w="507" w:type="pct"/>
            <w:shd w:val="clear" w:color="auto" w:fill="auto"/>
            <w:vAlign w:val="bottom"/>
          </w:tcPr>
          <w:p w:rsidR="001240AE" w:rsidRPr="006C0DD3" w:rsidRDefault="001240AE" w:rsidP="001B56F1">
            <w:pPr>
              <w:pStyle w:val="TableBodyText"/>
              <w:rPr>
                <w:sz w:val="18"/>
                <w:szCs w:val="18"/>
              </w:rPr>
            </w:pPr>
            <w:r>
              <w:rPr>
                <w:sz w:val="18"/>
                <w:szCs w:val="18"/>
              </w:rPr>
              <w:noBreakHyphen/>
            </w:r>
          </w:p>
        </w:tc>
        <w:tc>
          <w:tcPr>
            <w:tcW w:w="505" w:type="pct"/>
            <w:shd w:val="clear" w:color="auto" w:fill="auto"/>
            <w:vAlign w:val="bottom"/>
          </w:tcPr>
          <w:p w:rsidR="001240AE" w:rsidRPr="006C0DD3" w:rsidRDefault="001240AE" w:rsidP="001B56F1">
            <w:pPr>
              <w:pStyle w:val="TableBodyText"/>
              <w:rPr>
                <w:sz w:val="18"/>
                <w:szCs w:val="18"/>
              </w:rPr>
            </w:pPr>
            <w:r>
              <w:rPr>
                <w:sz w:val="18"/>
                <w:szCs w:val="18"/>
              </w:rPr>
              <w:noBreakHyphen/>
            </w:r>
          </w:p>
        </w:tc>
      </w:tr>
      <w:tr w:rsidR="001240AE" w:rsidRPr="006C5A80" w:rsidTr="001B56F1">
        <w:tc>
          <w:tcPr>
            <w:tcW w:w="1960" w:type="pct"/>
            <w:vAlign w:val="bottom"/>
          </w:tcPr>
          <w:p w:rsidR="001240AE" w:rsidRPr="00267504" w:rsidRDefault="001240AE" w:rsidP="001B56F1">
            <w:pPr>
              <w:pStyle w:val="TableBodyText"/>
              <w:jc w:val="left"/>
              <w:rPr>
                <w:sz w:val="18"/>
                <w:szCs w:val="18"/>
              </w:rPr>
            </w:pPr>
            <w:r w:rsidRPr="00267504">
              <w:rPr>
                <w:sz w:val="18"/>
                <w:szCs w:val="18"/>
              </w:rPr>
              <w:t>Arts and recreation services</w:t>
            </w:r>
          </w:p>
        </w:tc>
        <w:tc>
          <w:tcPr>
            <w:tcW w:w="507" w:type="pct"/>
            <w:vAlign w:val="bottom"/>
          </w:tcPr>
          <w:p w:rsidR="001240AE" w:rsidRPr="006C0DD3" w:rsidRDefault="001240AE" w:rsidP="001B56F1">
            <w:pPr>
              <w:pStyle w:val="TableBodyText"/>
              <w:rPr>
                <w:sz w:val="18"/>
                <w:szCs w:val="18"/>
              </w:rPr>
            </w:pPr>
            <w:r w:rsidRPr="006C0DD3">
              <w:rPr>
                <w:sz w:val="18"/>
                <w:szCs w:val="18"/>
              </w:rPr>
              <w:t>0.2</w:t>
            </w:r>
          </w:p>
        </w:tc>
        <w:tc>
          <w:tcPr>
            <w:tcW w:w="507" w:type="pct"/>
            <w:vAlign w:val="bottom"/>
          </w:tcPr>
          <w:p w:rsidR="001240AE" w:rsidRPr="006C0DD3" w:rsidRDefault="001240AE" w:rsidP="001B56F1">
            <w:pPr>
              <w:pStyle w:val="TableBodyText"/>
              <w:rPr>
                <w:sz w:val="18"/>
                <w:szCs w:val="18"/>
              </w:rPr>
            </w:pPr>
            <w:r w:rsidRPr="006C0DD3">
              <w:rPr>
                <w:sz w:val="18"/>
                <w:szCs w:val="18"/>
              </w:rPr>
              <w:t>0.2</w:t>
            </w:r>
          </w:p>
        </w:tc>
        <w:tc>
          <w:tcPr>
            <w:tcW w:w="507" w:type="pct"/>
            <w:vAlign w:val="bottom"/>
          </w:tcPr>
          <w:p w:rsidR="001240AE" w:rsidRPr="006C0DD3" w:rsidRDefault="001240AE" w:rsidP="001B56F1">
            <w:pPr>
              <w:pStyle w:val="TableBodyText"/>
              <w:rPr>
                <w:sz w:val="18"/>
                <w:szCs w:val="18"/>
              </w:rPr>
            </w:pPr>
            <w:r>
              <w:rPr>
                <w:sz w:val="18"/>
                <w:szCs w:val="18"/>
              </w:rPr>
              <w:noBreakHyphen/>
            </w:r>
          </w:p>
        </w:tc>
        <w:tc>
          <w:tcPr>
            <w:tcW w:w="507" w:type="pct"/>
            <w:vAlign w:val="bottom"/>
          </w:tcPr>
          <w:p w:rsidR="001240AE" w:rsidRPr="006C0DD3" w:rsidRDefault="001240AE" w:rsidP="001B56F1">
            <w:pPr>
              <w:pStyle w:val="TableBodyText"/>
              <w:rPr>
                <w:sz w:val="18"/>
                <w:szCs w:val="18"/>
              </w:rPr>
            </w:pPr>
            <w:r>
              <w:rPr>
                <w:sz w:val="18"/>
                <w:szCs w:val="18"/>
              </w:rPr>
              <w:noBreakHyphen/>
            </w:r>
          </w:p>
        </w:tc>
        <w:tc>
          <w:tcPr>
            <w:tcW w:w="507" w:type="pct"/>
            <w:shd w:val="clear" w:color="auto" w:fill="auto"/>
            <w:vAlign w:val="bottom"/>
          </w:tcPr>
          <w:p w:rsidR="001240AE" w:rsidRPr="006C0DD3" w:rsidRDefault="001240AE" w:rsidP="001B56F1">
            <w:pPr>
              <w:pStyle w:val="TableBodyText"/>
              <w:rPr>
                <w:sz w:val="18"/>
                <w:szCs w:val="18"/>
              </w:rPr>
            </w:pPr>
            <w:r>
              <w:rPr>
                <w:sz w:val="18"/>
                <w:szCs w:val="18"/>
              </w:rPr>
              <w:noBreakHyphen/>
            </w:r>
          </w:p>
        </w:tc>
        <w:tc>
          <w:tcPr>
            <w:tcW w:w="505" w:type="pct"/>
            <w:shd w:val="clear" w:color="auto" w:fill="auto"/>
            <w:vAlign w:val="bottom"/>
          </w:tcPr>
          <w:p w:rsidR="001240AE" w:rsidRPr="006C0DD3" w:rsidRDefault="001240AE" w:rsidP="001B56F1">
            <w:pPr>
              <w:pStyle w:val="TableBodyText"/>
              <w:rPr>
                <w:sz w:val="18"/>
                <w:szCs w:val="18"/>
              </w:rPr>
            </w:pPr>
            <w:r>
              <w:rPr>
                <w:sz w:val="18"/>
                <w:szCs w:val="18"/>
              </w:rPr>
              <w:noBreakHyphen/>
            </w:r>
          </w:p>
        </w:tc>
      </w:tr>
      <w:tr w:rsidR="001240AE" w:rsidRPr="006C5A80" w:rsidTr="001B56F1">
        <w:tc>
          <w:tcPr>
            <w:tcW w:w="1960" w:type="pct"/>
            <w:vAlign w:val="bottom"/>
          </w:tcPr>
          <w:p w:rsidR="001240AE" w:rsidRPr="00267504" w:rsidRDefault="001240AE" w:rsidP="001B56F1">
            <w:pPr>
              <w:pStyle w:val="TableBodyText"/>
              <w:jc w:val="left"/>
              <w:rPr>
                <w:sz w:val="18"/>
                <w:szCs w:val="18"/>
              </w:rPr>
            </w:pPr>
            <w:r w:rsidRPr="00267504">
              <w:rPr>
                <w:sz w:val="18"/>
                <w:szCs w:val="18"/>
              </w:rPr>
              <w:t>Other services</w:t>
            </w:r>
          </w:p>
        </w:tc>
        <w:tc>
          <w:tcPr>
            <w:tcW w:w="507" w:type="pct"/>
            <w:vAlign w:val="bottom"/>
          </w:tcPr>
          <w:p w:rsidR="001240AE" w:rsidRPr="006C0DD3" w:rsidRDefault="001240AE" w:rsidP="001B56F1">
            <w:pPr>
              <w:pStyle w:val="TableBodyText"/>
              <w:rPr>
                <w:sz w:val="18"/>
                <w:szCs w:val="18"/>
              </w:rPr>
            </w:pPr>
            <w:r w:rsidRPr="006C0DD3">
              <w:rPr>
                <w:sz w:val="18"/>
                <w:szCs w:val="18"/>
              </w:rPr>
              <w:t>0.1</w:t>
            </w:r>
          </w:p>
        </w:tc>
        <w:tc>
          <w:tcPr>
            <w:tcW w:w="507" w:type="pct"/>
            <w:vAlign w:val="bottom"/>
          </w:tcPr>
          <w:p w:rsidR="001240AE" w:rsidRPr="006C0DD3" w:rsidRDefault="001240AE"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1240AE" w:rsidRPr="006C0DD3" w:rsidRDefault="001240AE"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1240AE" w:rsidRPr="006C0DD3" w:rsidRDefault="001240AE" w:rsidP="001B56F1">
            <w:pPr>
              <w:pStyle w:val="TableBodyText"/>
              <w:rPr>
                <w:sz w:val="18"/>
                <w:szCs w:val="18"/>
              </w:rPr>
            </w:pPr>
            <w:r>
              <w:rPr>
                <w:sz w:val="18"/>
                <w:szCs w:val="18"/>
              </w:rPr>
              <w:noBreakHyphen/>
            </w:r>
          </w:p>
        </w:tc>
        <w:tc>
          <w:tcPr>
            <w:tcW w:w="507" w:type="pct"/>
            <w:shd w:val="clear" w:color="auto" w:fill="auto"/>
            <w:vAlign w:val="bottom"/>
          </w:tcPr>
          <w:p w:rsidR="001240AE" w:rsidRPr="006C0DD3" w:rsidRDefault="001240AE" w:rsidP="001B56F1">
            <w:pPr>
              <w:pStyle w:val="TableBodyText"/>
              <w:rPr>
                <w:sz w:val="18"/>
                <w:szCs w:val="18"/>
              </w:rPr>
            </w:pPr>
            <w:r>
              <w:rPr>
                <w:sz w:val="18"/>
                <w:szCs w:val="18"/>
              </w:rPr>
              <w:noBreakHyphen/>
            </w:r>
          </w:p>
        </w:tc>
        <w:tc>
          <w:tcPr>
            <w:tcW w:w="505" w:type="pct"/>
            <w:shd w:val="clear" w:color="auto" w:fill="auto"/>
            <w:vAlign w:val="bottom"/>
          </w:tcPr>
          <w:p w:rsidR="001240AE" w:rsidRPr="006C0DD3" w:rsidRDefault="001240AE" w:rsidP="001B56F1">
            <w:pPr>
              <w:pStyle w:val="TableBodyText"/>
              <w:rPr>
                <w:sz w:val="18"/>
                <w:szCs w:val="18"/>
              </w:rPr>
            </w:pPr>
            <w:r>
              <w:rPr>
                <w:sz w:val="18"/>
                <w:szCs w:val="18"/>
              </w:rPr>
              <w:noBreakHyphen/>
            </w:r>
          </w:p>
        </w:tc>
      </w:tr>
      <w:tr w:rsidR="001240AE" w:rsidRPr="006C5A80" w:rsidTr="001B56F1">
        <w:tc>
          <w:tcPr>
            <w:tcW w:w="1960" w:type="pct"/>
            <w:vAlign w:val="bottom"/>
          </w:tcPr>
          <w:p w:rsidR="001240AE" w:rsidRPr="00267504" w:rsidRDefault="001240AE" w:rsidP="001B56F1">
            <w:pPr>
              <w:pStyle w:val="TableBodyText"/>
              <w:jc w:val="left"/>
              <w:rPr>
                <w:sz w:val="18"/>
                <w:szCs w:val="18"/>
              </w:rPr>
            </w:pPr>
            <w:r w:rsidRPr="00267504">
              <w:rPr>
                <w:sz w:val="18"/>
                <w:szCs w:val="18"/>
              </w:rPr>
              <w:t>Unallocated other</w:t>
            </w:r>
            <w:r w:rsidRPr="00682BD4">
              <w:rPr>
                <w:rStyle w:val="NoteLabel"/>
                <w:szCs w:val="18"/>
              </w:rPr>
              <w:t>a</w:t>
            </w:r>
          </w:p>
        </w:tc>
        <w:tc>
          <w:tcPr>
            <w:tcW w:w="507" w:type="pct"/>
            <w:vAlign w:val="bottom"/>
          </w:tcPr>
          <w:p w:rsidR="001240AE" w:rsidRPr="006C0DD3" w:rsidRDefault="001240AE" w:rsidP="001B56F1">
            <w:pPr>
              <w:pStyle w:val="TableBodyText"/>
              <w:rPr>
                <w:sz w:val="18"/>
                <w:szCs w:val="18"/>
              </w:rPr>
            </w:pPr>
            <w:r w:rsidRPr="006C0DD3">
              <w:rPr>
                <w:sz w:val="18"/>
                <w:szCs w:val="18"/>
              </w:rPr>
              <w:t>0.4</w:t>
            </w:r>
          </w:p>
        </w:tc>
        <w:tc>
          <w:tcPr>
            <w:tcW w:w="507" w:type="pct"/>
            <w:vAlign w:val="bottom"/>
          </w:tcPr>
          <w:p w:rsidR="001240AE" w:rsidRPr="006C0DD3" w:rsidRDefault="001240AE" w:rsidP="001B56F1">
            <w:pPr>
              <w:pStyle w:val="TableBodyText"/>
              <w:rPr>
                <w:sz w:val="18"/>
                <w:szCs w:val="18"/>
              </w:rPr>
            </w:pPr>
            <w:r w:rsidRPr="006C0DD3">
              <w:rPr>
                <w:sz w:val="18"/>
                <w:szCs w:val="18"/>
              </w:rPr>
              <w:t>24.3</w:t>
            </w:r>
          </w:p>
        </w:tc>
        <w:tc>
          <w:tcPr>
            <w:tcW w:w="507" w:type="pct"/>
            <w:vAlign w:val="bottom"/>
          </w:tcPr>
          <w:p w:rsidR="001240AE" w:rsidRPr="006C0DD3" w:rsidRDefault="001240AE" w:rsidP="001B56F1">
            <w:pPr>
              <w:pStyle w:val="TableBodyText"/>
              <w:rPr>
                <w:sz w:val="18"/>
                <w:szCs w:val="18"/>
              </w:rPr>
            </w:pPr>
            <w:r w:rsidRPr="006C0DD3">
              <w:rPr>
                <w:sz w:val="18"/>
                <w:szCs w:val="18"/>
              </w:rPr>
              <w:t>0.1</w:t>
            </w:r>
          </w:p>
        </w:tc>
        <w:tc>
          <w:tcPr>
            <w:tcW w:w="507" w:type="pct"/>
            <w:vAlign w:val="bottom"/>
          </w:tcPr>
          <w:p w:rsidR="001240AE" w:rsidRPr="006C0DD3" w:rsidRDefault="001240AE" w:rsidP="001B56F1">
            <w:pPr>
              <w:pStyle w:val="TableBodyText"/>
              <w:rPr>
                <w:sz w:val="18"/>
                <w:szCs w:val="18"/>
              </w:rPr>
            </w:pPr>
            <w:r>
              <w:rPr>
                <w:sz w:val="18"/>
                <w:szCs w:val="18"/>
              </w:rPr>
              <w:noBreakHyphen/>
            </w:r>
          </w:p>
        </w:tc>
        <w:tc>
          <w:tcPr>
            <w:tcW w:w="507" w:type="pct"/>
            <w:shd w:val="clear" w:color="auto" w:fill="auto"/>
            <w:vAlign w:val="bottom"/>
          </w:tcPr>
          <w:p w:rsidR="001240AE" w:rsidRPr="006C0DD3" w:rsidRDefault="001240AE" w:rsidP="001B56F1">
            <w:pPr>
              <w:pStyle w:val="TableBodyText"/>
              <w:rPr>
                <w:sz w:val="18"/>
                <w:szCs w:val="18"/>
              </w:rPr>
            </w:pPr>
            <w:r>
              <w:rPr>
                <w:sz w:val="18"/>
                <w:szCs w:val="18"/>
              </w:rPr>
              <w:noBreakHyphen/>
            </w:r>
          </w:p>
        </w:tc>
        <w:tc>
          <w:tcPr>
            <w:tcW w:w="505" w:type="pct"/>
            <w:shd w:val="clear" w:color="auto" w:fill="auto"/>
            <w:vAlign w:val="bottom"/>
          </w:tcPr>
          <w:p w:rsidR="001240AE" w:rsidRPr="006C0DD3" w:rsidRDefault="001240AE" w:rsidP="001B56F1">
            <w:pPr>
              <w:pStyle w:val="TableBodyText"/>
              <w:rPr>
                <w:sz w:val="18"/>
                <w:szCs w:val="18"/>
              </w:rPr>
            </w:pPr>
            <w:r>
              <w:rPr>
                <w:sz w:val="18"/>
                <w:szCs w:val="18"/>
              </w:rPr>
              <w:noBreakHyphen/>
            </w:r>
          </w:p>
        </w:tc>
      </w:tr>
      <w:tr w:rsidR="001240AE" w:rsidRPr="006C5A80" w:rsidTr="001B56F1">
        <w:tc>
          <w:tcPr>
            <w:tcW w:w="1960" w:type="pct"/>
            <w:tcBorders>
              <w:bottom w:val="single" w:sz="4" w:space="0" w:color="auto"/>
            </w:tcBorders>
            <w:vAlign w:val="bottom"/>
          </w:tcPr>
          <w:p w:rsidR="001240AE" w:rsidRPr="00267504" w:rsidRDefault="001240AE" w:rsidP="001B56F1">
            <w:pPr>
              <w:pStyle w:val="TableBodyText"/>
              <w:jc w:val="left"/>
              <w:rPr>
                <w:b/>
                <w:bCs/>
                <w:sz w:val="18"/>
                <w:szCs w:val="18"/>
              </w:rPr>
            </w:pPr>
            <w:r w:rsidRPr="00267504">
              <w:rPr>
                <w:b/>
                <w:bCs/>
                <w:sz w:val="18"/>
                <w:szCs w:val="18"/>
              </w:rPr>
              <w:t>Total</w:t>
            </w:r>
          </w:p>
        </w:tc>
        <w:tc>
          <w:tcPr>
            <w:tcW w:w="507" w:type="pct"/>
            <w:tcBorders>
              <w:bottom w:val="single" w:sz="4" w:space="0" w:color="auto"/>
            </w:tcBorders>
            <w:vAlign w:val="bottom"/>
          </w:tcPr>
          <w:p w:rsidR="001240AE" w:rsidRPr="00F05886" w:rsidRDefault="001240AE" w:rsidP="001B56F1">
            <w:pPr>
              <w:pStyle w:val="TableBodyText"/>
              <w:rPr>
                <w:b/>
                <w:sz w:val="18"/>
                <w:szCs w:val="18"/>
              </w:rPr>
            </w:pPr>
            <w:r w:rsidRPr="00F05886">
              <w:rPr>
                <w:b/>
                <w:sz w:val="18"/>
                <w:szCs w:val="18"/>
              </w:rPr>
              <w:t>126.3</w:t>
            </w:r>
          </w:p>
        </w:tc>
        <w:tc>
          <w:tcPr>
            <w:tcW w:w="507" w:type="pct"/>
            <w:tcBorders>
              <w:bottom w:val="single" w:sz="4" w:space="0" w:color="auto"/>
            </w:tcBorders>
            <w:vAlign w:val="bottom"/>
          </w:tcPr>
          <w:p w:rsidR="001240AE" w:rsidRPr="00F05886" w:rsidRDefault="001240AE" w:rsidP="001B56F1">
            <w:pPr>
              <w:pStyle w:val="TableBodyText"/>
              <w:rPr>
                <w:b/>
                <w:sz w:val="18"/>
                <w:szCs w:val="18"/>
              </w:rPr>
            </w:pPr>
            <w:r w:rsidRPr="00F05886">
              <w:rPr>
                <w:b/>
                <w:sz w:val="18"/>
                <w:szCs w:val="18"/>
              </w:rPr>
              <w:t>145.5</w:t>
            </w:r>
          </w:p>
        </w:tc>
        <w:tc>
          <w:tcPr>
            <w:tcW w:w="507" w:type="pct"/>
            <w:tcBorders>
              <w:bottom w:val="single" w:sz="4" w:space="0" w:color="auto"/>
            </w:tcBorders>
            <w:vAlign w:val="bottom"/>
          </w:tcPr>
          <w:p w:rsidR="001240AE" w:rsidRPr="00F05886" w:rsidRDefault="001240AE" w:rsidP="001B56F1">
            <w:pPr>
              <w:pStyle w:val="TableBodyText"/>
              <w:rPr>
                <w:b/>
                <w:sz w:val="18"/>
                <w:szCs w:val="18"/>
              </w:rPr>
            </w:pPr>
            <w:r w:rsidRPr="00F05886">
              <w:rPr>
                <w:b/>
                <w:sz w:val="18"/>
                <w:szCs w:val="18"/>
              </w:rPr>
              <w:t>84.6</w:t>
            </w:r>
          </w:p>
        </w:tc>
        <w:tc>
          <w:tcPr>
            <w:tcW w:w="507" w:type="pct"/>
            <w:tcBorders>
              <w:bottom w:val="single" w:sz="4" w:space="0" w:color="auto"/>
            </w:tcBorders>
            <w:vAlign w:val="bottom"/>
          </w:tcPr>
          <w:p w:rsidR="001240AE" w:rsidRPr="00F05886" w:rsidRDefault="001240AE" w:rsidP="001B56F1">
            <w:pPr>
              <w:pStyle w:val="TableBodyText"/>
              <w:rPr>
                <w:b/>
                <w:sz w:val="18"/>
                <w:szCs w:val="18"/>
              </w:rPr>
            </w:pPr>
            <w:r w:rsidRPr="00F05886">
              <w:rPr>
                <w:b/>
                <w:sz w:val="18"/>
                <w:szCs w:val="18"/>
              </w:rPr>
              <w:t>26.5</w:t>
            </w:r>
          </w:p>
        </w:tc>
        <w:tc>
          <w:tcPr>
            <w:tcW w:w="507" w:type="pct"/>
            <w:tcBorders>
              <w:bottom w:val="single" w:sz="4" w:space="0" w:color="auto"/>
            </w:tcBorders>
            <w:shd w:val="clear" w:color="auto" w:fill="auto"/>
            <w:vAlign w:val="bottom"/>
          </w:tcPr>
          <w:p w:rsidR="001240AE" w:rsidRPr="00F05886" w:rsidRDefault="001240AE" w:rsidP="001B56F1">
            <w:pPr>
              <w:pStyle w:val="TableBodyText"/>
              <w:rPr>
                <w:b/>
                <w:sz w:val="18"/>
                <w:szCs w:val="18"/>
              </w:rPr>
            </w:pPr>
            <w:r w:rsidRPr="00F05886">
              <w:rPr>
                <w:b/>
                <w:sz w:val="18"/>
                <w:szCs w:val="18"/>
              </w:rPr>
              <w:t>5.6</w:t>
            </w:r>
          </w:p>
        </w:tc>
        <w:tc>
          <w:tcPr>
            <w:tcW w:w="505" w:type="pct"/>
            <w:tcBorders>
              <w:bottom w:val="single" w:sz="4" w:space="0" w:color="auto"/>
            </w:tcBorders>
            <w:shd w:val="clear" w:color="auto" w:fill="auto"/>
            <w:vAlign w:val="bottom"/>
          </w:tcPr>
          <w:p w:rsidR="001240AE" w:rsidRPr="00F05886" w:rsidRDefault="001240AE" w:rsidP="001B56F1">
            <w:pPr>
              <w:pStyle w:val="TableBodyText"/>
              <w:rPr>
                <w:b/>
                <w:sz w:val="18"/>
                <w:szCs w:val="18"/>
              </w:rPr>
            </w:pPr>
            <w:r w:rsidRPr="00F05886">
              <w:rPr>
                <w:b/>
                <w:sz w:val="18"/>
                <w:szCs w:val="18"/>
              </w:rPr>
              <w:t>0.8</w:t>
            </w:r>
          </w:p>
        </w:tc>
      </w:tr>
    </w:tbl>
    <w:p w:rsidR="001240AE" w:rsidRPr="004D1CDF" w:rsidRDefault="001240AE" w:rsidP="001240AE">
      <w:pPr>
        <w:pStyle w:val="Source"/>
        <w:spacing w:after="0"/>
        <w:rPr>
          <w:i/>
        </w:rPr>
      </w:pPr>
      <w:r w:rsidRPr="00A2379F">
        <w:noBreakHyphen/>
        <w:t xml:space="preserve"> </w:t>
      </w:r>
      <w:r>
        <w:t>Nil</w:t>
      </w:r>
      <w:r w:rsidRPr="00A2379F">
        <w:t>.</w:t>
      </w:r>
      <w:r>
        <w:t xml:space="preserve"> </w:t>
      </w:r>
      <w:r w:rsidRPr="008E77FE">
        <w:rPr>
          <w:rStyle w:val="NoteLabel"/>
        </w:rPr>
        <w:t>a</w:t>
      </w:r>
      <w:r>
        <w:t xml:space="preserve"> </w:t>
      </w:r>
      <w:r w:rsidRPr="002476ED">
        <w:t>Unallocated includes general programs where details of beneficiaries are unknown</w:t>
      </w:r>
      <w:r>
        <w:t>.</w:t>
      </w:r>
    </w:p>
    <w:p w:rsidR="001240AE" w:rsidRPr="008E77FE" w:rsidRDefault="001240AE" w:rsidP="001240AE">
      <w:pPr>
        <w:pStyle w:val="Source"/>
      </w:pPr>
      <w:r>
        <w:rPr>
          <w:i/>
        </w:rPr>
        <w:t>Source</w:t>
      </w:r>
      <w:r>
        <w:t xml:space="preserve">: </w:t>
      </w:r>
      <w:r w:rsidRPr="002476ED">
        <w:t xml:space="preserve">Commission estimates based on </w:t>
      </w:r>
      <w:r>
        <w:t>detailed Department of Industry data by ANZSIC industry.</w:t>
      </w:r>
    </w:p>
    <w:p w:rsidR="003C2C8E" w:rsidRDefault="00FA09C3" w:rsidP="003C2C8E">
      <w:pPr>
        <w:pStyle w:val="Heading2"/>
      </w:pPr>
      <w:r>
        <w:t>A.</w:t>
      </w:r>
      <w:r>
        <w:rPr>
          <w:noProof/>
        </w:rPr>
        <w:t>115</w:t>
      </w:r>
      <w:r w:rsidR="003C2C8E">
        <w:tab/>
        <w:t>Exotic Disease Preparedness Program</w:t>
      </w:r>
    </w:p>
    <w:p w:rsidR="003C2C8E" w:rsidRDefault="003C2C8E" w:rsidP="003C2C8E">
      <w:pPr>
        <w:pStyle w:val="BodyText"/>
      </w:pPr>
      <w:r>
        <w:t xml:space="preserve">The Exotic Disease Preparedness Program aims to enhance Australia’s preparedness for, and responsiveness to, incursions of exotic pests and diseases of animals </w:t>
      </w:r>
      <w:r w:rsidRPr="0000369D">
        <w:t>through the development of strategies to monitor, prevent, control or eradicate emergency diseases in wildlife and feral animals that threaten Australia</w:t>
      </w:r>
      <w:r>
        <w:t>’</w:t>
      </w:r>
      <w:r w:rsidRPr="0000369D">
        <w:t>s livestock industries</w:t>
      </w:r>
      <w:r>
        <w:t xml:space="preserve"> (</w:t>
      </w:r>
      <w:r w:rsidRPr="00813174">
        <w:t>DAFF 2013d</w:t>
      </w:r>
      <w:r>
        <w:t>).</w:t>
      </w:r>
    </w:p>
    <w:p w:rsidR="003C2C8E" w:rsidRDefault="003C2C8E" w:rsidP="003C2C8E">
      <w:pPr>
        <w:pStyle w:val="BodyText"/>
      </w:pPr>
      <w:r>
        <w:t xml:space="preserve">The program benefits several primary production industries. However, information on the specific industry incidence of the program has not been readily available. Accordingly, the budget outlay has been classified to the </w:t>
      </w:r>
      <w:r w:rsidRPr="000A32A5">
        <w:rPr>
          <w:i/>
        </w:rPr>
        <w:t>Unallocated primary production</w:t>
      </w:r>
      <w:r>
        <w:t xml:space="preserve"> industry grouping in the Commission’s ANZSIC-based classification (table A.11</w:t>
      </w:r>
      <w:r w:rsidR="00C065C1">
        <w:t>5</w:t>
      </w:r>
      <w:r>
        <w:t>).</w:t>
      </w:r>
    </w:p>
    <w:p w:rsidR="003C2C8E" w:rsidRDefault="003C2C8E" w:rsidP="003C2C8E">
      <w:pPr>
        <w:pStyle w:val="TableTitle"/>
      </w:pPr>
      <w:r>
        <w:rPr>
          <w:b w:val="0"/>
        </w:rPr>
        <w:t xml:space="preserve">Table </w:t>
      </w:r>
      <w:r w:rsidR="00FA09C3">
        <w:rPr>
          <w:b w:val="0"/>
        </w:rPr>
        <w:t>A.</w:t>
      </w:r>
      <w:r w:rsidR="00FA09C3">
        <w:rPr>
          <w:b w:val="0"/>
          <w:noProof/>
        </w:rPr>
        <w:t>115</w:t>
      </w:r>
      <w:r>
        <w:tab/>
        <w:t>Allocation of Exotic Disease Preparedness Program</w:t>
      </w:r>
      <w:r w:rsidR="00B6795B" w:rsidRPr="00B6795B">
        <w:t xml:space="preserve"> to industry</w:t>
      </w:r>
      <w:r>
        <w:t>, 2006</w:t>
      </w:r>
      <w:r>
        <w:noBreakHyphen/>
        <w:t>07 to 2011</w:t>
      </w:r>
      <w:r>
        <w:noBreakHyphen/>
        <w:t>12</w:t>
      </w:r>
    </w:p>
    <w:p w:rsidR="003C2C8E" w:rsidRDefault="003C2C8E" w:rsidP="003C2C8E">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3C2C8E" w:rsidRPr="00AF699A" w:rsidTr="001B56F1">
        <w:tc>
          <w:tcPr>
            <w:tcW w:w="1960" w:type="pct"/>
            <w:tcBorders>
              <w:top w:val="single" w:sz="6" w:space="0" w:color="auto"/>
              <w:bottom w:val="single" w:sz="6" w:space="0" w:color="auto"/>
            </w:tcBorders>
          </w:tcPr>
          <w:p w:rsidR="003C2C8E" w:rsidRPr="00AF699A" w:rsidRDefault="003C2C8E"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3C2C8E" w:rsidRPr="00AF699A" w:rsidRDefault="003C2C8E"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3C2C8E" w:rsidRPr="00AF699A" w:rsidRDefault="003C2C8E"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3C2C8E" w:rsidRPr="00AF699A" w:rsidRDefault="003C2C8E"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3C2C8E" w:rsidRPr="00AF699A" w:rsidRDefault="003C2C8E"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3C2C8E" w:rsidRPr="00AF699A" w:rsidRDefault="003C2C8E"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3C2C8E" w:rsidRPr="00AF699A" w:rsidRDefault="003C2C8E" w:rsidP="001B56F1">
            <w:pPr>
              <w:pStyle w:val="TableColumnHeading"/>
              <w:ind w:right="28"/>
              <w:rPr>
                <w:rFonts w:cs="Arial"/>
                <w:sz w:val="18"/>
                <w:szCs w:val="18"/>
              </w:rPr>
            </w:pPr>
            <w:r w:rsidRPr="00AF699A">
              <w:rPr>
                <w:rFonts w:cs="Arial"/>
                <w:sz w:val="18"/>
                <w:szCs w:val="18"/>
              </w:rPr>
              <w:t>2011-12</w:t>
            </w:r>
          </w:p>
        </w:tc>
      </w:tr>
      <w:tr w:rsidR="003C2C8E" w:rsidRPr="006C5A80" w:rsidTr="001B56F1">
        <w:tc>
          <w:tcPr>
            <w:tcW w:w="1960" w:type="pct"/>
            <w:tcBorders>
              <w:bottom w:val="single" w:sz="4" w:space="0" w:color="auto"/>
            </w:tcBorders>
            <w:vAlign w:val="bottom"/>
          </w:tcPr>
          <w:p w:rsidR="003C2C8E" w:rsidRPr="00C944BA" w:rsidRDefault="003C2C8E" w:rsidP="001B56F1">
            <w:pPr>
              <w:pStyle w:val="TableBodyText"/>
              <w:jc w:val="left"/>
            </w:pPr>
            <w:r>
              <w:t>Unallocated primary production</w:t>
            </w:r>
            <w:r w:rsidRPr="00BD3CDA">
              <w:rPr>
                <w:rStyle w:val="NoteLabel"/>
                <w:szCs w:val="18"/>
              </w:rPr>
              <w:t>a</w:t>
            </w:r>
          </w:p>
        </w:tc>
        <w:tc>
          <w:tcPr>
            <w:tcW w:w="507" w:type="pct"/>
            <w:tcBorders>
              <w:bottom w:val="single" w:sz="4" w:space="0" w:color="auto"/>
            </w:tcBorders>
            <w:vAlign w:val="bottom"/>
          </w:tcPr>
          <w:p w:rsidR="003C2C8E" w:rsidRPr="0005067A" w:rsidRDefault="003C2C8E" w:rsidP="001B56F1">
            <w:pPr>
              <w:pStyle w:val="TableBodyText"/>
            </w:pPr>
            <w:r>
              <w:t>0.9</w:t>
            </w:r>
          </w:p>
        </w:tc>
        <w:tc>
          <w:tcPr>
            <w:tcW w:w="507" w:type="pct"/>
            <w:tcBorders>
              <w:bottom w:val="single" w:sz="4" w:space="0" w:color="auto"/>
            </w:tcBorders>
            <w:vAlign w:val="bottom"/>
          </w:tcPr>
          <w:p w:rsidR="003C2C8E" w:rsidRPr="0005067A" w:rsidRDefault="003C2C8E" w:rsidP="001B56F1">
            <w:pPr>
              <w:pStyle w:val="TableBodyText"/>
            </w:pPr>
            <w:r>
              <w:t>0.9</w:t>
            </w:r>
          </w:p>
        </w:tc>
        <w:tc>
          <w:tcPr>
            <w:tcW w:w="507" w:type="pct"/>
            <w:tcBorders>
              <w:bottom w:val="single" w:sz="4" w:space="0" w:color="auto"/>
            </w:tcBorders>
            <w:vAlign w:val="bottom"/>
          </w:tcPr>
          <w:p w:rsidR="003C2C8E" w:rsidRPr="0005067A" w:rsidRDefault="003C2C8E" w:rsidP="001B56F1">
            <w:pPr>
              <w:pStyle w:val="TableBodyText"/>
            </w:pPr>
            <w:r>
              <w:t>1</w:t>
            </w:r>
            <w:r w:rsidRPr="0005067A">
              <w:t>.</w:t>
            </w:r>
            <w:r>
              <w:t>0</w:t>
            </w:r>
          </w:p>
        </w:tc>
        <w:tc>
          <w:tcPr>
            <w:tcW w:w="507" w:type="pct"/>
            <w:tcBorders>
              <w:bottom w:val="single" w:sz="4" w:space="0" w:color="auto"/>
            </w:tcBorders>
            <w:vAlign w:val="bottom"/>
          </w:tcPr>
          <w:p w:rsidR="003C2C8E" w:rsidRPr="0005067A" w:rsidRDefault="003C2C8E" w:rsidP="001B56F1">
            <w:pPr>
              <w:pStyle w:val="TableBodyText"/>
            </w:pPr>
            <w:r w:rsidRPr="0005067A">
              <w:t>1.</w:t>
            </w:r>
            <w:r>
              <w:t>7</w:t>
            </w:r>
          </w:p>
        </w:tc>
        <w:tc>
          <w:tcPr>
            <w:tcW w:w="507" w:type="pct"/>
            <w:tcBorders>
              <w:bottom w:val="single" w:sz="4" w:space="0" w:color="auto"/>
            </w:tcBorders>
            <w:shd w:val="clear" w:color="auto" w:fill="auto"/>
            <w:vAlign w:val="bottom"/>
          </w:tcPr>
          <w:p w:rsidR="003C2C8E" w:rsidRPr="0005067A" w:rsidRDefault="003C2C8E" w:rsidP="001B56F1">
            <w:pPr>
              <w:pStyle w:val="TableBodyText"/>
            </w:pPr>
            <w:r w:rsidRPr="0005067A">
              <w:t>0.</w:t>
            </w:r>
            <w:r>
              <w:t>6</w:t>
            </w:r>
          </w:p>
        </w:tc>
        <w:tc>
          <w:tcPr>
            <w:tcW w:w="505" w:type="pct"/>
            <w:tcBorders>
              <w:bottom w:val="single" w:sz="4" w:space="0" w:color="auto"/>
            </w:tcBorders>
            <w:shd w:val="clear" w:color="auto" w:fill="auto"/>
            <w:vAlign w:val="bottom"/>
          </w:tcPr>
          <w:p w:rsidR="003C2C8E" w:rsidRPr="0005067A" w:rsidRDefault="003C2C8E" w:rsidP="001B56F1">
            <w:pPr>
              <w:pStyle w:val="TableBodyText"/>
            </w:pPr>
            <w:r w:rsidRPr="0005067A">
              <w:t>0.</w:t>
            </w:r>
            <w:r>
              <w:t>6</w:t>
            </w:r>
          </w:p>
        </w:tc>
      </w:tr>
    </w:tbl>
    <w:p w:rsidR="003C2C8E" w:rsidRPr="00F60026" w:rsidRDefault="003C2C8E" w:rsidP="003C2C8E">
      <w:pPr>
        <w:pStyle w:val="Source"/>
        <w:spacing w:after="0"/>
        <w:rPr>
          <w:i/>
        </w:rPr>
      </w:pPr>
      <w:r w:rsidRPr="009B56F1">
        <w:rPr>
          <w:rStyle w:val="NoteLabel"/>
        </w:rPr>
        <w:t>a</w:t>
      </w:r>
      <w:r w:rsidRPr="009B56F1">
        <w:t xml:space="preserve"> Unallocated includes general programs where detai</w:t>
      </w:r>
      <w:r>
        <w:t>ls of beneficiaries are unknown.</w:t>
      </w:r>
    </w:p>
    <w:p w:rsidR="003C2C8E" w:rsidRDefault="003C2C8E" w:rsidP="003C2C8E">
      <w:pPr>
        <w:pStyle w:val="Source"/>
      </w:pPr>
      <w:r>
        <w:rPr>
          <w:i/>
        </w:rPr>
        <w:t>Sources</w:t>
      </w:r>
      <w:r>
        <w:t>: Commission estimates based on DAFF Annual Report 2011</w:t>
      </w:r>
      <w:r>
        <w:noBreakHyphen/>
        <w:t>12 (and earlier years); and DAFF Portfolio Budget Statements 2007</w:t>
      </w:r>
      <w:r>
        <w:noBreakHyphen/>
        <w:t>08.</w:t>
      </w:r>
    </w:p>
    <w:p w:rsidR="00F24E4E" w:rsidRDefault="00FA09C3" w:rsidP="00F24E4E">
      <w:pPr>
        <w:pStyle w:val="Heading2"/>
      </w:pPr>
      <w:r>
        <w:t>A.</w:t>
      </w:r>
      <w:r>
        <w:rPr>
          <w:noProof/>
        </w:rPr>
        <w:t>116</w:t>
      </w:r>
      <w:r w:rsidR="00F24E4E">
        <w:tab/>
        <w:t>Infrastructure Bonds Scheme</w:t>
      </w:r>
    </w:p>
    <w:p w:rsidR="00F24E4E" w:rsidRDefault="00F24E4E" w:rsidP="00F24E4E">
      <w:pPr>
        <w:pStyle w:val="BodyText"/>
      </w:pPr>
      <w:r>
        <w:t>The Infrastructure Bonds scheme was designed to encourage investment in transport and power generating projects. The scheme allowed private companies participating in such projects to obtain benefits in the form of cheaper loans from participating financiers. The financiers were not required to pay tax on interest earned, and could pass this benefit on to borrowers in the form of lower interest rates. Under the scheme, the borrower surrendered tax deductibility on interest payments associated with the loans.</w:t>
      </w:r>
    </w:p>
    <w:p w:rsidR="00F24E4E" w:rsidRDefault="00F24E4E" w:rsidP="00F24E4E">
      <w:pPr>
        <w:pStyle w:val="BodyText"/>
      </w:pPr>
      <w:r>
        <w:t xml:space="preserve">The Infrastructure Bonds scheme was terminated </w:t>
      </w:r>
      <w:r w:rsidR="00A461C3">
        <w:t xml:space="preserve">to new projects </w:t>
      </w:r>
      <w:r>
        <w:t xml:space="preserve">in February 1997 following evidence that it was being exploited for tax minimisation purposes </w:t>
      </w:r>
      <w:r w:rsidRPr="00812D24">
        <w:t>(</w:t>
      </w:r>
      <w:r w:rsidRPr="00813174">
        <w:t>DAA 1998</w:t>
      </w:r>
      <w:r>
        <w:t>)</w:t>
      </w:r>
      <w:r w:rsidR="00A461C3">
        <w:t xml:space="preserve"> though assistance continues to be conferred from projects which did utilise the scheme when open</w:t>
      </w:r>
      <w:r>
        <w:t xml:space="preserve">. The program was replaced by the Land Transport Infrastructure Borrowings Tax Offset Scheme </w:t>
      </w:r>
      <w:r w:rsidRPr="00812D24">
        <w:t>(</w:t>
      </w:r>
      <w:r w:rsidRPr="00813174">
        <w:t>Tax Expenditure Statement, Australian Government 2013, Item B 48</w:t>
      </w:r>
      <w:r w:rsidRPr="00812D24">
        <w:t>)</w:t>
      </w:r>
      <w:r>
        <w:t>.</w:t>
      </w:r>
    </w:p>
    <w:p w:rsidR="00F24E4E" w:rsidRDefault="00F24E4E" w:rsidP="00F24E4E">
      <w:pPr>
        <w:pStyle w:val="BodyText"/>
      </w:pPr>
      <w:r>
        <w:t xml:space="preserve">This tax concession has been allocated between the </w:t>
      </w:r>
      <w:r w:rsidRPr="00DD7468">
        <w:rPr>
          <w:i/>
        </w:rPr>
        <w:t>Electricity, gas, water and waste services</w:t>
      </w:r>
      <w:r>
        <w:t xml:space="preserve"> and </w:t>
      </w:r>
      <w:r w:rsidRPr="00DD7468">
        <w:rPr>
          <w:i/>
        </w:rPr>
        <w:t>Transport, postal and warehousing</w:t>
      </w:r>
      <w:r>
        <w:t xml:space="preserve"> industry groupings using information from the Development Allowance Authority (DAA) annual reports and press releases detailing projects approved by the DAA (table A.11</w:t>
      </w:r>
      <w:r w:rsidR="00C065C1">
        <w:t>6</w:t>
      </w:r>
      <w:r>
        <w:t>).</w:t>
      </w:r>
    </w:p>
    <w:p w:rsidR="00F24E4E" w:rsidRDefault="00F24E4E" w:rsidP="00F24E4E">
      <w:pPr>
        <w:pStyle w:val="TableTitle"/>
      </w:pPr>
      <w:r>
        <w:rPr>
          <w:b w:val="0"/>
        </w:rPr>
        <w:t xml:space="preserve">Table </w:t>
      </w:r>
      <w:r w:rsidR="00FA09C3">
        <w:rPr>
          <w:b w:val="0"/>
        </w:rPr>
        <w:t>A.</w:t>
      </w:r>
      <w:r w:rsidR="00FA09C3">
        <w:rPr>
          <w:b w:val="0"/>
          <w:noProof/>
        </w:rPr>
        <w:t>116</w:t>
      </w:r>
      <w:r>
        <w:tab/>
        <w:t xml:space="preserve">Allocation of Infrastructure Bonds Scheme </w:t>
      </w:r>
      <w:r w:rsidR="00B6795B" w:rsidRPr="00B6795B">
        <w:t>to industry</w:t>
      </w:r>
      <w:r>
        <w:t>, 2006</w:t>
      </w:r>
      <w:r>
        <w:noBreakHyphen/>
        <w:t>07 to 2011</w:t>
      </w:r>
      <w:r>
        <w:noBreakHyphen/>
        <w:t>12</w:t>
      </w:r>
    </w:p>
    <w:p w:rsidR="00F24E4E" w:rsidRDefault="00F24E4E" w:rsidP="00F24E4E">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F24E4E" w:rsidRPr="00AF699A" w:rsidTr="001B56F1">
        <w:tc>
          <w:tcPr>
            <w:tcW w:w="1960" w:type="pct"/>
            <w:tcBorders>
              <w:top w:val="single" w:sz="6" w:space="0" w:color="auto"/>
              <w:bottom w:val="single" w:sz="6" w:space="0" w:color="auto"/>
            </w:tcBorders>
          </w:tcPr>
          <w:p w:rsidR="00F24E4E" w:rsidRPr="00AF699A" w:rsidRDefault="00F24E4E"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F24E4E" w:rsidRPr="00AF699A" w:rsidRDefault="00F24E4E"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F24E4E" w:rsidRPr="00AF699A" w:rsidRDefault="00F24E4E"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F24E4E" w:rsidRPr="00AF699A" w:rsidRDefault="00F24E4E"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F24E4E" w:rsidRPr="00AF699A" w:rsidRDefault="00F24E4E"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F24E4E" w:rsidRPr="00AF699A" w:rsidRDefault="00F24E4E"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F24E4E" w:rsidRPr="00AF699A" w:rsidRDefault="00F24E4E" w:rsidP="001B56F1">
            <w:pPr>
              <w:pStyle w:val="TableColumnHeading"/>
              <w:ind w:right="28"/>
              <w:rPr>
                <w:rFonts w:cs="Arial"/>
                <w:sz w:val="18"/>
                <w:szCs w:val="18"/>
              </w:rPr>
            </w:pPr>
            <w:r w:rsidRPr="00AF699A">
              <w:rPr>
                <w:rFonts w:cs="Arial"/>
                <w:sz w:val="18"/>
                <w:szCs w:val="18"/>
              </w:rPr>
              <w:t>2011-12</w:t>
            </w:r>
          </w:p>
        </w:tc>
      </w:tr>
      <w:tr w:rsidR="00F24E4E" w:rsidRPr="006C5A80" w:rsidTr="001B56F1">
        <w:tc>
          <w:tcPr>
            <w:tcW w:w="1960" w:type="pct"/>
            <w:tcBorders>
              <w:top w:val="single" w:sz="6" w:space="0" w:color="auto"/>
            </w:tcBorders>
            <w:vAlign w:val="bottom"/>
          </w:tcPr>
          <w:p w:rsidR="00F24E4E" w:rsidRPr="006C0DD3" w:rsidRDefault="00F24E4E" w:rsidP="001B56F1">
            <w:pPr>
              <w:pStyle w:val="TableBodyText"/>
              <w:jc w:val="left"/>
              <w:rPr>
                <w:b/>
                <w:sz w:val="18"/>
                <w:szCs w:val="18"/>
              </w:rPr>
            </w:pPr>
            <w:r>
              <w:rPr>
                <w:b/>
                <w:sz w:val="18"/>
                <w:szCs w:val="18"/>
              </w:rPr>
              <w:t>Services</w:t>
            </w:r>
          </w:p>
        </w:tc>
        <w:tc>
          <w:tcPr>
            <w:tcW w:w="507" w:type="pct"/>
            <w:tcBorders>
              <w:top w:val="single" w:sz="6" w:space="0" w:color="auto"/>
            </w:tcBorders>
            <w:vAlign w:val="bottom"/>
          </w:tcPr>
          <w:p w:rsidR="00F24E4E" w:rsidRPr="00EE7C35" w:rsidRDefault="00F24E4E" w:rsidP="001B56F1">
            <w:pPr>
              <w:pStyle w:val="TableBodyText"/>
              <w:rPr>
                <w:b/>
                <w:sz w:val="18"/>
                <w:szCs w:val="18"/>
              </w:rPr>
            </w:pPr>
            <w:r w:rsidRPr="00EE7C35">
              <w:rPr>
                <w:b/>
                <w:sz w:val="18"/>
                <w:szCs w:val="18"/>
              </w:rPr>
              <w:t>15.0</w:t>
            </w:r>
          </w:p>
        </w:tc>
        <w:tc>
          <w:tcPr>
            <w:tcW w:w="507" w:type="pct"/>
            <w:tcBorders>
              <w:top w:val="single" w:sz="6" w:space="0" w:color="auto"/>
            </w:tcBorders>
            <w:vAlign w:val="bottom"/>
          </w:tcPr>
          <w:p w:rsidR="00F24E4E" w:rsidRPr="00EE7C35" w:rsidRDefault="00F24E4E" w:rsidP="001B56F1">
            <w:pPr>
              <w:pStyle w:val="TableBodyText"/>
              <w:rPr>
                <w:b/>
                <w:sz w:val="18"/>
                <w:szCs w:val="18"/>
              </w:rPr>
            </w:pPr>
            <w:r w:rsidRPr="00EE7C35">
              <w:rPr>
                <w:b/>
                <w:sz w:val="18"/>
                <w:szCs w:val="18"/>
              </w:rPr>
              <w:t>5.0</w:t>
            </w:r>
          </w:p>
        </w:tc>
        <w:tc>
          <w:tcPr>
            <w:tcW w:w="507" w:type="pct"/>
            <w:tcBorders>
              <w:top w:val="single" w:sz="6" w:space="0" w:color="auto"/>
            </w:tcBorders>
            <w:vAlign w:val="bottom"/>
          </w:tcPr>
          <w:p w:rsidR="00F24E4E" w:rsidRPr="00EE7C35" w:rsidRDefault="00F24E4E" w:rsidP="001B56F1">
            <w:pPr>
              <w:pStyle w:val="TableBodyText"/>
              <w:rPr>
                <w:b/>
                <w:sz w:val="18"/>
                <w:szCs w:val="18"/>
              </w:rPr>
            </w:pPr>
            <w:r w:rsidRPr="00EE7C35">
              <w:rPr>
                <w:b/>
                <w:sz w:val="18"/>
                <w:szCs w:val="18"/>
              </w:rPr>
              <w:t>5.0</w:t>
            </w:r>
          </w:p>
        </w:tc>
        <w:tc>
          <w:tcPr>
            <w:tcW w:w="507" w:type="pct"/>
            <w:tcBorders>
              <w:top w:val="single" w:sz="6" w:space="0" w:color="auto"/>
            </w:tcBorders>
            <w:vAlign w:val="bottom"/>
          </w:tcPr>
          <w:p w:rsidR="00F24E4E" w:rsidRPr="00EE7C35" w:rsidRDefault="00F24E4E" w:rsidP="001B56F1">
            <w:pPr>
              <w:pStyle w:val="TableBodyText"/>
              <w:rPr>
                <w:b/>
                <w:sz w:val="18"/>
                <w:szCs w:val="18"/>
              </w:rPr>
            </w:pPr>
            <w:r w:rsidRPr="00EE7C35">
              <w:rPr>
                <w:b/>
                <w:sz w:val="18"/>
                <w:szCs w:val="18"/>
              </w:rPr>
              <w:t>0.5</w:t>
            </w:r>
          </w:p>
        </w:tc>
        <w:tc>
          <w:tcPr>
            <w:tcW w:w="507" w:type="pct"/>
            <w:tcBorders>
              <w:top w:val="single" w:sz="6" w:space="0" w:color="auto"/>
            </w:tcBorders>
            <w:vAlign w:val="bottom"/>
          </w:tcPr>
          <w:p w:rsidR="00F24E4E" w:rsidRPr="00EE7C35" w:rsidRDefault="00F24E4E" w:rsidP="001B56F1">
            <w:pPr>
              <w:pStyle w:val="TableBodyText"/>
              <w:rPr>
                <w:b/>
                <w:sz w:val="18"/>
                <w:szCs w:val="18"/>
              </w:rPr>
            </w:pPr>
            <w:r w:rsidRPr="00EE7C35">
              <w:rPr>
                <w:b/>
                <w:sz w:val="18"/>
                <w:szCs w:val="18"/>
              </w:rPr>
              <w:t>0.5</w:t>
            </w:r>
          </w:p>
        </w:tc>
        <w:tc>
          <w:tcPr>
            <w:tcW w:w="505" w:type="pct"/>
            <w:tcBorders>
              <w:top w:val="single" w:sz="6" w:space="0" w:color="auto"/>
            </w:tcBorders>
            <w:vAlign w:val="bottom"/>
          </w:tcPr>
          <w:p w:rsidR="00F24E4E" w:rsidRPr="00EE7C35" w:rsidRDefault="00F24E4E" w:rsidP="001B56F1">
            <w:pPr>
              <w:pStyle w:val="TableBodyText"/>
              <w:rPr>
                <w:b/>
                <w:sz w:val="18"/>
                <w:szCs w:val="18"/>
              </w:rPr>
            </w:pPr>
            <w:r w:rsidRPr="00EE7C35">
              <w:rPr>
                <w:b/>
                <w:sz w:val="18"/>
                <w:szCs w:val="18"/>
              </w:rPr>
              <w:t>0.5</w:t>
            </w:r>
          </w:p>
        </w:tc>
      </w:tr>
      <w:tr w:rsidR="00F24E4E" w:rsidRPr="006C5A80" w:rsidTr="001B56F1">
        <w:tc>
          <w:tcPr>
            <w:tcW w:w="1960" w:type="pct"/>
            <w:vAlign w:val="bottom"/>
          </w:tcPr>
          <w:p w:rsidR="00F24E4E" w:rsidRPr="00267504" w:rsidRDefault="00F24E4E" w:rsidP="001B56F1">
            <w:pPr>
              <w:pStyle w:val="TableBodyText"/>
              <w:jc w:val="left"/>
              <w:rPr>
                <w:sz w:val="18"/>
                <w:szCs w:val="18"/>
              </w:rPr>
            </w:pPr>
            <w:r>
              <w:rPr>
                <w:sz w:val="18"/>
                <w:szCs w:val="18"/>
              </w:rPr>
              <w:t>Electricity, gas, water and waste services</w:t>
            </w:r>
          </w:p>
        </w:tc>
        <w:tc>
          <w:tcPr>
            <w:tcW w:w="507" w:type="pct"/>
            <w:vAlign w:val="bottom"/>
          </w:tcPr>
          <w:p w:rsidR="00F24E4E" w:rsidRPr="00EE7C35" w:rsidRDefault="00F24E4E" w:rsidP="001B56F1">
            <w:pPr>
              <w:pStyle w:val="TableBodyText"/>
              <w:rPr>
                <w:sz w:val="18"/>
                <w:szCs w:val="18"/>
              </w:rPr>
            </w:pPr>
            <w:r w:rsidRPr="00EE7C35">
              <w:rPr>
                <w:sz w:val="18"/>
                <w:szCs w:val="18"/>
              </w:rPr>
              <w:t>7.8</w:t>
            </w:r>
          </w:p>
        </w:tc>
        <w:tc>
          <w:tcPr>
            <w:tcW w:w="507" w:type="pct"/>
            <w:vAlign w:val="bottom"/>
          </w:tcPr>
          <w:p w:rsidR="00F24E4E" w:rsidRPr="00EE7C35" w:rsidRDefault="00F24E4E" w:rsidP="001B56F1">
            <w:pPr>
              <w:pStyle w:val="TableBodyText"/>
              <w:rPr>
                <w:sz w:val="18"/>
                <w:szCs w:val="18"/>
              </w:rPr>
            </w:pPr>
            <w:r w:rsidRPr="00EE7C35">
              <w:rPr>
                <w:sz w:val="18"/>
                <w:szCs w:val="18"/>
              </w:rPr>
              <w:t>2.6</w:t>
            </w:r>
          </w:p>
        </w:tc>
        <w:tc>
          <w:tcPr>
            <w:tcW w:w="507" w:type="pct"/>
            <w:vAlign w:val="bottom"/>
          </w:tcPr>
          <w:p w:rsidR="00F24E4E" w:rsidRPr="00EE7C35" w:rsidRDefault="00F24E4E" w:rsidP="001B56F1">
            <w:pPr>
              <w:pStyle w:val="TableBodyText"/>
              <w:rPr>
                <w:sz w:val="18"/>
                <w:szCs w:val="18"/>
              </w:rPr>
            </w:pPr>
            <w:r w:rsidRPr="00EE7C35">
              <w:rPr>
                <w:sz w:val="18"/>
                <w:szCs w:val="18"/>
              </w:rPr>
              <w:t>2.6</w:t>
            </w:r>
          </w:p>
        </w:tc>
        <w:tc>
          <w:tcPr>
            <w:tcW w:w="507" w:type="pct"/>
            <w:vAlign w:val="bottom"/>
          </w:tcPr>
          <w:p w:rsidR="00F24E4E" w:rsidRPr="00EE7C35" w:rsidRDefault="00F24E4E" w:rsidP="001B56F1">
            <w:pPr>
              <w:pStyle w:val="TableBodyText"/>
              <w:rPr>
                <w:sz w:val="18"/>
                <w:szCs w:val="18"/>
              </w:rPr>
            </w:pPr>
            <w:r w:rsidRPr="00EE7C35">
              <w:rPr>
                <w:sz w:val="18"/>
                <w:szCs w:val="18"/>
              </w:rPr>
              <w:t>0.3</w:t>
            </w:r>
          </w:p>
        </w:tc>
        <w:tc>
          <w:tcPr>
            <w:tcW w:w="507" w:type="pct"/>
            <w:shd w:val="clear" w:color="auto" w:fill="auto"/>
            <w:vAlign w:val="bottom"/>
          </w:tcPr>
          <w:p w:rsidR="00F24E4E" w:rsidRPr="00EE7C35" w:rsidRDefault="00F24E4E" w:rsidP="001B56F1">
            <w:pPr>
              <w:pStyle w:val="TableBodyText"/>
              <w:rPr>
                <w:sz w:val="18"/>
                <w:szCs w:val="18"/>
              </w:rPr>
            </w:pPr>
            <w:r w:rsidRPr="00EE7C35">
              <w:rPr>
                <w:sz w:val="18"/>
                <w:szCs w:val="18"/>
              </w:rPr>
              <w:t>0.3</w:t>
            </w:r>
          </w:p>
        </w:tc>
        <w:tc>
          <w:tcPr>
            <w:tcW w:w="505" w:type="pct"/>
            <w:shd w:val="clear" w:color="auto" w:fill="auto"/>
            <w:vAlign w:val="bottom"/>
          </w:tcPr>
          <w:p w:rsidR="00F24E4E" w:rsidRPr="00EE7C35" w:rsidRDefault="00F24E4E" w:rsidP="001B56F1">
            <w:pPr>
              <w:pStyle w:val="TableBodyText"/>
              <w:rPr>
                <w:sz w:val="18"/>
                <w:szCs w:val="18"/>
              </w:rPr>
            </w:pPr>
            <w:r w:rsidRPr="00EE7C35">
              <w:rPr>
                <w:sz w:val="18"/>
                <w:szCs w:val="18"/>
              </w:rPr>
              <w:t>0.3</w:t>
            </w:r>
          </w:p>
        </w:tc>
      </w:tr>
      <w:tr w:rsidR="00F24E4E" w:rsidRPr="006C5A80" w:rsidTr="001B56F1">
        <w:tc>
          <w:tcPr>
            <w:tcW w:w="1960" w:type="pct"/>
            <w:vAlign w:val="bottom"/>
          </w:tcPr>
          <w:p w:rsidR="00F24E4E" w:rsidRPr="00267504" w:rsidRDefault="00F24E4E" w:rsidP="001B56F1">
            <w:pPr>
              <w:pStyle w:val="TableBodyText"/>
              <w:jc w:val="left"/>
              <w:rPr>
                <w:sz w:val="18"/>
                <w:szCs w:val="18"/>
              </w:rPr>
            </w:pPr>
            <w:r>
              <w:rPr>
                <w:sz w:val="18"/>
                <w:szCs w:val="18"/>
              </w:rPr>
              <w:t>Transport, postal and warehousing</w:t>
            </w:r>
          </w:p>
        </w:tc>
        <w:tc>
          <w:tcPr>
            <w:tcW w:w="507" w:type="pct"/>
            <w:vAlign w:val="bottom"/>
          </w:tcPr>
          <w:p w:rsidR="00F24E4E" w:rsidRPr="00EE7C35" w:rsidRDefault="00F24E4E" w:rsidP="001B56F1">
            <w:pPr>
              <w:pStyle w:val="TableBodyText"/>
              <w:rPr>
                <w:sz w:val="18"/>
                <w:szCs w:val="18"/>
              </w:rPr>
            </w:pPr>
            <w:r w:rsidRPr="00EE7C35">
              <w:rPr>
                <w:sz w:val="18"/>
                <w:szCs w:val="18"/>
              </w:rPr>
              <w:t>7.2</w:t>
            </w:r>
          </w:p>
        </w:tc>
        <w:tc>
          <w:tcPr>
            <w:tcW w:w="507" w:type="pct"/>
            <w:vAlign w:val="bottom"/>
          </w:tcPr>
          <w:p w:rsidR="00F24E4E" w:rsidRPr="00EE7C35" w:rsidRDefault="00F24E4E" w:rsidP="001B56F1">
            <w:pPr>
              <w:pStyle w:val="TableBodyText"/>
              <w:rPr>
                <w:sz w:val="18"/>
                <w:szCs w:val="18"/>
              </w:rPr>
            </w:pPr>
            <w:r w:rsidRPr="00EE7C35">
              <w:rPr>
                <w:sz w:val="18"/>
                <w:szCs w:val="18"/>
              </w:rPr>
              <w:t>2.4</w:t>
            </w:r>
          </w:p>
        </w:tc>
        <w:tc>
          <w:tcPr>
            <w:tcW w:w="507" w:type="pct"/>
            <w:vAlign w:val="bottom"/>
          </w:tcPr>
          <w:p w:rsidR="00F24E4E" w:rsidRPr="00EE7C35" w:rsidRDefault="00F24E4E" w:rsidP="001B56F1">
            <w:pPr>
              <w:pStyle w:val="TableBodyText"/>
              <w:rPr>
                <w:sz w:val="18"/>
                <w:szCs w:val="18"/>
              </w:rPr>
            </w:pPr>
            <w:r w:rsidRPr="00EE7C35">
              <w:rPr>
                <w:sz w:val="18"/>
                <w:szCs w:val="18"/>
              </w:rPr>
              <w:t>2.4</w:t>
            </w:r>
          </w:p>
        </w:tc>
        <w:tc>
          <w:tcPr>
            <w:tcW w:w="507" w:type="pct"/>
            <w:vAlign w:val="bottom"/>
          </w:tcPr>
          <w:p w:rsidR="00F24E4E" w:rsidRPr="00EE7C35" w:rsidRDefault="00F24E4E" w:rsidP="001B56F1">
            <w:pPr>
              <w:pStyle w:val="TableBodyText"/>
              <w:rPr>
                <w:sz w:val="18"/>
                <w:szCs w:val="18"/>
              </w:rPr>
            </w:pPr>
            <w:r w:rsidRPr="00EE7C35">
              <w:rPr>
                <w:sz w:val="18"/>
                <w:szCs w:val="18"/>
              </w:rPr>
              <w:t>0.2</w:t>
            </w:r>
          </w:p>
        </w:tc>
        <w:tc>
          <w:tcPr>
            <w:tcW w:w="507" w:type="pct"/>
            <w:shd w:val="clear" w:color="auto" w:fill="auto"/>
            <w:vAlign w:val="bottom"/>
          </w:tcPr>
          <w:p w:rsidR="00F24E4E" w:rsidRPr="00EE7C35" w:rsidRDefault="00F24E4E" w:rsidP="001B56F1">
            <w:pPr>
              <w:pStyle w:val="TableBodyText"/>
              <w:rPr>
                <w:sz w:val="18"/>
                <w:szCs w:val="18"/>
              </w:rPr>
            </w:pPr>
            <w:r w:rsidRPr="00EE7C35">
              <w:rPr>
                <w:sz w:val="18"/>
                <w:szCs w:val="18"/>
              </w:rPr>
              <w:t>0.2</w:t>
            </w:r>
          </w:p>
        </w:tc>
        <w:tc>
          <w:tcPr>
            <w:tcW w:w="505" w:type="pct"/>
            <w:shd w:val="clear" w:color="auto" w:fill="auto"/>
            <w:vAlign w:val="bottom"/>
          </w:tcPr>
          <w:p w:rsidR="00F24E4E" w:rsidRPr="00EE7C35" w:rsidRDefault="00F24E4E" w:rsidP="001B56F1">
            <w:pPr>
              <w:pStyle w:val="TableBodyText"/>
              <w:rPr>
                <w:sz w:val="18"/>
                <w:szCs w:val="18"/>
              </w:rPr>
            </w:pPr>
            <w:r w:rsidRPr="00EE7C35">
              <w:rPr>
                <w:sz w:val="18"/>
                <w:szCs w:val="18"/>
              </w:rPr>
              <w:t>0.2</w:t>
            </w:r>
          </w:p>
        </w:tc>
      </w:tr>
      <w:tr w:rsidR="00F24E4E" w:rsidRPr="006C5A80" w:rsidTr="001B56F1">
        <w:tc>
          <w:tcPr>
            <w:tcW w:w="1960" w:type="pct"/>
            <w:tcBorders>
              <w:bottom w:val="single" w:sz="4" w:space="0" w:color="auto"/>
            </w:tcBorders>
            <w:vAlign w:val="bottom"/>
          </w:tcPr>
          <w:p w:rsidR="00F24E4E" w:rsidRPr="00267504" w:rsidRDefault="00F24E4E" w:rsidP="001B56F1">
            <w:pPr>
              <w:pStyle w:val="TableBodyText"/>
              <w:jc w:val="left"/>
              <w:rPr>
                <w:b/>
                <w:bCs/>
                <w:sz w:val="18"/>
                <w:szCs w:val="18"/>
              </w:rPr>
            </w:pPr>
            <w:r w:rsidRPr="00267504">
              <w:rPr>
                <w:b/>
                <w:bCs/>
                <w:sz w:val="18"/>
                <w:szCs w:val="18"/>
              </w:rPr>
              <w:t>Total</w:t>
            </w:r>
          </w:p>
        </w:tc>
        <w:tc>
          <w:tcPr>
            <w:tcW w:w="507" w:type="pct"/>
            <w:tcBorders>
              <w:bottom w:val="single" w:sz="4" w:space="0" w:color="auto"/>
            </w:tcBorders>
            <w:vAlign w:val="bottom"/>
          </w:tcPr>
          <w:p w:rsidR="00F24E4E" w:rsidRPr="00EE7C35" w:rsidRDefault="00F24E4E" w:rsidP="001B56F1">
            <w:pPr>
              <w:pStyle w:val="TableBodyText"/>
              <w:rPr>
                <w:b/>
                <w:sz w:val="18"/>
                <w:szCs w:val="18"/>
              </w:rPr>
            </w:pPr>
            <w:r w:rsidRPr="00EE7C35">
              <w:rPr>
                <w:b/>
                <w:sz w:val="18"/>
                <w:szCs w:val="18"/>
              </w:rPr>
              <w:t>15.0</w:t>
            </w:r>
          </w:p>
        </w:tc>
        <w:tc>
          <w:tcPr>
            <w:tcW w:w="507" w:type="pct"/>
            <w:tcBorders>
              <w:bottom w:val="single" w:sz="4" w:space="0" w:color="auto"/>
            </w:tcBorders>
            <w:vAlign w:val="bottom"/>
          </w:tcPr>
          <w:p w:rsidR="00F24E4E" w:rsidRPr="00EE7C35" w:rsidRDefault="00F24E4E" w:rsidP="001B56F1">
            <w:pPr>
              <w:pStyle w:val="TableBodyText"/>
              <w:rPr>
                <w:b/>
                <w:sz w:val="18"/>
                <w:szCs w:val="18"/>
              </w:rPr>
            </w:pPr>
            <w:r w:rsidRPr="00EE7C35">
              <w:rPr>
                <w:b/>
                <w:sz w:val="18"/>
                <w:szCs w:val="18"/>
              </w:rPr>
              <w:t>5.0</w:t>
            </w:r>
          </w:p>
        </w:tc>
        <w:tc>
          <w:tcPr>
            <w:tcW w:w="507" w:type="pct"/>
            <w:tcBorders>
              <w:bottom w:val="single" w:sz="4" w:space="0" w:color="auto"/>
            </w:tcBorders>
            <w:vAlign w:val="bottom"/>
          </w:tcPr>
          <w:p w:rsidR="00F24E4E" w:rsidRPr="00EE7C35" w:rsidRDefault="00F24E4E" w:rsidP="001B56F1">
            <w:pPr>
              <w:pStyle w:val="TableBodyText"/>
              <w:rPr>
                <w:b/>
                <w:sz w:val="18"/>
                <w:szCs w:val="18"/>
              </w:rPr>
            </w:pPr>
            <w:r w:rsidRPr="00EE7C35">
              <w:rPr>
                <w:b/>
                <w:sz w:val="18"/>
                <w:szCs w:val="18"/>
              </w:rPr>
              <w:t>5.0</w:t>
            </w:r>
          </w:p>
        </w:tc>
        <w:tc>
          <w:tcPr>
            <w:tcW w:w="507" w:type="pct"/>
            <w:tcBorders>
              <w:bottom w:val="single" w:sz="4" w:space="0" w:color="auto"/>
            </w:tcBorders>
            <w:vAlign w:val="bottom"/>
          </w:tcPr>
          <w:p w:rsidR="00F24E4E" w:rsidRPr="00EE7C35" w:rsidRDefault="00F24E4E" w:rsidP="001B56F1">
            <w:pPr>
              <w:pStyle w:val="TableBodyText"/>
              <w:rPr>
                <w:b/>
                <w:sz w:val="18"/>
                <w:szCs w:val="18"/>
              </w:rPr>
            </w:pPr>
            <w:r w:rsidRPr="00EE7C35">
              <w:rPr>
                <w:b/>
                <w:sz w:val="18"/>
                <w:szCs w:val="18"/>
              </w:rPr>
              <w:t>0.5</w:t>
            </w:r>
          </w:p>
        </w:tc>
        <w:tc>
          <w:tcPr>
            <w:tcW w:w="507" w:type="pct"/>
            <w:tcBorders>
              <w:bottom w:val="single" w:sz="4" w:space="0" w:color="auto"/>
            </w:tcBorders>
            <w:shd w:val="clear" w:color="auto" w:fill="auto"/>
            <w:vAlign w:val="bottom"/>
          </w:tcPr>
          <w:p w:rsidR="00F24E4E" w:rsidRPr="00EE7C35" w:rsidRDefault="00F24E4E" w:rsidP="001B56F1">
            <w:pPr>
              <w:pStyle w:val="TableBodyText"/>
              <w:rPr>
                <w:b/>
                <w:sz w:val="18"/>
                <w:szCs w:val="18"/>
              </w:rPr>
            </w:pPr>
            <w:r w:rsidRPr="00EE7C35">
              <w:rPr>
                <w:b/>
                <w:sz w:val="18"/>
                <w:szCs w:val="18"/>
              </w:rPr>
              <w:t>0.5</w:t>
            </w:r>
          </w:p>
        </w:tc>
        <w:tc>
          <w:tcPr>
            <w:tcW w:w="505" w:type="pct"/>
            <w:tcBorders>
              <w:bottom w:val="single" w:sz="4" w:space="0" w:color="auto"/>
            </w:tcBorders>
            <w:shd w:val="clear" w:color="auto" w:fill="auto"/>
            <w:vAlign w:val="bottom"/>
          </w:tcPr>
          <w:p w:rsidR="00F24E4E" w:rsidRPr="00EE7C35" w:rsidRDefault="00F24E4E" w:rsidP="001B56F1">
            <w:pPr>
              <w:pStyle w:val="TableBodyText"/>
              <w:rPr>
                <w:b/>
                <w:sz w:val="18"/>
                <w:szCs w:val="18"/>
              </w:rPr>
            </w:pPr>
            <w:r w:rsidRPr="00EE7C35">
              <w:rPr>
                <w:b/>
                <w:sz w:val="18"/>
                <w:szCs w:val="18"/>
              </w:rPr>
              <w:t>0.5</w:t>
            </w:r>
          </w:p>
        </w:tc>
      </w:tr>
    </w:tbl>
    <w:p w:rsidR="00F24E4E" w:rsidRPr="008E77FE" w:rsidRDefault="00F24E4E" w:rsidP="00F24E4E">
      <w:pPr>
        <w:pStyle w:val="Source"/>
      </w:pPr>
      <w:r>
        <w:rPr>
          <w:i/>
        </w:rPr>
        <w:t>Sources</w:t>
      </w:r>
      <w:r>
        <w:t xml:space="preserve">: </w:t>
      </w:r>
      <w:r w:rsidRPr="002476ED">
        <w:t xml:space="preserve">Commission estimates based on </w:t>
      </w:r>
      <w:r>
        <w:t>Tax Expenditure Statement 2012, Australian Government 2013, p</w:t>
      </w:r>
      <w:r w:rsidR="005145E0">
        <w:t>. </w:t>
      </w:r>
      <w:r>
        <w:t>88, Item B48, Development Allowance Authority (DAA) Annual Report 2009</w:t>
      </w:r>
      <w:r>
        <w:noBreakHyphen/>
        <w:t>10 (and earlier years).</w:t>
      </w:r>
    </w:p>
    <w:p w:rsidR="00AF09C8" w:rsidRDefault="00FA09C3" w:rsidP="00AF09C8">
      <w:pPr>
        <w:pStyle w:val="Heading2"/>
      </w:pPr>
      <w:r>
        <w:t>A.</w:t>
      </w:r>
      <w:r>
        <w:rPr>
          <w:noProof/>
        </w:rPr>
        <w:t>117</w:t>
      </w:r>
      <w:r w:rsidR="00AF09C8">
        <w:tab/>
        <w:t>Regional Headquarters Program</w:t>
      </w:r>
    </w:p>
    <w:p w:rsidR="00AF09C8" w:rsidRDefault="00AF09C8" w:rsidP="00AF09C8">
      <w:pPr>
        <w:pStyle w:val="BodyText"/>
      </w:pPr>
      <w:r>
        <w:t xml:space="preserve">Multinational firms establishing regional headquarters in Australia can claim, among other things, business expenses incurred in relocating from overseas </w:t>
      </w:r>
      <w:r w:rsidRPr="003A737C">
        <w:t>(</w:t>
      </w:r>
      <w:r w:rsidRPr="00813174">
        <w:t>Tax Expenditure Statement, Australian Government 2013, Item B 11</w:t>
      </w:r>
      <w:r w:rsidRPr="003A737C">
        <w:t>)</w:t>
      </w:r>
      <w:r>
        <w:t>.</w:t>
      </w:r>
    </w:p>
    <w:p w:rsidR="00AF09C8" w:rsidRDefault="00AF09C8" w:rsidP="00AF09C8">
      <w:pPr>
        <w:pStyle w:val="BodyText"/>
      </w:pPr>
      <w:r>
        <w:t>Under the ANZSIC system, the managerial operations of a firm’s head office are classified according to the core business of the firm. For example, if a pharmaceuticals producer established its regional headquarters in Sydney, the forgone tax revenue resulting from the tax deduction would be attributed to the petroleum, coal, chemicals and associated products industry grouping because, in this case, management costs are considered as overheads to the pharmaceuticals manufacturing industry.</w:t>
      </w:r>
    </w:p>
    <w:p w:rsidR="00AF09C8" w:rsidRDefault="00AF09C8" w:rsidP="00AF09C8">
      <w:pPr>
        <w:pStyle w:val="BodyText"/>
      </w:pPr>
      <w:r>
        <w:t xml:space="preserve">This tax expenditure data, however, has not been readily available at the firm or </w:t>
      </w:r>
      <w:r w:rsidRPr="00813174">
        <w:t xml:space="preserve">activity level. Accordingly, the taxation concession has been classified to the </w:t>
      </w:r>
      <w:r w:rsidRPr="00813174">
        <w:rPr>
          <w:i/>
        </w:rPr>
        <w:t>Unallocated other</w:t>
      </w:r>
      <w:r w:rsidRPr="00813174">
        <w:t xml:space="preserve"> industry grouping in the Commission’s ANZSIC-based classification</w:t>
      </w:r>
      <w:r>
        <w:t xml:space="preserve"> (table A.11</w:t>
      </w:r>
      <w:r w:rsidR="00C065C1">
        <w:t>7</w:t>
      </w:r>
      <w:r>
        <w:t>).</w:t>
      </w:r>
    </w:p>
    <w:p w:rsidR="00CC78E1" w:rsidRDefault="00CC78E1" w:rsidP="00CC78E1">
      <w:pPr>
        <w:pStyle w:val="BodyText"/>
      </w:pPr>
      <w:r>
        <w:br w:type="page"/>
      </w:r>
    </w:p>
    <w:p w:rsidR="00AF09C8" w:rsidRDefault="00AF09C8" w:rsidP="00AF09C8">
      <w:pPr>
        <w:pStyle w:val="TableTitle"/>
      </w:pPr>
      <w:r>
        <w:rPr>
          <w:b w:val="0"/>
        </w:rPr>
        <w:t xml:space="preserve">Table </w:t>
      </w:r>
      <w:r w:rsidR="00FA09C3">
        <w:rPr>
          <w:b w:val="0"/>
        </w:rPr>
        <w:t>A.</w:t>
      </w:r>
      <w:r w:rsidR="00FA09C3">
        <w:rPr>
          <w:b w:val="0"/>
          <w:noProof/>
        </w:rPr>
        <w:t>117</w:t>
      </w:r>
      <w:r>
        <w:tab/>
        <w:t>Allocation of Regional Headquarters Program</w:t>
      </w:r>
      <w:r w:rsidR="00B6795B" w:rsidRPr="00B6795B">
        <w:t xml:space="preserve"> to industry</w:t>
      </w:r>
      <w:r>
        <w:t>, 2006</w:t>
      </w:r>
      <w:r>
        <w:noBreakHyphen/>
        <w:t>07 to 2011</w:t>
      </w:r>
      <w:r>
        <w:noBreakHyphen/>
        <w:t>12</w:t>
      </w:r>
    </w:p>
    <w:p w:rsidR="00AF09C8" w:rsidRDefault="00AF09C8" w:rsidP="00AF09C8">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AF09C8" w:rsidRPr="00AF699A" w:rsidTr="001B56F1">
        <w:tc>
          <w:tcPr>
            <w:tcW w:w="1960" w:type="pct"/>
            <w:tcBorders>
              <w:top w:val="single" w:sz="6" w:space="0" w:color="auto"/>
              <w:bottom w:val="single" w:sz="6" w:space="0" w:color="auto"/>
            </w:tcBorders>
          </w:tcPr>
          <w:p w:rsidR="00AF09C8" w:rsidRPr="00AF699A" w:rsidRDefault="00AF09C8"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AF09C8" w:rsidRPr="00AF699A" w:rsidRDefault="00AF09C8"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AF09C8" w:rsidRPr="00AF699A" w:rsidRDefault="00AF09C8"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AF09C8" w:rsidRPr="00AF699A" w:rsidRDefault="00AF09C8"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AF09C8" w:rsidRPr="00AF699A" w:rsidRDefault="00AF09C8"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AF09C8" w:rsidRPr="00AF699A" w:rsidRDefault="00AF09C8"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AF09C8" w:rsidRPr="00AF699A" w:rsidRDefault="00AF09C8" w:rsidP="001B56F1">
            <w:pPr>
              <w:pStyle w:val="TableColumnHeading"/>
              <w:ind w:right="28"/>
              <w:rPr>
                <w:rFonts w:cs="Arial"/>
                <w:sz w:val="18"/>
                <w:szCs w:val="18"/>
              </w:rPr>
            </w:pPr>
            <w:r w:rsidRPr="00AF699A">
              <w:rPr>
                <w:rFonts w:cs="Arial"/>
                <w:sz w:val="18"/>
                <w:szCs w:val="18"/>
              </w:rPr>
              <w:t>2011-12</w:t>
            </w:r>
          </w:p>
        </w:tc>
      </w:tr>
      <w:tr w:rsidR="00AF09C8" w:rsidRPr="006C5A80" w:rsidTr="001B56F1">
        <w:tc>
          <w:tcPr>
            <w:tcW w:w="1960" w:type="pct"/>
            <w:tcBorders>
              <w:bottom w:val="single" w:sz="4" w:space="0" w:color="auto"/>
            </w:tcBorders>
            <w:vAlign w:val="bottom"/>
          </w:tcPr>
          <w:p w:rsidR="00AF09C8" w:rsidRPr="00C944BA" w:rsidRDefault="00AF09C8" w:rsidP="001B56F1">
            <w:pPr>
              <w:pStyle w:val="TableBodyText"/>
              <w:jc w:val="left"/>
            </w:pPr>
            <w:r>
              <w:t>Unallocated other</w:t>
            </w:r>
            <w:r w:rsidRPr="00BD3CDA">
              <w:rPr>
                <w:rStyle w:val="NoteLabel"/>
                <w:szCs w:val="18"/>
              </w:rPr>
              <w:t>a</w:t>
            </w:r>
          </w:p>
        </w:tc>
        <w:tc>
          <w:tcPr>
            <w:tcW w:w="507" w:type="pct"/>
            <w:tcBorders>
              <w:bottom w:val="single" w:sz="4" w:space="0" w:color="auto"/>
            </w:tcBorders>
            <w:vAlign w:val="bottom"/>
          </w:tcPr>
          <w:p w:rsidR="00AF09C8" w:rsidRPr="00B113CE" w:rsidRDefault="00AF09C8" w:rsidP="001B56F1">
            <w:pPr>
              <w:pStyle w:val="TableBodyText"/>
            </w:pPr>
            <w:r>
              <w:t>0.5</w:t>
            </w:r>
          </w:p>
        </w:tc>
        <w:tc>
          <w:tcPr>
            <w:tcW w:w="507" w:type="pct"/>
            <w:tcBorders>
              <w:bottom w:val="single" w:sz="4" w:space="0" w:color="auto"/>
            </w:tcBorders>
            <w:vAlign w:val="bottom"/>
          </w:tcPr>
          <w:p w:rsidR="00AF09C8" w:rsidRPr="00B113CE" w:rsidRDefault="00AF09C8" w:rsidP="001B56F1">
            <w:pPr>
              <w:pStyle w:val="TableBodyText"/>
            </w:pPr>
            <w:r>
              <w:t>0.5</w:t>
            </w:r>
          </w:p>
        </w:tc>
        <w:tc>
          <w:tcPr>
            <w:tcW w:w="507" w:type="pct"/>
            <w:tcBorders>
              <w:bottom w:val="single" w:sz="4" w:space="0" w:color="auto"/>
            </w:tcBorders>
            <w:vAlign w:val="bottom"/>
          </w:tcPr>
          <w:p w:rsidR="00AF09C8" w:rsidRPr="00B113CE" w:rsidRDefault="00AF09C8" w:rsidP="001B56F1">
            <w:pPr>
              <w:pStyle w:val="TableBodyText"/>
            </w:pPr>
            <w:r>
              <w:t>0.5</w:t>
            </w:r>
          </w:p>
        </w:tc>
        <w:tc>
          <w:tcPr>
            <w:tcW w:w="507" w:type="pct"/>
            <w:tcBorders>
              <w:bottom w:val="single" w:sz="4" w:space="0" w:color="auto"/>
            </w:tcBorders>
            <w:vAlign w:val="bottom"/>
          </w:tcPr>
          <w:p w:rsidR="00AF09C8" w:rsidRPr="00B113CE" w:rsidRDefault="00AF09C8" w:rsidP="001B56F1">
            <w:pPr>
              <w:pStyle w:val="TableBodyText"/>
            </w:pPr>
            <w:r>
              <w:t>0.5</w:t>
            </w:r>
          </w:p>
        </w:tc>
        <w:tc>
          <w:tcPr>
            <w:tcW w:w="507" w:type="pct"/>
            <w:tcBorders>
              <w:bottom w:val="single" w:sz="4" w:space="0" w:color="auto"/>
            </w:tcBorders>
            <w:shd w:val="clear" w:color="auto" w:fill="auto"/>
            <w:vAlign w:val="bottom"/>
          </w:tcPr>
          <w:p w:rsidR="00AF09C8" w:rsidRPr="00B113CE" w:rsidRDefault="00AF09C8" w:rsidP="001B56F1">
            <w:pPr>
              <w:pStyle w:val="TableBodyText"/>
            </w:pPr>
            <w:r>
              <w:t>0.5</w:t>
            </w:r>
          </w:p>
        </w:tc>
        <w:tc>
          <w:tcPr>
            <w:tcW w:w="505" w:type="pct"/>
            <w:tcBorders>
              <w:bottom w:val="single" w:sz="4" w:space="0" w:color="auto"/>
            </w:tcBorders>
            <w:shd w:val="clear" w:color="auto" w:fill="auto"/>
            <w:vAlign w:val="bottom"/>
          </w:tcPr>
          <w:p w:rsidR="00AF09C8" w:rsidRPr="00B113CE" w:rsidRDefault="00AF09C8" w:rsidP="001B56F1">
            <w:pPr>
              <w:pStyle w:val="TableBodyText"/>
            </w:pPr>
            <w:r>
              <w:t>0.5</w:t>
            </w:r>
          </w:p>
        </w:tc>
      </w:tr>
    </w:tbl>
    <w:p w:rsidR="00AF09C8" w:rsidRPr="00F60026" w:rsidRDefault="00AF09C8" w:rsidP="00AF09C8">
      <w:pPr>
        <w:pStyle w:val="Source"/>
        <w:spacing w:after="0"/>
        <w:rPr>
          <w:i/>
        </w:rPr>
      </w:pPr>
      <w:r w:rsidRPr="009B56F1">
        <w:rPr>
          <w:rStyle w:val="NoteLabel"/>
        </w:rPr>
        <w:t>a</w:t>
      </w:r>
      <w:r w:rsidRPr="009B56F1">
        <w:t xml:space="preserve"> Unallocated includes general programs where detai</w:t>
      </w:r>
      <w:r>
        <w:t>ls of beneficiaries are unknown.</w:t>
      </w:r>
    </w:p>
    <w:p w:rsidR="00AF09C8" w:rsidRDefault="00AF09C8" w:rsidP="00AF09C8">
      <w:pPr>
        <w:pStyle w:val="Source"/>
      </w:pPr>
      <w:r>
        <w:rPr>
          <w:i/>
        </w:rPr>
        <w:t>Source</w:t>
      </w:r>
      <w:r>
        <w:t>: Commission estimates based on Tax Expenditure Statement 2012, Australian Government 2013, p</w:t>
      </w:r>
      <w:r w:rsidR="005145E0">
        <w:t>. </w:t>
      </w:r>
      <w:r>
        <w:t>70, Item B11.</w:t>
      </w:r>
    </w:p>
    <w:p w:rsidR="00033240" w:rsidRPr="00741843" w:rsidRDefault="00FA09C3" w:rsidP="00033240">
      <w:pPr>
        <w:pStyle w:val="Heading2"/>
      </w:pPr>
      <w:r w:rsidRPr="00741843">
        <w:t>A.118</w:t>
      </w:r>
      <w:r w:rsidR="00033240" w:rsidRPr="00741843">
        <w:tab/>
        <w:t>Automotive Market Access Program</w:t>
      </w:r>
    </w:p>
    <w:p w:rsidR="00033240" w:rsidRPr="005815C5" w:rsidRDefault="00033240" w:rsidP="005815C5">
      <w:pPr>
        <w:pStyle w:val="BodyText"/>
      </w:pPr>
      <w:r w:rsidRPr="005815C5">
        <w:t>The Automotive Market Access Program (AMAP) aims to employ automotive industry envoys to lead industry missions to various countries to boost Australian component suppliers’ access to global supply chains. Funding has included support for the Team Australia Automotive (TAA) initiative in North America, which expanded to target additional motor vehicle producer operations (DIISR 2011). The Program includes a $2 billion credit funding cap over each five-year stage of the scheme (DIISR 2010).</w:t>
      </w:r>
    </w:p>
    <w:p w:rsidR="00033240" w:rsidRPr="00741843" w:rsidRDefault="00033240" w:rsidP="005815C5">
      <w:pPr>
        <w:pStyle w:val="BodyText"/>
      </w:pPr>
      <w:r w:rsidRPr="00741843">
        <w:t xml:space="preserve">The program has been allocated to the </w:t>
      </w:r>
      <w:r w:rsidRPr="00741843">
        <w:rPr>
          <w:i/>
        </w:rPr>
        <w:t>Motor vehicles and parts</w:t>
      </w:r>
      <w:r w:rsidRPr="00741843">
        <w:t xml:space="preserve"> industry grouping in the Commission’s ANZSIC-based classification (table A.11</w:t>
      </w:r>
      <w:r w:rsidR="00C065C1" w:rsidRPr="00741843">
        <w:t>8</w:t>
      </w:r>
      <w:r w:rsidRPr="00741843">
        <w:t>).</w:t>
      </w:r>
    </w:p>
    <w:p w:rsidR="00033240" w:rsidRDefault="00033240" w:rsidP="00033240">
      <w:pPr>
        <w:pStyle w:val="TableTitle"/>
      </w:pPr>
      <w:r>
        <w:rPr>
          <w:b w:val="0"/>
        </w:rPr>
        <w:t xml:space="preserve">Table </w:t>
      </w:r>
      <w:r w:rsidR="00FA09C3">
        <w:rPr>
          <w:b w:val="0"/>
        </w:rPr>
        <w:t>A.</w:t>
      </w:r>
      <w:r w:rsidR="00FA09C3">
        <w:rPr>
          <w:b w:val="0"/>
          <w:noProof/>
        </w:rPr>
        <w:t>118</w:t>
      </w:r>
      <w:r>
        <w:tab/>
        <w:t>Allocation of Automotive Market Access Program</w:t>
      </w:r>
      <w:r w:rsidR="00B6795B" w:rsidRPr="00B6795B">
        <w:t xml:space="preserve"> to industry</w:t>
      </w:r>
      <w:r>
        <w:t>, 2006</w:t>
      </w:r>
      <w:r>
        <w:noBreakHyphen/>
        <w:t>07 to 2011</w:t>
      </w:r>
      <w:r>
        <w:noBreakHyphen/>
        <w:t>12</w:t>
      </w:r>
    </w:p>
    <w:p w:rsidR="00033240" w:rsidRDefault="00033240" w:rsidP="00033240">
      <w:pPr>
        <w:pStyle w:val="Subtitle"/>
      </w:pPr>
      <w:r>
        <w:t>$</w:t>
      </w:r>
      <w:r w:rsidR="005145E0">
        <w:t xml:space="preserve"> </w:t>
      </w:r>
      <w:r>
        <w:t xml:space="preserve">million (nominal) </w:t>
      </w:r>
    </w:p>
    <w:tbl>
      <w:tblPr>
        <w:tblW w:w="5000" w:type="pct"/>
        <w:tblCellMar>
          <w:left w:w="0" w:type="dxa"/>
          <w:right w:w="0" w:type="dxa"/>
        </w:tblCellMar>
        <w:tblLook w:val="0000" w:firstRow="0" w:lastRow="0" w:firstColumn="0" w:lastColumn="0" w:noHBand="0" w:noVBand="0"/>
      </w:tblPr>
      <w:tblGrid>
        <w:gridCol w:w="3445"/>
        <w:gridCol w:w="891"/>
        <w:gridCol w:w="891"/>
        <w:gridCol w:w="891"/>
        <w:gridCol w:w="891"/>
        <w:gridCol w:w="891"/>
        <w:gridCol w:w="889"/>
      </w:tblGrid>
      <w:tr w:rsidR="00033240" w:rsidRPr="00AF699A" w:rsidTr="00CB219A">
        <w:trPr>
          <w:trHeight w:val="340"/>
        </w:trPr>
        <w:tc>
          <w:tcPr>
            <w:tcW w:w="1959" w:type="pct"/>
            <w:tcBorders>
              <w:top w:val="single" w:sz="6" w:space="0" w:color="auto"/>
              <w:bottom w:val="single" w:sz="6" w:space="0" w:color="auto"/>
            </w:tcBorders>
          </w:tcPr>
          <w:p w:rsidR="00033240" w:rsidRPr="00AF699A" w:rsidRDefault="00033240"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033240" w:rsidRPr="00AF699A" w:rsidRDefault="00033240"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033240" w:rsidRPr="00AF699A" w:rsidRDefault="00033240"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033240" w:rsidRPr="00AF699A" w:rsidRDefault="00033240"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033240" w:rsidRPr="00AF699A" w:rsidRDefault="00033240"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033240" w:rsidRPr="00AF699A" w:rsidRDefault="00033240" w:rsidP="001B56F1">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033240" w:rsidRPr="00AF699A" w:rsidRDefault="00033240" w:rsidP="001B56F1">
            <w:pPr>
              <w:pStyle w:val="TableColumnHeading"/>
              <w:ind w:right="28"/>
              <w:rPr>
                <w:rFonts w:cs="Arial"/>
                <w:sz w:val="18"/>
                <w:szCs w:val="18"/>
              </w:rPr>
            </w:pPr>
            <w:r w:rsidRPr="00AF699A">
              <w:rPr>
                <w:rFonts w:cs="Arial"/>
                <w:sz w:val="18"/>
                <w:szCs w:val="18"/>
              </w:rPr>
              <w:t>2011-12</w:t>
            </w:r>
          </w:p>
        </w:tc>
      </w:tr>
      <w:tr w:rsidR="00033240" w:rsidRPr="002A328F" w:rsidTr="001B56F1">
        <w:tc>
          <w:tcPr>
            <w:tcW w:w="1959" w:type="pct"/>
            <w:tcBorders>
              <w:bottom w:val="single" w:sz="4" w:space="0" w:color="auto"/>
            </w:tcBorders>
            <w:vAlign w:val="bottom"/>
          </w:tcPr>
          <w:p w:rsidR="00033240" w:rsidRPr="002A328F" w:rsidRDefault="00033240" w:rsidP="001B56F1">
            <w:pPr>
              <w:pStyle w:val="TableBodyText"/>
              <w:jc w:val="left"/>
            </w:pPr>
            <w:r w:rsidRPr="002A328F">
              <w:t>Motor vehicle and parts</w:t>
            </w:r>
          </w:p>
        </w:tc>
        <w:tc>
          <w:tcPr>
            <w:tcW w:w="507" w:type="pct"/>
            <w:tcBorders>
              <w:bottom w:val="single" w:sz="4" w:space="0" w:color="auto"/>
            </w:tcBorders>
            <w:vAlign w:val="bottom"/>
          </w:tcPr>
          <w:p w:rsidR="00033240" w:rsidRPr="002A328F" w:rsidRDefault="00033240" w:rsidP="001B56F1">
            <w:pPr>
              <w:pStyle w:val="TableBodyText"/>
            </w:pPr>
            <w:r>
              <w:noBreakHyphen/>
            </w:r>
          </w:p>
        </w:tc>
        <w:tc>
          <w:tcPr>
            <w:tcW w:w="507" w:type="pct"/>
            <w:tcBorders>
              <w:bottom w:val="single" w:sz="4" w:space="0" w:color="auto"/>
            </w:tcBorders>
            <w:vAlign w:val="bottom"/>
          </w:tcPr>
          <w:p w:rsidR="00033240" w:rsidRPr="002A328F" w:rsidRDefault="00033240" w:rsidP="001B56F1">
            <w:pPr>
              <w:pStyle w:val="TableBodyText"/>
            </w:pPr>
            <w:r>
              <w:noBreakHyphen/>
            </w:r>
          </w:p>
        </w:tc>
        <w:tc>
          <w:tcPr>
            <w:tcW w:w="507" w:type="pct"/>
            <w:tcBorders>
              <w:bottom w:val="single" w:sz="4" w:space="0" w:color="auto"/>
            </w:tcBorders>
            <w:vAlign w:val="bottom"/>
          </w:tcPr>
          <w:p w:rsidR="00033240" w:rsidRPr="002A328F" w:rsidRDefault="00033240" w:rsidP="001B56F1">
            <w:pPr>
              <w:pStyle w:val="TableBodyText"/>
            </w:pPr>
            <w:r>
              <w:noBreakHyphen/>
            </w:r>
          </w:p>
        </w:tc>
        <w:tc>
          <w:tcPr>
            <w:tcW w:w="507" w:type="pct"/>
            <w:tcBorders>
              <w:bottom w:val="single" w:sz="4" w:space="0" w:color="auto"/>
            </w:tcBorders>
            <w:vAlign w:val="bottom"/>
          </w:tcPr>
          <w:p w:rsidR="00033240" w:rsidRPr="002A328F" w:rsidRDefault="00033240" w:rsidP="001B56F1">
            <w:pPr>
              <w:pStyle w:val="TableBodyText"/>
            </w:pPr>
            <w:r w:rsidRPr="002A328F">
              <w:t>0.5</w:t>
            </w:r>
          </w:p>
        </w:tc>
        <w:tc>
          <w:tcPr>
            <w:tcW w:w="507" w:type="pct"/>
            <w:tcBorders>
              <w:bottom w:val="single" w:sz="4" w:space="0" w:color="auto"/>
            </w:tcBorders>
            <w:shd w:val="clear" w:color="auto" w:fill="auto"/>
            <w:vAlign w:val="bottom"/>
          </w:tcPr>
          <w:p w:rsidR="00033240" w:rsidRPr="002A328F" w:rsidRDefault="00033240" w:rsidP="001B56F1">
            <w:pPr>
              <w:pStyle w:val="TableBodyText"/>
            </w:pPr>
            <w:r w:rsidRPr="002A328F">
              <w:t>0.5</w:t>
            </w:r>
          </w:p>
        </w:tc>
        <w:tc>
          <w:tcPr>
            <w:tcW w:w="507" w:type="pct"/>
            <w:tcBorders>
              <w:bottom w:val="single" w:sz="4" w:space="0" w:color="auto"/>
            </w:tcBorders>
            <w:shd w:val="clear" w:color="auto" w:fill="auto"/>
            <w:vAlign w:val="bottom"/>
          </w:tcPr>
          <w:p w:rsidR="00033240" w:rsidRPr="002A328F" w:rsidRDefault="00033240" w:rsidP="001B56F1">
            <w:pPr>
              <w:pStyle w:val="TableBodyText"/>
            </w:pPr>
            <w:r w:rsidRPr="002A328F">
              <w:t>0.5</w:t>
            </w:r>
          </w:p>
        </w:tc>
      </w:tr>
    </w:tbl>
    <w:p w:rsidR="00033240" w:rsidRDefault="00033240" w:rsidP="00033240">
      <w:pPr>
        <w:pStyle w:val="Note"/>
      </w:pPr>
      <w:r w:rsidRPr="00A2379F">
        <w:noBreakHyphen/>
        <w:t xml:space="preserve"> </w:t>
      </w:r>
      <w:r>
        <w:t>Nil.</w:t>
      </w:r>
    </w:p>
    <w:p w:rsidR="00033240" w:rsidRPr="008E77FE" w:rsidRDefault="00033240" w:rsidP="00033240">
      <w:pPr>
        <w:pStyle w:val="Source"/>
      </w:pPr>
      <w:r>
        <w:rPr>
          <w:i/>
        </w:rPr>
        <w:t>Source</w:t>
      </w:r>
      <w:r>
        <w:t>: Commission estimates based on detailed DIISR data by ANZSIC industry.</w:t>
      </w:r>
    </w:p>
    <w:p w:rsidR="003329B6" w:rsidRDefault="00FA09C3" w:rsidP="003329B6">
      <w:pPr>
        <w:pStyle w:val="Heading2"/>
      </w:pPr>
      <w:r>
        <w:t>A.</w:t>
      </w:r>
      <w:r>
        <w:rPr>
          <w:noProof/>
        </w:rPr>
        <w:t>119</w:t>
      </w:r>
      <w:r w:rsidR="003329B6">
        <w:tab/>
        <w:t>Northern Australia Beef Industry Strategy Indigenous Pastoral Project</w:t>
      </w:r>
    </w:p>
    <w:p w:rsidR="003329B6" w:rsidRPr="003073AA" w:rsidRDefault="003329B6" w:rsidP="003329B6">
      <w:pPr>
        <w:pStyle w:val="BodyText"/>
      </w:pPr>
      <w:r w:rsidRPr="003073AA">
        <w:t xml:space="preserve">As part of the Northern Australia Beef Industry Strategy, </w:t>
      </w:r>
      <w:r>
        <w:t>and</w:t>
      </w:r>
      <w:r w:rsidRPr="003073AA">
        <w:t xml:space="preserve"> under the Northern Australia Sustainable Futures Program, the </w:t>
      </w:r>
      <w:r>
        <w:t xml:space="preserve">Australian Government provided </w:t>
      </w:r>
      <w:r w:rsidRPr="003073AA">
        <w:t>$500</w:t>
      </w:r>
      <w:r>
        <w:t> </w:t>
      </w:r>
      <w:r w:rsidRPr="003073AA">
        <w:t xml:space="preserve">000 to develop the Indigenous Pastoral Project </w:t>
      </w:r>
      <w:r>
        <w:t>(</w:t>
      </w:r>
      <w:r w:rsidRPr="00813174">
        <w:t>DAFF 2012</w:t>
      </w:r>
      <w:r>
        <w:t>)</w:t>
      </w:r>
      <w:r w:rsidRPr="003073AA">
        <w:t>.</w:t>
      </w:r>
      <w:r>
        <w:t xml:space="preserve"> </w:t>
      </w:r>
      <w:r w:rsidRPr="003073AA">
        <w:t>The project aims to assist Indigenous pastoralists to develop their properties into more productive enterprises on a commercially viable and sustainable basis</w:t>
      </w:r>
      <w:r>
        <w:t>.</w:t>
      </w:r>
    </w:p>
    <w:p w:rsidR="003329B6" w:rsidRDefault="003329B6" w:rsidP="003329B6">
      <w:pPr>
        <w:pStyle w:val="BodyText"/>
      </w:pPr>
      <w:r w:rsidRPr="003073AA">
        <w:t xml:space="preserve">The </w:t>
      </w:r>
      <w:r>
        <w:t>project</w:t>
      </w:r>
      <w:r w:rsidRPr="003073AA">
        <w:t xml:space="preserve"> benefits businesses engaged in livestock farming which are predominately located in the </w:t>
      </w:r>
      <w:r w:rsidRPr="003073AA">
        <w:rPr>
          <w:i/>
        </w:rPr>
        <w:t>Sheep, beef cattle and grain farming</w:t>
      </w:r>
      <w:r w:rsidRPr="003073AA">
        <w:t xml:space="preserve"> industry grouping in the Commission’s ANZSIC-based classification (table A.</w:t>
      </w:r>
      <w:r>
        <w:t>11</w:t>
      </w:r>
      <w:r w:rsidR="00C065C1">
        <w:t>9</w:t>
      </w:r>
      <w:r w:rsidRPr="003073AA">
        <w:t>).</w:t>
      </w:r>
    </w:p>
    <w:p w:rsidR="003329B6" w:rsidRDefault="003329B6" w:rsidP="003329B6">
      <w:pPr>
        <w:pStyle w:val="TableTitle"/>
      </w:pPr>
      <w:r>
        <w:rPr>
          <w:b w:val="0"/>
        </w:rPr>
        <w:t xml:space="preserve">Table </w:t>
      </w:r>
      <w:r w:rsidR="00FA09C3">
        <w:rPr>
          <w:b w:val="0"/>
        </w:rPr>
        <w:t>A.</w:t>
      </w:r>
      <w:r w:rsidR="00FA09C3">
        <w:rPr>
          <w:b w:val="0"/>
          <w:noProof/>
        </w:rPr>
        <w:t>119</w:t>
      </w:r>
      <w:r>
        <w:tab/>
        <w:t>Allocation of Northern Australia Beef Industry Strategy Indigenous Pastoral Project</w:t>
      </w:r>
      <w:r w:rsidR="00B6795B" w:rsidRPr="00B6795B">
        <w:t xml:space="preserve"> to industry</w:t>
      </w:r>
      <w:r>
        <w:t>, 2006</w:t>
      </w:r>
      <w:r>
        <w:noBreakHyphen/>
        <w:t>07 to 2011</w:t>
      </w:r>
      <w:r>
        <w:noBreakHyphen/>
        <w:t>12</w:t>
      </w:r>
    </w:p>
    <w:p w:rsidR="003329B6" w:rsidRDefault="000E1A26" w:rsidP="003329B6">
      <w:pPr>
        <w:pStyle w:val="Subtitle"/>
      </w:pPr>
      <w:r>
        <w:t>$ m</w:t>
      </w:r>
      <w:r w:rsidR="003329B6">
        <w:t>illion (nominal)</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3329B6" w:rsidRPr="00AF699A" w:rsidTr="00CB219A">
        <w:trPr>
          <w:trHeight w:val="340"/>
        </w:trPr>
        <w:tc>
          <w:tcPr>
            <w:tcW w:w="1958" w:type="pct"/>
            <w:tcBorders>
              <w:top w:val="single" w:sz="6" w:space="0" w:color="auto"/>
              <w:bottom w:val="single" w:sz="6" w:space="0" w:color="auto"/>
            </w:tcBorders>
          </w:tcPr>
          <w:p w:rsidR="003329B6" w:rsidRPr="00AF699A" w:rsidRDefault="003329B6"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3329B6" w:rsidRPr="00AF699A" w:rsidRDefault="003329B6"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3329B6" w:rsidRPr="00AF699A" w:rsidRDefault="003329B6"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3329B6" w:rsidRPr="00AF699A" w:rsidRDefault="003329B6"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3329B6" w:rsidRPr="00AF699A" w:rsidRDefault="003329B6"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3329B6" w:rsidRPr="00AF699A" w:rsidRDefault="003329B6" w:rsidP="001B56F1">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3329B6" w:rsidRPr="00AF699A" w:rsidRDefault="003329B6" w:rsidP="001B56F1">
            <w:pPr>
              <w:pStyle w:val="TableColumnHeading"/>
              <w:ind w:right="28"/>
              <w:rPr>
                <w:rFonts w:cs="Arial"/>
                <w:sz w:val="18"/>
                <w:szCs w:val="18"/>
              </w:rPr>
            </w:pPr>
            <w:r w:rsidRPr="00AF699A">
              <w:rPr>
                <w:rFonts w:cs="Arial"/>
                <w:sz w:val="18"/>
                <w:szCs w:val="18"/>
              </w:rPr>
              <w:t>2011-12</w:t>
            </w:r>
          </w:p>
        </w:tc>
      </w:tr>
      <w:tr w:rsidR="003329B6" w:rsidRPr="00621BEE" w:rsidTr="001B56F1">
        <w:tc>
          <w:tcPr>
            <w:tcW w:w="1958" w:type="pct"/>
            <w:tcBorders>
              <w:bottom w:val="single" w:sz="4" w:space="0" w:color="auto"/>
            </w:tcBorders>
            <w:vAlign w:val="bottom"/>
          </w:tcPr>
          <w:p w:rsidR="003329B6" w:rsidRPr="00621BEE" w:rsidRDefault="003329B6" w:rsidP="001B56F1">
            <w:pPr>
              <w:pStyle w:val="TableBodyText"/>
              <w:jc w:val="left"/>
            </w:pPr>
            <w:r w:rsidRPr="00621BEE">
              <w:t>Sheep, beef cattle and grain farming</w:t>
            </w:r>
          </w:p>
        </w:tc>
        <w:tc>
          <w:tcPr>
            <w:tcW w:w="507" w:type="pct"/>
            <w:tcBorders>
              <w:bottom w:val="single" w:sz="4" w:space="0" w:color="auto"/>
            </w:tcBorders>
            <w:vAlign w:val="bottom"/>
          </w:tcPr>
          <w:p w:rsidR="003329B6" w:rsidRPr="00621BEE" w:rsidRDefault="003329B6" w:rsidP="001B56F1">
            <w:pPr>
              <w:pStyle w:val="TableBodyText"/>
            </w:pPr>
            <w:r>
              <w:noBreakHyphen/>
            </w:r>
          </w:p>
        </w:tc>
        <w:tc>
          <w:tcPr>
            <w:tcW w:w="507" w:type="pct"/>
            <w:tcBorders>
              <w:bottom w:val="single" w:sz="4" w:space="0" w:color="auto"/>
            </w:tcBorders>
            <w:vAlign w:val="bottom"/>
          </w:tcPr>
          <w:p w:rsidR="003329B6" w:rsidRPr="00621BEE" w:rsidRDefault="003329B6" w:rsidP="001B56F1">
            <w:pPr>
              <w:pStyle w:val="TableBodyText"/>
            </w:pPr>
            <w:r>
              <w:noBreakHyphen/>
            </w:r>
          </w:p>
        </w:tc>
        <w:tc>
          <w:tcPr>
            <w:tcW w:w="507" w:type="pct"/>
            <w:tcBorders>
              <w:bottom w:val="single" w:sz="4" w:space="0" w:color="auto"/>
            </w:tcBorders>
            <w:vAlign w:val="bottom"/>
          </w:tcPr>
          <w:p w:rsidR="003329B6" w:rsidRPr="00621BEE" w:rsidRDefault="003329B6" w:rsidP="001B56F1">
            <w:pPr>
              <w:pStyle w:val="TableBodyText"/>
            </w:pPr>
            <w:r>
              <w:noBreakHyphen/>
            </w:r>
          </w:p>
        </w:tc>
        <w:tc>
          <w:tcPr>
            <w:tcW w:w="507" w:type="pct"/>
            <w:tcBorders>
              <w:bottom w:val="single" w:sz="4" w:space="0" w:color="auto"/>
            </w:tcBorders>
            <w:vAlign w:val="bottom"/>
          </w:tcPr>
          <w:p w:rsidR="003329B6" w:rsidRPr="00621BEE" w:rsidRDefault="003329B6" w:rsidP="001B56F1">
            <w:pPr>
              <w:pStyle w:val="TableBodyText"/>
            </w:pPr>
            <w:r>
              <w:noBreakHyphen/>
            </w:r>
          </w:p>
        </w:tc>
        <w:tc>
          <w:tcPr>
            <w:tcW w:w="507" w:type="pct"/>
            <w:tcBorders>
              <w:bottom w:val="single" w:sz="4" w:space="0" w:color="auto"/>
            </w:tcBorders>
            <w:shd w:val="clear" w:color="auto" w:fill="auto"/>
            <w:vAlign w:val="bottom"/>
          </w:tcPr>
          <w:p w:rsidR="003329B6" w:rsidRPr="00621BEE" w:rsidRDefault="003329B6" w:rsidP="001B56F1">
            <w:pPr>
              <w:pStyle w:val="TableBodyText"/>
            </w:pPr>
            <w:r>
              <w:noBreakHyphen/>
            </w:r>
          </w:p>
        </w:tc>
        <w:tc>
          <w:tcPr>
            <w:tcW w:w="507" w:type="pct"/>
            <w:tcBorders>
              <w:bottom w:val="single" w:sz="4" w:space="0" w:color="auto"/>
            </w:tcBorders>
            <w:shd w:val="clear" w:color="auto" w:fill="auto"/>
            <w:vAlign w:val="bottom"/>
          </w:tcPr>
          <w:p w:rsidR="003329B6" w:rsidRPr="00621BEE" w:rsidRDefault="003329B6" w:rsidP="001B56F1">
            <w:pPr>
              <w:pStyle w:val="TableBodyText"/>
            </w:pPr>
            <w:r w:rsidRPr="00621BEE">
              <w:t>0.5</w:t>
            </w:r>
          </w:p>
        </w:tc>
      </w:tr>
    </w:tbl>
    <w:p w:rsidR="003329B6" w:rsidRDefault="003329B6" w:rsidP="003329B6">
      <w:pPr>
        <w:pStyle w:val="Note"/>
      </w:pPr>
      <w:r w:rsidRPr="00A2379F">
        <w:noBreakHyphen/>
        <w:t xml:space="preserve"> Nil</w:t>
      </w:r>
      <w:r>
        <w:t>.</w:t>
      </w:r>
    </w:p>
    <w:p w:rsidR="003329B6" w:rsidRPr="008E77FE" w:rsidRDefault="003329B6" w:rsidP="003329B6">
      <w:pPr>
        <w:pStyle w:val="Source"/>
      </w:pPr>
      <w:r>
        <w:rPr>
          <w:i/>
        </w:rPr>
        <w:t>Source</w:t>
      </w:r>
      <w:r>
        <w:t>: Commission estimates based on DAFF Annual Report 2011</w:t>
      </w:r>
      <w:r>
        <w:noBreakHyphen/>
        <w:t>12.</w:t>
      </w:r>
    </w:p>
    <w:p w:rsidR="001949FF" w:rsidRDefault="00FA09C3" w:rsidP="001949FF">
      <w:pPr>
        <w:pStyle w:val="Heading2"/>
      </w:pPr>
      <w:r>
        <w:t>A.</w:t>
      </w:r>
      <w:r>
        <w:rPr>
          <w:noProof/>
        </w:rPr>
        <w:t>120</w:t>
      </w:r>
      <w:r w:rsidR="001949FF">
        <w:tab/>
        <w:t>Regional Food Producers’ Innovation and Productivity Program</w:t>
      </w:r>
    </w:p>
    <w:p w:rsidR="001949FF" w:rsidRPr="009839FB" w:rsidRDefault="001949FF" w:rsidP="001949FF">
      <w:pPr>
        <w:pStyle w:val="BodyText"/>
      </w:pPr>
      <w:r>
        <w:t xml:space="preserve">Launched in December 2008, the Regional Food Producers’ Innovation and Productivity Program </w:t>
      </w:r>
      <w:r w:rsidR="00750D0C">
        <w:t>was designed to</w:t>
      </w:r>
      <w:r>
        <w:t xml:space="preserve"> assist regional food producers to develop or adopt innovative new technologies or to redesign and improve existing production lines (</w:t>
      </w:r>
      <w:r w:rsidRPr="00813174">
        <w:t>DAFF 2012</w:t>
      </w:r>
      <w:r>
        <w:t xml:space="preserve">). </w:t>
      </w:r>
      <w:r w:rsidR="00750D0C">
        <w:t xml:space="preserve">Projects funded under the program aimed to </w:t>
      </w:r>
      <w:r>
        <w:t>help producers increase productivity and efficiency along the supply chain, from production and transportation through to storage, shelf life and presentation. Businesses that benefited from the Program covered a range of industries, including seafood, dairy, meat and meat products, poultry, vegetables, nuts and grains.</w:t>
      </w:r>
    </w:p>
    <w:p w:rsidR="001949FF" w:rsidRDefault="001949FF" w:rsidP="001949FF">
      <w:pPr>
        <w:pStyle w:val="BodyText"/>
      </w:pPr>
      <w:r>
        <w:t>The Regional Food Producers’ Innovation and Productivity Program ended on 30 June 2012.</w:t>
      </w:r>
    </w:p>
    <w:p w:rsidR="001949FF" w:rsidRDefault="001949FF" w:rsidP="001949FF">
      <w:pPr>
        <w:pStyle w:val="BodyText"/>
      </w:pPr>
      <w:r w:rsidRPr="001E1B83">
        <w:t xml:space="preserve">Funding for the Strategy has been allocated to the </w:t>
      </w:r>
      <w:r w:rsidRPr="001E1B83">
        <w:rPr>
          <w:i/>
        </w:rPr>
        <w:t>Food, beverages and tobacco</w:t>
      </w:r>
      <w:r w:rsidRPr="001E1B83">
        <w:t xml:space="preserve"> industry </w:t>
      </w:r>
      <w:r>
        <w:t xml:space="preserve">grouping </w:t>
      </w:r>
      <w:r w:rsidRPr="001E1B83">
        <w:t xml:space="preserve">in the Commission’s ANZSIC-based </w:t>
      </w:r>
      <w:r>
        <w:t>classification</w:t>
      </w:r>
      <w:r w:rsidRPr="001E1B83">
        <w:t xml:space="preserve"> (table</w:t>
      </w:r>
      <w:r>
        <w:t> </w:t>
      </w:r>
      <w:r w:rsidRPr="001E1B83">
        <w:t>A.</w:t>
      </w:r>
      <w:r>
        <w:t>1</w:t>
      </w:r>
      <w:r w:rsidR="00C065C1">
        <w:t>20</w:t>
      </w:r>
      <w:r w:rsidRPr="001E1B83">
        <w:t>).</w:t>
      </w:r>
    </w:p>
    <w:p w:rsidR="001949FF" w:rsidRDefault="001949FF" w:rsidP="001949FF">
      <w:pPr>
        <w:pStyle w:val="TableTitle"/>
      </w:pPr>
      <w:r>
        <w:rPr>
          <w:b w:val="0"/>
        </w:rPr>
        <w:t xml:space="preserve">Table </w:t>
      </w:r>
      <w:r w:rsidR="00FA09C3">
        <w:rPr>
          <w:b w:val="0"/>
        </w:rPr>
        <w:t>A.</w:t>
      </w:r>
      <w:r w:rsidR="00FA09C3">
        <w:rPr>
          <w:b w:val="0"/>
          <w:noProof/>
        </w:rPr>
        <w:t>120</w:t>
      </w:r>
      <w:r>
        <w:tab/>
        <w:t>Allocation of Regional Food Producers’ Innovation and Productivity Program</w:t>
      </w:r>
      <w:r w:rsidR="00B6795B" w:rsidRPr="00B6795B">
        <w:t xml:space="preserve"> to industry</w:t>
      </w:r>
      <w:r>
        <w:t>, 2006</w:t>
      </w:r>
      <w:r>
        <w:noBreakHyphen/>
        <w:t>07 to 2011</w:t>
      </w:r>
      <w:r>
        <w:noBreakHyphen/>
        <w:t>12</w:t>
      </w:r>
    </w:p>
    <w:p w:rsidR="001949FF" w:rsidRDefault="001949FF" w:rsidP="001949FF">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1949FF" w:rsidRPr="00AF699A" w:rsidTr="001B56F1">
        <w:tc>
          <w:tcPr>
            <w:tcW w:w="1960" w:type="pct"/>
            <w:tcBorders>
              <w:top w:val="single" w:sz="6" w:space="0" w:color="auto"/>
              <w:bottom w:val="single" w:sz="6" w:space="0" w:color="auto"/>
            </w:tcBorders>
          </w:tcPr>
          <w:p w:rsidR="001949FF" w:rsidRPr="00AF699A" w:rsidRDefault="001949FF"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1949FF" w:rsidRPr="00AF699A" w:rsidRDefault="001949FF"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1949FF" w:rsidRPr="00AF699A" w:rsidRDefault="001949FF"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1949FF" w:rsidRPr="00AF699A" w:rsidRDefault="001949FF"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1949FF" w:rsidRPr="00AF699A" w:rsidRDefault="001949FF"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1949FF" w:rsidRPr="00AF699A" w:rsidRDefault="001949FF"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1949FF" w:rsidRPr="00AF699A" w:rsidRDefault="001949FF" w:rsidP="001B56F1">
            <w:pPr>
              <w:pStyle w:val="TableColumnHeading"/>
              <w:ind w:right="28"/>
              <w:rPr>
                <w:rFonts w:cs="Arial"/>
                <w:sz w:val="18"/>
                <w:szCs w:val="18"/>
              </w:rPr>
            </w:pPr>
            <w:r w:rsidRPr="00AF699A">
              <w:rPr>
                <w:rFonts w:cs="Arial"/>
                <w:sz w:val="18"/>
                <w:szCs w:val="18"/>
              </w:rPr>
              <w:t>2011-12</w:t>
            </w:r>
          </w:p>
        </w:tc>
      </w:tr>
      <w:tr w:rsidR="001949FF" w:rsidRPr="006C5A80" w:rsidTr="001B56F1">
        <w:tc>
          <w:tcPr>
            <w:tcW w:w="1960" w:type="pct"/>
            <w:tcBorders>
              <w:bottom w:val="single" w:sz="4" w:space="0" w:color="auto"/>
            </w:tcBorders>
            <w:vAlign w:val="bottom"/>
          </w:tcPr>
          <w:p w:rsidR="001949FF" w:rsidRPr="00C944BA" w:rsidRDefault="001949FF" w:rsidP="001B56F1">
            <w:pPr>
              <w:pStyle w:val="TableBodyText"/>
              <w:jc w:val="left"/>
            </w:pPr>
            <w:r>
              <w:t>Food, beverages and tobacco</w:t>
            </w:r>
          </w:p>
        </w:tc>
        <w:tc>
          <w:tcPr>
            <w:tcW w:w="507" w:type="pct"/>
            <w:tcBorders>
              <w:bottom w:val="single" w:sz="4" w:space="0" w:color="auto"/>
            </w:tcBorders>
            <w:vAlign w:val="bottom"/>
          </w:tcPr>
          <w:p w:rsidR="001949FF" w:rsidRPr="00DA6D87" w:rsidRDefault="001949FF" w:rsidP="001B56F1">
            <w:pPr>
              <w:pStyle w:val="TableBodyText"/>
            </w:pPr>
            <w:r>
              <w:noBreakHyphen/>
            </w:r>
          </w:p>
        </w:tc>
        <w:tc>
          <w:tcPr>
            <w:tcW w:w="507" w:type="pct"/>
            <w:tcBorders>
              <w:bottom w:val="single" w:sz="4" w:space="0" w:color="auto"/>
            </w:tcBorders>
            <w:vAlign w:val="bottom"/>
          </w:tcPr>
          <w:p w:rsidR="001949FF" w:rsidRPr="00DA6D87" w:rsidRDefault="001949FF" w:rsidP="001B56F1">
            <w:pPr>
              <w:pStyle w:val="TableBodyText"/>
            </w:pPr>
            <w:r>
              <w:noBreakHyphen/>
            </w:r>
          </w:p>
        </w:tc>
        <w:tc>
          <w:tcPr>
            <w:tcW w:w="507" w:type="pct"/>
            <w:tcBorders>
              <w:bottom w:val="single" w:sz="4" w:space="0" w:color="auto"/>
            </w:tcBorders>
            <w:vAlign w:val="bottom"/>
          </w:tcPr>
          <w:p w:rsidR="001949FF" w:rsidRPr="00F567A8" w:rsidRDefault="001949FF" w:rsidP="001B56F1">
            <w:pPr>
              <w:pStyle w:val="TableBodyText"/>
            </w:pPr>
            <w:r>
              <w:noBreakHyphen/>
            </w:r>
          </w:p>
        </w:tc>
        <w:tc>
          <w:tcPr>
            <w:tcW w:w="507" w:type="pct"/>
            <w:tcBorders>
              <w:bottom w:val="single" w:sz="4" w:space="0" w:color="auto"/>
            </w:tcBorders>
            <w:vAlign w:val="bottom"/>
          </w:tcPr>
          <w:p w:rsidR="001949FF" w:rsidRDefault="001949FF" w:rsidP="001B56F1">
            <w:pPr>
              <w:pStyle w:val="TableBodyText"/>
            </w:pPr>
            <w:r>
              <w:t>3.0</w:t>
            </w:r>
          </w:p>
        </w:tc>
        <w:tc>
          <w:tcPr>
            <w:tcW w:w="507" w:type="pct"/>
            <w:tcBorders>
              <w:bottom w:val="single" w:sz="4" w:space="0" w:color="auto"/>
            </w:tcBorders>
            <w:shd w:val="clear" w:color="auto" w:fill="auto"/>
            <w:vAlign w:val="bottom"/>
          </w:tcPr>
          <w:p w:rsidR="001949FF" w:rsidRDefault="001949FF" w:rsidP="001B56F1">
            <w:pPr>
              <w:pStyle w:val="TableBodyText"/>
            </w:pPr>
            <w:r>
              <w:t>5.1</w:t>
            </w:r>
          </w:p>
        </w:tc>
        <w:tc>
          <w:tcPr>
            <w:tcW w:w="505" w:type="pct"/>
            <w:tcBorders>
              <w:bottom w:val="single" w:sz="4" w:space="0" w:color="auto"/>
            </w:tcBorders>
            <w:shd w:val="clear" w:color="auto" w:fill="auto"/>
            <w:vAlign w:val="bottom"/>
          </w:tcPr>
          <w:p w:rsidR="001949FF" w:rsidRDefault="001949FF" w:rsidP="001B56F1">
            <w:pPr>
              <w:pStyle w:val="TableBodyText"/>
            </w:pPr>
            <w:r>
              <w:t>0.4</w:t>
            </w:r>
          </w:p>
        </w:tc>
      </w:tr>
    </w:tbl>
    <w:p w:rsidR="001949FF" w:rsidRPr="00F60026" w:rsidRDefault="001949FF" w:rsidP="001949FF">
      <w:pPr>
        <w:pStyle w:val="Source"/>
        <w:spacing w:after="0"/>
        <w:rPr>
          <w:i/>
        </w:rPr>
      </w:pPr>
      <w:r w:rsidRPr="00A2379F">
        <w:noBreakHyphen/>
        <w:t xml:space="preserve"> </w:t>
      </w:r>
      <w:r>
        <w:t>Nil</w:t>
      </w:r>
      <w:r w:rsidRPr="00A2379F">
        <w:t>.</w:t>
      </w:r>
    </w:p>
    <w:p w:rsidR="007A66FC" w:rsidRDefault="001949FF" w:rsidP="00CC78E1">
      <w:pPr>
        <w:pStyle w:val="Source"/>
      </w:pPr>
      <w:r>
        <w:rPr>
          <w:i/>
        </w:rPr>
        <w:t>Source</w:t>
      </w:r>
      <w:r>
        <w:t>: Commission estimates based on DAFF Annual Report 2011</w:t>
      </w:r>
      <w:r>
        <w:noBreakHyphen/>
        <w:t>12 (and earlier years).</w:t>
      </w:r>
    </w:p>
    <w:p w:rsidR="00312B9B" w:rsidRDefault="00FA09C3" w:rsidP="00312B9B">
      <w:pPr>
        <w:pStyle w:val="Heading2"/>
      </w:pPr>
      <w:r>
        <w:t>A.</w:t>
      </w:r>
      <w:r>
        <w:rPr>
          <w:noProof/>
        </w:rPr>
        <w:t>121</w:t>
      </w:r>
      <w:r w:rsidR="00312B9B">
        <w:tab/>
        <w:t>Commercialising Emerging Technologies</w:t>
      </w:r>
    </w:p>
    <w:p w:rsidR="00312B9B" w:rsidRDefault="00312B9B" w:rsidP="00312B9B">
      <w:pPr>
        <w:pStyle w:val="BodyText"/>
      </w:pPr>
      <w:r>
        <w:t>The COMET program assists the commercialisation of new technologies and products that are developed by individuals, small Australian companies and researchers in universities. Eligible innovators receive financial assistance and business advice and services for marketing and business planning to develop and commercialise a product.</w:t>
      </w:r>
    </w:p>
    <w:p w:rsidR="00312B9B" w:rsidRDefault="00312B9B" w:rsidP="00312B9B">
      <w:pPr>
        <w:pStyle w:val="BodyText"/>
      </w:pPr>
      <w:r>
        <w:t xml:space="preserve">In May 2009, the Australian Government announced that it would replace the COMET program (and </w:t>
      </w:r>
      <w:r w:rsidR="00750D0C">
        <w:t xml:space="preserve">certain </w:t>
      </w:r>
      <w:r>
        <w:t>other programs) with the establishment of Commercialisation Australia</w:t>
      </w:r>
      <w:r w:rsidRPr="00813174">
        <w:t>.</w:t>
      </w:r>
      <w:r w:rsidRPr="009C1EC7">
        <w:t xml:space="preserve"> (</w:t>
      </w:r>
      <w:r w:rsidRPr="00813174">
        <w:t>Carr 2009a</w:t>
      </w:r>
      <w:r>
        <w:t>). The COMET Program closed to new applicants in 2009</w:t>
      </w:r>
      <w:r>
        <w:noBreakHyphen/>
        <w:t>10</w:t>
      </w:r>
      <w:r w:rsidR="001925B9">
        <w:t>, h</w:t>
      </w:r>
      <w:r w:rsidR="00110C04">
        <w:t>owever, existing participants continue to receive funding from the program.</w:t>
      </w:r>
    </w:p>
    <w:p w:rsidR="00312B9B" w:rsidRDefault="00312B9B" w:rsidP="00312B9B">
      <w:pPr>
        <w:pStyle w:val="BodyText"/>
      </w:pPr>
      <w:r w:rsidRPr="00FD4C4C">
        <w:t>The Commission has obtained information from the Department of Innovation, Industry, Science and Research (DIISR) detailing expenditure data for the COMET program by ANZSIC industry. These industry shares have been used to allocate total funding for the COMET program</w:t>
      </w:r>
      <w:r w:rsidR="00481DE5">
        <w:t xml:space="preserve"> </w:t>
      </w:r>
      <w:r w:rsidRPr="00FD4C4C">
        <w:t>to the Commission’s ANZSIC-based industry groupings (table</w:t>
      </w:r>
      <w:r w:rsidR="00C065C1">
        <w:t> </w:t>
      </w:r>
      <w:r w:rsidRPr="00FD4C4C">
        <w:t>A.</w:t>
      </w:r>
      <w:r>
        <w:t>12</w:t>
      </w:r>
      <w:r w:rsidR="00C065C1">
        <w:t>1</w:t>
      </w:r>
      <w:r w:rsidRPr="00FD4C4C">
        <w:t>).</w:t>
      </w:r>
    </w:p>
    <w:p w:rsidR="00312B9B" w:rsidRDefault="00312B9B" w:rsidP="00312B9B">
      <w:pPr>
        <w:pStyle w:val="TableTitle"/>
      </w:pPr>
      <w:r>
        <w:rPr>
          <w:b w:val="0"/>
        </w:rPr>
        <w:t xml:space="preserve">Table </w:t>
      </w:r>
      <w:r w:rsidR="00FA09C3">
        <w:rPr>
          <w:b w:val="0"/>
        </w:rPr>
        <w:t>A.</w:t>
      </w:r>
      <w:r w:rsidR="00FA09C3">
        <w:rPr>
          <w:b w:val="0"/>
          <w:noProof/>
        </w:rPr>
        <w:t>121</w:t>
      </w:r>
      <w:r>
        <w:tab/>
        <w:t xml:space="preserve">Allocation of Commercialising Emerging Technologies </w:t>
      </w:r>
      <w:r w:rsidR="00B6795B" w:rsidRPr="00B6795B">
        <w:t>to industry</w:t>
      </w:r>
      <w:r>
        <w:t>, 2006</w:t>
      </w:r>
      <w:r>
        <w:noBreakHyphen/>
        <w:t>07 to 2011</w:t>
      </w:r>
      <w:r>
        <w:noBreakHyphen/>
        <w:t>12</w:t>
      </w:r>
    </w:p>
    <w:p w:rsidR="00312B9B" w:rsidRDefault="00312B9B" w:rsidP="00312B9B">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312B9B" w:rsidRPr="00AF699A" w:rsidTr="001B56F1">
        <w:tc>
          <w:tcPr>
            <w:tcW w:w="1960" w:type="pct"/>
            <w:tcBorders>
              <w:top w:val="single" w:sz="6" w:space="0" w:color="auto"/>
              <w:bottom w:val="single" w:sz="6" w:space="0" w:color="auto"/>
            </w:tcBorders>
          </w:tcPr>
          <w:p w:rsidR="00312B9B" w:rsidRPr="00AF699A" w:rsidRDefault="00312B9B"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312B9B" w:rsidRPr="00AF699A" w:rsidRDefault="00312B9B"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312B9B" w:rsidRPr="00AF699A" w:rsidRDefault="00312B9B"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312B9B" w:rsidRPr="00AF699A" w:rsidRDefault="00312B9B"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312B9B" w:rsidRPr="00AF699A" w:rsidRDefault="00312B9B"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312B9B" w:rsidRPr="00AF699A" w:rsidRDefault="00312B9B"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312B9B" w:rsidRPr="00AF699A" w:rsidRDefault="00312B9B" w:rsidP="001B56F1">
            <w:pPr>
              <w:pStyle w:val="TableColumnHeading"/>
              <w:ind w:right="28"/>
              <w:rPr>
                <w:rFonts w:cs="Arial"/>
                <w:sz w:val="18"/>
                <w:szCs w:val="18"/>
              </w:rPr>
            </w:pPr>
            <w:r w:rsidRPr="00AF699A">
              <w:rPr>
                <w:rFonts w:cs="Arial"/>
                <w:sz w:val="18"/>
                <w:szCs w:val="18"/>
              </w:rPr>
              <w:t>2011-12</w:t>
            </w:r>
          </w:p>
        </w:tc>
      </w:tr>
      <w:tr w:rsidR="00312B9B" w:rsidRPr="006C5A80" w:rsidTr="001B56F1">
        <w:tc>
          <w:tcPr>
            <w:tcW w:w="1960" w:type="pct"/>
            <w:tcBorders>
              <w:top w:val="single" w:sz="6" w:space="0" w:color="auto"/>
            </w:tcBorders>
            <w:vAlign w:val="bottom"/>
          </w:tcPr>
          <w:p w:rsidR="00312B9B" w:rsidRPr="00390699" w:rsidRDefault="00312B9B" w:rsidP="001B56F1">
            <w:pPr>
              <w:pStyle w:val="TableBodyText"/>
              <w:jc w:val="left"/>
              <w:rPr>
                <w:b/>
                <w:sz w:val="18"/>
                <w:szCs w:val="18"/>
              </w:rPr>
            </w:pPr>
            <w:r w:rsidRPr="00390699">
              <w:rPr>
                <w:b/>
                <w:sz w:val="18"/>
                <w:szCs w:val="18"/>
              </w:rPr>
              <w:t>Primary production</w:t>
            </w:r>
          </w:p>
        </w:tc>
        <w:tc>
          <w:tcPr>
            <w:tcW w:w="507" w:type="pct"/>
            <w:tcBorders>
              <w:top w:val="single" w:sz="6" w:space="0" w:color="auto"/>
            </w:tcBorders>
            <w:vAlign w:val="bottom"/>
          </w:tcPr>
          <w:p w:rsidR="00312B9B" w:rsidRPr="00587B13" w:rsidRDefault="00312B9B" w:rsidP="001B56F1">
            <w:pPr>
              <w:pStyle w:val="TableBodyText"/>
              <w:rPr>
                <w:b/>
                <w:sz w:val="18"/>
                <w:szCs w:val="18"/>
              </w:rPr>
            </w:pPr>
            <w:r w:rsidRPr="00587B13">
              <w:rPr>
                <w:b/>
                <w:sz w:val="18"/>
                <w:szCs w:val="18"/>
              </w:rPr>
              <w:t>0.2</w:t>
            </w:r>
          </w:p>
        </w:tc>
        <w:tc>
          <w:tcPr>
            <w:tcW w:w="507" w:type="pct"/>
            <w:tcBorders>
              <w:top w:val="single" w:sz="6" w:space="0" w:color="auto"/>
            </w:tcBorders>
            <w:vAlign w:val="bottom"/>
          </w:tcPr>
          <w:p w:rsidR="00312B9B" w:rsidRPr="00587B13" w:rsidRDefault="00312B9B" w:rsidP="001B56F1">
            <w:pPr>
              <w:pStyle w:val="TableBodyText"/>
              <w:rPr>
                <w:b/>
                <w:sz w:val="18"/>
                <w:szCs w:val="18"/>
              </w:rPr>
            </w:pPr>
            <w:r w:rsidRPr="00587B13">
              <w:rPr>
                <w:b/>
                <w:sz w:val="18"/>
                <w:szCs w:val="18"/>
              </w:rPr>
              <w:t>0.4</w:t>
            </w:r>
          </w:p>
        </w:tc>
        <w:tc>
          <w:tcPr>
            <w:tcW w:w="507" w:type="pct"/>
            <w:tcBorders>
              <w:top w:val="single" w:sz="6" w:space="0" w:color="auto"/>
            </w:tcBorders>
            <w:vAlign w:val="bottom"/>
          </w:tcPr>
          <w:p w:rsidR="00312B9B" w:rsidRPr="00587B13" w:rsidRDefault="00312B9B" w:rsidP="001B56F1">
            <w:pPr>
              <w:pStyle w:val="TableBodyText"/>
              <w:rPr>
                <w:b/>
                <w:sz w:val="18"/>
                <w:szCs w:val="18"/>
              </w:rPr>
            </w:pPr>
            <w:r w:rsidRPr="00587B13">
              <w:rPr>
                <w:b/>
                <w:sz w:val="18"/>
                <w:szCs w:val="18"/>
              </w:rPr>
              <w:t>0.4</w:t>
            </w:r>
          </w:p>
        </w:tc>
        <w:tc>
          <w:tcPr>
            <w:tcW w:w="507" w:type="pct"/>
            <w:tcBorders>
              <w:top w:val="single" w:sz="6" w:space="0" w:color="auto"/>
            </w:tcBorders>
            <w:vAlign w:val="bottom"/>
          </w:tcPr>
          <w:p w:rsidR="00312B9B" w:rsidRPr="00587B13" w:rsidRDefault="00312B9B" w:rsidP="001B56F1">
            <w:pPr>
              <w:pStyle w:val="TableBodyText"/>
              <w:rPr>
                <w:b/>
                <w:sz w:val="18"/>
                <w:szCs w:val="18"/>
              </w:rPr>
            </w:pPr>
            <w:r w:rsidRPr="00587B13">
              <w:rPr>
                <w:b/>
                <w:sz w:val="18"/>
                <w:szCs w:val="18"/>
              </w:rPr>
              <w:t>0.2</w:t>
            </w:r>
          </w:p>
        </w:tc>
        <w:tc>
          <w:tcPr>
            <w:tcW w:w="507" w:type="pct"/>
            <w:tcBorders>
              <w:top w:val="single" w:sz="6" w:space="0" w:color="auto"/>
            </w:tcBorders>
            <w:vAlign w:val="bottom"/>
          </w:tcPr>
          <w:p w:rsidR="00312B9B" w:rsidRPr="00587B13" w:rsidRDefault="00312B9B" w:rsidP="001B56F1">
            <w:pPr>
              <w:pStyle w:val="TableBodyText"/>
              <w:rPr>
                <w:b/>
                <w:sz w:val="18"/>
                <w:szCs w:val="18"/>
              </w:rPr>
            </w:pPr>
            <w:r w:rsidRPr="00587B13">
              <w:rPr>
                <w:b/>
                <w:sz w:val="18"/>
                <w:szCs w:val="18"/>
              </w:rPr>
              <w:t>0.1</w:t>
            </w:r>
          </w:p>
        </w:tc>
        <w:tc>
          <w:tcPr>
            <w:tcW w:w="505" w:type="pct"/>
            <w:tcBorders>
              <w:top w:val="single" w:sz="6" w:space="0" w:color="auto"/>
            </w:tcBorders>
            <w:vAlign w:val="bottom"/>
          </w:tcPr>
          <w:p w:rsidR="00312B9B" w:rsidRPr="00587B13" w:rsidRDefault="00312B9B" w:rsidP="001B56F1">
            <w:pPr>
              <w:pStyle w:val="TableBodyText"/>
              <w:rPr>
                <w:b/>
                <w:sz w:val="18"/>
                <w:szCs w:val="18"/>
              </w:rPr>
            </w:pPr>
            <w:r w:rsidRPr="00692B8B">
              <w:rPr>
                <w:b/>
                <w:sz w:val="18"/>
                <w:szCs w:val="18"/>
              </w:rPr>
              <w:t>&lt;0.1</w:t>
            </w:r>
          </w:p>
        </w:tc>
      </w:tr>
      <w:tr w:rsidR="00312B9B" w:rsidRPr="006C5A80" w:rsidTr="001B56F1">
        <w:tc>
          <w:tcPr>
            <w:tcW w:w="1960" w:type="pct"/>
            <w:vAlign w:val="bottom"/>
          </w:tcPr>
          <w:p w:rsidR="00312B9B" w:rsidRPr="00390699" w:rsidRDefault="00312B9B" w:rsidP="001B56F1">
            <w:pPr>
              <w:pStyle w:val="TableBodyText"/>
              <w:jc w:val="left"/>
              <w:rPr>
                <w:sz w:val="18"/>
                <w:szCs w:val="18"/>
              </w:rPr>
            </w:pPr>
            <w:r w:rsidRPr="00390699">
              <w:rPr>
                <w:sz w:val="18"/>
                <w:szCs w:val="18"/>
              </w:rPr>
              <w:t>Horticulture and fruit growing</w:t>
            </w:r>
          </w:p>
        </w:tc>
        <w:tc>
          <w:tcPr>
            <w:tcW w:w="507" w:type="pct"/>
            <w:vAlign w:val="bottom"/>
          </w:tcPr>
          <w:p w:rsidR="00312B9B" w:rsidRPr="002513B7" w:rsidRDefault="00312B9B" w:rsidP="001B56F1">
            <w:pPr>
              <w:pStyle w:val="TableBodyText"/>
              <w:rPr>
                <w:sz w:val="18"/>
                <w:szCs w:val="18"/>
              </w:rPr>
            </w:pPr>
            <w:r>
              <w:rPr>
                <w:sz w:val="18"/>
                <w:szCs w:val="18"/>
              </w:rPr>
              <w:t>&lt;</w:t>
            </w:r>
            <w:r w:rsidRPr="002513B7">
              <w:rPr>
                <w:sz w:val="18"/>
                <w:szCs w:val="18"/>
              </w:rPr>
              <w:t>0.1</w:t>
            </w:r>
          </w:p>
        </w:tc>
        <w:tc>
          <w:tcPr>
            <w:tcW w:w="507" w:type="pct"/>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5" w:type="pct"/>
            <w:vAlign w:val="bottom"/>
          </w:tcPr>
          <w:p w:rsidR="00312B9B" w:rsidRPr="002513B7" w:rsidRDefault="00312B9B" w:rsidP="001B56F1">
            <w:pPr>
              <w:pStyle w:val="TableBodyText"/>
              <w:rPr>
                <w:sz w:val="18"/>
                <w:szCs w:val="18"/>
              </w:rPr>
            </w:pPr>
            <w:r>
              <w:rPr>
                <w:sz w:val="18"/>
                <w:szCs w:val="18"/>
              </w:rPr>
              <w:noBreakHyphen/>
            </w:r>
          </w:p>
        </w:tc>
      </w:tr>
      <w:tr w:rsidR="00312B9B" w:rsidRPr="006C5A80" w:rsidTr="001B56F1">
        <w:tc>
          <w:tcPr>
            <w:tcW w:w="1960" w:type="pct"/>
            <w:vAlign w:val="bottom"/>
          </w:tcPr>
          <w:p w:rsidR="00312B9B" w:rsidRPr="00390699" w:rsidRDefault="00312B9B" w:rsidP="001B56F1">
            <w:pPr>
              <w:pStyle w:val="TableBodyText"/>
              <w:jc w:val="left"/>
              <w:rPr>
                <w:sz w:val="18"/>
                <w:szCs w:val="18"/>
              </w:rPr>
            </w:pPr>
            <w:r w:rsidRPr="00390699">
              <w:rPr>
                <w:sz w:val="18"/>
                <w:szCs w:val="18"/>
              </w:rPr>
              <w:t>Sheep, beef cattle and grain farming</w:t>
            </w:r>
          </w:p>
        </w:tc>
        <w:tc>
          <w:tcPr>
            <w:tcW w:w="507" w:type="pct"/>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312B9B" w:rsidRPr="002513B7" w:rsidRDefault="00312B9B" w:rsidP="001B56F1">
            <w:pPr>
              <w:pStyle w:val="TableBodyText"/>
              <w:rPr>
                <w:sz w:val="18"/>
                <w:szCs w:val="18"/>
              </w:rPr>
            </w:pPr>
            <w:r>
              <w:rPr>
                <w:sz w:val="18"/>
                <w:szCs w:val="18"/>
              </w:rPr>
              <w:noBreakHyphen/>
            </w:r>
          </w:p>
        </w:tc>
        <w:tc>
          <w:tcPr>
            <w:tcW w:w="505" w:type="pct"/>
            <w:vAlign w:val="bottom"/>
          </w:tcPr>
          <w:p w:rsidR="00312B9B" w:rsidRPr="002513B7" w:rsidRDefault="00312B9B" w:rsidP="001B56F1">
            <w:pPr>
              <w:pStyle w:val="TableBodyText"/>
              <w:rPr>
                <w:sz w:val="18"/>
                <w:szCs w:val="18"/>
              </w:rPr>
            </w:pPr>
            <w:r>
              <w:rPr>
                <w:sz w:val="18"/>
                <w:szCs w:val="18"/>
              </w:rPr>
              <w:noBreakHyphen/>
            </w:r>
          </w:p>
        </w:tc>
      </w:tr>
      <w:tr w:rsidR="00312B9B" w:rsidRPr="006C5A80" w:rsidTr="001B56F1">
        <w:tc>
          <w:tcPr>
            <w:tcW w:w="1960" w:type="pct"/>
            <w:vAlign w:val="bottom"/>
          </w:tcPr>
          <w:p w:rsidR="00312B9B" w:rsidRPr="00390699" w:rsidRDefault="00312B9B" w:rsidP="001B56F1">
            <w:pPr>
              <w:pStyle w:val="TableBodyText"/>
              <w:jc w:val="left"/>
              <w:rPr>
                <w:sz w:val="18"/>
                <w:szCs w:val="18"/>
              </w:rPr>
            </w:pPr>
            <w:r w:rsidRPr="00390699">
              <w:rPr>
                <w:sz w:val="18"/>
                <w:szCs w:val="18"/>
              </w:rPr>
              <w:t>Other crop growing</w:t>
            </w:r>
          </w:p>
        </w:tc>
        <w:tc>
          <w:tcPr>
            <w:tcW w:w="507" w:type="pct"/>
            <w:vAlign w:val="bottom"/>
          </w:tcPr>
          <w:p w:rsidR="00312B9B" w:rsidRPr="002513B7" w:rsidRDefault="00312B9B" w:rsidP="001B56F1">
            <w:pPr>
              <w:pStyle w:val="TableBodyText"/>
              <w:rPr>
                <w:sz w:val="18"/>
                <w:szCs w:val="18"/>
              </w:rPr>
            </w:pPr>
            <w:r>
              <w:rPr>
                <w:sz w:val="18"/>
                <w:szCs w:val="18"/>
              </w:rPr>
              <w:noBreakHyphen/>
            </w:r>
          </w:p>
        </w:tc>
        <w:tc>
          <w:tcPr>
            <w:tcW w:w="507" w:type="pct"/>
            <w:vAlign w:val="bottom"/>
          </w:tcPr>
          <w:p w:rsidR="00312B9B" w:rsidRPr="002513B7" w:rsidRDefault="00312B9B" w:rsidP="001B56F1">
            <w:pPr>
              <w:pStyle w:val="TableBodyText"/>
              <w:rPr>
                <w:sz w:val="18"/>
                <w:szCs w:val="18"/>
              </w:rPr>
            </w:pPr>
            <w:r w:rsidRPr="002513B7">
              <w:rPr>
                <w:sz w:val="18"/>
                <w:szCs w:val="18"/>
              </w:rPr>
              <w:t>0.1</w:t>
            </w:r>
          </w:p>
        </w:tc>
        <w:tc>
          <w:tcPr>
            <w:tcW w:w="507" w:type="pct"/>
            <w:vAlign w:val="bottom"/>
          </w:tcPr>
          <w:p w:rsidR="00312B9B" w:rsidRPr="002513B7" w:rsidRDefault="00312B9B" w:rsidP="001B56F1">
            <w:pPr>
              <w:pStyle w:val="TableBodyText"/>
              <w:rPr>
                <w:sz w:val="18"/>
                <w:szCs w:val="18"/>
              </w:rPr>
            </w:pPr>
            <w:r w:rsidRPr="002513B7">
              <w:rPr>
                <w:sz w:val="18"/>
                <w:szCs w:val="18"/>
              </w:rPr>
              <w:t>0.2</w:t>
            </w:r>
          </w:p>
        </w:tc>
        <w:tc>
          <w:tcPr>
            <w:tcW w:w="507" w:type="pct"/>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shd w:val="clear" w:color="auto" w:fill="auto"/>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5" w:type="pct"/>
            <w:shd w:val="clear" w:color="auto" w:fill="auto"/>
            <w:vAlign w:val="bottom"/>
          </w:tcPr>
          <w:p w:rsidR="00312B9B" w:rsidRPr="002513B7" w:rsidRDefault="00312B9B" w:rsidP="001B56F1">
            <w:pPr>
              <w:pStyle w:val="TableBodyText"/>
              <w:rPr>
                <w:sz w:val="18"/>
                <w:szCs w:val="18"/>
              </w:rPr>
            </w:pPr>
            <w:r>
              <w:rPr>
                <w:sz w:val="18"/>
                <w:szCs w:val="18"/>
              </w:rPr>
              <w:noBreakHyphen/>
            </w:r>
          </w:p>
        </w:tc>
      </w:tr>
      <w:tr w:rsidR="00312B9B" w:rsidRPr="006C5A80" w:rsidTr="001B56F1">
        <w:tc>
          <w:tcPr>
            <w:tcW w:w="1960" w:type="pct"/>
            <w:vAlign w:val="bottom"/>
          </w:tcPr>
          <w:p w:rsidR="00312B9B" w:rsidRPr="00390699" w:rsidRDefault="00312B9B" w:rsidP="001B56F1">
            <w:pPr>
              <w:pStyle w:val="TableBodyText"/>
              <w:jc w:val="left"/>
              <w:rPr>
                <w:sz w:val="18"/>
                <w:szCs w:val="18"/>
              </w:rPr>
            </w:pPr>
            <w:r w:rsidRPr="00390699">
              <w:rPr>
                <w:sz w:val="18"/>
                <w:szCs w:val="18"/>
              </w:rPr>
              <w:t>Aquaculture and fishing</w:t>
            </w:r>
          </w:p>
        </w:tc>
        <w:tc>
          <w:tcPr>
            <w:tcW w:w="507" w:type="pct"/>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312B9B" w:rsidRPr="002513B7" w:rsidRDefault="00312B9B" w:rsidP="001B56F1">
            <w:pPr>
              <w:pStyle w:val="TableBodyText"/>
              <w:rPr>
                <w:sz w:val="18"/>
                <w:szCs w:val="18"/>
              </w:rPr>
            </w:pPr>
            <w:r>
              <w:rPr>
                <w:sz w:val="18"/>
                <w:szCs w:val="18"/>
              </w:rPr>
              <w:noBreakHyphen/>
            </w:r>
          </w:p>
        </w:tc>
        <w:tc>
          <w:tcPr>
            <w:tcW w:w="507" w:type="pct"/>
            <w:vAlign w:val="bottom"/>
          </w:tcPr>
          <w:p w:rsidR="00312B9B" w:rsidRPr="002513B7" w:rsidRDefault="00312B9B" w:rsidP="001B56F1">
            <w:pPr>
              <w:pStyle w:val="TableBodyText"/>
              <w:rPr>
                <w:sz w:val="18"/>
                <w:szCs w:val="18"/>
              </w:rPr>
            </w:pPr>
            <w:r>
              <w:rPr>
                <w:sz w:val="18"/>
                <w:szCs w:val="18"/>
              </w:rPr>
              <w:noBreakHyphen/>
            </w:r>
          </w:p>
        </w:tc>
        <w:tc>
          <w:tcPr>
            <w:tcW w:w="507" w:type="pct"/>
            <w:shd w:val="clear" w:color="auto" w:fill="auto"/>
            <w:vAlign w:val="bottom"/>
          </w:tcPr>
          <w:p w:rsidR="00312B9B" w:rsidRPr="002513B7" w:rsidRDefault="00312B9B" w:rsidP="001B56F1">
            <w:pPr>
              <w:pStyle w:val="TableBodyText"/>
              <w:rPr>
                <w:sz w:val="18"/>
                <w:szCs w:val="18"/>
              </w:rPr>
            </w:pPr>
            <w:r>
              <w:rPr>
                <w:sz w:val="18"/>
                <w:szCs w:val="18"/>
              </w:rPr>
              <w:noBreakHyphen/>
            </w:r>
          </w:p>
        </w:tc>
        <w:tc>
          <w:tcPr>
            <w:tcW w:w="505" w:type="pct"/>
            <w:shd w:val="clear" w:color="auto" w:fill="auto"/>
            <w:vAlign w:val="bottom"/>
          </w:tcPr>
          <w:p w:rsidR="00312B9B" w:rsidRPr="002513B7" w:rsidRDefault="00312B9B" w:rsidP="001B56F1">
            <w:pPr>
              <w:pStyle w:val="TableBodyText"/>
              <w:rPr>
                <w:sz w:val="18"/>
                <w:szCs w:val="18"/>
              </w:rPr>
            </w:pPr>
            <w:r>
              <w:rPr>
                <w:sz w:val="18"/>
                <w:szCs w:val="18"/>
              </w:rPr>
              <w:noBreakHyphen/>
            </w:r>
          </w:p>
        </w:tc>
      </w:tr>
      <w:tr w:rsidR="00312B9B" w:rsidRPr="006C5A80" w:rsidTr="001B56F1">
        <w:tc>
          <w:tcPr>
            <w:tcW w:w="1960" w:type="pct"/>
            <w:vAlign w:val="bottom"/>
          </w:tcPr>
          <w:p w:rsidR="00312B9B" w:rsidRPr="00390699" w:rsidRDefault="00312B9B" w:rsidP="001B56F1">
            <w:pPr>
              <w:pStyle w:val="TableBodyText"/>
              <w:jc w:val="left"/>
              <w:rPr>
                <w:sz w:val="18"/>
                <w:szCs w:val="18"/>
              </w:rPr>
            </w:pPr>
            <w:r w:rsidRPr="00390699">
              <w:rPr>
                <w:sz w:val="18"/>
                <w:szCs w:val="18"/>
              </w:rPr>
              <w:t>Primary production support services</w:t>
            </w:r>
          </w:p>
        </w:tc>
        <w:tc>
          <w:tcPr>
            <w:tcW w:w="507" w:type="pct"/>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312B9B" w:rsidRPr="002513B7" w:rsidRDefault="00312B9B" w:rsidP="001B56F1">
            <w:pPr>
              <w:pStyle w:val="TableBodyText"/>
              <w:rPr>
                <w:sz w:val="18"/>
                <w:szCs w:val="18"/>
              </w:rPr>
            </w:pPr>
            <w:r w:rsidRPr="002513B7">
              <w:rPr>
                <w:sz w:val="18"/>
                <w:szCs w:val="18"/>
              </w:rPr>
              <w:t>0.1</w:t>
            </w:r>
          </w:p>
        </w:tc>
        <w:tc>
          <w:tcPr>
            <w:tcW w:w="507" w:type="pct"/>
            <w:shd w:val="clear" w:color="auto" w:fill="auto"/>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5" w:type="pct"/>
            <w:shd w:val="clear" w:color="auto" w:fill="auto"/>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r>
      <w:tr w:rsidR="00312B9B" w:rsidRPr="006C5A80" w:rsidTr="001B56F1">
        <w:tc>
          <w:tcPr>
            <w:tcW w:w="1960" w:type="pct"/>
            <w:vAlign w:val="bottom"/>
          </w:tcPr>
          <w:p w:rsidR="00312B9B" w:rsidRPr="002513B7" w:rsidRDefault="00312B9B" w:rsidP="001B56F1">
            <w:pPr>
              <w:pStyle w:val="TableBodyText"/>
              <w:jc w:val="left"/>
              <w:rPr>
                <w:b/>
                <w:sz w:val="18"/>
                <w:szCs w:val="18"/>
              </w:rPr>
            </w:pPr>
            <w:r w:rsidRPr="002513B7">
              <w:rPr>
                <w:b/>
                <w:sz w:val="18"/>
                <w:szCs w:val="18"/>
              </w:rPr>
              <w:t>Mining</w:t>
            </w:r>
          </w:p>
        </w:tc>
        <w:tc>
          <w:tcPr>
            <w:tcW w:w="507" w:type="pct"/>
            <w:vAlign w:val="bottom"/>
          </w:tcPr>
          <w:p w:rsidR="00312B9B" w:rsidRPr="00587B13" w:rsidRDefault="00312B9B" w:rsidP="001B56F1">
            <w:pPr>
              <w:pStyle w:val="TableBodyText"/>
              <w:rPr>
                <w:b/>
                <w:sz w:val="18"/>
                <w:szCs w:val="18"/>
              </w:rPr>
            </w:pPr>
            <w:r w:rsidRPr="00F1474C">
              <w:rPr>
                <w:b/>
                <w:sz w:val="18"/>
                <w:szCs w:val="18"/>
              </w:rPr>
              <w:t>&lt;0.1</w:t>
            </w:r>
          </w:p>
        </w:tc>
        <w:tc>
          <w:tcPr>
            <w:tcW w:w="507" w:type="pct"/>
            <w:vAlign w:val="bottom"/>
          </w:tcPr>
          <w:p w:rsidR="00312B9B" w:rsidRPr="00587B13" w:rsidRDefault="00312B9B" w:rsidP="001B56F1">
            <w:pPr>
              <w:pStyle w:val="TableBodyText"/>
              <w:rPr>
                <w:b/>
                <w:sz w:val="18"/>
                <w:szCs w:val="18"/>
              </w:rPr>
            </w:pPr>
            <w:r w:rsidRPr="00F1474C">
              <w:rPr>
                <w:b/>
                <w:sz w:val="18"/>
                <w:szCs w:val="18"/>
              </w:rPr>
              <w:t>&lt;0.1</w:t>
            </w:r>
          </w:p>
        </w:tc>
        <w:tc>
          <w:tcPr>
            <w:tcW w:w="507" w:type="pct"/>
            <w:vAlign w:val="bottom"/>
          </w:tcPr>
          <w:p w:rsidR="00312B9B" w:rsidRPr="00587B13" w:rsidRDefault="00312B9B" w:rsidP="001B56F1">
            <w:pPr>
              <w:pStyle w:val="TableBodyText"/>
              <w:rPr>
                <w:b/>
                <w:sz w:val="18"/>
                <w:szCs w:val="18"/>
              </w:rPr>
            </w:pPr>
            <w:r w:rsidRPr="00587B13">
              <w:rPr>
                <w:b/>
                <w:sz w:val="18"/>
                <w:szCs w:val="18"/>
              </w:rPr>
              <w:t>0.1</w:t>
            </w:r>
          </w:p>
        </w:tc>
        <w:tc>
          <w:tcPr>
            <w:tcW w:w="507" w:type="pct"/>
            <w:vAlign w:val="bottom"/>
          </w:tcPr>
          <w:p w:rsidR="00312B9B" w:rsidRPr="00587B13" w:rsidRDefault="00312B9B" w:rsidP="001B56F1">
            <w:pPr>
              <w:pStyle w:val="TableBodyText"/>
              <w:rPr>
                <w:b/>
                <w:sz w:val="18"/>
                <w:szCs w:val="18"/>
              </w:rPr>
            </w:pPr>
            <w:r w:rsidRPr="00587B13">
              <w:rPr>
                <w:b/>
                <w:sz w:val="18"/>
                <w:szCs w:val="18"/>
              </w:rPr>
              <w:t>0.3</w:t>
            </w:r>
          </w:p>
        </w:tc>
        <w:tc>
          <w:tcPr>
            <w:tcW w:w="507" w:type="pct"/>
            <w:shd w:val="clear" w:color="auto" w:fill="auto"/>
            <w:vAlign w:val="bottom"/>
          </w:tcPr>
          <w:p w:rsidR="00312B9B" w:rsidRPr="00587B13" w:rsidRDefault="00312B9B" w:rsidP="001B56F1">
            <w:pPr>
              <w:pStyle w:val="TableBodyText"/>
              <w:rPr>
                <w:b/>
                <w:sz w:val="18"/>
                <w:szCs w:val="18"/>
              </w:rPr>
            </w:pPr>
            <w:r w:rsidRPr="00F1474C">
              <w:rPr>
                <w:b/>
                <w:sz w:val="18"/>
                <w:szCs w:val="18"/>
              </w:rPr>
              <w:t>&lt;0.1</w:t>
            </w:r>
          </w:p>
        </w:tc>
        <w:tc>
          <w:tcPr>
            <w:tcW w:w="505" w:type="pct"/>
            <w:shd w:val="clear" w:color="auto" w:fill="auto"/>
            <w:vAlign w:val="bottom"/>
          </w:tcPr>
          <w:p w:rsidR="00312B9B" w:rsidRPr="00587B13" w:rsidRDefault="00312B9B" w:rsidP="001B56F1">
            <w:pPr>
              <w:pStyle w:val="TableBodyText"/>
              <w:rPr>
                <w:b/>
                <w:sz w:val="18"/>
                <w:szCs w:val="18"/>
              </w:rPr>
            </w:pPr>
            <w:r w:rsidRPr="00F1474C">
              <w:rPr>
                <w:b/>
                <w:sz w:val="18"/>
                <w:szCs w:val="18"/>
              </w:rPr>
              <w:t>&lt;0.1</w:t>
            </w:r>
          </w:p>
        </w:tc>
      </w:tr>
      <w:tr w:rsidR="00312B9B" w:rsidRPr="006C5A80" w:rsidTr="001B56F1">
        <w:tc>
          <w:tcPr>
            <w:tcW w:w="1960" w:type="pct"/>
            <w:vAlign w:val="bottom"/>
          </w:tcPr>
          <w:p w:rsidR="00312B9B" w:rsidRPr="00390699" w:rsidRDefault="00312B9B" w:rsidP="001B56F1">
            <w:pPr>
              <w:pStyle w:val="TableBodyText"/>
              <w:jc w:val="left"/>
              <w:rPr>
                <w:b/>
                <w:sz w:val="18"/>
                <w:szCs w:val="18"/>
              </w:rPr>
            </w:pPr>
            <w:r w:rsidRPr="00390699">
              <w:rPr>
                <w:b/>
                <w:sz w:val="18"/>
                <w:szCs w:val="18"/>
              </w:rPr>
              <w:t>Manufacturing</w:t>
            </w:r>
          </w:p>
        </w:tc>
        <w:tc>
          <w:tcPr>
            <w:tcW w:w="507" w:type="pct"/>
            <w:vAlign w:val="bottom"/>
          </w:tcPr>
          <w:p w:rsidR="00312B9B" w:rsidRPr="00587B13" w:rsidRDefault="00312B9B" w:rsidP="001B56F1">
            <w:pPr>
              <w:pStyle w:val="TableBodyText"/>
              <w:rPr>
                <w:b/>
                <w:sz w:val="18"/>
                <w:szCs w:val="18"/>
              </w:rPr>
            </w:pPr>
            <w:r w:rsidRPr="00587B13">
              <w:rPr>
                <w:b/>
                <w:sz w:val="18"/>
                <w:szCs w:val="18"/>
              </w:rPr>
              <w:t>3.3</w:t>
            </w:r>
          </w:p>
        </w:tc>
        <w:tc>
          <w:tcPr>
            <w:tcW w:w="507" w:type="pct"/>
            <w:vAlign w:val="bottom"/>
          </w:tcPr>
          <w:p w:rsidR="00312B9B" w:rsidRPr="00587B13" w:rsidRDefault="00312B9B" w:rsidP="001B56F1">
            <w:pPr>
              <w:pStyle w:val="TableBodyText"/>
              <w:rPr>
                <w:b/>
                <w:sz w:val="18"/>
                <w:szCs w:val="18"/>
              </w:rPr>
            </w:pPr>
            <w:r w:rsidRPr="00587B13">
              <w:rPr>
                <w:b/>
                <w:sz w:val="18"/>
                <w:szCs w:val="18"/>
              </w:rPr>
              <w:t>5.5</w:t>
            </w:r>
          </w:p>
        </w:tc>
        <w:tc>
          <w:tcPr>
            <w:tcW w:w="507" w:type="pct"/>
            <w:vAlign w:val="bottom"/>
          </w:tcPr>
          <w:p w:rsidR="00312B9B" w:rsidRPr="00587B13" w:rsidRDefault="00312B9B" w:rsidP="001B56F1">
            <w:pPr>
              <w:pStyle w:val="TableBodyText"/>
              <w:rPr>
                <w:b/>
                <w:sz w:val="18"/>
                <w:szCs w:val="18"/>
              </w:rPr>
            </w:pPr>
            <w:r w:rsidRPr="00587B13">
              <w:rPr>
                <w:b/>
                <w:sz w:val="18"/>
                <w:szCs w:val="18"/>
              </w:rPr>
              <w:t>3.7</w:t>
            </w:r>
          </w:p>
        </w:tc>
        <w:tc>
          <w:tcPr>
            <w:tcW w:w="507" w:type="pct"/>
            <w:vAlign w:val="bottom"/>
          </w:tcPr>
          <w:p w:rsidR="00312B9B" w:rsidRPr="00587B13" w:rsidRDefault="00312B9B" w:rsidP="001B56F1">
            <w:pPr>
              <w:pStyle w:val="TableBodyText"/>
              <w:rPr>
                <w:b/>
                <w:sz w:val="18"/>
                <w:szCs w:val="18"/>
              </w:rPr>
            </w:pPr>
            <w:r w:rsidRPr="00587B13">
              <w:rPr>
                <w:b/>
                <w:sz w:val="18"/>
                <w:szCs w:val="18"/>
              </w:rPr>
              <w:t>3.3</w:t>
            </w:r>
          </w:p>
        </w:tc>
        <w:tc>
          <w:tcPr>
            <w:tcW w:w="507" w:type="pct"/>
            <w:shd w:val="clear" w:color="auto" w:fill="auto"/>
            <w:vAlign w:val="bottom"/>
          </w:tcPr>
          <w:p w:rsidR="00312B9B" w:rsidRPr="00587B13" w:rsidRDefault="00312B9B" w:rsidP="001B56F1">
            <w:pPr>
              <w:pStyle w:val="TableBodyText"/>
              <w:rPr>
                <w:b/>
                <w:sz w:val="18"/>
                <w:szCs w:val="18"/>
              </w:rPr>
            </w:pPr>
            <w:r w:rsidRPr="00587B13">
              <w:rPr>
                <w:b/>
                <w:sz w:val="18"/>
                <w:szCs w:val="18"/>
              </w:rPr>
              <w:t>1.7</w:t>
            </w:r>
          </w:p>
        </w:tc>
        <w:tc>
          <w:tcPr>
            <w:tcW w:w="505" w:type="pct"/>
            <w:shd w:val="clear" w:color="auto" w:fill="auto"/>
            <w:vAlign w:val="bottom"/>
          </w:tcPr>
          <w:p w:rsidR="00312B9B" w:rsidRPr="00587B13" w:rsidRDefault="00312B9B" w:rsidP="001B56F1">
            <w:pPr>
              <w:pStyle w:val="TableBodyText"/>
              <w:rPr>
                <w:b/>
                <w:sz w:val="18"/>
                <w:szCs w:val="18"/>
              </w:rPr>
            </w:pPr>
            <w:r>
              <w:rPr>
                <w:b/>
                <w:sz w:val="18"/>
                <w:szCs w:val="18"/>
              </w:rPr>
              <w:t>&lt;</w:t>
            </w:r>
            <w:r w:rsidRPr="00587B13">
              <w:rPr>
                <w:b/>
                <w:sz w:val="18"/>
                <w:szCs w:val="18"/>
              </w:rPr>
              <w:t>0.1</w:t>
            </w:r>
          </w:p>
        </w:tc>
      </w:tr>
      <w:tr w:rsidR="00312B9B" w:rsidRPr="006C5A80" w:rsidTr="001B56F1">
        <w:tc>
          <w:tcPr>
            <w:tcW w:w="1960" w:type="pct"/>
            <w:vAlign w:val="bottom"/>
          </w:tcPr>
          <w:p w:rsidR="00312B9B" w:rsidRPr="00390699" w:rsidRDefault="00312B9B" w:rsidP="001B56F1">
            <w:pPr>
              <w:pStyle w:val="TableBodyText"/>
              <w:jc w:val="left"/>
              <w:rPr>
                <w:sz w:val="18"/>
                <w:szCs w:val="18"/>
              </w:rPr>
            </w:pPr>
            <w:r w:rsidRPr="00390699">
              <w:rPr>
                <w:sz w:val="18"/>
                <w:szCs w:val="18"/>
              </w:rPr>
              <w:t>Food, beverages and tobacco</w:t>
            </w:r>
          </w:p>
        </w:tc>
        <w:tc>
          <w:tcPr>
            <w:tcW w:w="507" w:type="pct"/>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312B9B" w:rsidRPr="002513B7" w:rsidRDefault="00312B9B" w:rsidP="001B56F1">
            <w:pPr>
              <w:pStyle w:val="TableBodyText"/>
              <w:rPr>
                <w:sz w:val="18"/>
                <w:szCs w:val="18"/>
              </w:rPr>
            </w:pPr>
            <w:r w:rsidRPr="002513B7">
              <w:rPr>
                <w:sz w:val="18"/>
                <w:szCs w:val="18"/>
              </w:rPr>
              <w:t>0.1</w:t>
            </w:r>
          </w:p>
        </w:tc>
        <w:tc>
          <w:tcPr>
            <w:tcW w:w="507" w:type="pct"/>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shd w:val="clear" w:color="auto" w:fill="auto"/>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5" w:type="pct"/>
            <w:shd w:val="clear" w:color="auto" w:fill="auto"/>
            <w:vAlign w:val="bottom"/>
          </w:tcPr>
          <w:p w:rsidR="00312B9B" w:rsidRPr="002513B7" w:rsidRDefault="00312B9B" w:rsidP="001B56F1">
            <w:pPr>
              <w:pStyle w:val="TableBodyText"/>
              <w:rPr>
                <w:sz w:val="18"/>
                <w:szCs w:val="18"/>
              </w:rPr>
            </w:pPr>
            <w:r>
              <w:rPr>
                <w:sz w:val="18"/>
                <w:szCs w:val="18"/>
              </w:rPr>
              <w:noBreakHyphen/>
            </w:r>
          </w:p>
        </w:tc>
      </w:tr>
      <w:tr w:rsidR="00312B9B" w:rsidRPr="006C5A80" w:rsidTr="001B56F1">
        <w:tc>
          <w:tcPr>
            <w:tcW w:w="1960" w:type="pct"/>
            <w:vAlign w:val="bottom"/>
          </w:tcPr>
          <w:p w:rsidR="00312B9B" w:rsidRPr="00390699" w:rsidRDefault="00312B9B" w:rsidP="001B56F1">
            <w:pPr>
              <w:pStyle w:val="TableBodyText"/>
              <w:jc w:val="left"/>
              <w:rPr>
                <w:sz w:val="18"/>
                <w:szCs w:val="18"/>
              </w:rPr>
            </w:pPr>
            <w:r w:rsidRPr="00390699">
              <w:rPr>
                <w:sz w:val="18"/>
                <w:szCs w:val="18"/>
              </w:rPr>
              <w:t>Textile, leather, clothing and footwear</w:t>
            </w:r>
          </w:p>
        </w:tc>
        <w:tc>
          <w:tcPr>
            <w:tcW w:w="507" w:type="pct"/>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shd w:val="clear" w:color="auto" w:fill="auto"/>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5" w:type="pct"/>
            <w:shd w:val="clear" w:color="auto" w:fill="auto"/>
            <w:vAlign w:val="bottom"/>
          </w:tcPr>
          <w:p w:rsidR="00312B9B" w:rsidRPr="002513B7" w:rsidRDefault="00312B9B" w:rsidP="001B56F1">
            <w:pPr>
              <w:pStyle w:val="TableBodyText"/>
              <w:rPr>
                <w:sz w:val="18"/>
                <w:szCs w:val="18"/>
              </w:rPr>
            </w:pPr>
            <w:r>
              <w:rPr>
                <w:sz w:val="18"/>
                <w:szCs w:val="18"/>
              </w:rPr>
              <w:noBreakHyphen/>
            </w:r>
          </w:p>
        </w:tc>
      </w:tr>
      <w:tr w:rsidR="00312B9B" w:rsidRPr="006C5A80" w:rsidTr="001B56F1">
        <w:tc>
          <w:tcPr>
            <w:tcW w:w="1960" w:type="pct"/>
            <w:vAlign w:val="bottom"/>
          </w:tcPr>
          <w:p w:rsidR="00312B9B" w:rsidRPr="00390699" w:rsidRDefault="00312B9B" w:rsidP="001B56F1">
            <w:pPr>
              <w:pStyle w:val="TableBodyText"/>
              <w:jc w:val="left"/>
              <w:rPr>
                <w:sz w:val="18"/>
                <w:szCs w:val="18"/>
              </w:rPr>
            </w:pPr>
            <w:r w:rsidRPr="00390699">
              <w:rPr>
                <w:sz w:val="18"/>
                <w:szCs w:val="18"/>
              </w:rPr>
              <w:t>Wood and paper products</w:t>
            </w:r>
          </w:p>
        </w:tc>
        <w:tc>
          <w:tcPr>
            <w:tcW w:w="507" w:type="pct"/>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312B9B" w:rsidRPr="002513B7" w:rsidRDefault="00312B9B" w:rsidP="001B56F1">
            <w:pPr>
              <w:pStyle w:val="TableBodyText"/>
              <w:rPr>
                <w:sz w:val="18"/>
                <w:szCs w:val="18"/>
              </w:rPr>
            </w:pPr>
            <w:r w:rsidRPr="002513B7">
              <w:rPr>
                <w:sz w:val="18"/>
                <w:szCs w:val="18"/>
              </w:rPr>
              <w:t>0.1</w:t>
            </w:r>
          </w:p>
        </w:tc>
        <w:tc>
          <w:tcPr>
            <w:tcW w:w="507" w:type="pct"/>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312B9B" w:rsidRPr="002513B7" w:rsidRDefault="00312B9B" w:rsidP="001B56F1">
            <w:pPr>
              <w:pStyle w:val="TableBodyText"/>
              <w:rPr>
                <w:sz w:val="18"/>
                <w:szCs w:val="18"/>
              </w:rPr>
            </w:pPr>
            <w:r>
              <w:rPr>
                <w:sz w:val="18"/>
                <w:szCs w:val="18"/>
              </w:rPr>
              <w:noBreakHyphen/>
            </w:r>
          </w:p>
        </w:tc>
        <w:tc>
          <w:tcPr>
            <w:tcW w:w="507" w:type="pct"/>
            <w:shd w:val="clear" w:color="auto" w:fill="auto"/>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5" w:type="pct"/>
            <w:shd w:val="clear" w:color="auto" w:fill="auto"/>
            <w:vAlign w:val="bottom"/>
          </w:tcPr>
          <w:p w:rsidR="00312B9B" w:rsidRPr="002513B7" w:rsidRDefault="00312B9B" w:rsidP="001B56F1">
            <w:pPr>
              <w:pStyle w:val="TableBodyText"/>
              <w:rPr>
                <w:sz w:val="18"/>
                <w:szCs w:val="18"/>
              </w:rPr>
            </w:pPr>
            <w:r>
              <w:rPr>
                <w:sz w:val="18"/>
                <w:szCs w:val="18"/>
              </w:rPr>
              <w:noBreakHyphen/>
            </w:r>
          </w:p>
        </w:tc>
      </w:tr>
      <w:tr w:rsidR="00312B9B" w:rsidRPr="006C5A80" w:rsidTr="001B56F1">
        <w:tc>
          <w:tcPr>
            <w:tcW w:w="1960" w:type="pct"/>
            <w:vAlign w:val="bottom"/>
          </w:tcPr>
          <w:p w:rsidR="00312B9B" w:rsidRPr="00390699" w:rsidRDefault="00312B9B" w:rsidP="001B56F1">
            <w:pPr>
              <w:pStyle w:val="TableBodyText"/>
              <w:jc w:val="left"/>
              <w:rPr>
                <w:sz w:val="18"/>
                <w:szCs w:val="18"/>
              </w:rPr>
            </w:pPr>
            <w:r w:rsidRPr="00390699">
              <w:rPr>
                <w:sz w:val="18"/>
                <w:szCs w:val="18"/>
              </w:rPr>
              <w:t>Printing and recorded media</w:t>
            </w:r>
          </w:p>
        </w:tc>
        <w:tc>
          <w:tcPr>
            <w:tcW w:w="507" w:type="pct"/>
            <w:vAlign w:val="bottom"/>
          </w:tcPr>
          <w:p w:rsidR="00312B9B" w:rsidRPr="002513B7" w:rsidRDefault="00312B9B" w:rsidP="001B56F1">
            <w:pPr>
              <w:pStyle w:val="TableBodyText"/>
              <w:rPr>
                <w:sz w:val="18"/>
                <w:szCs w:val="18"/>
              </w:rPr>
            </w:pPr>
            <w:r w:rsidRPr="002513B7">
              <w:rPr>
                <w:sz w:val="18"/>
                <w:szCs w:val="18"/>
              </w:rPr>
              <w:t>0.2</w:t>
            </w:r>
          </w:p>
        </w:tc>
        <w:tc>
          <w:tcPr>
            <w:tcW w:w="507" w:type="pct"/>
            <w:vAlign w:val="bottom"/>
          </w:tcPr>
          <w:p w:rsidR="00312B9B" w:rsidRPr="002513B7" w:rsidRDefault="00312B9B" w:rsidP="001B56F1">
            <w:pPr>
              <w:pStyle w:val="TableBodyText"/>
              <w:rPr>
                <w:sz w:val="18"/>
                <w:szCs w:val="18"/>
              </w:rPr>
            </w:pPr>
            <w:r w:rsidRPr="002513B7">
              <w:rPr>
                <w:sz w:val="18"/>
                <w:szCs w:val="18"/>
              </w:rPr>
              <w:t>0.2</w:t>
            </w:r>
          </w:p>
        </w:tc>
        <w:tc>
          <w:tcPr>
            <w:tcW w:w="507" w:type="pct"/>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312B9B" w:rsidRPr="002513B7" w:rsidRDefault="00312B9B" w:rsidP="001B56F1">
            <w:pPr>
              <w:pStyle w:val="TableBodyText"/>
              <w:rPr>
                <w:sz w:val="18"/>
                <w:szCs w:val="18"/>
              </w:rPr>
            </w:pPr>
            <w:r>
              <w:rPr>
                <w:sz w:val="18"/>
                <w:szCs w:val="18"/>
              </w:rPr>
              <w:noBreakHyphen/>
            </w:r>
          </w:p>
        </w:tc>
        <w:tc>
          <w:tcPr>
            <w:tcW w:w="507" w:type="pct"/>
            <w:shd w:val="clear" w:color="auto" w:fill="auto"/>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5" w:type="pct"/>
            <w:shd w:val="clear" w:color="auto" w:fill="auto"/>
            <w:vAlign w:val="bottom"/>
          </w:tcPr>
          <w:p w:rsidR="00312B9B" w:rsidRPr="002513B7" w:rsidRDefault="00312B9B" w:rsidP="001B56F1">
            <w:pPr>
              <w:pStyle w:val="TableBodyText"/>
              <w:rPr>
                <w:sz w:val="18"/>
                <w:szCs w:val="18"/>
              </w:rPr>
            </w:pPr>
            <w:r>
              <w:rPr>
                <w:sz w:val="18"/>
                <w:szCs w:val="18"/>
              </w:rPr>
              <w:noBreakHyphen/>
            </w:r>
          </w:p>
        </w:tc>
      </w:tr>
      <w:tr w:rsidR="00312B9B" w:rsidRPr="006C5A80" w:rsidTr="001B56F1">
        <w:tc>
          <w:tcPr>
            <w:tcW w:w="1960" w:type="pct"/>
            <w:vAlign w:val="bottom"/>
          </w:tcPr>
          <w:p w:rsidR="00312B9B" w:rsidRPr="00390699" w:rsidRDefault="00312B9B" w:rsidP="001B56F1">
            <w:pPr>
              <w:pStyle w:val="TableBodyText"/>
              <w:jc w:val="left"/>
              <w:rPr>
                <w:sz w:val="18"/>
                <w:szCs w:val="18"/>
              </w:rPr>
            </w:pPr>
            <w:r w:rsidRPr="00390699">
              <w:rPr>
                <w:sz w:val="18"/>
                <w:szCs w:val="18"/>
              </w:rPr>
              <w:t>Petroleum, coal, chemical and rubber products</w:t>
            </w:r>
          </w:p>
        </w:tc>
        <w:tc>
          <w:tcPr>
            <w:tcW w:w="507" w:type="pct"/>
            <w:vAlign w:val="bottom"/>
          </w:tcPr>
          <w:p w:rsidR="00312B9B" w:rsidRPr="002513B7" w:rsidRDefault="00312B9B" w:rsidP="001B56F1">
            <w:pPr>
              <w:pStyle w:val="TableBodyText"/>
              <w:rPr>
                <w:sz w:val="18"/>
                <w:szCs w:val="18"/>
              </w:rPr>
            </w:pPr>
            <w:r w:rsidRPr="002513B7">
              <w:rPr>
                <w:sz w:val="18"/>
                <w:szCs w:val="18"/>
              </w:rPr>
              <w:t>0.3</w:t>
            </w:r>
          </w:p>
        </w:tc>
        <w:tc>
          <w:tcPr>
            <w:tcW w:w="507" w:type="pct"/>
            <w:vAlign w:val="bottom"/>
          </w:tcPr>
          <w:p w:rsidR="00312B9B" w:rsidRPr="002513B7" w:rsidRDefault="00312B9B" w:rsidP="001B56F1">
            <w:pPr>
              <w:pStyle w:val="TableBodyText"/>
              <w:rPr>
                <w:sz w:val="18"/>
                <w:szCs w:val="18"/>
              </w:rPr>
            </w:pPr>
            <w:r w:rsidRPr="002513B7">
              <w:rPr>
                <w:sz w:val="18"/>
                <w:szCs w:val="18"/>
              </w:rPr>
              <w:t>0.6</w:t>
            </w:r>
          </w:p>
        </w:tc>
        <w:tc>
          <w:tcPr>
            <w:tcW w:w="507" w:type="pct"/>
            <w:vAlign w:val="bottom"/>
          </w:tcPr>
          <w:p w:rsidR="00312B9B" w:rsidRPr="002513B7" w:rsidRDefault="00312B9B" w:rsidP="001B56F1">
            <w:pPr>
              <w:pStyle w:val="TableBodyText"/>
              <w:rPr>
                <w:sz w:val="18"/>
                <w:szCs w:val="18"/>
              </w:rPr>
            </w:pPr>
            <w:r w:rsidRPr="002513B7">
              <w:rPr>
                <w:sz w:val="18"/>
                <w:szCs w:val="18"/>
              </w:rPr>
              <w:t>0.5</w:t>
            </w:r>
          </w:p>
        </w:tc>
        <w:tc>
          <w:tcPr>
            <w:tcW w:w="507" w:type="pct"/>
            <w:vAlign w:val="bottom"/>
          </w:tcPr>
          <w:p w:rsidR="00312B9B" w:rsidRPr="002513B7" w:rsidRDefault="00312B9B" w:rsidP="001B56F1">
            <w:pPr>
              <w:pStyle w:val="TableBodyText"/>
              <w:rPr>
                <w:sz w:val="18"/>
                <w:szCs w:val="18"/>
              </w:rPr>
            </w:pPr>
            <w:r w:rsidRPr="002513B7">
              <w:rPr>
                <w:sz w:val="18"/>
                <w:szCs w:val="18"/>
              </w:rPr>
              <w:t>0.5</w:t>
            </w:r>
          </w:p>
        </w:tc>
        <w:tc>
          <w:tcPr>
            <w:tcW w:w="507" w:type="pct"/>
            <w:shd w:val="clear" w:color="auto" w:fill="auto"/>
            <w:vAlign w:val="bottom"/>
          </w:tcPr>
          <w:p w:rsidR="00312B9B" w:rsidRPr="002513B7" w:rsidRDefault="00312B9B" w:rsidP="001B56F1">
            <w:pPr>
              <w:pStyle w:val="TableBodyText"/>
              <w:rPr>
                <w:sz w:val="18"/>
                <w:szCs w:val="18"/>
              </w:rPr>
            </w:pPr>
            <w:r w:rsidRPr="002513B7">
              <w:rPr>
                <w:sz w:val="18"/>
                <w:szCs w:val="18"/>
              </w:rPr>
              <w:t>0.3</w:t>
            </w:r>
          </w:p>
        </w:tc>
        <w:tc>
          <w:tcPr>
            <w:tcW w:w="505" w:type="pct"/>
            <w:shd w:val="clear" w:color="auto" w:fill="auto"/>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r>
      <w:tr w:rsidR="00312B9B" w:rsidRPr="006C5A80" w:rsidTr="001B56F1">
        <w:tc>
          <w:tcPr>
            <w:tcW w:w="1960" w:type="pct"/>
            <w:vAlign w:val="bottom"/>
          </w:tcPr>
          <w:p w:rsidR="00312B9B" w:rsidRPr="00390699" w:rsidRDefault="00312B9B" w:rsidP="00110C04">
            <w:pPr>
              <w:pStyle w:val="TableBodyText"/>
              <w:jc w:val="left"/>
              <w:rPr>
                <w:sz w:val="18"/>
                <w:szCs w:val="18"/>
              </w:rPr>
            </w:pPr>
            <w:r w:rsidRPr="00390699">
              <w:rPr>
                <w:sz w:val="18"/>
                <w:szCs w:val="18"/>
              </w:rPr>
              <w:t>Non-</w:t>
            </w:r>
            <w:r w:rsidR="00110C04">
              <w:rPr>
                <w:sz w:val="18"/>
                <w:szCs w:val="18"/>
              </w:rPr>
              <w:t>m</w:t>
            </w:r>
            <w:r w:rsidR="00110C04" w:rsidRPr="00390699">
              <w:rPr>
                <w:sz w:val="18"/>
                <w:szCs w:val="18"/>
              </w:rPr>
              <w:t xml:space="preserve">etallic </w:t>
            </w:r>
            <w:r w:rsidRPr="00390699">
              <w:rPr>
                <w:sz w:val="18"/>
                <w:szCs w:val="18"/>
              </w:rPr>
              <w:t>mineral products</w:t>
            </w:r>
          </w:p>
        </w:tc>
        <w:tc>
          <w:tcPr>
            <w:tcW w:w="507" w:type="pct"/>
            <w:vAlign w:val="bottom"/>
          </w:tcPr>
          <w:p w:rsidR="00312B9B" w:rsidRPr="002513B7" w:rsidRDefault="00312B9B" w:rsidP="001B56F1">
            <w:pPr>
              <w:pStyle w:val="TableBodyText"/>
              <w:rPr>
                <w:sz w:val="18"/>
                <w:szCs w:val="18"/>
              </w:rPr>
            </w:pPr>
            <w:r w:rsidRPr="002513B7">
              <w:rPr>
                <w:sz w:val="18"/>
                <w:szCs w:val="18"/>
              </w:rPr>
              <w:t>0.1</w:t>
            </w:r>
          </w:p>
        </w:tc>
        <w:tc>
          <w:tcPr>
            <w:tcW w:w="507" w:type="pct"/>
            <w:vAlign w:val="bottom"/>
          </w:tcPr>
          <w:p w:rsidR="00312B9B" w:rsidRPr="002513B7" w:rsidRDefault="00312B9B" w:rsidP="001B56F1">
            <w:pPr>
              <w:pStyle w:val="TableBodyText"/>
              <w:rPr>
                <w:sz w:val="18"/>
                <w:szCs w:val="18"/>
              </w:rPr>
            </w:pPr>
            <w:r w:rsidRPr="002513B7">
              <w:rPr>
                <w:sz w:val="18"/>
                <w:szCs w:val="18"/>
              </w:rPr>
              <w:t>0.5</w:t>
            </w:r>
          </w:p>
        </w:tc>
        <w:tc>
          <w:tcPr>
            <w:tcW w:w="507" w:type="pct"/>
            <w:vAlign w:val="bottom"/>
          </w:tcPr>
          <w:p w:rsidR="00312B9B" w:rsidRPr="002513B7" w:rsidRDefault="00312B9B" w:rsidP="001B56F1">
            <w:pPr>
              <w:pStyle w:val="TableBodyText"/>
              <w:rPr>
                <w:sz w:val="18"/>
                <w:szCs w:val="18"/>
              </w:rPr>
            </w:pPr>
            <w:r w:rsidRPr="002513B7">
              <w:rPr>
                <w:sz w:val="18"/>
                <w:szCs w:val="18"/>
              </w:rPr>
              <w:t>0.2</w:t>
            </w:r>
          </w:p>
        </w:tc>
        <w:tc>
          <w:tcPr>
            <w:tcW w:w="507" w:type="pct"/>
            <w:vAlign w:val="bottom"/>
          </w:tcPr>
          <w:p w:rsidR="00312B9B" w:rsidRPr="002513B7" w:rsidRDefault="00312B9B" w:rsidP="001B56F1">
            <w:pPr>
              <w:pStyle w:val="TableBodyText"/>
              <w:rPr>
                <w:sz w:val="18"/>
                <w:szCs w:val="18"/>
              </w:rPr>
            </w:pPr>
            <w:r w:rsidRPr="002513B7">
              <w:rPr>
                <w:sz w:val="18"/>
                <w:szCs w:val="18"/>
              </w:rPr>
              <w:t>0.1</w:t>
            </w:r>
          </w:p>
        </w:tc>
        <w:tc>
          <w:tcPr>
            <w:tcW w:w="507" w:type="pct"/>
            <w:shd w:val="clear" w:color="auto" w:fill="auto"/>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5" w:type="pct"/>
            <w:shd w:val="clear" w:color="auto" w:fill="auto"/>
            <w:vAlign w:val="bottom"/>
          </w:tcPr>
          <w:p w:rsidR="00312B9B" w:rsidRPr="002513B7" w:rsidRDefault="00312B9B" w:rsidP="001B56F1">
            <w:pPr>
              <w:pStyle w:val="TableBodyText"/>
              <w:rPr>
                <w:sz w:val="18"/>
                <w:szCs w:val="18"/>
              </w:rPr>
            </w:pPr>
            <w:r>
              <w:rPr>
                <w:sz w:val="18"/>
                <w:szCs w:val="18"/>
              </w:rPr>
              <w:noBreakHyphen/>
            </w:r>
          </w:p>
        </w:tc>
      </w:tr>
      <w:tr w:rsidR="00312B9B" w:rsidRPr="006C5A80" w:rsidTr="001B56F1">
        <w:tc>
          <w:tcPr>
            <w:tcW w:w="1960" w:type="pct"/>
            <w:vAlign w:val="bottom"/>
          </w:tcPr>
          <w:p w:rsidR="00312B9B" w:rsidRPr="00390699" w:rsidRDefault="00312B9B" w:rsidP="001B56F1">
            <w:pPr>
              <w:pStyle w:val="TableBodyText"/>
              <w:jc w:val="left"/>
              <w:rPr>
                <w:sz w:val="18"/>
                <w:szCs w:val="18"/>
              </w:rPr>
            </w:pPr>
            <w:r w:rsidRPr="00390699">
              <w:rPr>
                <w:sz w:val="18"/>
                <w:szCs w:val="18"/>
              </w:rPr>
              <w:t>Metal and fabricated metal products</w:t>
            </w:r>
          </w:p>
        </w:tc>
        <w:tc>
          <w:tcPr>
            <w:tcW w:w="507" w:type="pct"/>
            <w:vAlign w:val="bottom"/>
          </w:tcPr>
          <w:p w:rsidR="00312B9B" w:rsidRPr="002513B7" w:rsidRDefault="00312B9B" w:rsidP="001B56F1">
            <w:pPr>
              <w:pStyle w:val="TableBodyText"/>
              <w:rPr>
                <w:sz w:val="18"/>
                <w:szCs w:val="18"/>
              </w:rPr>
            </w:pPr>
            <w:r w:rsidRPr="002513B7">
              <w:rPr>
                <w:sz w:val="18"/>
                <w:szCs w:val="18"/>
              </w:rPr>
              <w:t>0.3</w:t>
            </w:r>
          </w:p>
        </w:tc>
        <w:tc>
          <w:tcPr>
            <w:tcW w:w="507" w:type="pct"/>
            <w:vAlign w:val="bottom"/>
          </w:tcPr>
          <w:p w:rsidR="00312B9B" w:rsidRPr="002513B7" w:rsidRDefault="00312B9B" w:rsidP="001B56F1">
            <w:pPr>
              <w:pStyle w:val="TableBodyText"/>
              <w:rPr>
                <w:sz w:val="18"/>
                <w:szCs w:val="18"/>
              </w:rPr>
            </w:pPr>
            <w:r w:rsidRPr="002513B7">
              <w:rPr>
                <w:sz w:val="18"/>
                <w:szCs w:val="18"/>
              </w:rPr>
              <w:t>0.5</w:t>
            </w:r>
          </w:p>
        </w:tc>
        <w:tc>
          <w:tcPr>
            <w:tcW w:w="507" w:type="pct"/>
            <w:vAlign w:val="bottom"/>
          </w:tcPr>
          <w:p w:rsidR="00312B9B" w:rsidRPr="002513B7" w:rsidRDefault="00312B9B" w:rsidP="001B56F1">
            <w:pPr>
              <w:pStyle w:val="TableBodyText"/>
              <w:rPr>
                <w:sz w:val="18"/>
                <w:szCs w:val="18"/>
              </w:rPr>
            </w:pPr>
            <w:r w:rsidRPr="002513B7">
              <w:rPr>
                <w:sz w:val="18"/>
                <w:szCs w:val="18"/>
              </w:rPr>
              <w:t>0.3</w:t>
            </w:r>
          </w:p>
        </w:tc>
        <w:tc>
          <w:tcPr>
            <w:tcW w:w="507" w:type="pct"/>
            <w:vAlign w:val="bottom"/>
          </w:tcPr>
          <w:p w:rsidR="00312B9B" w:rsidRPr="002513B7" w:rsidRDefault="00312B9B" w:rsidP="001B56F1">
            <w:pPr>
              <w:pStyle w:val="TableBodyText"/>
              <w:rPr>
                <w:sz w:val="18"/>
                <w:szCs w:val="18"/>
              </w:rPr>
            </w:pPr>
            <w:r w:rsidRPr="002513B7">
              <w:rPr>
                <w:sz w:val="18"/>
                <w:szCs w:val="18"/>
              </w:rPr>
              <w:t>0.2</w:t>
            </w:r>
          </w:p>
        </w:tc>
        <w:tc>
          <w:tcPr>
            <w:tcW w:w="507" w:type="pct"/>
            <w:shd w:val="clear" w:color="auto" w:fill="auto"/>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5" w:type="pct"/>
            <w:shd w:val="clear" w:color="auto" w:fill="auto"/>
            <w:vAlign w:val="bottom"/>
          </w:tcPr>
          <w:p w:rsidR="00312B9B" w:rsidRPr="002513B7" w:rsidRDefault="00312B9B" w:rsidP="001B56F1">
            <w:pPr>
              <w:pStyle w:val="TableBodyText"/>
              <w:rPr>
                <w:sz w:val="18"/>
                <w:szCs w:val="18"/>
              </w:rPr>
            </w:pPr>
            <w:r>
              <w:rPr>
                <w:sz w:val="18"/>
                <w:szCs w:val="18"/>
              </w:rPr>
              <w:noBreakHyphen/>
            </w:r>
          </w:p>
        </w:tc>
      </w:tr>
      <w:tr w:rsidR="00312B9B" w:rsidRPr="006C5A80" w:rsidTr="001B56F1">
        <w:tc>
          <w:tcPr>
            <w:tcW w:w="1960" w:type="pct"/>
            <w:vAlign w:val="bottom"/>
          </w:tcPr>
          <w:p w:rsidR="00312B9B" w:rsidRPr="00390699" w:rsidRDefault="00312B9B" w:rsidP="001B56F1">
            <w:pPr>
              <w:pStyle w:val="TableBodyText"/>
              <w:jc w:val="left"/>
              <w:rPr>
                <w:sz w:val="18"/>
                <w:szCs w:val="18"/>
              </w:rPr>
            </w:pPr>
            <w:r>
              <w:rPr>
                <w:sz w:val="18"/>
                <w:szCs w:val="18"/>
              </w:rPr>
              <w:t>Motor vehicles and parts</w:t>
            </w:r>
          </w:p>
        </w:tc>
        <w:tc>
          <w:tcPr>
            <w:tcW w:w="507" w:type="pct"/>
            <w:vAlign w:val="bottom"/>
          </w:tcPr>
          <w:p w:rsidR="00312B9B" w:rsidRPr="002513B7" w:rsidRDefault="00312B9B" w:rsidP="001B56F1">
            <w:pPr>
              <w:pStyle w:val="TableBodyText"/>
              <w:rPr>
                <w:sz w:val="18"/>
                <w:szCs w:val="18"/>
              </w:rPr>
            </w:pPr>
            <w:r w:rsidRPr="002513B7">
              <w:rPr>
                <w:sz w:val="18"/>
                <w:szCs w:val="18"/>
              </w:rPr>
              <w:t>0.1</w:t>
            </w:r>
          </w:p>
        </w:tc>
        <w:tc>
          <w:tcPr>
            <w:tcW w:w="507" w:type="pct"/>
            <w:vAlign w:val="bottom"/>
          </w:tcPr>
          <w:p w:rsidR="00312B9B" w:rsidRPr="002513B7" w:rsidRDefault="00312B9B" w:rsidP="001B56F1">
            <w:pPr>
              <w:pStyle w:val="TableBodyText"/>
              <w:rPr>
                <w:sz w:val="18"/>
                <w:szCs w:val="18"/>
              </w:rPr>
            </w:pPr>
            <w:r w:rsidRPr="002513B7">
              <w:rPr>
                <w:sz w:val="18"/>
                <w:szCs w:val="18"/>
              </w:rPr>
              <w:t>0.4</w:t>
            </w:r>
          </w:p>
        </w:tc>
        <w:tc>
          <w:tcPr>
            <w:tcW w:w="507" w:type="pct"/>
            <w:vAlign w:val="bottom"/>
          </w:tcPr>
          <w:p w:rsidR="00312B9B" w:rsidRPr="002513B7" w:rsidRDefault="00312B9B" w:rsidP="001B56F1">
            <w:pPr>
              <w:pStyle w:val="TableBodyText"/>
              <w:rPr>
                <w:sz w:val="18"/>
                <w:szCs w:val="18"/>
              </w:rPr>
            </w:pPr>
            <w:r w:rsidRPr="002513B7">
              <w:rPr>
                <w:sz w:val="18"/>
                <w:szCs w:val="18"/>
              </w:rPr>
              <w:t>0.2</w:t>
            </w:r>
          </w:p>
        </w:tc>
        <w:tc>
          <w:tcPr>
            <w:tcW w:w="507" w:type="pct"/>
            <w:vAlign w:val="bottom"/>
          </w:tcPr>
          <w:p w:rsidR="00312B9B" w:rsidRPr="002513B7" w:rsidRDefault="00312B9B" w:rsidP="001B56F1">
            <w:pPr>
              <w:pStyle w:val="TableBodyText"/>
              <w:rPr>
                <w:sz w:val="18"/>
                <w:szCs w:val="18"/>
              </w:rPr>
            </w:pPr>
            <w:r w:rsidRPr="002513B7">
              <w:rPr>
                <w:sz w:val="18"/>
                <w:szCs w:val="18"/>
              </w:rPr>
              <w:t>0.2</w:t>
            </w:r>
          </w:p>
        </w:tc>
        <w:tc>
          <w:tcPr>
            <w:tcW w:w="507" w:type="pct"/>
            <w:shd w:val="clear" w:color="auto" w:fill="auto"/>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5" w:type="pct"/>
            <w:shd w:val="clear" w:color="auto" w:fill="auto"/>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r>
      <w:tr w:rsidR="00312B9B" w:rsidRPr="006C5A80" w:rsidTr="001B56F1">
        <w:tc>
          <w:tcPr>
            <w:tcW w:w="1960" w:type="pct"/>
            <w:vAlign w:val="bottom"/>
          </w:tcPr>
          <w:p w:rsidR="00312B9B" w:rsidRPr="00390699" w:rsidRDefault="00312B9B" w:rsidP="001B56F1">
            <w:pPr>
              <w:pStyle w:val="TableBodyText"/>
              <w:jc w:val="left"/>
              <w:rPr>
                <w:sz w:val="18"/>
                <w:szCs w:val="18"/>
              </w:rPr>
            </w:pPr>
            <w:r w:rsidRPr="00390699">
              <w:rPr>
                <w:sz w:val="18"/>
                <w:szCs w:val="18"/>
              </w:rPr>
              <w:t>Other transport equipment</w:t>
            </w:r>
          </w:p>
        </w:tc>
        <w:tc>
          <w:tcPr>
            <w:tcW w:w="507" w:type="pct"/>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312B9B" w:rsidRPr="002513B7" w:rsidRDefault="00312B9B" w:rsidP="001B56F1">
            <w:pPr>
              <w:pStyle w:val="TableBodyText"/>
              <w:rPr>
                <w:sz w:val="18"/>
                <w:szCs w:val="18"/>
              </w:rPr>
            </w:pPr>
            <w:r w:rsidRPr="002513B7">
              <w:rPr>
                <w:sz w:val="18"/>
                <w:szCs w:val="18"/>
              </w:rPr>
              <w:t>0.2</w:t>
            </w:r>
          </w:p>
        </w:tc>
        <w:tc>
          <w:tcPr>
            <w:tcW w:w="507" w:type="pct"/>
            <w:vAlign w:val="bottom"/>
          </w:tcPr>
          <w:p w:rsidR="00312B9B" w:rsidRPr="002513B7" w:rsidRDefault="00312B9B" w:rsidP="001B56F1">
            <w:pPr>
              <w:pStyle w:val="TableBodyText"/>
              <w:rPr>
                <w:sz w:val="18"/>
                <w:szCs w:val="18"/>
              </w:rPr>
            </w:pPr>
            <w:r w:rsidRPr="002513B7">
              <w:rPr>
                <w:sz w:val="18"/>
                <w:szCs w:val="18"/>
              </w:rPr>
              <w:t>0.2</w:t>
            </w:r>
          </w:p>
        </w:tc>
        <w:tc>
          <w:tcPr>
            <w:tcW w:w="507" w:type="pct"/>
            <w:vAlign w:val="bottom"/>
          </w:tcPr>
          <w:p w:rsidR="00312B9B" w:rsidRPr="002513B7" w:rsidRDefault="00312B9B" w:rsidP="001B56F1">
            <w:pPr>
              <w:pStyle w:val="TableBodyText"/>
              <w:rPr>
                <w:sz w:val="18"/>
                <w:szCs w:val="18"/>
              </w:rPr>
            </w:pPr>
            <w:r w:rsidRPr="002513B7">
              <w:rPr>
                <w:sz w:val="18"/>
                <w:szCs w:val="18"/>
              </w:rPr>
              <w:t>0.1</w:t>
            </w:r>
          </w:p>
        </w:tc>
        <w:tc>
          <w:tcPr>
            <w:tcW w:w="507" w:type="pct"/>
            <w:shd w:val="clear" w:color="auto" w:fill="auto"/>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5" w:type="pct"/>
            <w:shd w:val="clear" w:color="auto" w:fill="auto"/>
            <w:vAlign w:val="bottom"/>
          </w:tcPr>
          <w:p w:rsidR="00312B9B" w:rsidRPr="002513B7" w:rsidRDefault="00312B9B" w:rsidP="001B56F1">
            <w:pPr>
              <w:pStyle w:val="TableBodyText"/>
              <w:rPr>
                <w:sz w:val="18"/>
                <w:szCs w:val="18"/>
              </w:rPr>
            </w:pPr>
            <w:r>
              <w:rPr>
                <w:sz w:val="18"/>
                <w:szCs w:val="18"/>
              </w:rPr>
              <w:noBreakHyphen/>
            </w:r>
          </w:p>
        </w:tc>
      </w:tr>
      <w:tr w:rsidR="00312B9B" w:rsidRPr="006C5A80" w:rsidTr="001B56F1">
        <w:tc>
          <w:tcPr>
            <w:tcW w:w="1960" w:type="pct"/>
            <w:vAlign w:val="bottom"/>
          </w:tcPr>
          <w:p w:rsidR="00312B9B" w:rsidRPr="00390699" w:rsidRDefault="00312B9B" w:rsidP="001B56F1">
            <w:pPr>
              <w:pStyle w:val="TableBodyText"/>
              <w:jc w:val="left"/>
              <w:rPr>
                <w:sz w:val="18"/>
                <w:szCs w:val="18"/>
              </w:rPr>
            </w:pPr>
            <w:r w:rsidRPr="00390699">
              <w:rPr>
                <w:sz w:val="18"/>
                <w:szCs w:val="18"/>
              </w:rPr>
              <w:t>Machinery and equipment manufacturing</w:t>
            </w:r>
          </w:p>
        </w:tc>
        <w:tc>
          <w:tcPr>
            <w:tcW w:w="507" w:type="pct"/>
            <w:vAlign w:val="bottom"/>
          </w:tcPr>
          <w:p w:rsidR="00312B9B" w:rsidRPr="002513B7" w:rsidRDefault="00312B9B" w:rsidP="001B56F1">
            <w:pPr>
              <w:pStyle w:val="TableBodyText"/>
              <w:rPr>
                <w:sz w:val="18"/>
                <w:szCs w:val="18"/>
              </w:rPr>
            </w:pPr>
            <w:r w:rsidRPr="002513B7">
              <w:rPr>
                <w:sz w:val="18"/>
                <w:szCs w:val="18"/>
              </w:rPr>
              <w:t>1.6</w:t>
            </w:r>
          </w:p>
        </w:tc>
        <w:tc>
          <w:tcPr>
            <w:tcW w:w="507" w:type="pct"/>
            <w:vAlign w:val="bottom"/>
          </w:tcPr>
          <w:p w:rsidR="00312B9B" w:rsidRPr="002513B7" w:rsidRDefault="00312B9B" w:rsidP="001B56F1">
            <w:pPr>
              <w:pStyle w:val="TableBodyText"/>
              <w:rPr>
                <w:sz w:val="18"/>
                <w:szCs w:val="18"/>
              </w:rPr>
            </w:pPr>
            <w:r w:rsidRPr="002513B7">
              <w:rPr>
                <w:sz w:val="18"/>
                <w:szCs w:val="18"/>
              </w:rPr>
              <w:t>2.2</w:t>
            </w:r>
          </w:p>
        </w:tc>
        <w:tc>
          <w:tcPr>
            <w:tcW w:w="507" w:type="pct"/>
            <w:vAlign w:val="bottom"/>
          </w:tcPr>
          <w:p w:rsidR="00312B9B" w:rsidRPr="002513B7" w:rsidRDefault="00312B9B" w:rsidP="001B56F1">
            <w:pPr>
              <w:pStyle w:val="TableBodyText"/>
              <w:rPr>
                <w:sz w:val="18"/>
                <w:szCs w:val="18"/>
              </w:rPr>
            </w:pPr>
            <w:r w:rsidRPr="002513B7">
              <w:rPr>
                <w:sz w:val="18"/>
                <w:szCs w:val="18"/>
              </w:rPr>
              <w:t>1.8</w:t>
            </w:r>
          </w:p>
        </w:tc>
        <w:tc>
          <w:tcPr>
            <w:tcW w:w="507" w:type="pct"/>
            <w:vAlign w:val="bottom"/>
          </w:tcPr>
          <w:p w:rsidR="00312B9B" w:rsidRPr="002513B7" w:rsidRDefault="00312B9B" w:rsidP="001B56F1">
            <w:pPr>
              <w:pStyle w:val="TableBodyText"/>
              <w:rPr>
                <w:sz w:val="18"/>
                <w:szCs w:val="18"/>
              </w:rPr>
            </w:pPr>
            <w:r w:rsidRPr="002513B7">
              <w:rPr>
                <w:sz w:val="18"/>
                <w:szCs w:val="18"/>
              </w:rPr>
              <w:t>1.7</w:t>
            </w:r>
          </w:p>
        </w:tc>
        <w:tc>
          <w:tcPr>
            <w:tcW w:w="507" w:type="pct"/>
            <w:shd w:val="clear" w:color="auto" w:fill="auto"/>
            <w:vAlign w:val="bottom"/>
          </w:tcPr>
          <w:p w:rsidR="00312B9B" w:rsidRPr="002513B7" w:rsidRDefault="00312B9B" w:rsidP="001B56F1">
            <w:pPr>
              <w:pStyle w:val="TableBodyText"/>
              <w:rPr>
                <w:sz w:val="18"/>
                <w:szCs w:val="18"/>
              </w:rPr>
            </w:pPr>
            <w:r w:rsidRPr="002513B7">
              <w:rPr>
                <w:sz w:val="18"/>
                <w:szCs w:val="18"/>
              </w:rPr>
              <w:t>0.8</w:t>
            </w:r>
          </w:p>
        </w:tc>
        <w:tc>
          <w:tcPr>
            <w:tcW w:w="505" w:type="pct"/>
            <w:shd w:val="clear" w:color="auto" w:fill="auto"/>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r>
      <w:tr w:rsidR="00312B9B" w:rsidRPr="006C5A80" w:rsidTr="001B56F1">
        <w:tc>
          <w:tcPr>
            <w:tcW w:w="1960" w:type="pct"/>
            <w:vAlign w:val="bottom"/>
          </w:tcPr>
          <w:p w:rsidR="00312B9B" w:rsidRPr="00390699" w:rsidRDefault="00312B9B" w:rsidP="001B56F1">
            <w:pPr>
              <w:pStyle w:val="TableBodyText"/>
              <w:jc w:val="left"/>
              <w:rPr>
                <w:sz w:val="18"/>
                <w:szCs w:val="18"/>
              </w:rPr>
            </w:pPr>
            <w:r w:rsidRPr="00390699">
              <w:rPr>
                <w:sz w:val="18"/>
                <w:szCs w:val="18"/>
              </w:rPr>
              <w:t>Furniture and other manufacturing</w:t>
            </w:r>
          </w:p>
        </w:tc>
        <w:tc>
          <w:tcPr>
            <w:tcW w:w="507" w:type="pct"/>
            <w:vAlign w:val="bottom"/>
          </w:tcPr>
          <w:p w:rsidR="00312B9B" w:rsidRPr="002513B7" w:rsidRDefault="00312B9B" w:rsidP="001B56F1">
            <w:pPr>
              <w:pStyle w:val="TableBodyText"/>
              <w:rPr>
                <w:sz w:val="18"/>
                <w:szCs w:val="18"/>
              </w:rPr>
            </w:pPr>
            <w:r w:rsidRPr="002513B7">
              <w:rPr>
                <w:sz w:val="18"/>
                <w:szCs w:val="18"/>
              </w:rPr>
              <w:t>0.6</w:t>
            </w:r>
          </w:p>
        </w:tc>
        <w:tc>
          <w:tcPr>
            <w:tcW w:w="507" w:type="pct"/>
            <w:vAlign w:val="bottom"/>
          </w:tcPr>
          <w:p w:rsidR="00312B9B" w:rsidRPr="002513B7" w:rsidRDefault="00312B9B" w:rsidP="001B56F1">
            <w:pPr>
              <w:pStyle w:val="TableBodyText"/>
              <w:rPr>
                <w:sz w:val="18"/>
                <w:szCs w:val="18"/>
              </w:rPr>
            </w:pPr>
            <w:r w:rsidRPr="002513B7">
              <w:rPr>
                <w:sz w:val="18"/>
                <w:szCs w:val="18"/>
              </w:rPr>
              <w:t>0.7</w:t>
            </w:r>
          </w:p>
        </w:tc>
        <w:tc>
          <w:tcPr>
            <w:tcW w:w="507" w:type="pct"/>
            <w:vAlign w:val="bottom"/>
          </w:tcPr>
          <w:p w:rsidR="00312B9B" w:rsidRPr="002513B7" w:rsidRDefault="00312B9B" w:rsidP="001B56F1">
            <w:pPr>
              <w:pStyle w:val="TableBodyText"/>
              <w:rPr>
                <w:sz w:val="18"/>
                <w:szCs w:val="18"/>
              </w:rPr>
            </w:pPr>
            <w:r w:rsidRPr="002513B7">
              <w:rPr>
                <w:sz w:val="18"/>
                <w:szCs w:val="18"/>
              </w:rPr>
              <w:t>0.3</w:t>
            </w:r>
          </w:p>
        </w:tc>
        <w:tc>
          <w:tcPr>
            <w:tcW w:w="507" w:type="pct"/>
            <w:vAlign w:val="bottom"/>
          </w:tcPr>
          <w:p w:rsidR="00312B9B" w:rsidRPr="002513B7" w:rsidRDefault="00312B9B" w:rsidP="001B56F1">
            <w:pPr>
              <w:pStyle w:val="TableBodyText"/>
              <w:rPr>
                <w:sz w:val="18"/>
                <w:szCs w:val="18"/>
              </w:rPr>
            </w:pPr>
            <w:r w:rsidRPr="002513B7">
              <w:rPr>
                <w:sz w:val="18"/>
                <w:szCs w:val="18"/>
              </w:rPr>
              <w:t>0.6</w:t>
            </w:r>
          </w:p>
        </w:tc>
        <w:tc>
          <w:tcPr>
            <w:tcW w:w="507" w:type="pct"/>
            <w:shd w:val="clear" w:color="auto" w:fill="auto"/>
            <w:vAlign w:val="bottom"/>
          </w:tcPr>
          <w:p w:rsidR="00312B9B" w:rsidRPr="002513B7" w:rsidRDefault="00312B9B" w:rsidP="001B56F1">
            <w:pPr>
              <w:pStyle w:val="TableBodyText"/>
              <w:rPr>
                <w:sz w:val="18"/>
                <w:szCs w:val="18"/>
              </w:rPr>
            </w:pPr>
            <w:r w:rsidRPr="002513B7">
              <w:rPr>
                <w:sz w:val="18"/>
                <w:szCs w:val="18"/>
              </w:rPr>
              <w:t>0.3</w:t>
            </w:r>
          </w:p>
        </w:tc>
        <w:tc>
          <w:tcPr>
            <w:tcW w:w="505" w:type="pct"/>
            <w:shd w:val="clear" w:color="auto" w:fill="auto"/>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r>
      <w:tr w:rsidR="00312B9B" w:rsidRPr="006C5A80" w:rsidTr="001B56F1">
        <w:tc>
          <w:tcPr>
            <w:tcW w:w="1960" w:type="pct"/>
            <w:vAlign w:val="bottom"/>
          </w:tcPr>
          <w:p w:rsidR="00312B9B" w:rsidRPr="00390699" w:rsidRDefault="00312B9B" w:rsidP="001B56F1">
            <w:pPr>
              <w:pStyle w:val="TableBodyText"/>
              <w:jc w:val="left"/>
              <w:rPr>
                <w:b/>
                <w:sz w:val="18"/>
                <w:szCs w:val="18"/>
              </w:rPr>
            </w:pPr>
            <w:r w:rsidRPr="00390699">
              <w:rPr>
                <w:b/>
                <w:sz w:val="18"/>
                <w:szCs w:val="18"/>
              </w:rPr>
              <w:t>Services</w:t>
            </w:r>
          </w:p>
        </w:tc>
        <w:tc>
          <w:tcPr>
            <w:tcW w:w="507" w:type="pct"/>
            <w:vAlign w:val="bottom"/>
          </w:tcPr>
          <w:p w:rsidR="00312B9B" w:rsidRPr="00587B13" w:rsidRDefault="00312B9B" w:rsidP="001B56F1">
            <w:pPr>
              <w:pStyle w:val="TableBodyText"/>
              <w:rPr>
                <w:b/>
                <w:sz w:val="18"/>
                <w:szCs w:val="18"/>
              </w:rPr>
            </w:pPr>
            <w:r w:rsidRPr="00587B13">
              <w:rPr>
                <w:b/>
                <w:sz w:val="18"/>
                <w:szCs w:val="18"/>
              </w:rPr>
              <w:t>6.1</w:t>
            </w:r>
          </w:p>
        </w:tc>
        <w:tc>
          <w:tcPr>
            <w:tcW w:w="507" w:type="pct"/>
            <w:vAlign w:val="bottom"/>
          </w:tcPr>
          <w:p w:rsidR="00312B9B" w:rsidRPr="00587B13" w:rsidRDefault="00312B9B" w:rsidP="001B56F1">
            <w:pPr>
              <w:pStyle w:val="TableBodyText"/>
              <w:rPr>
                <w:b/>
                <w:sz w:val="18"/>
                <w:szCs w:val="18"/>
              </w:rPr>
            </w:pPr>
            <w:r w:rsidRPr="00587B13">
              <w:rPr>
                <w:b/>
                <w:sz w:val="18"/>
                <w:szCs w:val="18"/>
              </w:rPr>
              <w:t>11.7</w:t>
            </w:r>
          </w:p>
        </w:tc>
        <w:tc>
          <w:tcPr>
            <w:tcW w:w="507" w:type="pct"/>
            <w:vAlign w:val="bottom"/>
          </w:tcPr>
          <w:p w:rsidR="00312B9B" w:rsidRPr="00587B13" w:rsidRDefault="00312B9B" w:rsidP="001B56F1">
            <w:pPr>
              <w:pStyle w:val="TableBodyText"/>
              <w:rPr>
                <w:b/>
                <w:sz w:val="18"/>
                <w:szCs w:val="18"/>
              </w:rPr>
            </w:pPr>
            <w:r w:rsidRPr="00587B13">
              <w:rPr>
                <w:b/>
                <w:sz w:val="18"/>
                <w:szCs w:val="18"/>
              </w:rPr>
              <w:t>7.1</w:t>
            </w:r>
          </w:p>
        </w:tc>
        <w:tc>
          <w:tcPr>
            <w:tcW w:w="507" w:type="pct"/>
            <w:vAlign w:val="bottom"/>
          </w:tcPr>
          <w:p w:rsidR="00312B9B" w:rsidRPr="00587B13" w:rsidRDefault="00312B9B" w:rsidP="001B56F1">
            <w:pPr>
              <w:pStyle w:val="TableBodyText"/>
              <w:rPr>
                <w:b/>
                <w:sz w:val="18"/>
                <w:szCs w:val="18"/>
              </w:rPr>
            </w:pPr>
            <w:r w:rsidRPr="00587B13">
              <w:rPr>
                <w:b/>
                <w:sz w:val="18"/>
                <w:szCs w:val="18"/>
              </w:rPr>
              <w:t>5.8</w:t>
            </w:r>
          </w:p>
        </w:tc>
        <w:tc>
          <w:tcPr>
            <w:tcW w:w="507" w:type="pct"/>
            <w:shd w:val="clear" w:color="auto" w:fill="auto"/>
            <w:vAlign w:val="bottom"/>
          </w:tcPr>
          <w:p w:rsidR="00312B9B" w:rsidRPr="00587B13" w:rsidRDefault="00312B9B" w:rsidP="001B56F1">
            <w:pPr>
              <w:pStyle w:val="TableBodyText"/>
              <w:rPr>
                <w:b/>
                <w:sz w:val="18"/>
                <w:szCs w:val="18"/>
              </w:rPr>
            </w:pPr>
            <w:r w:rsidRPr="00587B13">
              <w:rPr>
                <w:b/>
                <w:sz w:val="18"/>
                <w:szCs w:val="18"/>
              </w:rPr>
              <w:t>2.9</w:t>
            </w:r>
          </w:p>
        </w:tc>
        <w:tc>
          <w:tcPr>
            <w:tcW w:w="505" w:type="pct"/>
            <w:shd w:val="clear" w:color="auto" w:fill="auto"/>
            <w:vAlign w:val="bottom"/>
          </w:tcPr>
          <w:p w:rsidR="00312B9B" w:rsidRPr="00587B13" w:rsidRDefault="00312B9B" w:rsidP="001B56F1">
            <w:pPr>
              <w:pStyle w:val="TableBodyText"/>
              <w:rPr>
                <w:b/>
                <w:sz w:val="18"/>
                <w:szCs w:val="18"/>
              </w:rPr>
            </w:pPr>
            <w:r w:rsidRPr="00587B13">
              <w:rPr>
                <w:b/>
                <w:sz w:val="18"/>
                <w:szCs w:val="18"/>
              </w:rPr>
              <w:t>0.1</w:t>
            </w:r>
          </w:p>
        </w:tc>
      </w:tr>
      <w:tr w:rsidR="00312B9B" w:rsidRPr="006C5A80" w:rsidTr="001B56F1">
        <w:tc>
          <w:tcPr>
            <w:tcW w:w="1960" w:type="pct"/>
            <w:vAlign w:val="bottom"/>
          </w:tcPr>
          <w:p w:rsidR="00312B9B" w:rsidRPr="00390699" w:rsidRDefault="00312B9B" w:rsidP="001B56F1">
            <w:pPr>
              <w:pStyle w:val="TableBodyText"/>
              <w:jc w:val="left"/>
              <w:rPr>
                <w:sz w:val="18"/>
                <w:szCs w:val="18"/>
              </w:rPr>
            </w:pPr>
            <w:r w:rsidRPr="00390699">
              <w:rPr>
                <w:sz w:val="18"/>
                <w:szCs w:val="18"/>
              </w:rPr>
              <w:t>Electricity, gas, water and waste services</w:t>
            </w:r>
          </w:p>
        </w:tc>
        <w:tc>
          <w:tcPr>
            <w:tcW w:w="507" w:type="pct"/>
            <w:vAlign w:val="bottom"/>
          </w:tcPr>
          <w:p w:rsidR="00312B9B" w:rsidRPr="002513B7" w:rsidRDefault="00312B9B" w:rsidP="001B56F1">
            <w:pPr>
              <w:pStyle w:val="TableBodyText"/>
              <w:rPr>
                <w:sz w:val="18"/>
                <w:szCs w:val="18"/>
              </w:rPr>
            </w:pPr>
            <w:r w:rsidRPr="002513B7">
              <w:rPr>
                <w:sz w:val="18"/>
                <w:szCs w:val="18"/>
              </w:rPr>
              <w:t>0.2</w:t>
            </w:r>
          </w:p>
        </w:tc>
        <w:tc>
          <w:tcPr>
            <w:tcW w:w="507" w:type="pct"/>
            <w:vAlign w:val="bottom"/>
          </w:tcPr>
          <w:p w:rsidR="00312B9B" w:rsidRPr="002513B7" w:rsidRDefault="00312B9B" w:rsidP="001B56F1">
            <w:pPr>
              <w:pStyle w:val="TableBodyText"/>
              <w:rPr>
                <w:sz w:val="18"/>
                <w:szCs w:val="18"/>
              </w:rPr>
            </w:pPr>
            <w:r w:rsidRPr="002513B7">
              <w:rPr>
                <w:sz w:val="18"/>
                <w:szCs w:val="18"/>
              </w:rPr>
              <w:t>0.7</w:t>
            </w:r>
          </w:p>
        </w:tc>
        <w:tc>
          <w:tcPr>
            <w:tcW w:w="507" w:type="pct"/>
            <w:vAlign w:val="bottom"/>
          </w:tcPr>
          <w:p w:rsidR="00312B9B" w:rsidRPr="002513B7" w:rsidRDefault="00312B9B" w:rsidP="001B56F1">
            <w:pPr>
              <w:pStyle w:val="TableBodyText"/>
              <w:rPr>
                <w:sz w:val="18"/>
                <w:szCs w:val="18"/>
              </w:rPr>
            </w:pPr>
            <w:r w:rsidRPr="002513B7">
              <w:rPr>
                <w:sz w:val="18"/>
                <w:szCs w:val="18"/>
              </w:rPr>
              <w:t>0.6</w:t>
            </w:r>
          </w:p>
        </w:tc>
        <w:tc>
          <w:tcPr>
            <w:tcW w:w="507" w:type="pct"/>
            <w:vAlign w:val="bottom"/>
          </w:tcPr>
          <w:p w:rsidR="00312B9B" w:rsidRPr="002513B7" w:rsidRDefault="00312B9B" w:rsidP="001B56F1">
            <w:pPr>
              <w:pStyle w:val="TableBodyText"/>
              <w:rPr>
                <w:sz w:val="18"/>
                <w:szCs w:val="18"/>
              </w:rPr>
            </w:pPr>
            <w:r w:rsidRPr="002513B7">
              <w:rPr>
                <w:sz w:val="18"/>
                <w:szCs w:val="18"/>
              </w:rPr>
              <w:t>0.3</w:t>
            </w:r>
          </w:p>
        </w:tc>
        <w:tc>
          <w:tcPr>
            <w:tcW w:w="507" w:type="pct"/>
            <w:shd w:val="clear" w:color="auto" w:fill="auto"/>
            <w:vAlign w:val="bottom"/>
          </w:tcPr>
          <w:p w:rsidR="00312B9B" w:rsidRPr="002513B7" w:rsidRDefault="00312B9B" w:rsidP="001B56F1">
            <w:pPr>
              <w:pStyle w:val="TableBodyText"/>
              <w:rPr>
                <w:sz w:val="18"/>
                <w:szCs w:val="18"/>
              </w:rPr>
            </w:pPr>
            <w:r w:rsidRPr="002513B7">
              <w:rPr>
                <w:sz w:val="18"/>
                <w:szCs w:val="18"/>
              </w:rPr>
              <w:t>0.3</w:t>
            </w:r>
          </w:p>
        </w:tc>
        <w:tc>
          <w:tcPr>
            <w:tcW w:w="505" w:type="pct"/>
            <w:shd w:val="clear" w:color="auto" w:fill="auto"/>
            <w:vAlign w:val="bottom"/>
          </w:tcPr>
          <w:p w:rsidR="00312B9B" w:rsidRPr="002513B7" w:rsidRDefault="00312B9B" w:rsidP="001B56F1">
            <w:pPr>
              <w:pStyle w:val="TableBodyText"/>
              <w:rPr>
                <w:sz w:val="18"/>
                <w:szCs w:val="18"/>
              </w:rPr>
            </w:pPr>
            <w:r>
              <w:rPr>
                <w:sz w:val="18"/>
                <w:szCs w:val="18"/>
              </w:rPr>
              <w:noBreakHyphen/>
            </w:r>
          </w:p>
        </w:tc>
      </w:tr>
      <w:tr w:rsidR="00312B9B" w:rsidRPr="006C5A80" w:rsidTr="001B56F1">
        <w:tc>
          <w:tcPr>
            <w:tcW w:w="1960" w:type="pct"/>
            <w:vAlign w:val="bottom"/>
          </w:tcPr>
          <w:p w:rsidR="00312B9B" w:rsidRPr="00390699" w:rsidRDefault="00312B9B" w:rsidP="001B56F1">
            <w:pPr>
              <w:pStyle w:val="TableBodyText"/>
              <w:jc w:val="left"/>
              <w:rPr>
                <w:sz w:val="18"/>
                <w:szCs w:val="18"/>
              </w:rPr>
            </w:pPr>
            <w:r w:rsidRPr="00390699">
              <w:rPr>
                <w:sz w:val="18"/>
                <w:szCs w:val="18"/>
              </w:rPr>
              <w:t>Construction</w:t>
            </w:r>
          </w:p>
        </w:tc>
        <w:tc>
          <w:tcPr>
            <w:tcW w:w="507" w:type="pct"/>
            <w:vAlign w:val="bottom"/>
          </w:tcPr>
          <w:p w:rsidR="00312B9B" w:rsidRPr="002513B7" w:rsidRDefault="00312B9B" w:rsidP="001B56F1">
            <w:pPr>
              <w:pStyle w:val="TableBodyText"/>
              <w:rPr>
                <w:sz w:val="18"/>
                <w:szCs w:val="18"/>
              </w:rPr>
            </w:pPr>
            <w:r w:rsidRPr="002513B7">
              <w:rPr>
                <w:sz w:val="18"/>
                <w:szCs w:val="18"/>
              </w:rPr>
              <w:t>0.2</w:t>
            </w:r>
          </w:p>
        </w:tc>
        <w:tc>
          <w:tcPr>
            <w:tcW w:w="507" w:type="pct"/>
            <w:vAlign w:val="bottom"/>
          </w:tcPr>
          <w:p w:rsidR="00312B9B" w:rsidRPr="002513B7" w:rsidRDefault="00312B9B" w:rsidP="001B56F1">
            <w:pPr>
              <w:pStyle w:val="TableBodyText"/>
              <w:rPr>
                <w:sz w:val="18"/>
                <w:szCs w:val="18"/>
              </w:rPr>
            </w:pPr>
            <w:r w:rsidRPr="002513B7">
              <w:rPr>
                <w:sz w:val="18"/>
                <w:szCs w:val="18"/>
              </w:rPr>
              <w:t>0.3</w:t>
            </w:r>
          </w:p>
        </w:tc>
        <w:tc>
          <w:tcPr>
            <w:tcW w:w="507" w:type="pct"/>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312B9B" w:rsidRPr="002513B7" w:rsidRDefault="00312B9B" w:rsidP="001B56F1">
            <w:pPr>
              <w:pStyle w:val="TableBodyText"/>
              <w:rPr>
                <w:sz w:val="18"/>
                <w:szCs w:val="18"/>
              </w:rPr>
            </w:pPr>
            <w:r w:rsidRPr="002513B7">
              <w:rPr>
                <w:sz w:val="18"/>
                <w:szCs w:val="18"/>
              </w:rPr>
              <w:t>0.2</w:t>
            </w:r>
          </w:p>
        </w:tc>
        <w:tc>
          <w:tcPr>
            <w:tcW w:w="507" w:type="pct"/>
            <w:shd w:val="clear" w:color="auto" w:fill="auto"/>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5" w:type="pct"/>
            <w:shd w:val="clear" w:color="auto" w:fill="auto"/>
            <w:vAlign w:val="bottom"/>
          </w:tcPr>
          <w:p w:rsidR="00312B9B" w:rsidRPr="002513B7" w:rsidRDefault="00312B9B" w:rsidP="001B56F1">
            <w:pPr>
              <w:pStyle w:val="TableBodyText"/>
              <w:rPr>
                <w:sz w:val="18"/>
                <w:szCs w:val="18"/>
              </w:rPr>
            </w:pPr>
            <w:r>
              <w:rPr>
                <w:sz w:val="18"/>
                <w:szCs w:val="18"/>
              </w:rPr>
              <w:noBreakHyphen/>
            </w:r>
          </w:p>
        </w:tc>
      </w:tr>
      <w:tr w:rsidR="00312B9B" w:rsidRPr="006C5A80" w:rsidTr="001B56F1">
        <w:tc>
          <w:tcPr>
            <w:tcW w:w="1960" w:type="pct"/>
            <w:vAlign w:val="bottom"/>
          </w:tcPr>
          <w:p w:rsidR="00312B9B" w:rsidRPr="00390699" w:rsidRDefault="00312B9B" w:rsidP="001B56F1">
            <w:pPr>
              <w:pStyle w:val="TableBodyText"/>
              <w:jc w:val="left"/>
              <w:rPr>
                <w:sz w:val="18"/>
                <w:szCs w:val="18"/>
              </w:rPr>
            </w:pPr>
            <w:r w:rsidRPr="00390699">
              <w:rPr>
                <w:sz w:val="18"/>
                <w:szCs w:val="18"/>
              </w:rPr>
              <w:t>Wholesale trade</w:t>
            </w:r>
          </w:p>
        </w:tc>
        <w:tc>
          <w:tcPr>
            <w:tcW w:w="507" w:type="pct"/>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312B9B" w:rsidRPr="002513B7" w:rsidRDefault="00312B9B" w:rsidP="001B56F1">
            <w:pPr>
              <w:pStyle w:val="TableBodyText"/>
              <w:rPr>
                <w:sz w:val="18"/>
                <w:szCs w:val="18"/>
              </w:rPr>
            </w:pPr>
            <w:r w:rsidRPr="002513B7">
              <w:rPr>
                <w:sz w:val="18"/>
                <w:szCs w:val="18"/>
              </w:rPr>
              <w:t>0.3</w:t>
            </w:r>
          </w:p>
        </w:tc>
        <w:tc>
          <w:tcPr>
            <w:tcW w:w="507" w:type="pct"/>
            <w:vAlign w:val="bottom"/>
          </w:tcPr>
          <w:p w:rsidR="00312B9B" w:rsidRPr="002513B7" w:rsidRDefault="00312B9B" w:rsidP="001B56F1">
            <w:pPr>
              <w:pStyle w:val="TableBodyText"/>
              <w:rPr>
                <w:sz w:val="18"/>
                <w:szCs w:val="18"/>
              </w:rPr>
            </w:pPr>
            <w:r w:rsidRPr="002513B7">
              <w:rPr>
                <w:sz w:val="18"/>
                <w:szCs w:val="18"/>
              </w:rPr>
              <w:t>0.2</w:t>
            </w:r>
          </w:p>
        </w:tc>
        <w:tc>
          <w:tcPr>
            <w:tcW w:w="507" w:type="pct"/>
            <w:vAlign w:val="bottom"/>
          </w:tcPr>
          <w:p w:rsidR="00312B9B" w:rsidRPr="002513B7" w:rsidRDefault="00312B9B" w:rsidP="001B56F1">
            <w:pPr>
              <w:pStyle w:val="TableBodyText"/>
              <w:rPr>
                <w:sz w:val="18"/>
                <w:szCs w:val="18"/>
              </w:rPr>
            </w:pPr>
            <w:r w:rsidRPr="002513B7">
              <w:rPr>
                <w:sz w:val="18"/>
                <w:szCs w:val="18"/>
              </w:rPr>
              <w:t>0.1</w:t>
            </w:r>
          </w:p>
        </w:tc>
        <w:tc>
          <w:tcPr>
            <w:tcW w:w="507" w:type="pct"/>
            <w:shd w:val="clear" w:color="auto" w:fill="auto"/>
            <w:vAlign w:val="bottom"/>
          </w:tcPr>
          <w:p w:rsidR="00312B9B" w:rsidRPr="002513B7" w:rsidRDefault="00312B9B" w:rsidP="001B56F1">
            <w:pPr>
              <w:pStyle w:val="TableBodyText"/>
              <w:rPr>
                <w:sz w:val="18"/>
                <w:szCs w:val="18"/>
              </w:rPr>
            </w:pPr>
            <w:r w:rsidRPr="002513B7">
              <w:rPr>
                <w:sz w:val="18"/>
                <w:szCs w:val="18"/>
              </w:rPr>
              <w:t>0.1</w:t>
            </w:r>
          </w:p>
        </w:tc>
        <w:tc>
          <w:tcPr>
            <w:tcW w:w="505" w:type="pct"/>
            <w:shd w:val="clear" w:color="auto" w:fill="auto"/>
            <w:vAlign w:val="bottom"/>
          </w:tcPr>
          <w:p w:rsidR="00312B9B" w:rsidRPr="002513B7" w:rsidRDefault="00312B9B" w:rsidP="001B56F1">
            <w:pPr>
              <w:pStyle w:val="TableBodyText"/>
              <w:rPr>
                <w:sz w:val="18"/>
                <w:szCs w:val="18"/>
              </w:rPr>
            </w:pPr>
            <w:r>
              <w:rPr>
                <w:sz w:val="18"/>
                <w:szCs w:val="18"/>
              </w:rPr>
              <w:noBreakHyphen/>
            </w:r>
          </w:p>
        </w:tc>
      </w:tr>
      <w:tr w:rsidR="00312B9B" w:rsidRPr="006C5A80" w:rsidTr="001B56F1">
        <w:tc>
          <w:tcPr>
            <w:tcW w:w="1960" w:type="pct"/>
            <w:vAlign w:val="bottom"/>
          </w:tcPr>
          <w:p w:rsidR="00312B9B" w:rsidRPr="00390699" w:rsidRDefault="00312B9B" w:rsidP="001B56F1">
            <w:pPr>
              <w:pStyle w:val="TableBodyText"/>
              <w:jc w:val="left"/>
              <w:rPr>
                <w:sz w:val="18"/>
                <w:szCs w:val="18"/>
              </w:rPr>
            </w:pPr>
            <w:r w:rsidRPr="00390699">
              <w:rPr>
                <w:sz w:val="18"/>
                <w:szCs w:val="18"/>
              </w:rPr>
              <w:t>Retail trade</w:t>
            </w:r>
          </w:p>
        </w:tc>
        <w:tc>
          <w:tcPr>
            <w:tcW w:w="507" w:type="pct"/>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312B9B" w:rsidRPr="002513B7" w:rsidRDefault="00312B9B" w:rsidP="001B56F1">
            <w:pPr>
              <w:pStyle w:val="TableBodyText"/>
              <w:rPr>
                <w:sz w:val="18"/>
                <w:szCs w:val="18"/>
              </w:rPr>
            </w:pPr>
            <w:r w:rsidRPr="002513B7">
              <w:rPr>
                <w:sz w:val="18"/>
                <w:szCs w:val="18"/>
              </w:rPr>
              <w:t>0.2</w:t>
            </w:r>
          </w:p>
        </w:tc>
        <w:tc>
          <w:tcPr>
            <w:tcW w:w="507" w:type="pct"/>
            <w:vAlign w:val="bottom"/>
          </w:tcPr>
          <w:p w:rsidR="00312B9B" w:rsidRPr="002513B7" w:rsidRDefault="00312B9B" w:rsidP="001B56F1">
            <w:pPr>
              <w:pStyle w:val="TableBodyText"/>
              <w:rPr>
                <w:sz w:val="18"/>
                <w:szCs w:val="18"/>
              </w:rPr>
            </w:pPr>
            <w:r w:rsidRPr="002513B7">
              <w:rPr>
                <w:sz w:val="18"/>
                <w:szCs w:val="18"/>
              </w:rPr>
              <w:t>0.1</w:t>
            </w:r>
          </w:p>
        </w:tc>
        <w:tc>
          <w:tcPr>
            <w:tcW w:w="507" w:type="pct"/>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shd w:val="clear" w:color="auto" w:fill="auto"/>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5" w:type="pct"/>
            <w:shd w:val="clear" w:color="auto" w:fill="auto"/>
            <w:vAlign w:val="bottom"/>
          </w:tcPr>
          <w:p w:rsidR="00312B9B" w:rsidRPr="002513B7" w:rsidRDefault="00312B9B" w:rsidP="001B56F1">
            <w:pPr>
              <w:pStyle w:val="TableBodyText"/>
              <w:rPr>
                <w:sz w:val="18"/>
                <w:szCs w:val="18"/>
              </w:rPr>
            </w:pPr>
            <w:r>
              <w:rPr>
                <w:sz w:val="18"/>
                <w:szCs w:val="18"/>
              </w:rPr>
              <w:noBreakHyphen/>
            </w:r>
          </w:p>
        </w:tc>
      </w:tr>
      <w:tr w:rsidR="00312B9B" w:rsidRPr="006C5A80" w:rsidTr="001B56F1">
        <w:tc>
          <w:tcPr>
            <w:tcW w:w="1960" w:type="pct"/>
            <w:vAlign w:val="bottom"/>
          </w:tcPr>
          <w:p w:rsidR="00312B9B" w:rsidRPr="00390699" w:rsidRDefault="00312B9B" w:rsidP="001B56F1">
            <w:pPr>
              <w:pStyle w:val="TableBodyText"/>
              <w:jc w:val="left"/>
              <w:rPr>
                <w:sz w:val="18"/>
                <w:szCs w:val="18"/>
              </w:rPr>
            </w:pPr>
            <w:r w:rsidRPr="00390699">
              <w:rPr>
                <w:sz w:val="18"/>
                <w:szCs w:val="18"/>
              </w:rPr>
              <w:t>Accommodation and food services</w:t>
            </w:r>
          </w:p>
        </w:tc>
        <w:tc>
          <w:tcPr>
            <w:tcW w:w="507" w:type="pct"/>
            <w:vAlign w:val="bottom"/>
          </w:tcPr>
          <w:p w:rsidR="00312B9B" w:rsidRPr="002513B7" w:rsidRDefault="00312B9B" w:rsidP="001B56F1">
            <w:pPr>
              <w:pStyle w:val="TableBodyText"/>
              <w:rPr>
                <w:sz w:val="18"/>
                <w:szCs w:val="18"/>
              </w:rPr>
            </w:pPr>
            <w:r>
              <w:rPr>
                <w:sz w:val="18"/>
                <w:szCs w:val="18"/>
              </w:rPr>
              <w:noBreakHyphen/>
            </w:r>
          </w:p>
        </w:tc>
        <w:tc>
          <w:tcPr>
            <w:tcW w:w="507" w:type="pct"/>
            <w:vAlign w:val="bottom"/>
          </w:tcPr>
          <w:p w:rsidR="00312B9B" w:rsidRPr="002513B7" w:rsidRDefault="00312B9B" w:rsidP="001B56F1">
            <w:pPr>
              <w:pStyle w:val="TableBodyText"/>
              <w:rPr>
                <w:sz w:val="18"/>
                <w:szCs w:val="18"/>
              </w:rPr>
            </w:pPr>
            <w:r>
              <w:rPr>
                <w:sz w:val="18"/>
                <w:szCs w:val="18"/>
              </w:rPr>
              <w:noBreakHyphen/>
            </w:r>
          </w:p>
        </w:tc>
        <w:tc>
          <w:tcPr>
            <w:tcW w:w="507" w:type="pct"/>
            <w:vAlign w:val="bottom"/>
          </w:tcPr>
          <w:p w:rsidR="00312B9B" w:rsidRPr="002513B7" w:rsidRDefault="00312B9B" w:rsidP="001B56F1">
            <w:pPr>
              <w:pStyle w:val="TableBodyText"/>
              <w:rPr>
                <w:sz w:val="18"/>
                <w:szCs w:val="18"/>
              </w:rPr>
            </w:pPr>
            <w:r>
              <w:rPr>
                <w:sz w:val="18"/>
                <w:szCs w:val="18"/>
              </w:rPr>
              <w:noBreakHyphen/>
            </w:r>
          </w:p>
        </w:tc>
        <w:tc>
          <w:tcPr>
            <w:tcW w:w="507" w:type="pct"/>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shd w:val="clear" w:color="auto" w:fill="auto"/>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5" w:type="pct"/>
            <w:shd w:val="clear" w:color="auto" w:fill="auto"/>
            <w:vAlign w:val="bottom"/>
          </w:tcPr>
          <w:p w:rsidR="00312B9B" w:rsidRPr="002513B7" w:rsidRDefault="00312B9B" w:rsidP="001B56F1">
            <w:pPr>
              <w:pStyle w:val="TableBodyText"/>
              <w:rPr>
                <w:sz w:val="18"/>
                <w:szCs w:val="18"/>
              </w:rPr>
            </w:pPr>
            <w:r>
              <w:rPr>
                <w:sz w:val="18"/>
                <w:szCs w:val="18"/>
              </w:rPr>
              <w:noBreakHyphen/>
            </w:r>
          </w:p>
        </w:tc>
      </w:tr>
      <w:tr w:rsidR="00312B9B" w:rsidRPr="006C5A80" w:rsidTr="001B56F1">
        <w:tc>
          <w:tcPr>
            <w:tcW w:w="1960" w:type="pct"/>
            <w:vAlign w:val="bottom"/>
          </w:tcPr>
          <w:p w:rsidR="00312B9B" w:rsidRPr="00390699" w:rsidRDefault="00312B9B" w:rsidP="001B56F1">
            <w:pPr>
              <w:pStyle w:val="TableBodyText"/>
              <w:jc w:val="left"/>
              <w:rPr>
                <w:sz w:val="18"/>
                <w:szCs w:val="18"/>
              </w:rPr>
            </w:pPr>
            <w:r w:rsidRPr="00390699">
              <w:rPr>
                <w:sz w:val="18"/>
                <w:szCs w:val="18"/>
              </w:rPr>
              <w:t>Transport, postal and warehousing</w:t>
            </w:r>
          </w:p>
        </w:tc>
        <w:tc>
          <w:tcPr>
            <w:tcW w:w="507" w:type="pct"/>
            <w:vAlign w:val="bottom"/>
          </w:tcPr>
          <w:p w:rsidR="00312B9B" w:rsidRPr="002513B7" w:rsidRDefault="00312B9B" w:rsidP="001B56F1">
            <w:pPr>
              <w:pStyle w:val="TableBodyText"/>
              <w:rPr>
                <w:sz w:val="18"/>
                <w:szCs w:val="18"/>
              </w:rPr>
            </w:pPr>
            <w:r w:rsidRPr="002513B7">
              <w:rPr>
                <w:sz w:val="18"/>
                <w:szCs w:val="18"/>
              </w:rPr>
              <w:t>0.1</w:t>
            </w:r>
          </w:p>
        </w:tc>
        <w:tc>
          <w:tcPr>
            <w:tcW w:w="507" w:type="pct"/>
            <w:vAlign w:val="bottom"/>
          </w:tcPr>
          <w:p w:rsidR="00312B9B" w:rsidRPr="002513B7" w:rsidRDefault="00312B9B" w:rsidP="001B56F1">
            <w:pPr>
              <w:pStyle w:val="TableBodyText"/>
              <w:rPr>
                <w:sz w:val="18"/>
                <w:szCs w:val="18"/>
              </w:rPr>
            </w:pPr>
            <w:r w:rsidRPr="002513B7">
              <w:rPr>
                <w:sz w:val="18"/>
                <w:szCs w:val="18"/>
              </w:rPr>
              <w:t>0.1</w:t>
            </w:r>
          </w:p>
        </w:tc>
        <w:tc>
          <w:tcPr>
            <w:tcW w:w="507" w:type="pct"/>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312B9B" w:rsidRPr="002513B7" w:rsidRDefault="00312B9B" w:rsidP="001B56F1">
            <w:pPr>
              <w:pStyle w:val="TableBodyText"/>
              <w:rPr>
                <w:sz w:val="18"/>
                <w:szCs w:val="18"/>
              </w:rPr>
            </w:pPr>
            <w:r w:rsidRPr="002513B7">
              <w:rPr>
                <w:sz w:val="18"/>
                <w:szCs w:val="18"/>
              </w:rPr>
              <w:t>0.1</w:t>
            </w:r>
          </w:p>
        </w:tc>
        <w:tc>
          <w:tcPr>
            <w:tcW w:w="507" w:type="pct"/>
            <w:shd w:val="clear" w:color="auto" w:fill="auto"/>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5" w:type="pct"/>
            <w:shd w:val="clear" w:color="auto" w:fill="auto"/>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r>
      <w:tr w:rsidR="00312B9B" w:rsidRPr="006C5A80" w:rsidTr="001B56F1">
        <w:tc>
          <w:tcPr>
            <w:tcW w:w="1960" w:type="pct"/>
            <w:vAlign w:val="bottom"/>
          </w:tcPr>
          <w:p w:rsidR="00312B9B" w:rsidRPr="00390699" w:rsidRDefault="00312B9B" w:rsidP="001B56F1">
            <w:pPr>
              <w:pStyle w:val="TableBodyText"/>
              <w:jc w:val="left"/>
              <w:rPr>
                <w:sz w:val="18"/>
                <w:szCs w:val="18"/>
              </w:rPr>
            </w:pPr>
            <w:r w:rsidRPr="00390699">
              <w:rPr>
                <w:sz w:val="18"/>
                <w:szCs w:val="18"/>
              </w:rPr>
              <w:t>Information, media and telecommunications</w:t>
            </w:r>
          </w:p>
        </w:tc>
        <w:tc>
          <w:tcPr>
            <w:tcW w:w="507" w:type="pct"/>
            <w:vAlign w:val="bottom"/>
          </w:tcPr>
          <w:p w:rsidR="00312B9B" w:rsidRPr="002513B7" w:rsidRDefault="00312B9B" w:rsidP="001B56F1">
            <w:pPr>
              <w:pStyle w:val="TableBodyText"/>
              <w:rPr>
                <w:sz w:val="18"/>
                <w:szCs w:val="18"/>
              </w:rPr>
            </w:pPr>
            <w:r w:rsidRPr="002513B7">
              <w:rPr>
                <w:sz w:val="18"/>
                <w:szCs w:val="18"/>
              </w:rPr>
              <w:t>0.6</w:t>
            </w:r>
          </w:p>
        </w:tc>
        <w:tc>
          <w:tcPr>
            <w:tcW w:w="507" w:type="pct"/>
            <w:vAlign w:val="bottom"/>
          </w:tcPr>
          <w:p w:rsidR="00312B9B" w:rsidRPr="002513B7" w:rsidRDefault="00312B9B" w:rsidP="001B56F1">
            <w:pPr>
              <w:pStyle w:val="TableBodyText"/>
              <w:rPr>
                <w:sz w:val="18"/>
                <w:szCs w:val="18"/>
              </w:rPr>
            </w:pPr>
            <w:r w:rsidRPr="002513B7">
              <w:rPr>
                <w:sz w:val="18"/>
                <w:szCs w:val="18"/>
              </w:rPr>
              <w:t>1.1</w:t>
            </w:r>
          </w:p>
        </w:tc>
        <w:tc>
          <w:tcPr>
            <w:tcW w:w="507" w:type="pct"/>
            <w:vAlign w:val="bottom"/>
          </w:tcPr>
          <w:p w:rsidR="00312B9B" w:rsidRPr="002513B7" w:rsidRDefault="00312B9B" w:rsidP="001B56F1">
            <w:pPr>
              <w:pStyle w:val="TableBodyText"/>
              <w:rPr>
                <w:sz w:val="18"/>
                <w:szCs w:val="18"/>
              </w:rPr>
            </w:pPr>
            <w:r w:rsidRPr="002513B7">
              <w:rPr>
                <w:sz w:val="18"/>
                <w:szCs w:val="18"/>
              </w:rPr>
              <w:t>1.2</w:t>
            </w:r>
          </w:p>
        </w:tc>
        <w:tc>
          <w:tcPr>
            <w:tcW w:w="507" w:type="pct"/>
            <w:vAlign w:val="bottom"/>
          </w:tcPr>
          <w:p w:rsidR="00312B9B" w:rsidRPr="002513B7" w:rsidRDefault="00312B9B" w:rsidP="001B56F1">
            <w:pPr>
              <w:pStyle w:val="TableBodyText"/>
              <w:rPr>
                <w:sz w:val="18"/>
                <w:szCs w:val="18"/>
              </w:rPr>
            </w:pPr>
            <w:r w:rsidRPr="002513B7">
              <w:rPr>
                <w:sz w:val="18"/>
                <w:szCs w:val="18"/>
              </w:rPr>
              <w:t>1.0</w:t>
            </w:r>
          </w:p>
        </w:tc>
        <w:tc>
          <w:tcPr>
            <w:tcW w:w="507" w:type="pct"/>
            <w:shd w:val="clear" w:color="auto" w:fill="auto"/>
            <w:vAlign w:val="bottom"/>
          </w:tcPr>
          <w:p w:rsidR="00312B9B" w:rsidRPr="002513B7" w:rsidRDefault="00312B9B" w:rsidP="001B56F1">
            <w:pPr>
              <w:pStyle w:val="TableBodyText"/>
              <w:rPr>
                <w:sz w:val="18"/>
                <w:szCs w:val="18"/>
              </w:rPr>
            </w:pPr>
            <w:r w:rsidRPr="002513B7">
              <w:rPr>
                <w:sz w:val="18"/>
                <w:szCs w:val="18"/>
              </w:rPr>
              <w:t>0.6</w:t>
            </w:r>
          </w:p>
        </w:tc>
        <w:tc>
          <w:tcPr>
            <w:tcW w:w="505" w:type="pct"/>
            <w:shd w:val="clear" w:color="auto" w:fill="auto"/>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r>
      <w:tr w:rsidR="00312B9B" w:rsidRPr="006C5A80" w:rsidTr="001B56F1">
        <w:tc>
          <w:tcPr>
            <w:tcW w:w="1960" w:type="pct"/>
            <w:vAlign w:val="bottom"/>
          </w:tcPr>
          <w:p w:rsidR="00312B9B" w:rsidRPr="00390699" w:rsidRDefault="00312B9B" w:rsidP="001B56F1">
            <w:pPr>
              <w:pStyle w:val="TableBodyText"/>
              <w:jc w:val="left"/>
              <w:rPr>
                <w:sz w:val="18"/>
                <w:szCs w:val="18"/>
              </w:rPr>
            </w:pPr>
            <w:r w:rsidRPr="00390699">
              <w:rPr>
                <w:sz w:val="18"/>
                <w:szCs w:val="18"/>
              </w:rPr>
              <w:t>Financial and insurance services</w:t>
            </w:r>
          </w:p>
        </w:tc>
        <w:tc>
          <w:tcPr>
            <w:tcW w:w="507" w:type="pct"/>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312B9B" w:rsidRPr="002513B7" w:rsidRDefault="00312B9B" w:rsidP="001B56F1">
            <w:pPr>
              <w:pStyle w:val="TableBodyText"/>
              <w:rPr>
                <w:sz w:val="18"/>
                <w:szCs w:val="18"/>
              </w:rPr>
            </w:pPr>
            <w:r w:rsidRPr="002513B7">
              <w:rPr>
                <w:sz w:val="18"/>
                <w:szCs w:val="18"/>
              </w:rPr>
              <w:t>0.1</w:t>
            </w:r>
          </w:p>
        </w:tc>
        <w:tc>
          <w:tcPr>
            <w:tcW w:w="507" w:type="pct"/>
            <w:vAlign w:val="bottom"/>
          </w:tcPr>
          <w:p w:rsidR="00312B9B" w:rsidRPr="002513B7" w:rsidRDefault="00312B9B" w:rsidP="001B56F1">
            <w:pPr>
              <w:pStyle w:val="TableBodyText"/>
              <w:rPr>
                <w:sz w:val="18"/>
                <w:szCs w:val="18"/>
              </w:rPr>
            </w:pPr>
            <w:r w:rsidRPr="002513B7">
              <w:rPr>
                <w:sz w:val="18"/>
                <w:szCs w:val="18"/>
              </w:rPr>
              <w:t>0.2</w:t>
            </w:r>
          </w:p>
        </w:tc>
        <w:tc>
          <w:tcPr>
            <w:tcW w:w="507" w:type="pct"/>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shd w:val="clear" w:color="auto" w:fill="auto"/>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5" w:type="pct"/>
            <w:shd w:val="clear" w:color="auto" w:fill="auto"/>
            <w:vAlign w:val="bottom"/>
          </w:tcPr>
          <w:p w:rsidR="00312B9B" w:rsidRPr="002513B7" w:rsidRDefault="00312B9B" w:rsidP="001B56F1">
            <w:pPr>
              <w:pStyle w:val="TableBodyText"/>
              <w:rPr>
                <w:sz w:val="18"/>
                <w:szCs w:val="18"/>
              </w:rPr>
            </w:pPr>
            <w:r>
              <w:rPr>
                <w:sz w:val="18"/>
                <w:szCs w:val="18"/>
              </w:rPr>
              <w:noBreakHyphen/>
            </w:r>
          </w:p>
        </w:tc>
      </w:tr>
      <w:tr w:rsidR="00312B9B" w:rsidRPr="006C5A80" w:rsidTr="001B56F1">
        <w:tc>
          <w:tcPr>
            <w:tcW w:w="1960" w:type="pct"/>
            <w:vAlign w:val="bottom"/>
          </w:tcPr>
          <w:p w:rsidR="00312B9B" w:rsidRPr="00390699" w:rsidRDefault="00312B9B" w:rsidP="001B56F1">
            <w:pPr>
              <w:pStyle w:val="TableBodyText"/>
              <w:jc w:val="left"/>
              <w:rPr>
                <w:sz w:val="18"/>
                <w:szCs w:val="18"/>
              </w:rPr>
            </w:pPr>
            <w:r w:rsidRPr="00390699">
              <w:rPr>
                <w:sz w:val="18"/>
                <w:szCs w:val="18"/>
              </w:rPr>
              <w:t>Property, professional and administrative services</w:t>
            </w:r>
          </w:p>
        </w:tc>
        <w:tc>
          <w:tcPr>
            <w:tcW w:w="507" w:type="pct"/>
            <w:vAlign w:val="bottom"/>
          </w:tcPr>
          <w:p w:rsidR="00312B9B" w:rsidRPr="002513B7" w:rsidRDefault="00312B9B" w:rsidP="001B56F1">
            <w:pPr>
              <w:pStyle w:val="TableBodyText"/>
              <w:rPr>
                <w:sz w:val="18"/>
                <w:szCs w:val="18"/>
              </w:rPr>
            </w:pPr>
            <w:r w:rsidRPr="002513B7">
              <w:rPr>
                <w:sz w:val="18"/>
                <w:szCs w:val="18"/>
              </w:rPr>
              <w:t>3.6</w:t>
            </w:r>
          </w:p>
        </w:tc>
        <w:tc>
          <w:tcPr>
            <w:tcW w:w="507" w:type="pct"/>
            <w:vAlign w:val="bottom"/>
          </w:tcPr>
          <w:p w:rsidR="00312B9B" w:rsidRPr="002513B7" w:rsidRDefault="00312B9B" w:rsidP="001B56F1">
            <w:pPr>
              <w:pStyle w:val="TableBodyText"/>
              <w:rPr>
                <w:sz w:val="18"/>
                <w:szCs w:val="18"/>
              </w:rPr>
            </w:pPr>
            <w:r w:rsidRPr="002513B7">
              <w:rPr>
                <w:sz w:val="18"/>
                <w:szCs w:val="18"/>
              </w:rPr>
              <w:t>6.5</w:t>
            </w:r>
          </w:p>
        </w:tc>
        <w:tc>
          <w:tcPr>
            <w:tcW w:w="507" w:type="pct"/>
            <w:vAlign w:val="bottom"/>
          </w:tcPr>
          <w:p w:rsidR="00312B9B" w:rsidRPr="002513B7" w:rsidRDefault="00312B9B" w:rsidP="001B56F1">
            <w:pPr>
              <w:pStyle w:val="TableBodyText"/>
              <w:rPr>
                <w:sz w:val="18"/>
                <w:szCs w:val="18"/>
              </w:rPr>
            </w:pPr>
            <w:r w:rsidRPr="002513B7">
              <w:rPr>
                <w:sz w:val="18"/>
                <w:szCs w:val="18"/>
              </w:rPr>
              <w:t>3.9</w:t>
            </w:r>
          </w:p>
        </w:tc>
        <w:tc>
          <w:tcPr>
            <w:tcW w:w="507" w:type="pct"/>
            <w:vAlign w:val="bottom"/>
          </w:tcPr>
          <w:p w:rsidR="00312B9B" w:rsidRPr="002513B7" w:rsidRDefault="00312B9B" w:rsidP="001B56F1">
            <w:pPr>
              <w:pStyle w:val="TableBodyText"/>
              <w:rPr>
                <w:sz w:val="18"/>
                <w:szCs w:val="18"/>
              </w:rPr>
            </w:pPr>
            <w:r w:rsidRPr="002513B7">
              <w:rPr>
                <w:sz w:val="18"/>
                <w:szCs w:val="18"/>
              </w:rPr>
              <w:t>3.1</w:t>
            </w:r>
          </w:p>
        </w:tc>
        <w:tc>
          <w:tcPr>
            <w:tcW w:w="507" w:type="pct"/>
            <w:shd w:val="clear" w:color="auto" w:fill="auto"/>
            <w:vAlign w:val="bottom"/>
          </w:tcPr>
          <w:p w:rsidR="00312B9B" w:rsidRPr="002513B7" w:rsidRDefault="00312B9B" w:rsidP="001B56F1">
            <w:pPr>
              <w:pStyle w:val="TableBodyText"/>
              <w:rPr>
                <w:sz w:val="18"/>
                <w:szCs w:val="18"/>
              </w:rPr>
            </w:pPr>
            <w:r w:rsidRPr="002513B7">
              <w:rPr>
                <w:sz w:val="18"/>
                <w:szCs w:val="18"/>
              </w:rPr>
              <w:t>1.4</w:t>
            </w:r>
          </w:p>
        </w:tc>
        <w:tc>
          <w:tcPr>
            <w:tcW w:w="505" w:type="pct"/>
            <w:shd w:val="clear" w:color="auto" w:fill="auto"/>
            <w:vAlign w:val="bottom"/>
          </w:tcPr>
          <w:p w:rsidR="00312B9B" w:rsidRPr="002513B7" w:rsidRDefault="00312B9B" w:rsidP="001B56F1">
            <w:pPr>
              <w:pStyle w:val="TableBodyText"/>
              <w:rPr>
                <w:sz w:val="18"/>
                <w:szCs w:val="18"/>
              </w:rPr>
            </w:pPr>
            <w:r w:rsidRPr="002513B7">
              <w:rPr>
                <w:sz w:val="18"/>
                <w:szCs w:val="18"/>
              </w:rPr>
              <w:t>0.0</w:t>
            </w:r>
          </w:p>
        </w:tc>
      </w:tr>
      <w:tr w:rsidR="00312B9B" w:rsidRPr="006C5A80" w:rsidTr="001B56F1">
        <w:tc>
          <w:tcPr>
            <w:tcW w:w="1960" w:type="pct"/>
            <w:vAlign w:val="bottom"/>
          </w:tcPr>
          <w:p w:rsidR="00312B9B" w:rsidRPr="00390699" w:rsidRDefault="00312B9B" w:rsidP="001B56F1">
            <w:pPr>
              <w:pStyle w:val="TableBodyText"/>
              <w:jc w:val="left"/>
              <w:rPr>
                <w:sz w:val="18"/>
                <w:szCs w:val="18"/>
              </w:rPr>
            </w:pPr>
            <w:r w:rsidRPr="00390699">
              <w:rPr>
                <w:sz w:val="18"/>
                <w:szCs w:val="18"/>
              </w:rPr>
              <w:t>Public administration and safety</w:t>
            </w:r>
          </w:p>
        </w:tc>
        <w:tc>
          <w:tcPr>
            <w:tcW w:w="507" w:type="pct"/>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312B9B" w:rsidRPr="002513B7" w:rsidRDefault="00312B9B" w:rsidP="001B56F1">
            <w:pPr>
              <w:pStyle w:val="TableBodyText"/>
              <w:rPr>
                <w:sz w:val="18"/>
                <w:szCs w:val="18"/>
              </w:rPr>
            </w:pPr>
            <w:r w:rsidRPr="002513B7">
              <w:rPr>
                <w:sz w:val="18"/>
                <w:szCs w:val="18"/>
              </w:rPr>
              <w:t>0.2</w:t>
            </w:r>
          </w:p>
        </w:tc>
        <w:tc>
          <w:tcPr>
            <w:tcW w:w="507" w:type="pct"/>
            <w:shd w:val="clear" w:color="auto" w:fill="auto"/>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5" w:type="pct"/>
            <w:shd w:val="clear" w:color="auto" w:fill="auto"/>
            <w:vAlign w:val="bottom"/>
          </w:tcPr>
          <w:p w:rsidR="00312B9B" w:rsidRPr="002513B7" w:rsidRDefault="00312B9B" w:rsidP="001B56F1">
            <w:pPr>
              <w:pStyle w:val="TableBodyText"/>
              <w:rPr>
                <w:sz w:val="18"/>
                <w:szCs w:val="18"/>
              </w:rPr>
            </w:pPr>
            <w:r>
              <w:rPr>
                <w:sz w:val="18"/>
                <w:szCs w:val="18"/>
              </w:rPr>
              <w:noBreakHyphen/>
            </w:r>
          </w:p>
        </w:tc>
      </w:tr>
      <w:tr w:rsidR="00312B9B" w:rsidRPr="006C5A80" w:rsidTr="001B56F1">
        <w:tc>
          <w:tcPr>
            <w:tcW w:w="1960" w:type="pct"/>
            <w:vAlign w:val="bottom"/>
          </w:tcPr>
          <w:p w:rsidR="00312B9B" w:rsidRPr="00390699" w:rsidRDefault="00312B9B" w:rsidP="001B56F1">
            <w:pPr>
              <w:pStyle w:val="TableBodyText"/>
              <w:jc w:val="left"/>
              <w:rPr>
                <w:sz w:val="18"/>
                <w:szCs w:val="18"/>
              </w:rPr>
            </w:pPr>
            <w:r w:rsidRPr="00390699">
              <w:rPr>
                <w:sz w:val="18"/>
                <w:szCs w:val="18"/>
              </w:rPr>
              <w:t>Education and training</w:t>
            </w:r>
          </w:p>
        </w:tc>
        <w:tc>
          <w:tcPr>
            <w:tcW w:w="507" w:type="pct"/>
            <w:vAlign w:val="bottom"/>
          </w:tcPr>
          <w:p w:rsidR="00312B9B" w:rsidRPr="002513B7" w:rsidRDefault="00312B9B" w:rsidP="001B56F1">
            <w:pPr>
              <w:pStyle w:val="TableBodyText"/>
              <w:rPr>
                <w:sz w:val="18"/>
                <w:szCs w:val="18"/>
              </w:rPr>
            </w:pPr>
            <w:r w:rsidRPr="002513B7">
              <w:rPr>
                <w:sz w:val="18"/>
                <w:szCs w:val="18"/>
              </w:rPr>
              <w:t>0.2</w:t>
            </w:r>
          </w:p>
        </w:tc>
        <w:tc>
          <w:tcPr>
            <w:tcW w:w="507" w:type="pct"/>
            <w:vAlign w:val="bottom"/>
          </w:tcPr>
          <w:p w:rsidR="00312B9B" w:rsidRPr="002513B7" w:rsidRDefault="00312B9B" w:rsidP="001B56F1">
            <w:pPr>
              <w:pStyle w:val="TableBodyText"/>
              <w:rPr>
                <w:sz w:val="18"/>
                <w:szCs w:val="18"/>
              </w:rPr>
            </w:pPr>
            <w:r w:rsidRPr="002513B7">
              <w:rPr>
                <w:sz w:val="18"/>
                <w:szCs w:val="18"/>
              </w:rPr>
              <w:t>0.3</w:t>
            </w:r>
          </w:p>
        </w:tc>
        <w:tc>
          <w:tcPr>
            <w:tcW w:w="507" w:type="pct"/>
            <w:vAlign w:val="bottom"/>
          </w:tcPr>
          <w:p w:rsidR="00312B9B" w:rsidRPr="002513B7" w:rsidRDefault="00312B9B" w:rsidP="001B56F1">
            <w:pPr>
              <w:pStyle w:val="TableBodyText"/>
              <w:rPr>
                <w:sz w:val="18"/>
                <w:szCs w:val="18"/>
              </w:rPr>
            </w:pPr>
            <w:r w:rsidRPr="002513B7">
              <w:rPr>
                <w:sz w:val="18"/>
                <w:szCs w:val="18"/>
              </w:rPr>
              <w:t>0.2</w:t>
            </w:r>
          </w:p>
        </w:tc>
        <w:tc>
          <w:tcPr>
            <w:tcW w:w="507" w:type="pct"/>
            <w:vAlign w:val="bottom"/>
          </w:tcPr>
          <w:p w:rsidR="00312B9B" w:rsidRPr="002513B7" w:rsidRDefault="00312B9B" w:rsidP="001B56F1">
            <w:pPr>
              <w:pStyle w:val="TableBodyText"/>
              <w:rPr>
                <w:sz w:val="18"/>
                <w:szCs w:val="18"/>
              </w:rPr>
            </w:pPr>
            <w:r w:rsidRPr="002513B7">
              <w:rPr>
                <w:sz w:val="18"/>
                <w:szCs w:val="18"/>
              </w:rPr>
              <w:t>0.1</w:t>
            </w:r>
          </w:p>
        </w:tc>
        <w:tc>
          <w:tcPr>
            <w:tcW w:w="507" w:type="pct"/>
            <w:shd w:val="clear" w:color="auto" w:fill="auto"/>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5" w:type="pct"/>
            <w:shd w:val="clear" w:color="auto" w:fill="auto"/>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r>
      <w:tr w:rsidR="00312B9B" w:rsidRPr="006C5A80" w:rsidTr="001B56F1">
        <w:tc>
          <w:tcPr>
            <w:tcW w:w="1960" w:type="pct"/>
            <w:vAlign w:val="bottom"/>
          </w:tcPr>
          <w:p w:rsidR="00312B9B" w:rsidRPr="00390699" w:rsidRDefault="00312B9B" w:rsidP="001B56F1">
            <w:pPr>
              <w:pStyle w:val="TableBodyText"/>
              <w:jc w:val="left"/>
              <w:rPr>
                <w:sz w:val="18"/>
                <w:szCs w:val="18"/>
              </w:rPr>
            </w:pPr>
            <w:r w:rsidRPr="00390699">
              <w:rPr>
                <w:sz w:val="18"/>
                <w:szCs w:val="18"/>
              </w:rPr>
              <w:t>Health care and social assistance</w:t>
            </w:r>
          </w:p>
        </w:tc>
        <w:tc>
          <w:tcPr>
            <w:tcW w:w="507" w:type="pct"/>
            <w:vAlign w:val="bottom"/>
          </w:tcPr>
          <w:p w:rsidR="00312B9B" w:rsidRPr="002513B7" w:rsidRDefault="00312B9B" w:rsidP="001B56F1">
            <w:pPr>
              <w:pStyle w:val="TableBodyText"/>
              <w:rPr>
                <w:sz w:val="18"/>
                <w:szCs w:val="18"/>
              </w:rPr>
            </w:pPr>
            <w:r w:rsidRPr="002513B7">
              <w:rPr>
                <w:sz w:val="18"/>
                <w:szCs w:val="18"/>
              </w:rPr>
              <w:t>0.5</w:t>
            </w:r>
          </w:p>
        </w:tc>
        <w:tc>
          <w:tcPr>
            <w:tcW w:w="507" w:type="pct"/>
            <w:vAlign w:val="bottom"/>
          </w:tcPr>
          <w:p w:rsidR="00312B9B" w:rsidRPr="002513B7" w:rsidRDefault="00312B9B" w:rsidP="001B56F1">
            <w:pPr>
              <w:pStyle w:val="TableBodyText"/>
              <w:rPr>
                <w:sz w:val="18"/>
                <w:szCs w:val="18"/>
              </w:rPr>
            </w:pPr>
            <w:r w:rsidRPr="002513B7">
              <w:rPr>
                <w:sz w:val="18"/>
                <w:szCs w:val="18"/>
              </w:rPr>
              <w:t>1.5</w:t>
            </w:r>
          </w:p>
        </w:tc>
        <w:tc>
          <w:tcPr>
            <w:tcW w:w="507" w:type="pct"/>
            <w:vAlign w:val="bottom"/>
          </w:tcPr>
          <w:p w:rsidR="00312B9B" w:rsidRPr="002513B7" w:rsidRDefault="00312B9B" w:rsidP="001B56F1">
            <w:pPr>
              <w:pStyle w:val="TableBodyText"/>
              <w:rPr>
                <w:sz w:val="18"/>
                <w:szCs w:val="18"/>
              </w:rPr>
            </w:pPr>
            <w:r w:rsidRPr="002513B7">
              <w:rPr>
                <w:sz w:val="18"/>
                <w:szCs w:val="18"/>
              </w:rPr>
              <w:t>0.4</w:t>
            </w:r>
          </w:p>
        </w:tc>
        <w:tc>
          <w:tcPr>
            <w:tcW w:w="507" w:type="pct"/>
            <w:vAlign w:val="bottom"/>
          </w:tcPr>
          <w:p w:rsidR="00312B9B" w:rsidRPr="002513B7" w:rsidRDefault="00312B9B" w:rsidP="001B56F1">
            <w:pPr>
              <w:pStyle w:val="TableBodyText"/>
              <w:rPr>
                <w:sz w:val="18"/>
                <w:szCs w:val="18"/>
              </w:rPr>
            </w:pPr>
            <w:r w:rsidRPr="002513B7">
              <w:rPr>
                <w:sz w:val="18"/>
                <w:szCs w:val="18"/>
              </w:rPr>
              <w:t>0.3</w:t>
            </w:r>
          </w:p>
        </w:tc>
        <w:tc>
          <w:tcPr>
            <w:tcW w:w="507" w:type="pct"/>
            <w:shd w:val="clear" w:color="auto" w:fill="auto"/>
            <w:vAlign w:val="bottom"/>
          </w:tcPr>
          <w:p w:rsidR="00312B9B" w:rsidRPr="002513B7" w:rsidRDefault="00312B9B" w:rsidP="001B56F1">
            <w:pPr>
              <w:pStyle w:val="TableBodyText"/>
              <w:rPr>
                <w:sz w:val="18"/>
                <w:szCs w:val="18"/>
              </w:rPr>
            </w:pPr>
            <w:r w:rsidRPr="002513B7">
              <w:rPr>
                <w:sz w:val="18"/>
                <w:szCs w:val="18"/>
              </w:rPr>
              <w:t>0.2</w:t>
            </w:r>
          </w:p>
        </w:tc>
        <w:tc>
          <w:tcPr>
            <w:tcW w:w="505" w:type="pct"/>
            <w:shd w:val="clear" w:color="auto" w:fill="auto"/>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r>
      <w:tr w:rsidR="00312B9B" w:rsidRPr="006C5A80" w:rsidTr="001B56F1">
        <w:tc>
          <w:tcPr>
            <w:tcW w:w="1960" w:type="pct"/>
            <w:vAlign w:val="bottom"/>
          </w:tcPr>
          <w:p w:rsidR="00312B9B" w:rsidRPr="00390699" w:rsidRDefault="00312B9B" w:rsidP="001B56F1">
            <w:pPr>
              <w:pStyle w:val="TableBodyText"/>
              <w:jc w:val="left"/>
              <w:rPr>
                <w:sz w:val="18"/>
                <w:szCs w:val="18"/>
              </w:rPr>
            </w:pPr>
            <w:r w:rsidRPr="00390699">
              <w:rPr>
                <w:sz w:val="18"/>
                <w:szCs w:val="18"/>
              </w:rPr>
              <w:t>Arts and recreation services</w:t>
            </w:r>
          </w:p>
        </w:tc>
        <w:tc>
          <w:tcPr>
            <w:tcW w:w="507" w:type="pct"/>
            <w:vAlign w:val="bottom"/>
          </w:tcPr>
          <w:p w:rsidR="00312B9B" w:rsidRPr="002513B7" w:rsidRDefault="00312B9B" w:rsidP="001B56F1">
            <w:pPr>
              <w:pStyle w:val="TableBodyText"/>
              <w:rPr>
                <w:sz w:val="18"/>
                <w:szCs w:val="18"/>
              </w:rPr>
            </w:pPr>
            <w:r w:rsidRPr="002513B7">
              <w:rPr>
                <w:sz w:val="18"/>
                <w:szCs w:val="18"/>
              </w:rPr>
              <w:t>0.2</w:t>
            </w:r>
          </w:p>
        </w:tc>
        <w:tc>
          <w:tcPr>
            <w:tcW w:w="507" w:type="pct"/>
            <w:vAlign w:val="bottom"/>
          </w:tcPr>
          <w:p w:rsidR="00312B9B" w:rsidRPr="002513B7" w:rsidRDefault="00312B9B" w:rsidP="001B56F1">
            <w:pPr>
              <w:pStyle w:val="TableBodyText"/>
              <w:rPr>
                <w:sz w:val="18"/>
                <w:szCs w:val="18"/>
              </w:rPr>
            </w:pPr>
            <w:r w:rsidRPr="002513B7">
              <w:rPr>
                <w:sz w:val="18"/>
                <w:szCs w:val="18"/>
              </w:rPr>
              <w:t>0.4</w:t>
            </w:r>
          </w:p>
        </w:tc>
        <w:tc>
          <w:tcPr>
            <w:tcW w:w="507" w:type="pct"/>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312B9B" w:rsidRPr="002513B7" w:rsidRDefault="00312B9B" w:rsidP="001B56F1">
            <w:pPr>
              <w:pStyle w:val="TableBodyText"/>
              <w:rPr>
                <w:sz w:val="18"/>
                <w:szCs w:val="18"/>
              </w:rPr>
            </w:pPr>
            <w:r w:rsidRPr="002513B7">
              <w:rPr>
                <w:sz w:val="18"/>
                <w:szCs w:val="18"/>
              </w:rPr>
              <w:t>0.2</w:t>
            </w:r>
          </w:p>
        </w:tc>
        <w:tc>
          <w:tcPr>
            <w:tcW w:w="507" w:type="pct"/>
            <w:shd w:val="clear" w:color="auto" w:fill="auto"/>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5" w:type="pct"/>
            <w:shd w:val="clear" w:color="auto" w:fill="auto"/>
            <w:vAlign w:val="bottom"/>
          </w:tcPr>
          <w:p w:rsidR="00312B9B" w:rsidRPr="002513B7" w:rsidRDefault="00312B9B" w:rsidP="001B56F1">
            <w:pPr>
              <w:pStyle w:val="TableBodyText"/>
              <w:rPr>
                <w:sz w:val="18"/>
                <w:szCs w:val="18"/>
              </w:rPr>
            </w:pPr>
            <w:r>
              <w:rPr>
                <w:sz w:val="18"/>
                <w:szCs w:val="18"/>
              </w:rPr>
              <w:noBreakHyphen/>
            </w:r>
          </w:p>
        </w:tc>
      </w:tr>
      <w:tr w:rsidR="00312B9B" w:rsidRPr="006C5A80" w:rsidTr="001B56F1">
        <w:tc>
          <w:tcPr>
            <w:tcW w:w="1960" w:type="pct"/>
            <w:vAlign w:val="bottom"/>
          </w:tcPr>
          <w:p w:rsidR="00312B9B" w:rsidRPr="00390699" w:rsidRDefault="00312B9B" w:rsidP="001B56F1">
            <w:pPr>
              <w:pStyle w:val="TableBodyText"/>
              <w:jc w:val="left"/>
              <w:rPr>
                <w:sz w:val="18"/>
                <w:szCs w:val="18"/>
              </w:rPr>
            </w:pPr>
            <w:r w:rsidRPr="00390699">
              <w:rPr>
                <w:sz w:val="18"/>
                <w:szCs w:val="18"/>
              </w:rPr>
              <w:t>Other services</w:t>
            </w:r>
          </w:p>
        </w:tc>
        <w:tc>
          <w:tcPr>
            <w:tcW w:w="507" w:type="pct"/>
            <w:vAlign w:val="bottom"/>
          </w:tcPr>
          <w:p w:rsidR="00312B9B" w:rsidRPr="002513B7" w:rsidRDefault="00312B9B" w:rsidP="001B56F1">
            <w:pPr>
              <w:pStyle w:val="TableBodyText"/>
              <w:rPr>
                <w:sz w:val="18"/>
                <w:szCs w:val="18"/>
              </w:rPr>
            </w:pPr>
            <w:r w:rsidRPr="002513B7">
              <w:rPr>
                <w:sz w:val="18"/>
                <w:szCs w:val="18"/>
              </w:rPr>
              <w:t>0.1</w:t>
            </w:r>
          </w:p>
        </w:tc>
        <w:tc>
          <w:tcPr>
            <w:tcW w:w="507" w:type="pct"/>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312B9B" w:rsidRPr="002513B7" w:rsidRDefault="00312B9B" w:rsidP="001B56F1">
            <w:pPr>
              <w:pStyle w:val="TableBodyText"/>
              <w:rPr>
                <w:sz w:val="18"/>
                <w:szCs w:val="18"/>
              </w:rPr>
            </w:pPr>
            <w:r w:rsidRPr="002513B7">
              <w:rPr>
                <w:sz w:val="18"/>
                <w:szCs w:val="18"/>
              </w:rPr>
              <w:t>0.1</w:t>
            </w:r>
          </w:p>
        </w:tc>
        <w:tc>
          <w:tcPr>
            <w:tcW w:w="507" w:type="pct"/>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shd w:val="clear" w:color="auto" w:fill="auto"/>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5" w:type="pct"/>
            <w:shd w:val="clear" w:color="auto" w:fill="auto"/>
            <w:vAlign w:val="bottom"/>
          </w:tcPr>
          <w:p w:rsidR="00312B9B" w:rsidRPr="002513B7" w:rsidRDefault="00312B9B" w:rsidP="001B56F1">
            <w:pPr>
              <w:pStyle w:val="TableBodyText"/>
              <w:rPr>
                <w:sz w:val="18"/>
                <w:szCs w:val="18"/>
              </w:rPr>
            </w:pPr>
            <w:r>
              <w:rPr>
                <w:sz w:val="18"/>
                <w:szCs w:val="18"/>
              </w:rPr>
              <w:noBreakHyphen/>
            </w:r>
          </w:p>
        </w:tc>
      </w:tr>
      <w:tr w:rsidR="00312B9B" w:rsidRPr="006C5A80" w:rsidTr="001B56F1">
        <w:tc>
          <w:tcPr>
            <w:tcW w:w="1960" w:type="pct"/>
            <w:vAlign w:val="bottom"/>
          </w:tcPr>
          <w:p w:rsidR="00312B9B" w:rsidRPr="00390699" w:rsidRDefault="00312B9B" w:rsidP="001B56F1">
            <w:pPr>
              <w:pStyle w:val="TableBodyText"/>
              <w:jc w:val="left"/>
              <w:rPr>
                <w:sz w:val="18"/>
                <w:szCs w:val="18"/>
              </w:rPr>
            </w:pPr>
            <w:r w:rsidRPr="00390699">
              <w:rPr>
                <w:sz w:val="18"/>
                <w:szCs w:val="18"/>
              </w:rPr>
              <w:t>Unallocated other</w:t>
            </w:r>
            <w:r w:rsidRPr="00390699">
              <w:rPr>
                <w:rStyle w:val="NoteLabel"/>
                <w:szCs w:val="18"/>
              </w:rPr>
              <w:t>a</w:t>
            </w:r>
          </w:p>
        </w:tc>
        <w:tc>
          <w:tcPr>
            <w:tcW w:w="507" w:type="pct"/>
            <w:vAlign w:val="bottom"/>
          </w:tcPr>
          <w:p w:rsidR="00312B9B" w:rsidRPr="002513B7" w:rsidRDefault="00312B9B" w:rsidP="001B56F1">
            <w:pPr>
              <w:pStyle w:val="TableBodyText"/>
              <w:rPr>
                <w:sz w:val="18"/>
                <w:szCs w:val="18"/>
              </w:rPr>
            </w:pPr>
            <w:r>
              <w:rPr>
                <w:sz w:val="18"/>
                <w:szCs w:val="18"/>
              </w:rPr>
              <w:noBreakHyphen/>
            </w:r>
          </w:p>
        </w:tc>
        <w:tc>
          <w:tcPr>
            <w:tcW w:w="507" w:type="pct"/>
            <w:vAlign w:val="bottom"/>
          </w:tcPr>
          <w:p w:rsidR="00312B9B" w:rsidRPr="002513B7" w:rsidRDefault="00312B9B" w:rsidP="001B56F1">
            <w:pPr>
              <w:pStyle w:val="TableBodyText"/>
              <w:rPr>
                <w:sz w:val="18"/>
                <w:szCs w:val="18"/>
              </w:rPr>
            </w:pPr>
            <w:r>
              <w:rPr>
                <w:sz w:val="18"/>
                <w:szCs w:val="18"/>
              </w:rPr>
              <w:noBreakHyphen/>
            </w:r>
          </w:p>
        </w:tc>
        <w:tc>
          <w:tcPr>
            <w:tcW w:w="507" w:type="pct"/>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312B9B" w:rsidRPr="002513B7" w:rsidRDefault="00312B9B"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shd w:val="clear" w:color="auto" w:fill="auto"/>
            <w:vAlign w:val="bottom"/>
          </w:tcPr>
          <w:p w:rsidR="00312B9B" w:rsidRPr="002513B7" w:rsidRDefault="00312B9B" w:rsidP="001B56F1">
            <w:pPr>
              <w:pStyle w:val="TableBodyText"/>
              <w:rPr>
                <w:sz w:val="18"/>
                <w:szCs w:val="18"/>
              </w:rPr>
            </w:pPr>
            <w:r>
              <w:rPr>
                <w:sz w:val="18"/>
                <w:szCs w:val="18"/>
              </w:rPr>
              <w:noBreakHyphen/>
            </w:r>
          </w:p>
        </w:tc>
        <w:tc>
          <w:tcPr>
            <w:tcW w:w="505" w:type="pct"/>
            <w:shd w:val="clear" w:color="auto" w:fill="auto"/>
            <w:vAlign w:val="bottom"/>
          </w:tcPr>
          <w:p w:rsidR="00312B9B" w:rsidRPr="002513B7" w:rsidRDefault="00312B9B" w:rsidP="001B56F1">
            <w:pPr>
              <w:pStyle w:val="TableBodyText"/>
              <w:rPr>
                <w:sz w:val="18"/>
                <w:szCs w:val="18"/>
              </w:rPr>
            </w:pPr>
            <w:r>
              <w:rPr>
                <w:sz w:val="18"/>
                <w:szCs w:val="18"/>
              </w:rPr>
              <w:noBreakHyphen/>
            </w:r>
          </w:p>
        </w:tc>
      </w:tr>
      <w:tr w:rsidR="00312B9B" w:rsidRPr="006C5A80" w:rsidTr="001B56F1">
        <w:tc>
          <w:tcPr>
            <w:tcW w:w="1960" w:type="pct"/>
            <w:tcBorders>
              <w:bottom w:val="single" w:sz="4" w:space="0" w:color="auto"/>
            </w:tcBorders>
            <w:vAlign w:val="bottom"/>
          </w:tcPr>
          <w:p w:rsidR="00312B9B" w:rsidRPr="00390699" w:rsidRDefault="00312B9B" w:rsidP="001B56F1">
            <w:pPr>
              <w:pStyle w:val="TableBodyText"/>
              <w:jc w:val="left"/>
              <w:rPr>
                <w:b/>
                <w:bCs/>
                <w:sz w:val="18"/>
                <w:szCs w:val="18"/>
              </w:rPr>
            </w:pPr>
            <w:r w:rsidRPr="00390699">
              <w:rPr>
                <w:b/>
                <w:bCs/>
                <w:sz w:val="18"/>
                <w:szCs w:val="18"/>
              </w:rPr>
              <w:t>Total</w:t>
            </w:r>
          </w:p>
        </w:tc>
        <w:tc>
          <w:tcPr>
            <w:tcW w:w="507" w:type="pct"/>
            <w:tcBorders>
              <w:bottom w:val="single" w:sz="4" w:space="0" w:color="auto"/>
            </w:tcBorders>
            <w:vAlign w:val="bottom"/>
          </w:tcPr>
          <w:p w:rsidR="00312B9B" w:rsidRPr="00587B13" w:rsidRDefault="00312B9B" w:rsidP="001B56F1">
            <w:pPr>
              <w:pStyle w:val="TableBodyText"/>
              <w:rPr>
                <w:b/>
                <w:sz w:val="18"/>
                <w:szCs w:val="18"/>
              </w:rPr>
            </w:pPr>
            <w:r w:rsidRPr="00587B13">
              <w:rPr>
                <w:b/>
                <w:sz w:val="18"/>
                <w:szCs w:val="18"/>
              </w:rPr>
              <w:t>9.7</w:t>
            </w:r>
          </w:p>
        </w:tc>
        <w:tc>
          <w:tcPr>
            <w:tcW w:w="507" w:type="pct"/>
            <w:tcBorders>
              <w:bottom w:val="single" w:sz="4" w:space="0" w:color="auto"/>
            </w:tcBorders>
            <w:vAlign w:val="bottom"/>
          </w:tcPr>
          <w:p w:rsidR="00312B9B" w:rsidRPr="00587B13" w:rsidRDefault="00312B9B" w:rsidP="001B56F1">
            <w:pPr>
              <w:pStyle w:val="TableBodyText"/>
              <w:rPr>
                <w:b/>
                <w:sz w:val="18"/>
                <w:szCs w:val="18"/>
              </w:rPr>
            </w:pPr>
            <w:r w:rsidRPr="00587B13">
              <w:rPr>
                <w:b/>
                <w:sz w:val="18"/>
                <w:szCs w:val="18"/>
              </w:rPr>
              <w:t>17.7</w:t>
            </w:r>
          </w:p>
        </w:tc>
        <w:tc>
          <w:tcPr>
            <w:tcW w:w="507" w:type="pct"/>
            <w:tcBorders>
              <w:bottom w:val="single" w:sz="4" w:space="0" w:color="auto"/>
            </w:tcBorders>
            <w:vAlign w:val="bottom"/>
          </w:tcPr>
          <w:p w:rsidR="00312B9B" w:rsidRPr="00587B13" w:rsidRDefault="00312B9B" w:rsidP="001B56F1">
            <w:pPr>
              <w:pStyle w:val="TableBodyText"/>
              <w:rPr>
                <w:b/>
                <w:sz w:val="18"/>
                <w:szCs w:val="18"/>
              </w:rPr>
            </w:pPr>
            <w:r w:rsidRPr="00587B13">
              <w:rPr>
                <w:b/>
                <w:sz w:val="18"/>
                <w:szCs w:val="18"/>
              </w:rPr>
              <w:t>11.3</w:t>
            </w:r>
          </w:p>
        </w:tc>
        <w:tc>
          <w:tcPr>
            <w:tcW w:w="507" w:type="pct"/>
            <w:tcBorders>
              <w:bottom w:val="single" w:sz="4" w:space="0" w:color="auto"/>
            </w:tcBorders>
            <w:vAlign w:val="bottom"/>
          </w:tcPr>
          <w:p w:rsidR="00312B9B" w:rsidRPr="00587B13" w:rsidRDefault="00312B9B" w:rsidP="001B56F1">
            <w:pPr>
              <w:pStyle w:val="TableBodyText"/>
              <w:rPr>
                <w:b/>
                <w:sz w:val="18"/>
                <w:szCs w:val="18"/>
              </w:rPr>
            </w:pPr>
            <w:r w:rsidRPr="00587B13">
              <w:rPr>
                <w:b/>
                <w:sz w:val="18"/>
                <w:szCs w:val="18"/>
              </w:rPr>
              <w:t>9.6</w:t>
            </w:r>
          </w:p>
        </w:tc>
        <w:tc>
          <w:tcPr>
            <w:tcW w:w="507" w:type="pct"/>
            <w:tcBorders>
              <w:bottom w:val="single" w:sz="4" w:space="0" w:color="auto"/>
            </w:tcBorders>
            <w:shd w:val="clear" w:color="auto" w:fill="auto"/>
            <w:vAlign w:val="bottom"/>
          </w:tcPr>
          <w:p w:rsidR="00312B9B" w:rsidRPr="00587B13" w:rsidRDefault="00312B9B" w:rsidP="001B56F1">
            <w:pPr>
              <w:pStyle w:val="TableBodyText"/>
              <w:rPr>
                <w:b/>
                <w:sz w:val="18"/>
                <w:szCs w:val="18"/>
              </w:rPr>
            </w:pPr>
            <w:r w:rsidRPr="00587B13">
              <w:rPr>
                <w:b/>
                <w:sz w:val="18"/>
                <w:szCs w:val="18"/>
              </w:rPr>
              <w:t>4.8</w:t>
            </w:r>
          </w:p>
        </w:tc>
        <w:tc>
          <w:tcPr>
            <w:tcW w:w="505" w:type="pct"/>
            <w:tcBorders>
              <w:bottom w:val="single" w:sz="4" w:space="0" w:color="auto"/>
            </w:tcBorders>
            <w:shd w:val="clear" w:color="auto" w:fill="auto"/>
            <w:vAlign w:val="bottom"/>
          </w:tcPr>
          <w:p w:rsidR="00312B9B" w:rsidRPr="00587B13" w:rsidRDefault="00312B9B" w:rsidP="001B56F1">
            <w:pPr>
              <w:pStyle w:val="TableBodyText"/>
              <w:rPr>
                <w:b/>
                <w:sz w:val="18"/>
                <w:szCs w:val="18"/>
              </w:rPr>
            </w:pPr>
            <w:r w:rsidRPr="00587B13">
              <w:rPr>
                <w:b/>
                <w:sz w:val="18"/>
                <w:szCs w:val="18"/>
              </w:rPr>
              <w:t>0.2</w:t>
            </w:r>
          </w:p>
        </w:tc>
      </w:tr>
    </w:tbl>
    <w:p w:rsidR="00312B9B" w:rsidRDefault="00312B9B" w:rsidP="00312B9B">
      <w:pPr>
        <w:pStyle w:val="Note"/>
      </w:pPr>
      <w:r>
        <w:t xml:space="preserve">– Nil. </w:t>
      </w:r>
      <w:r w:rsidRPr="008E77FE">
        <w:rPr>
          <w:rStyle w:val="NoteLabel"/>
        </w:rPr>
        <w:t>a</w:t>
      </w:r>
      <w:r>
        <w:t xml:space="preserve"> Unallocated includes general programs where details of beneficiaries are unknown.</w:t>
      </w:r>
    </w:p>
    <w:p w:rsidR="00312B9B" w:rsidRDefault="00312B9B" w:rsidP="00312B9B">
      <w:pPr>
        <w:pStyle w:val="Source"/>
      </w:pPr>
      <w:r>
        <w:rPr>
          <w:i/>
        </w:rPr>
        <w:t>Sources</w:t>
      </w:r>
      <w:r>
        <w:t xml:space="preserve">: </w:t>
      </w:r>
      <w:r w:rsidRPr="00EF17F4">
        <w:t xml:space="preserve">Commission estimates based on </w:t>
      </w:r>
      <w:r>
        <w:t>DIISR Annual Report 2009</w:t>
      </w:r>
      <w:r>
        <w:noBreakHyphen/>
        <w:t>10 (and earlier years); Department of Industry, Tourism and Resources (DITR) Annual Report 2006</w:t>
      </w:r>
      <w:r>
        <w:noBreakHyphen/>
        <w:t>07</w:t>
      </w:r>
      <w:r w:rsidRPr="00EF17F4">
        <w:t xml:space="preserve">; </w:t>
      </w:r>
      <w:r>
        <w:t xml:space="preserve">and detailed DIISR data by ANZSIC industry; </w:t>
      </w:r>
      <w:r w:rsidRPr="00EF17F4">
        <w:t xml:space="preserve">Industry classification derived from detailed </w:t>
      </w:r>
      <w:r>
        <w:t>DIISR</w:t>
      </w:r>
      <w:r w:rsidRPr="00EF17F4">
        <w:t xml:space="preserve"> data by ANZSIC industry</w:t>
      </w:r>
      <w:r>
        <w:t>.</w:t>
      </w:r>
    </w:p>
    <w:p w:rsidR="00560930" w:rsidRDefault="00FA09C3" w:rsidP="00560930">
      <w:pPr>
        <w:pStyle w:val="Heading2"/>
      </w:pPr>
      <w:r>
        <w:t>A.</w:t>
      </w:r>
      <w:r>
        <w:rPr>
          <w:noProof/>
        </w:rPr>
        <w:t>122</w:t>
      </w:r>
      <w:r w:rsidR="00560930">
        <w:tab/>
        <w:t>Fisheries Resources Research Fund</w:t>
      </w:r>
    </w:p>
    <w:p w:rsidR="00560930" w:rsidRDefault="00560930" w:rsidP="00560930">
      <w:pPr>
        <w:pStyle w:val="BodyText"/>
      </w:pPr>
      <w:r>
        <w:t>The Fisheries Resources Research Fund (FRRF) supports research to inform the government’s policies and investments in pursuit of the sustainable development of our fisheries resources. The Fund includes support for:</w:t>
      </w:r>
    </w:p>
    <w:p w:rsidR="00560930" w:rsidRDefault="00560930" w:rsidP="00560930">
      <w:pPr>
        <w:pStyle w:val="ListBullet"/>
      </w:pPr>
      <w:r>
        <w:t>fisheries economic surveys, which provide a basis for understanding the impact and effectiveness of management and policy changes;</w:t>
      </w:r>
    </w:p>
    <w:p w:rsidR="00560930" w:rsidRDefault="00560930" w:rsidP="00560930">
      <w:pPr>
        <w:pStyle w:val="ListBullet"/>
      </w:pPr>
      <w:r>
        <w:t>annual reporting of the biological status of fish stocks managed by the Commonwealth and the economic performance of Commonwealth fisheries; and</w:t>
      </w:r>
    </w:p>
    <w:p w:rsidR="00560930" w:rsidRDefault="00560930" w:rsidP="00560930">
      <w:pPr>
        <w:pStyle w:val="ListBullet"/>
      </w:pPr>
      <w:r>
        <w:t xml:space="preserve">targeted biological, economic and social research to support the development of fisheries policy </w:t>
      </w:r>
      <w:r w:rsidRPr="00EC76CA">
        <w:t>(</w:t>
      </w:r>
      <w:r w:rsidRPr="00813174">
        <w:t>DAFF 2012</w:t>
      </w:r>
      <w:r w:rsidRPr="00813174">
        <w:rPr>
          <w:rStyle w:val="BodyTextChar"/>
        </w:rPr>
        <w:t>)</w:t>
      </w:r>
      <w:r>
        <w:t>.</w:t>
      </w:r>
    </w:p>
    <w:p w:rsidR="00560930" w:rsidRDefault="00560930" w:rsidP="00560930">
      <w:pPr>
        <w:pStyle w:val="BodyText"/>
      </w:pPr>
      <w:r>
        <w:t xml:space="preserve">The Fisheries Resources Research Fund selectively benefits activities in the fishing industry. Accordingly, the budget outlay has been classified to the </w:t>
      </w:r>
      <w:r w:rsidRPr="00B07C80">
        <w:rPr>
          <w:i/>
        </w:rPr>
        <w:t>Fishing, hunting and trapping</w:t>
      </w:r>
      <w:r>
        <w:t xml:space="preserve"> industry grouping in the Commission’s ANZSIC-based classification (table A.12</w:t>
      </w:r>
      <w:r w:rsidR="00C065C1">
        <w:t>2</w:t>
      </w:r>
      <w:r>
        <w:t>).</w:t>
      </w:r>
      <w:r>
        <w:rPr>
          <w:rStyle w:val="FootnoteReference"/>
        </w:rPr>
        <w:footnoteReference w:id="5"/>
      </w:r>
    </w:p>
    <w:p w:rsidR="00560930" w:rsidRDefault="00560930" w:rsidP="00560930">
      <w:pPr>
        <w:pStyle w:val="TableTitle"/>
      </w:pPr>
      <w:r>
        <w:rPr>
          <w:b w:val="0"/>
        </w:rPr>
        <w:t xml:space="preserve">Table </w:t>
      </w:r>
      <w:r w:rsidR="00FA09C3">
        <w:rPr>
          <w:b w:val="0"/>
        </w:rPr>
        <w:t>A.</w:t>
      </w:r>
      <w:r w:rsidR="00FA09C3">
        <w:rPr>
          <w:b w:val="0"/>
          <w:noProof/>
        </w:rPr>
        <w:t>122</w:t>
      </w:r>
      <w:r>
        <w:tab/>
        <w:t>Allocation of Fisheries Resources Research Fund</w:t>
      </w:r>
      <w:r w:rsidR="00B6795B" w:rsidRPr="00B6795B">
        <w:t xml:space="preserve"> to industry</w:t>
      </w:r>
      <w:r>
        <w:t>, 2006</w:t>
      </w:r>
      <w:r>
        <w:noBreakHyphen/>
        <w:t>07 to 2011</w:t>
      </w:r>
      <w:r>
        <w:noBreakHyphen/>
        <w:t>12</w:t>
      </w:r>
    </w:p>
    <w:p w:rsidR="00560930" w:rsidRDefault="00560930" w:rsidP="00560930">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560930" w:rsidRPr="00AF699A" w:rsidTr="001B56F1">
        <w:tc>
          <w:tcPr>
            <w:tcW w:w="1960" w:type="pct"/>
            <w:tcBorders>
              <w:top w:val="single" w:sz="6" w:space="0" w:color="auto"/>
              <w:bottom w:val="single" w:sz="6" w:space="0" w:color="auto"/>
            </w:tcBorders>
          </w:tcPr>
          <w:p w:rsidR="00560930" w:rsidRPr="00AF699A" w:rsidRDefault="00560930"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560930" w:rsidRPr="00AF699A" w:rsidRDefault="00560930"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560930" w:rsidRPr="00AF699A" w:rsidRDefault="00560930"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560930" w:rsidRPr="00AF699A" w:rsidRDefault="00560930"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560930" w:rsidRPr="00AF699A" w:rsidRDefault="00560930"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560930" w:rsidRPr="00AF699A" w:rsidRDefault="00560930"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560930" w:rsidRPr="00AF699A" w:rsidRDefault="00560930" w:rsidP="001B56F1">
            <w:pPr>
              <w:pStyle w:val="TableColumnHeading"/>
              <w:ind w:right="28"/>
              <w:rPr>
                <w:rFonts w:cs="Arial"/>
                <w:sz w:val="18"/>
                <w:szCs w:val="18"/>
              </w:rPr>
            </w:pPr>
            <w:r w:rsidRPr="00AF699A">
              <w:rPr>
                <w:rFonts w:cs="Arial"/>
                <w:sz w:val="18"/>
                <w:szCs w:val="18"/>
              </w:rPr>
              <w:t>2011-12</w:t>
            </w:r>
          </w:p>
        </w:tc>
      </w:tr>
      <w:tr w:rsidR="00560930" w:rsidRPr="006C5A80" w:rsidTr="001B56F1">
        <w:tc>
          <w:tcPr>
            <w:tcW w:w="1960" w:type="pct"/>
            <w:tcBorders>
              <w:bottom w:val="single" w:sz="4" w:space="0" w:color="auto"/>
            </w:tcBorders>
            <w:vAlign w:val="bottom"/>
          </w:tcPr>
          <w:p w:rsidR="00560930" w:rsidRPr="00C944BA" w:rsidRDefault="00560930" w:rsidP="001B56F1">
            <w:pPr>
              <w:pStyle w:val="TableBodyText"/>
              <w:jc w:val="left"/>
            </w:pPr>
            <w:r>
              <w:t>Aquaculture and fishing</w:t>
            </w:r>
          </w:p>
        </w:tc>
        <w:tc>
          <w:tcPr>
            <w:tcW w:w="507" w:type="pct"/>
            <w:tcBorders>
              <w:bottom w:val="single" w:sz="4" w:space="0" w:color="auto"/>
            </w:tcBorders>
            <w:vAlign w:val="bottom"/>
          </w:tcPr>
          <w:p w:rsidR="00560930" w:rsidRPr="00B16E63" w:rsidRDefault="00560930" w:rsidP="001B56F1">
            <w:pPr>
              <w:pStyle w:val="TableBodyText"/>
            </w:pPr>
            <w:r w:rsidRPr="00B16E63">
              <w:t>3.1</w:t>
            </w:r>
          </w:p>
        </w:tc>
        <w:tc>
          <w:tcPr>
            <w:tcW w:w="507" w:type="pct"/>
            <w:tcBorders>
              <w:bottom w:val="single" w:sz="4" w:space="0" w:color="auto"/>
            </w:tcBorders>
            <w:vAlign w:val="bottom"/>
          </w:tcPr>
          <w:p w:rsidR="00560930" w:rsidRPr="00B16E63" w:rsidRDefault="00560930" w:rsidP="001B56F1">
            <w:pPr>
              <w:pStyle w:val="TableBodyText"/>
            </w:pPr>
            <w:r w:rsidRPr="00B16E63">
              <w:t>3.1</w:t>
            </w:r>
          </w:p>
        </w:tc>
        <w:tc>
          <w:tcPr>
            <w:tcW w:w="507" w:type="pct"/>
            <w:tcBorders>
              <w:bottom w:val="single" w:sz="4" w:space="0" w:color="auto"/>
            </w:tcBorders>
            <w:vAlign w:val="bottom"/>
          </w:tcPr>
          <w:p w:rsidR="00560930" w:rsidRPr="00B16E63" w:rsidRDefault="00560930" w:rsidP="001B56F1">
            <w:pPr>
              <w:pStyle w:val="TableBodyText"/>
            </w:pPr>
            <w:r w:rsidRPr="00B16E63">
              <w:t>3.2</w:t>
            </w:r>
          </w:p>
        </w:tc>
        <w:tc>
          <w:tcPr>
            <w:tcW w:w="507" w:type="pct"/>
            <w:tcBorders>
              <w:bottom w:val="single" w:sz="4" w:space="0" w:color="auto"/>
            </w:tcBorders>
            <w:vAlign w:val="bottom"/>
          </w:tcPr>
          <w:p w:rsidR="00560930" w:rsidRPr="00B16E63" w:rsidRDefault="00560930" w:rsidP="001B56F1">
            <w:pPr>
              <w:pStyle w:val="TableBodyText"/>
            </w:pPr>
            <w:r w:rsidRPr="00B16E63">
              <w:t>3.8</w:t>
            </w:r>
          </w:p>
        </w:tc>
        <w:tc>
          <w:tcPr>
            <w:tcW w:w="507" w:type="pct"/>
            <w:tcBorders>
              <w:bottom w:val="single" w:sz="4" w:space="0" w:color="auto"/>
            </w:tcBorders>
            <w:shd w:val="clear" w:color="auto" w:fill="auto"/>
            <w:vAlign w:val="bottom"/>
          </w:tcPr>
          <w:p w:rsidR="00560930" w:rsidRPr="00B16E63" w:rsidRDefault="00560930" w:rsidP="001B56F1">
            <w:pPr>
              <w:pStyle w:val="TableBodyText"/>
            </w:pPr>
            <w:r w:rsidRPr="00B16E63">
              <w:t>1.6</w:t>
            </w:r>
          </w:p>
        </w:tc>
        <w:tc>
          <w:tcPr>
            <w:tcW w:w="505" w:type="pct"/>
            <w:tcBorders>
              <w:bottom w:val="single" w:sz="4" w:space="0" w:color="auto"/>
            </w:tcBorders>
            <w:shd w:val="clear" w:color="auto" w:fill="auto"/>
            <w:vAlign w:val="bottom"/>
          </w:tcPr>
          <w:p w:rsidR="00560930" w:rsidRPr="00B16E63" w:rsidRDefault="00560930" w:rsidP="001B56F1">
            <w:pPr>
              <w:pStyle w:val="TableBodyText"/>
            </w:pPr>
            <w:r w:rsidRPr="00B16E63">
              <w:t>0.1</w:t>
            </w:r>
          </w:p>
        </w:tc>
      </w:tr>
    </w:tbl>
    <w:p w:rsidR="00560930" w:rsidRDefault="00560930" w:rsidP="00560930">
      <w:pPr>
        <w:pStyle w:val="Source"/>
      </w:pPr>
      <w:r>
        <w:rPr>
          <w:i/>
        </w:rPr>
        <w:t>Source</w:t>
      </w:r>
      <w:r>
        <w:t>: Commission estimates based on DAFF Annual Report 2011</w:t>
      </w:r>
      <w:r>
        <w:noBreakHyphen/>
        <w:t>12 (and earlier years).</w:t>
      </w:r>
    </w:p>
    <w:p w:rsidR="00DA702A" w:rsidRDefault="00FA09C3" w:rsidP="00DA702A">
      <w:pPr>
        <w:pStyle w:val="Heading2"/>
      </w:pPr>
      <w:r>
        <w:t>A.</w:t>
      </w:r>
      <w:r>
        <w:rPr>
          <w:noProof/>
        </w:rPr>
        <w:t>123</w:t>
      </w:r>
      <w:r w:rsidR="00DA702A">
        <w:tab/>
        <w:t>Farm Help</w:t>
      </w:r>
    </w:p>
    <w:p w:rsidR="00DA702A" w:rsidRDefault="00DA702A" w:rsidP="00DA702A">
      <w:pPr>
        <w:pStyle w:val="BodyText"/>
      </w:pPr>
      <w:r>
        <w:t xml:space="preserve">The Farm Help program (formerly known as Farm Family Restart Scheme) provided support for farmers facing financial </w:t>
      </w:r>
      <w:r w:rsidRPr="002D2157">
        <w:t>hardship (</w:t>
      </w:r>
      <w:r w:rsidRPr="00813174">
        <w:t>PC 2011</w:t>
      </w:r>
      <w:r w:rsidRPr="002D2157">
        <w:t>)</w:t>
      </w:r>
      <w:r>
        <w:t>. The scheme provided:</w:t>
      </w:r>
    </w:p>
    <w:p w:rsidR="00DA702A" w:rsidRDefault="00DA702A" w:rsidP="00DA702A">
      <w:pPr>
        <w:pStyle w:val="ListBullet"/>
      </w:pPr>
      <w:r>
        <w:t>income support at the same rate as Newstart Allowance;</w:t>
      </w:r>
    </w:p>
    <w:p w:rsidR="00DA702A" w:rsidRDefault="00DA702A" w:rsidP="00DA702A">
      <w:pPr>
        <w:pStyle w:val="ListBullet"/>
      </w:pPr>
      <w:r>
        <w:t>up to $5 500 (including GST) to obtain professional advice, including business management, legal, agricultural expert, personal or career counselling and a skills audit;</w:t>
      </w:r>
    </w:p>
    <w:p w:rsidR="00DA702A" w:rsidRDefault="00DA702A" w:rsidP="00DA702A">
      <w:pPr>
        <w:pStyle w:val="ListBullet"/>
      </w:pPr>
      <w:r>
        <w:t>a re-establishment grant of up to $75 000 if the farm was sold, subject to an assets test and other conditions; and</w:t>
      </w:r>
    </w:p>
    <w:p w:rsidR="00DA702A" w:rsidRDefault="00DA702A" w:rsidP="00DA702A">
      <w:pPr>
        <w:pStyle w:val="ListBullet"/>
      </w:pPr>
      <w:r>
        <w:t xml:space="preserve">a $3 500 retraining grant to </w:t>
      </w:r>
      <w:r w:rsidR="00110C04">
        <w:t xml:space="preserve">recipients of a </w:t>
      </w:r>
      <w:r>
        <w:t>re-establishment grant and/or their partner, to help prepare for a career off the farm.</w:t>
      </w:r>
    </w:p>
    <w:p w:rsidR="00DA702A" w:rsidRDefault="00DA702A" w:rsidP="00DA702A">
      <w:pPr>
        <w:pStyle w:val="BodyText"/>
      </w:pPr>
      <w:r>
        <w:t>In November 2007, the Australian Government announced that it would end the Farm Help program. Funds saved from closing the program were diverted to the Australia’s Farming Future program.</w:t>
      </w:r>
    </w:p>
    <w:p w:rsidR="00DA702A" w:rsidRDefault="00DA702A" w:rsidP="00DA702A">
      <w:pPr>
        <w:pStyle w:val="BodyText"/>
      </w:pPr>
      <w:r>
        <w:t>The Commission has obtained data from the Department of Agriculture, Fisheries and Forestry detailing the number of recipients under the scheme by type of farming activity (for example, fruit, beef cattle, sugar). This data has been mapped to the Commission’s ANZSIC-based industry classification and then used to allocate estimates of program funding from the Department’s annual reports and budget papers (table A.12</w:t>
      </w:r>
      <w:r w:rsidR="00C065C1">
        <w:t>3</w:t>
      </w:r>
      <w:r>
        <w:t>).</w:t>
      </w:r>
    </w:p>
    <w:p w:rsidR="00DA702A" w:rsidRDefault="00DA702A" w:rsidP="00DA702A">
      <w:pPr>
        <w:pStyle w:val="TableTitle"/>
      </w:pPr>
      <w:r>
        <w:rPr>
          <w:b w:val="0"/>
        </w:rPr>
        <w:t xml:space="preserve">Table </w:t>
      </w:r>
      <w:r w:rsidR="00FA09C3">
        <w:rPr>
          <w:b w:val="0"/>
        </w:rPr>
        <w:t>A.</w:t>
      </w:r>
      <w:r w:rsidR="00FA09C3">
        <w:rPr>
          <w:b w:val="0"/>
          <w:noProof/>
        </w:rPr>
        <w:t>123</w:t>
      </w:r>
      <w:r>
        <w:tab/>
        <w:t xml:space="preserve">Allocation of Farm Help </w:t>
      </w:r>
      <w:r w:rsidR="00B6795B" w:rsidRPr="00B6795B">
        <w:t>to industry</w:t>
      </w:r>
      <w:r>
        <w:t>, 2006</w:t>
      </w:r>
      <w:r>
        <w:noBreakHyphen/>
        <w:t>07 to 2011</w:t>
      </w:r>
      <w:r>
        <w:noBreakHyphen/>
        <w:t>12</w:t>
      </w:r>
    </w:p>
    <w:p w:rsidR="00DA702A" w:rsidRDefault="00DA702A" w:rsidP="00DA702A">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DA702A" w:rsidRPr="00AF699A" w:rsidTr="001B56F1">
        <w:tc>
          <w:tcPr>
            <w:tcW w:w="1960" w:type="pct"/>
            <w:tcBorders>
              <w:top w:val="single" w:sz="6" w:space="0" w:color="auto"/>
              <w:bottom w:val="single" w:sz="6" w:space="0" w:color="auto"/>
            </w:tcBorders>
          </w:tcPr>
          <w:p w:rsidR="00DA702A" w:rsidRPr="00AF699A" w:rsidRDefault="00DA702A"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DA702A" w:rsidRPr="00AF699A" w:rsidRDefault="00DA702A"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DA702A" w:rsidRPr="00AF699A" w:rsidRDefault="00DA702A"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DA702A" w:rsidRPr="00AF699A" w:rsidRDefault="00DA702A"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DA702A" w:rsidRPr="00AF699A" w:rsidRDefault="00DA702A"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DA702A" w:rsidRPr="00AF699A" w:rsidRDefault="00DA702A"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DA702A" w:rsidRPr="00AF699A" w:rsidRDefault="00DA702A" w:rsidP="001B56F1">
            <w:pPr>
              <w:pStyle w:val="TableColumnHeading"/>
              <w:ind w:right="28"/>
              <w:rPr>
                <w:rFonts w:cs="Arial"/>
                <w:sz w:val="18"/>
                <w:szCs w:val="18"/>
              </w:rPr>
            </w:pPr>
            <w:r w:rsidRPr="00AF699A">
              <w:rPr>
                <w:rFonts w:cs="Arial"/>
                <w:sz w:val="18"/>
                <w:szCs w:val="18"/>
              </w:rPr>
              <w:t>2011-12</w:t>
            </w:r>
          </w:p>
        </w:tc>
      </w:tr>
      <w:tr w:rsidR="00DA702A" w:rsidRPr="006C5A80" w:rsidTr="001B56F1">
        <w:tc>
          <w:tcPr>
            <w:tcW w:w="1960" w:type="pct"/>
            <w:vAlign w:val="bottom"/>
          </w:tcPr>
          <w:p w:rsidR="00DA702A" w:rsidRPr="00F1539F" w:rsidRDefault="00DA702A" w:rsidP="001B56F1">
            <w:pPr>
              <w:pStyle w:val="TableBodyText"/>
              <w:jc w:val="left"/>
              <w:rPr>
                <w:b/>
                <w:sz w:val="18"/>
                <w:szCs w:val="18"/>
              </w:rPr>
            </w:pPr>
            <w:r w:rsidRPr="00F1539F">
              <w:rPr>
                <w:b/>
                <w:sz w:val="18"/>
                <w:szCs w:val="18"/>
              </w:rPr>
              <w:t>Primary production</w:t>
            </w:r>
          </w:p>
        </w:tc>
        <w:tc>
          <w:tcPr>
            <w:tcW w:w="507" w:type="pct"/>
            <w:vAlign w:val="bottom"/>
          </w:tcPr>
          <w:p w:rsidR="00DA702A" w:rsidRPr="00813174" w:rsidRDefault="00DA702A" w:rsidP="001B56F1">
            <w:pPr>
              <w:pStyle w:val="TableBodyText"/>
              <w:framePr w:w="2155" w:hSpace="227" w:vSpace="181" w:wrap="around" w:vAnchor="text" w:hAnchor="page" w:xAlign="outside" w:y="1"/>
              <w:rPr>
                <w:b/>
                <w:sz w:val="18"/>
                <w:szCs w:val="18"/>
              </w:rPr>
            </w:pPr>
            <w:r w:rsidRPr="00813174">
              <w:rPr>
                <w:b/>
                <w:sz w:val="18"/>
                <w:szCs w:val="18"/>
              </w:rPr>
              <w:t>11.0</w:t>
            </w:r>
          </w:p>
        </w:tc>
        <w:tc>
          <w:tcPr>
            <w:tcW w:w="507" w:type="pct"/>
            <w:vAlign w:val="bottom"/>
          </w:tcPr>
          <w:p w:rsidR="00DA702A" w:rsidRPr="00813174" w:rsidRDefault="00DA702A" w:rsidP="001B56F1">
            <w:pPr>
              <w:pStyle w:val="TableBodyText"/>
              <w:framePr w:w="2155" w:hSpace="227" w:vSpace="181" w:wrap="around" w:vAnchor="text" w:hAnchor="page" w:xAlign="outside" w:y="1"/>
              <w:rPr>
                <w:b/>
                <w:sz w:val="18"/>
                <w:szCs w:val="18"/>
              </w:rPr>
            </w:pPr>
            <w:r w:rsidRPr="00813174">
              <w:rPr>
                <w:b/>
                <w:sz w:val="18"/>
                <w:szCs w:val="18"/>
              </w:rPr>
              <w:t>2.8</w:t>
            </w:r>
          </w:p>
        </w:tc>
        <w:tc>
          <w:tcPr>
            <w:tcW w:w="507" w:type="pct"/>
            <w:vAlign w:val="bottom"/>
          </w:tcPr>
          <w:p w:rsidR="00DA702A" w:rsidRPr="00813174" w:rsidRDefault="00DA702A" w:rsidP="001B56F1">
            <w:pPr>
              <w:pStyle w:val="TableBodyText"/>
              <w:framePr w:w="2155" w:hSpace="227" w:vSpace="181" w:wrap="around" w:vAnchor="text" w:hAnchor="page" w:xAlign="outside" w:y="1"/>
              <w:rPr>
                <w:b/>
                <w:sz w:val="18"/>
                <w:szCs w:val="18"/>
              </w:rPr>
            </w:pPr>
            <w:r w:rsidRPr="00813174">
              <w:rPr>
                <w:b/>
                <w:sz w:val="18"/>
                <w:szCs w:val="18"/>
              </w:rPr>
              <w:t>1.8</w:t>
            </w:r>
          </w:p>
        </w:tc>
        <w:tc>
          <w:tcPr>
            <w:tcW w:w="507" w:type="pct"/>
            <w:vAlign w:val="bottom"/>
          </w:tcPr>
          <w:p w:rsidR="00DA702A" w:rsidRPr="00813174" w:rsidRDefault="00DA702A" w:rsidP="001B56F1">
            <w:pPr>
              <w:pStyle w:val="TableBodyText"/>
              <w:framePr w:w="2155" w:hSpace="227" w:vSpace="181" w:wrap="around" w:vAnchor="text" w:hAnchor="page" w:xAlign="outside" w:y="1"/>
              <w:rPr>
                <w:b/>
                <w:sz w:val="18"/>
                <w:szCs w:val="18"/>
              </w:rPr>
            </w:pPr>
            <w:r w:rsidRPr="00813174">
              <w:rPr>
                <w:b/>
                <w:sz w:val="18"/>
                <w:szCs w:val="18"/>
              </w:rPr>
              <w:t>0.2</w:t>
            </w:r>
          </w:p>
        </w:tc>
        <w:tc>
          <w:tcPr>
            <w:tcW w:w="507" w:type="pct"/>
            <w:shd w:val="clear" w:color="auto" w:fill="auto"/>
            <w:vAlign w:val="bottom"/>
          </w:tcPr>
          <w:p w:rsidR="00DA702A" w:rsidRPr="00813174" w:rsidRDefault="00DA702A" w:rsidP="001B56F1">
            <w:pPr>
              <w:pStyle w:val="TableBodyText"/>
              <w:framePr w:w="2155" w:hSpace="227" w:vSpace="181" w:wrap="around" w:vAnchor="text" w:hAnchor="page" w:xAlign="outside" w:y="1"/>
              <w:rPr>
                <w:b/>
                <w:sz w:val="18"/>
                <w:szCs w:val="18"/>
              </w:rPr>
            </w:pPr>
            <w:r w:rsidRPr="00813174">
              <w:rPr>
                <w:b/>
                <w:sz w:val="18"/>
                <w:szCs w:val="18"/>
              </w:rPr>
              <w:t>&lt;0.1</w:t>
            </w:r>
          </w:p>
        </w:tc>
        <w:tc>
          <w:tcPr>
            <w:tcW w:w="505" w:type="pct"/>
            <w:shd w:val="clear" w:color="auto" w:fill="auto"/>
            <w:vAlign w:val="bottom"/>
          </w:tcPr>
          <w:p w:rsidR="00DA702A" w:rsidRPr="00813174" w:rsidRDefault="00AC05D5" w:rsidP="001B56F1">
            <w:pPr>
              <w:pStyle w:val="TableBodyText"/>
              <w:framePr w:w="2155" w:hSpace="227" w:vSpace="181" w:wrap="around" w:vAnchor="text" w:hAnchor="page" w:xAlign="outside" w:y="1"/>
              <w:rPr>
                <w:b/>
                <w:sz w:val="18"/>
                <w:szCs w:val="18"/>
              </w:rPr>
            </w:pPr>
            <w:r w:rsidRPr="00813174">
              <w:rPr>
                <w:b/>
                <w:sz w:val="18"/>
                <w:szCs w:val="18"/>
              </w:rPr>
              <w:t>&lt;0.1</w:t>
            </w:r>
          </w:p>
        </w:tc>
      </w:tr>
      <w:tr w:rsidR="00DA702A" w:rsidRPr="006C5A80" w:rsidTr="001B56F1">
        <w:tc>
          <w:tcPr>
            <w:tcW w:w="1960" w:type="pct"/>
            <w:vAlign w:val="bottom"/>
          </w:tcPr>
          <w:p w:rsidR="00DA702A" w:rsidRPr="00F1539F" w:rsidRDefault="00DA702A" w:rsidP="001B56F1">
            <w:pPr>
              <w:pStyle w:val="TableBodyText"/>
              <w:jc w:val="left"/>
              <w:rPr>
                <w:sz w:val="18"/>
                <w:szCs w:val="18"/>
              </w:rPr>
            </w:pPr>
            <w:r w:rsidRPr="00F1539F">
              <w:rPr>
                <w:sz w:val="18"/>
                <w:szCs w:val="18"/>
              </w:rPr>
              <w:t>Horticulture and fruit growing</w:t>
            </w:r>
          </w:p>
        </w:tc>
        <w:tc>
          <w:tcPr>
            <w:tcW w:w="507" w:type="pct"/>
            <w:vAlign w:val="bottom"/>
          </w:tcPr>
          <w:p w:rsidR="00DA702A" w:rsidRPr="00117DF4" w:rsidRDefault="00DA702A" w:rsidP="001B56F1">
            <w:pPr>
              <w:pStyle w:val="TableBodyText"/>
              <w:rPr>
                <w:sz w:val="18"/>
                <w:szCs w:val="18"/>
              </w:rPr>
            </w:pPr>
            <w:r w:rsidRPr="00117DF4">
              <w:rPr>
                <w:sz w:val="18"/>
                <w:szCs w:val="18"/>
              </w:rPr>
              <w:t>2.4</w:t>
            </w:r>
          </w:p>
        </w:tc>
        <w:tc>
          <w:tcPr>
            <w:tcW w:w="507" w:type="pct"/>
            <w:vAlign w:val="bottom"/>
          </w:tcPr>
          <w:p w:rsidR="00DA702A" w:rsidRPr="00117DF4" w:rsidRDefault="00DA702A" w:rsidP="001B56F1">
            <w:pPr>
              <w:pStyle w:val="TableBodyText"/>
              <w:rPr>
                <w:sz w:val="18"/>
                <w:szCs w:val="18"/>
              </w:rPr>
            </w:pPr>
            <w:r w:rsidRPr="00117DF4">
              <w:rPr>
                <w:sz w:val="18"/>
                <w:szCs w:val="18"/>
              </w:rPr>
              <w:t>0.4</w:t>
            </w:r>
          </w:p>
        </w:tc>
        <w:tc>
          <w:tcPr>
            <w:tcW w:w="507" w:type="pct"/>
            <w:vAlign w:val="bottom"/>
          </w:tcPr>
          <w:p w:rsidR="00DA702A" w:rsidRPr="00117DF4" w:rsidRDefault="00DA702A" w:rsidP="001B56F1">
            <w:pPr>
              <w:pStyle w:val="TableBodyText"/>
              <w:rPr>
                <w:sz w:val="18"/>
                <w:szCs w:val="18"/>
              </w:rPr>
            </w:pPr>
            <w:r w:rsidRPr="00117DF4">
              <w:rPr>
                <w:sz w:val="18"/>
                <w:szCs w:val="18"/>
              </w:rPr>
              <w:t>0.3</w:t>
            </w:r>
          </w:p>
        </w:tc>
        <w:tc>
          <w:tcPr>
            <w:tcW w:w="507" w:type="pct"/>
            <w:vAlign w:val="bottom"/>
          </w:tcPr>
          <w:p w:rsidR="00DA702A" w:rsidRPr="00117DF4" w:rsidRDefault="00DA702A"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shd w:val="clear" w:color="auto" w:fill="auto"/>
            <w:vAlign w:val="bottom"/>
          </w:tcPr>
          <w:p w:rsidR="00DA702A" w:rsidRPr="00117DF4" w:rsidRDefault="00AC05D5" w:rsidP="001B56F1">
            <w:pPr>
              <w:pStyle w:val="TableBodyText"/>
              <w:rPr>
                <w:sz w:val="18"/>
                <w:szCs w:val="18"/>
              </w:rPr>
            </w:pPr>
            <w:r>
              <w:rPr>
                <w:sz w:val="18"/>
                <w:szCs w:val="18"/>
              </w:rPr>
              <w:noBreakHyphen/>
            </w:r>
          </w:p>
        </w:tc>
        <w:tc>
          <w:tcPr>
            <w:tcW w:w="505" w:type="pct"/>
            <w:shd w:val="clear" w:color="auto" w:fill="auto"/>
            <w:vAlign w:val="bottom"/>
          </w:tcPr>
          <w:p w:rsidR="00DA702A" w:rsidRPr="00117DF4" w:rsidRDefault="00AC05D5" w:rsidP="00AC05D5">
            <w:pPr>
              <w:pStyle w:val="TableBodyText"/>
              <w:rPr>
                <w:sz w:val="18"/>
                <w:szCs w:val="18"/>
              </w:rPr>
            </w:pPr>
            <w:r>
              <w:rPr>
                <w:sz w:val="18"/>
                <w:szCs w:val="18"/>
              </w:rPr>
              <w:t>&lt;</w:t>
            </w:r>
            <w:r w:rsidRPr="00E17EEF">
              <w:rPr>
                <w:sz w:val="18"/>
                <w:szCs w:val="18"/>
              </w:rPr>
              <w:t>0.</w:t>
            </w:r>
            <w:r>
              <w:rPr>
                <w:sz w:val="18"/>
                <w:szCs w:val="18"/>
              </w:rPr>
              <w:t>1</w:t>
            </w:r>
          </w:p>
        </w:tc>
      </w:tr>
      <w:tr w:rsidR="00DA702A" w:rsidRPr="006C5A80" w:rsidTr="001B56F1">
        <w:tc>
          <w:tcPr>
            <w:tcW w:w="1960" w:type="pct"/>
            <w:vAlign w:val="bottom"/>
          </w:tcPr>
          <w:p w:rsidR="00DA702A" w:rsidRPr="00F1539F" w:rsidRDefault="00DA702A" w:rsidP="001B56F1">
            <w:pPr>
              <w:pStyle w:val="TableBodyText"/>
              <w:jc w:val="left"/>
              <w:rPr>
                <w:sz w:val="18"/>
                <w:szCs w:val="18"/>
              </w:rPr>
            </w:pPr>
            <w:r w:rsidRPr="00F1539F">
              <w:rPr>
                <w:sz w:val="18"/>
                <w:szCs w:val="18"/>
              </w:rPr>
              <w:t>Sheep, beef cattle and grain farming</w:t>
            </w:r>
          </w:p>
        </w:tc>
        <w:tc>
          <w:tcPr>
            <w:tcW w:w="507" w:type="pct"/>
            <w:vAlign w:val="bottom"/>
          </w:tcPr>
          <w:p w:rsidR="00DA702A" w:rsidRPr="00117DF4" w:rsidRDefault="00DA702A" w:rsidP="001B56F1">
            <w:pPr>
              <w:pStyle w:val="TableBodyText"/>
              <w:rPr>
                <w:sz w:val="18"/>
                <w:szCs w:val="18"/>
              </w:rPr>
            </w:pPr>
            <w:r w:rsidRPr="00117DF4">
              <w:rPr>
                <w:sz w:val="18"/>
                <w:szCs w:val="18"/>
              </w:rPr>
              <w:t>6.3</w:t>
            </w:r>
          </w:p>
        </w:tc>
        <w:tc>
          <w:tcPr>
            <w:tcW w:w="507" w:type="pct"/>
            <w:vAlign w:val="bottom"/>
          </w:tcPr>
          <w:p w:rsidR="00DA702A" w:rsidRPr="00117DF4" w:rsidRDefault="00DA702A" w:rsidP="001B56F1">
            <w:pPr>
              <w:pStyle w:val="TableBodyText"/>
              <w:rPr>
                <w:sz w:val="18"/>
                <w:szCs w:val="18"/>
              </w:rPr>
            </w:pPr>
            <w:r w:rsidRPr="00117DF4">
              <w:rPr>
                <w:sz w:val="18"/>
                <w:szCs w:val="18"/>
              </w:rPr>
              <w:t>1.5</w:t>
            </w:r>
          </w:p>
        </w:tc>
        <w:tc>
          <w:tcPr>
            <w:tcW w:w="507" w:type="pct"/>
            <w:vAlign w:val="bottom"/>
          </w:tcPr>
          <w:p w:rsidR="00DA702A" w:rsidRPr="00117DF4" w:rsidRDefault="00DA702A" w:rsidP="001B56F1">
            <w:pPr>
              <w:pStyle w:val="TableBodyText"/>
              <w:rPr>
                <w:sz w:val="18"/>
                <w:szCs w:val="18"/>
              </w:rPr>
            </w:pPr>
            <w:r w:rsidRPr="00117DF4">
              <w:rPr>
                <w:sz w:val="18"/>
                <w:szCs w:val="18"/>
              </w:rPr>
              <w:t>1.0</w:t>
            </w:r>
          </w:p>
        </w:tc>
        <w:tc>
          <w:tcPr>
            <w:tcW w:w="507" w:type="pct"/>
            <w:vAlign w:val="bottom"/>
          </w:tcPr>
          <w:p w:rsidR="00DA702A" w:rsidRPr="00117DF4" w:rsidRDefault="00DA702A" w:rsidP="001B56F1">
            <w:pPr>
              <w:pStyle w:val="TableBodyText"/>
              <w:rPr>
                <w:sz w:val="18"/>
                <w:szCs w:val="18"/>
              </w:rPr>
            </w:pPr>
            <w:r>
              <w:rPr>
                <w:sz w:val="18"/>
                <w:szCs w:val="18"/>
              </w:rPr>
              <w:noBreakHyphen/>
            </w:r>
          </w:p>
        </w:tc>
        <w:tc>
          <w:tcPr>
            <w:tcW w:w="507" w:type="pct"/>
            <w:shd w:val="clear" w:color="auto" w:fill="auto"/>
            <w:vAlign w:val="bottom"/>
          </w:tcPr>
          <w:p w:rsidR="00DA702A" w:rsidRPr="00117DF4" w:rsidRDefault="00DA702A" w:rsidP="001B56F1">
            <w:pPr>
              <w:pStyle w:val="TableBodyText"/>
              <w:rPr>
                <w:sz w:val="18"/>
                <w:szCs w:val="18"/>
              </w:rPr>
            </w:pPr>
            <w:r>
              <w:rPr>
                <w:sz w:val="18"/>
                <w:szCs w:val="18"/>
              </w:rPr>
              <w:noBreakHyphen/>
            </w:r>
          </w:p>
        </w:tc>
        <w:tc>
          <w:tcPr>
            <w:tcW w:w="505" w:type="pct"/>
            <w:shd w:val="clear" w:color="auto" w:fill="auto"/>
            <w:vAlign w:val="bottom"/>
          </w:tcPr>
          <w:p w:rsidR="00DA702A" w:rsidRPr="00117DF4" w:rsidRDefault="00DA702A" w:rsidP="001B56F1">
            <w:pPr>
              <w:pStyle w:val="TableBodyText"/>
              <w:rPr>
                <w:sz w:val="18"/>
                <w:szCs w:val="18"/>
              </w:rPr>
            </w:pPr>
            <w:r>
              <w:rPr>
                <w:sz w:val="18"/>
                <w:szCs w:val="18"/>
              </w:rPr>
              <w:noBreakHyphen/>
            </w:r>
          </w:p>
        </w:tc>
      </w:tr>
      <w:tr w:rsidR="00DA702A" w:rsidRPr="006C5A80" w:rsidTr="001B56F1">
        <w:tc>
          <w:tcPr>
            <w:tcW w:w="1960" w:type="pct"/>
            <w:vAlign w:val="bottom"/>
          </w:tcPr>
          <w:p w:rsidR="00DA702A" w:rsidRPr="00F1539F" w:rsidRDefault="00DA702A" w:rsidP="001B56F1">
            <w:pPr>
              <w:pStyle w:val="TableBodyText"/>
              <w:jc w:val="left"/>
              <w:rPr>
                <w:sz w:val="18"/>
                <w:szCs w:val="18"/>
              </w:rPr>
            </w:pPr>
            <w:r w:rsidRPr="00F1539F">
              <w:rPr>
                <w:sz w:val="18"/>
                <w:szCs w:val="18"/>
              </w:rPr>
              <w:t>Other crop growing</w:t>
            </w:r>
          </w:p>
        </w:tc>
        <w:tc>
          <w:tcPr>
            <w:tcW w:w="507" w:type="pct"/>
            <w:vAlign w:val="bottom"/>
          </w:tcPr>
          <w:p w:rsidR="00DA702A" w:rsidRPr="00117DF4" w:rsidRDefault="00DA702A" w:rsidP="001B56F1">
            <w:pPr>
              <w:pStyle w:val="TableBodyText"/>
              <w:rPr>
                <w:sz w:val="18"/>
                <w:szCs w:val="18"/>
              </w:rPr>
            </w:pPr>
            <w:r w:rsidRPr="00117DF4">
              <w:rPr>
                <w:sz w:val="18"/>
                <w:szCs w:val="18"/>
              </w:rPr>
              <w:t>0.7</w:t>
            </w:r>
          </w:p>
        </w:tc>
        <w:tc>
          <w:tcPr>
            <w:tcW w:w="507" w:type="pct"/>
            <w:vAlign w:val="bottom"/>
          </w:tcPr>
          <w:p w:rsidR="00DA702A" w:rsidRPr="00117DF4" w:rsidRDefault="00DA702A" w:rsidP="001B56F1">
            <w:pPr>
              <w:pStyle w:val="TableBodyText"/>
              <w:rPr>
                <w:sz w:val="18"/>
                <w:szCs w:val="18"/>
              </w:rPr>
            </w:pPr>
            <w:r w:rsidRPr="00117DF4">
              <w:rPr>
                <w:sz w:val="18"/>
                <w:szCs w:val="18"/>
              </w:rPr>
              <w:t>0.2</w:t>
            </w:r>
          </w:p>
        </w:tc>
        <w:tc>
          <w:tcPr>
            <w:tcW w:w="507" w:type="pct"/>
            <w:vAlign w:val="bottom"/>
          </w:tcPr>
          <w:p w:rsidR="00DA702A" w:rsidRPr="00117DF4" w:rsidRDefault="00DA702A" w:rsidP="001B56F1">
            <w:pPr>
              <w:pStyle w:val="TableBodyText"/>
              <w:rPr>
                <w:sz w:val="18"/>
                <w:szCs w:val="18"/>
              </w:rPr>
            </w:pPr>
            <w:r w:rsidRPr="00117DF4">
              <w:rPr>
                <w:sz w:val="18"/>
                <w:szCs w:val="18"/>
              </w:rPr>
              <w:t>0.2</w:t>
            </w:r>
          </w:p>
        </w:tc>
        <w:tc>
          <w:tcPr>
            <w:tcW w:w="507" w:type="pct"/>
            <w:vAlign w:val="bottom"/>
          </w:tcPr>
          <w:p w:rsidR="00DA702A" w:rsidRPr="00117DF4" w:rsidRDefault="00DA702A" w:rsidP="001B56F1">
            <w:pPr>
              <w:pStyle w:val="TableBodyText"/>
              <w:rPr>
                <w:sz w:val="18"/>
                <w:szCs w:val="18"/>
              </w:rPr>
            </w:pPr>
            <w:r>
              <w:rPr>
                <w:sz w:val="18"/>
                <w:szCs w:val="18"/>
              </w:rPr>
              <w:noBreakHyphen/>
            </w:r>
          </w:p>
        </w:tc>
        <w:tc>
          <w:tcPr>
            <w:tcW w:w="507" w:type="pct"/>
            <w:shd w:val="clear" w:color="auto" w:fill="auto"/>
            <w:vAlign w:val="bottom"/>
          </w:tcPr>
          <w:p w:rsidR="00DA702A" w:rsidRPr="00117DF4" w:rsidRDefault="00DA702A" w:rsidP="001B56F1">
            <w:pPr>
              <w:pStyle w:val="TableBodyText"/>
              <w:rPr>
                <w:sz w:val="18"/>
                <w:szCs w:val="18"/>
              </w:rPr>
            </w:pPr>
            <w:r>
              <w:rPr>
                <w:sz w:val="18"/>
                <w:szCs w:val="18"/>
              </w:rPr>
              <w:noBreakHyphen/>
            </w:r>
          </w:p>
        </w:tc>
        <w:tc>
          <w:tcPr>
            <w:tcW w:w="505" w:type="pct"/>
            <w:shd w:val="clear" w:color="auto" w:fill="auto"/>
            <w:vAlign w:val="bottom"/>
          </w:tcPr>
          <w:p w:rsidR="00DA702A" w:rsidRPr="00117DF4" w:rsidRDefault="00DA702A" w:rsidP="001B56F1">
            <w:pPr>
              <w:pStyle w:val="TableBodyText"/>
              <w:rPr>
                <w:sz w:val="18"/>
                <w:szCs w:val="18"/>
              </w:rPr>
            </w:pPr>
            <w:r>
              <w:rPr>
                <w:sz w:val="18"/>
                <w:szCs w:val="18"/>
              </w:rPr>
              <w:noBreakHyphen/>
            </w:r>
          </w:p>
        </w:tc>
      </w:tr>
      <w:tr w:rsidR="00DA702A" w:rsidRPr="006C5A80" w:rsidTr="001B56F1">
        <w:tc>
          <w:tcPr>
            <w:tcW w:w="1960" w:type="pct"/>
            <w:vAlign w:val="bottom"/>
          </w:tcPr>
          <w:p w:rsidR="00DA702A" w:rsidRPr="00F1539F" w:rsidRDefault="00DA702A" w:rsidP="001B56F1">
            <w:pPr>
              <w:pStyle w:val="TableBodyText"/>
              <w:jc w:val="left"/>
              <w:rPr>
                <w:sz w:val="18"/>
                <w:szCs w:val="18"/>
              </w:rPr>
            </w:pPr>
            <w:r w:rsidRPr="00F1539F">
              <w:rPr>
                <w:sz w:val="18"/>
                <w:szCs w:val="18"/>
              </w:rPr>
              <w:t>Dairy cattle farming</w:t>
            </w:r>
          </w:p>
        </w:tc>
        <w:tc>
          <w:tcPr>
            <w:tcW w:w="507" w:type="pct"/>
            <w:vAlign w:val="bottom"/>
          </w:tcPr>
          <w:p w:rsidR="00DA702A" w:rsidRPr="00117DF4" w:rsidRDefault="00DA702A" w:rsidP="001B56F1">
            <w:pPr>
              <w:pStyle w:val="TableBodyText"/>
              <w:rPr>
                <w:sz w:val="18"/>
                <w:szCs w:val="18"/>
              </w:rPr>
            </w:pPr>
            <w:r w:rsidRPr="00117DF4">
              <w:rPr>
                <w:sz w:val="18"/>
                <w:szCs w:val="18"/>
              </w:rPr>
              <w:t>0.9</w:t>
            </w:r>
          </w:p>
        </w:tc>
        <w:tc>
          <w:tcPr>
            <w:tcW w:w="507" w:type="pct"/>
            <w:vAlign w:val="bottom"/>
          </w:tcPr>
          <w:p w:rsidR="00DA702A" w:rsidRPr="00117DF4" w:rsidRDefault="00DA702A" w:rsidP="001B56F1">
            <w:pPr>
              <w:pStyle w:val="TableBodyText"/>
              <w:rPr>
                <w:sz w:val="18"/>
                <w:szCs w:val="18"/>
              </w:rPr>
            </w:pPr>
            <w:r w:rsidRPr="00117DF4">
              <w:rPr>
                <w:sz w:val="18"/>
                <w:szCs w:val="18"/>
              </w:rPr>
              <w:t>0.2</w:t>
            </w:r>
          </w:p>
        </w:tc>
        <w:tc>
          <w:tcPr>
            <w:tcW w:w="507" w:type="pct"/>
            <w:vAlign w:val="bottom"/>
          </w:tcPr>
          <w:p w:rsidR="00DA702A" w:rsidRPr="00117DF4" w:rsidRDefault="00DA702A" w:rsidP="001B56F1">
            <w:pPr>
              <w:pStyle w:val="TableBodyText"/>
              <w:rPr>
                <w:sz w:val="18"/>
                <w:szCs w:val="18"/>
              </w:rPr>
            </w:pPr>
            <w:r w:rsidRPr="00117DF4">
              <w:rPr>
                <w:sz w:val="18"/>
                <w:szCs w:val="18"/>
              </w:rPr>
              <w:t>0.2</w:t>
            </w:r>
          </w:p>
        </w:tc>
        <w:tc>
          <w:tcPr>
            <w:tcW w:w="507" w:type="pct"/>
            <w:vAlign w:val="bottom"/>
          </w:tcPr>
          <w:p w:rsidR="00DA702A" w:rsidRPr="00117DF4" w:rsidRDefault="00DA702A" w:rsidP="001B56F1">
            <w:pPr>
              <w:pStyle w:val="TableBodyText"/>
              <w:rPr>
                <w:sz w:val="18"/>
                <w:szCs w:val="18"/>
              </w:rPr>
            </w:pPr>
            <w:r>
              <w:rPr>
                <w:sz w:val="18"/>
                <w:szCs w:val="18"/>
              </w:rPr>
              <w:noBreakHyphen/>
            </w:r>
          </w:p>
        </w:tc>
        <w:tc>
          <w:tcPr>
            <w:tcW w:w="507" w:type="pct"/>
            <w:shd w:val="clear" w:color="auto" w:fill="auto"/>
            <w:vAlign w:val="bottom"/>
          </w:tcPr>
          <w:p w:rsidR="00DA702A" w:rsidRPr="00117DF4" w:rsidRDefault="00DA702A" w:rsidP="001B56F1">
            <w:pPr>
              <w:pStyle w:val="TableBodyText"/>
              <w:rPr>
                <w:sz w:val="18"/>
                <w:szCs w:val="18"/>
              </w:rPr>
            </w:pPr>
            <w:r>
              <w:rPr>
                <w:sz w:val="18"/>
                <w:szCs w:val="18"/>
              </w:rPr>
              <w:noBreakHyphen/>
            </w:r>
          </w:p>
        </w:tc>
        <w:tc>
          <w:tcPr>
            <w:tcW w:w="505" w:type="pct"/>
            <w:shd w:val="clear" w:color="auto" w:fill="auto"/>
            <w:vAlign w:val="bottom"/>
          </w:tcPr>
          <w:p w:rsidR="00DA702A" w:rsidRPr="00117DF4" w:rsidRDefault="00DA702A" w:rsidP="001B56F1">
            <w:pPr>
              <w:pStyle w:val="TableBodyText"/>
              <w:rPr>
                <w:sz w:val="18"/>
                <w:szCs w:val="18"/>
              </w:rPr>
            </w:pPr>
            <w:r>
              <w:rPr>
                <w:sz w:val="18"/>
                <w:szCs w:val="18"/>
              </w:rPr>
              <w:noBreakHyphen/>
            </w:r>
          </w:p>
        </w:tc>
      </w:tr>
      <w:tr w:rsidR="00DA702A" w:rsidRPr="006C5A80" w:rsidTr="001B56F1">
        <w:tc>
          <w:tcPr>
            <w:tcW w:w="1960" w:type="pct"/>
            <w:vAlign w:val="bottom"/>
          </w:tcPr>
          <w:p w:rsidR="00DA702A" w:rsidRPr="00F1539F" w:rsidRDefault="00DA702A" w:rsidP="001B56F1">
            <w:pPr>
              <w:pStyle w:val="TableBodyText"/>
              <w:jc w:val="left"/>
              <w:rPr>
                <w:sz w:val="18"/>
                <w:szCs w:val="18"/>
              </w:rPr>
            </w:pPr>
            <w:r w:rsidRPr="00F1539F">
              <w:rPr>
                <w:sz w:val="18"/>
                <w:szCs w:val="18"/>
              </w:rPr>
              <w:t>Other livestock farming</w:t>
            </w:r>
          </w:p>
        </w:tc>
        <w:tc>
          <w:tcPr>
            <w:tcW w:w="507" w:type="pct"/>
            <w:vAlign w:val="bottom"/>
          </w:tcPr>
          <w:p w:rsidR="00DA702A" w:rsidRPr="00117DF4" w:rsidRDefault="00DA702A" w:rsidP="001B56F1">
            <w:pPr>
              <w:pStyle w:val="TableBodyText"/>
              <w:rPr>
                <w:sz w:val="18"/>
                <w:szCs w:val="18"/>
              </w:rPr>
            </w:pPr>
            <w:r w:rsidRPr="00117DF4">
              <w:rPr>
                <w:sz w:val="18"/>
                <w:szCs w:val="18"/>
              </w:rPr>
              <w:t>0.3</w:t>
            </w:r>
          </w:p>
        </w:tc>
        <w:tc>
          <w:tcPr>
            <w:tcW w:w="507" w:type="pct"/>
            <w:vAlign w:val="bottom"/>
          </w:tcPr>
          <w:p w:rsidR="00DA702A" w:rsidRPr="00117DF4" w:rsidRDefault="00DA702A" w:rsidP="001B56F1">
            <w:pPr>
              <w:pStyle w:val="TableBodyText"/>
              <w:rPr>
                <w:sz w:val="18"/>
                <w:szCs w:val="18"/>
              </w:rPr>
            </w:pPr>
            <w:r w:rsidRPr="00117DF4">
              <w:rPr>
                <w:sz w:val="18"/>
                <w:szCs w:val="18"/>
              </w:rPr>
              <w:t>0.4</w:t>
            </w:r>
          </w:p>
        </w:tc>
        <w:tc>
          <w:tcPr>
            <w:tcW w:w="507" w:type="pct"/>
            <w:vAlign w:val="bottom"/>
          </w:tcPr>
          <w:p w:rsidR="00DA702A" w:rsidRPr="00117DF4" w:rsidRDefault="00DA702A"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DA702A" w:rsidRPr="00117DF4" w:rsidRDefault="00DA702A" w:rsidP="001B56F1">
            <w:pPr>
              <w:pStyle w:val="TableBodyText"/>
              <w:rPr>
                <w:sz w:val="18"/>
                <w:szCs w:val="18"/>
              </w:rPr>
            </w:pPr>
            <w:r>
              <w:rPr>
                <w:sz w:val="18"/>
                <w:szCs w:val="18"/>
              </w:rPr>
              <w:noBreakHyphen/>
            </w:r>
          </w:p>
        </w:tc>
        <w:tc>
          <w:tcPr>
            <w:tcW w:w="507" w:type="pct"/>
            <w:shd w:val="clear" w:color="auto" w:fill="auto"/>
            <w:vAlign w:val="bottom"/>
          </w:tcPr>
          <w:p w:rsidR="00DA702A" w:rsidRPr="00117DF4" w:rsidRDefault="00DA702A" w:rsidP="001B56F1">
            <w:pPr>
              <w:pStyle w:val="TableBodyText"/>
              <w:rPr>
                <w:sz w:val="18"/>
                <w:szCs w:val="18"/>
              </w:rPr>
            </w:pPr>
            <w:r>
              <w:rPr>
                <w:sz w:val="18"/>
                <w:szCs w:val="18"/>
              </w:rPr>
              <w:noBreakHyphen/>
            </w:r>
          </w:p>
        </w:tc>
        <w:tc>
          <w:tcPr>
            <w:tcW w:w="505" w:type="pct"/>
            <w:shd w:val="clear" w:color="auto" w:fill="auto"/>
            <w:vAlign w:val="bottom"/>
          </w:tcPr>
          <w:p w:rsidR="00DA702A" w:rsidRPr="00117DF4" w:rsidRDefault="00DA702A" w:rsidP="001B56F1">
            <w:pPr>
              <w:pStyle w:val="TableBodyText"/>
              <w:rPr>
                <w:sz w:val="18"/>
                <w:szCs w:val="18"/>
              </w:rPr>
            </w:pPr>
            <w:r>
              <w:rPr>
                <w:sz w:val="18"/>
                <w:szCs w:val="18"/>
              </w:rPr>
              <w:noBreakHyphen/>
            </w:r>
          </w:p>
        </w:tc>
      </w:tr>
      <w:tr w:rsidR="00DA702A" w:rsidRPr="006C5A80" w:rsidTr="001B56F1">
        <w:tc>
          <w:tcPr>
            <w:tcW w:w="1960" w:type="pct"/>
            <w:vAlign w:val="bottom"/>
          </w:tcPr>
          <w:p w:rsidR="00DA702A" w:rsidRPr="00F1539F" w:rsidRDefault="00DA702A" w:rsidP="001B56F1">
            <w:pPr>
              <w:pStyle w:val="TableBodyText"/>
              <w:jc w:val="left"/>
              <w:rPr>
                <w:sz w:val="18"/>
                <w:szCs w:val="18"/>
              </w:rPr>
            </w:pPr>
            <w:r w:rsidRPr="00F1539F">
              <w:rPr>
                <w:sz w:val="18"/>
                <w:szCs w:val="18"/>
              </w:rPr>
              <w:t>Aquaculture and fishing</w:t>
            </w:r>
          </w:p>
        </w:tc>
        <w:tc>
          <w:tcPr>
            <w:tcW w:w="507" w:type="pct"/>
            <w:vAlign w:val="bottom"/>
          </w:tcPr>
          <w:p w:rsidR="00DA702A" w:rsidRPr="00117DF4" w:rsidRDefault="00DA702A" w:rsidP="001B56F1">
            <w:pPr>
              <w:pStyle w:val="TableBodyText"/>
              <w:rPr>
                <w:sz w:val="18"/>
                <w:szCs w:val="18"/>
              </w:rPr>
            </w:pPr>
            <w:r>
              <w:rPr>
                <w:sz w:val="18"/>
                <w:szCs w:val="18"/>
              </w:rPr>
              <w:t>&lt;</w:t>
            </w:r>
            <w:r w:rsidRPr="00117DF4">
              <w:rPr>
                <w:sz w:val="18"/>
                <w:szCs w:val="18"/>
              </w:rPr>
              <w:t>0.1</w:t>
            </w:r>
          </w:p>
        </w:tc>
        <w:tc>
          <w:tcPr>
            <w:tcW w:w="507" w:type="pct"/>
            <w:vAlign w:val="bottom"/>
          </w:tcPr>
          <w:p w:rsidR="00DA702A" w:rsidRPr="00117DF4" w:rsidRDefault="00DA702A" w:rsidP="001B56F1">
            <w:pPr>
              <w:pStyle w:val="TableBodyText"/>
              <w:rPr>
                <w:sz w:val="18"/>
                <w:szCs w:val="18"/>
              </w:rPr>
            </w:pPr>
            <w:r>
              <w:rPr>
                <w:sz w:val="18"/>
                <w:szCs w:val="18"/>
              </w:rPr>
              <w:noBreakHyphen/>
            </w:r>
          </w:p>
        </w:tc>
        <w:tc>
          <w:tcPr>
            <w:tcW w:w="507" w:type="pct"/>
            <w:vAlign w:val="bottom"/>
          </w:tcPr>
          <w:p w:rsidR="00DA702A" w:rsidRPr="00117DF4" w:rsidRDefault="00DA702A"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DA702A" w:rsidRPr="00117DF4" w:rsidRDefault="00DA702A" w:rsidP="001B56F1">
            <w:pPr>
              <w:pStyle w:val="TableBodyText"/>
              <w:rPr>
                <w:sz w:val="18"/>
                <w:szCs w:val="18"/>
              </w:rPr>
            </w:pPr>
            <w:r>
              <w:rPr>
                <w:sz w:val="18"/>
                <w:szCs w:val="18"/>
              </w:rPr>
              <w:noBreakHyphen/>
            </w:r>
          </w:p>
        </w:tc>
        <w:tc>
          <w:tcPr>
            <w:tcW w:w="507" w:type="pct"/>
            <w:shd w:val="clear" w:color="auto" w:fill="auto"/>
            <w:vAlign w:val="bottom"/>
          </w:tcPr>
          <w:p w:rsidR="00DA702A" w:rsidRPr="00117DF4" w:rsidRDefault="00DA702A" w:rsidP="001B56F1">
            <w:pPr>
              <w:pStyle w:val="TableBodyText"/>
              <w:rPr>
                <w:sz w:val="18"/>
                <w:szCs w:val="18"/>
              </w:rPr>
            </w:pPr>
            <w:r>
              <w:rPr>
                <w:sz w:val="18"/>
                <w:szCs w:val="18"/>
              </w:rPr>
              <w:noBreakHyphen/>
            </w:r>
          </w:p>
        </w:tc>
        <w:tc>
          <w:tcPr>
            <w:tcW w:w="505" w:type="pct"/>
            <w:shd w:val="clear" w:color="auto" w:fill="auto"/>
            <w:vAlign w:val="bottom"/>
          </w:tcPr>
          <w:p w:rsidR="00DA702A" w:rsidRPr="00117DF4" w:rsidRDefault="00DA702A" w:rsidP="001B56F1">
            <w:pPr>
              <w:pStyle w:val="TableBodyText"/>
              <w:rPr>
                <w:sz w:val="18"/>
                <w:szCs w:val="18"/>
              </w:rPr>
            </w:pPr>
            <w:r>
              <w:rPr>
                <w:sz w:val="18"/>
                <w:szCs w:val="18"/>
              </w:rPr>
              <w:noBreakHyphen/>
            </w:r>
          </w:p>
        </w:tc>
      </w:tr>
      <w:tr w:rsidR="00DA702A" w:rsidRPr="006C5A80" w:rsidTr="001B56F1">
        <w:tc>
          <w:tcPr>
            <w:tcW w:w="1960" w:type="pct"/>
            <w:vAlign w:val="bottom"/>
          </w:tcPr>
          <w:p w:rsidR="00DA702A" w:rsidRPr="00F1539F" w:rsidRDefault="00DA702A" w:rsidP="001B56F1">
            <w:pPr>
              <w:pStyle w:val="TableBodyText"/>
              <w:jc w:val="left"/>
              <w:rPr>
                <w:sz w:val="18"/>
                <w:szCs w:val="18"/>
              </w:rPr>
            </w:pPr>
            <w:r>
              <w:rPr>
                <w:sz w:val="18"/>
                <w:szCs w:val="18"/>
              </w:rPr>
              <w:t>Unallocated primary production</w:t>
            </w:r>
            <w:r w:rsidRPr="00F1539F">
              <w:rPr>
                <w:rStyle w:val="NoteLabel"/>
                <w:szCs w:val="18"/>
              </w:rPr>
              <w:t>a</w:t>
            </w:r>
          </w:p>
        </w:tc>
        <w:tc>
          <w:tcPr>
            <w:tcW w:w="507" w:type="pct"/>
            <w:vAlign w:val="bottom"/>
          </w:tcPr>
          <w:p w:rsidR="00DA702A" w:rsidRPr="00117DF4" w:rsidRDefault="00DA702A" w:rsidP="001B56F1">
            <w:pPr>
              <w:pStyle w:val="TableBodyText"/>
              <w:rPr>
                <w:sz w:val="18"/>
                <w:szCs w:val="18"/>
              </w:rPr>
            </w:pPr>
            <w:r w:rsidRPr="00117DF4">
              <w:rPr>
                <w:sz w:val="18"/>
                <w:szCs w:val="18"/>
              </w:rPr>
              <w:t>0.3</w:t>
            </w:r>
          </w:p>
        </w:tc>
        <w:tc>
          <w:tcPr>
            <w:tcW w:w="507" w:type="pct"/>
            <w:vAlign w:val="bottom"/>
          </w:tcPr>
          <w:p w:rsidR="00DA702A" w:rsidRPr="00117DF4" w:rsidRDefault="00DA702A" w:rsidP="001B56F1">
            <w:pPr>
              <w:pStyle w:val="TableBodyText"/>
              <w:rPr>
                <w:sz w:val="18"/>
                <w:szCs w:val="18"/>
              </w:rPr>
            </w:pPr>
            <w:r w:rsidRPr="00117DF4">
              <w:rPr>
                <w:sz w:val="18"/>
                <w:szCs w:val="18"/>
              </w:rPr>
              <w:t>0.1</w:t>
            </w:r>
          </w:p>
        </w:tc>
        <w:tc>
          <w:tcPr>
            <w:tcW w:w="507" w:type="pct"/>
            <w:vAlign w:val="bottom"/>
          </w:tcPr>
          <w:p w:rsidR="00DA702A" w:rsidRPr="00117DF4" w:rsidRDefault="00DA702A" w:rsidP="001B56F1">
            <w:pPr>
              <w:pStyle w:val="TableBodyText"/>
              <w:rPr>
                <w:sz w:val="18"/>
                <w:szCs w:val="18"/>
              </w:rPr>
            </w:pPr>
            <w:r>
              <w:rPr>
                <w:sz w:val="18"/>
                <w:szCs w:val="18"/>
              </w:rPr>
              <w:noBreakHyphen/>
            </w:r>
          </w:p>
        </w:tc>
        <w:tc>
          <w:tcPr>
            <w:tcW w:w="507" w:type="pct"/>
            <w:vAlign w:val="bottom"/>
          </w:tcPr>
          <w:p w:rsidR="00DA702A" w:rsidRPr="00117DF4" w:rsidRDefault="00DA702A" w:rsidP="001B56F1">
            <w:pPr>
              <w:pStyle w:val="TableBodyText"/>
              <w:rPr>
                <w:sz w:val="18"/>
                <w:szCs w:val="18"/>
              </w:rPr>
            </w:pPr>
            <w:r w:rsidRPr="00117DF4">
              <w:rPr>
                <w:sz w:val="18"/>
                <w:szCs w:val="18"/>
              </w:rPr>
              <w:t>0.1</w:t>
            </w:r>
          </w:p>
        </w:tc>
        <w:tc>
          <w:tcPr>
            <w:tcW w:w="507" w:type="pct"/>
            <w:shd w:val="clear" w:color="auto" w:fill="auto"/>
            <w:vAlign w:val="bottom"/>
          </w:tcPr>
          <w:p w:rsidR="00DA702A" w:rsidRPr="00117DF4" w:rsidRDefault="00DA702A" w:rsidP="001B56F1">
            <w:pPr>
              <w:pStyle w:val="TableBodyText"/>
              <w:rPr>
                <w:sz w:val="18"/>
                <w:szCs w:val="18"/>
              </w:rPr>
            </w:pPr>
            <w:r>
              <w:rPr>
                <w:sz w:val="18"/>
                <w:szCs w:val="18"/>
              </w:rPr>
              <w:noBreakHyphen/>
            </w:r>
          </w:p>
        </w:tc>
        <w:tc>
          <w:tcPr>
            <w:tcW w:w="505" w:type="pct"/>
            <w:shd w:val="clear" w:color="auto" w:fill="auto"/>
            <w:vAlign w:val="bottom"/>
          </w:tcPr>
          <w:p w:rsidR="00DA702A" w:rsidRPr="00117DF4" w:rsidRDefault="00DA702A" w:rsidP="001B56F1">
            <w:pPr>
              <w:pStyle w:val="TableBodyText"/>
              <w:rPr>
                <w:sz w:val="18"/>
                <w:szCs w:val="18"/>
              </w:rPr>
            </w:pPr>
            <w:r>
              <w:rPr>
                <w:sz w:val="18"/>
                <w:szCs w:val="18"/>
              </w:rPr>
              <w:noBreakHyphen/>
            </w:r>
          </w:p>
        </w:tc>
      </w:tr>
      <w:tr w:rsidR="00DA702A" w:rsidRPr="006C5A80" w:rsidTr="001B56F1">
        <w:tc>
          <w:tcPr>
            <w:tcW w:w="1960" w:type="pct"/>
            <w:vAlign w:val="bottom"/>
          </w:tcPr>
          <w:p w:rsidR="00DA702A" w:rsidRPr="00F1539F" w:rsidRDefault="00DA702A" w:rsidP="001B56F1">
            <w:pPr>
              <w:pStyle w:val="TableBodyText"/>
              <w:jc w:val="left"/>
              <w:rPr>
                <w:sz w:val="18"/>
                <w:szCs w:val="18"/>
              </w:rPr>
            </w:pPr>
            <w:r w:rsidRPr="00F1539F">
              <w:rPr>
                <w:sz w:val="18"/>
                <w:szCs w:val="18"/>
              </w:rPr>
              <w:t xml:space="preserve">Unallocated </w:t>
            </w:r>
            <w:r>
              <w:rPr>
                <w:sz w:val="18"/>
                <w:szCs w:val="18"/>
              </w:rPr>
              <w:t>other</w:t>
            </w:r>
            <w:r w:rsidRPr="00F1539F">
              <w:rPr>
                <w:rStyle w:val="NoteLabel"/>
                <w:szCs w:val="18"/>
              </w:rPr>
              <w:t>a</w:t>
            </w:r>
          </w:p>
        </w:tc>
        <w:tc>
          <w:tcPr>
            <w:tcW w:w="507" w:type="pct"/>
            <w:vAlign w:val="bottom"/>
          </w:tcPr>
          <w:p w:rsidR="00DA702A" w:rsidRPr="00117DF4" w:rsidRDefault="00DA702A" w:rsidP="001B56F1">
            <w:pPr>
              <w:pStyle w:val="TableBodyText"/>
              <w:rPr>
                <w:sz w:val="18"/>
                <w:szCs w:val="18"/>
              </w:rPr>
            </w:pPr>
            <w:r>
              <w:rPr>
                <w:sz w:val="18"/>
                <w:szCs w:val="18"/>
              </w:rPr>
              <w:noBreakHyphen/>
            </w:r>
          </w:p>
        </w:tc>
        <w:tc>
          <w:tcPr>
            <w:tcW w:w="507" w:type="pct"/>
            <w:vAlign w:val="bottom"/>
          </w:tcPr>
          <w:p w:rsidR="00DA702A" w:rsidRPr="00117DF4" w:rsidRDefault="00DA702A" w:rsidP="001B56F1">
            <w:pPr>
              <w:pStyle w:val="TableBodyText"/>
              <w:rPr>
                <w:sz w:val="18"/>
                <w:szCs w:val="18"/>
              </w:rPr>
            </w:pPr>
            <w:r>
              <w:rPr>
                <w:sz w:val="18"/>
                <w:szCs w:val="18"/>
              </w:rPr>
              <w:noBreakHyphen/>
            </w:r>
          </w:p>
        </w:tc>
        <w:tc>
          <w:tcPr>
            <w:tcW w:w="507" w:type="pct"/>
            <w:vAlign w:val="bottom"/>
          </w:tcPr>
          <w:p w:rsidR="00DA702A" w:rsidRPr="00117DF4" w:rsidRDefault="00DA702A" w:rsidP="001B56F1">
            <w:pPr>
              <w:pStyle w:val="TableBodyText"/>
              <w:rPr>
                <w:sz w:val="18"/>
                <w:szCs w:val="18"/>
              </w:rPr>
            </w:pPr>
            <w:r>
              <w:rPr>
                <w:sz w:val="18"/>
                <w:szCs w:val="18"/>
              </w:rPr>
              <w:noBreakHyphen/>
            </w:r>
          </w:p>
        </w:tc>
        <w:tc>
          <w:tcPr>
            <w:tcW w:w="507" w:type="pct"/>
            <w:vAlign w:val="bottom"/>
          </w:tcPr>
          <w:p w:rsidR="00DA702A" w:rsidRPr="00117DF4" w:rsidRDefault="00DA702A" w:rsidP="001B56F1">
            <w:pPr>
              <w:pStyle w:val="TableBodyText"/>
              <w:rPr>
                <w:sz w:val="18"/>
                <w:szCs w:val="18"/>
              </w:rPr>
            </w:pPr>
            <w:r>
              <w:rPr>
                <w:sz w:val="18"/>
                <w:szCs w:val="18"/>
              </w:rPr>
              <w:noBreakHyphen/>
            </w:r>
          </w:p>
        </w:tc>
        <w:tc>
          <w:tcPr>
            <w:tcW w:w="507" w:type="pct"/>
            <w:shd w:val="clear" w:color="auto" w:fill="auto"/>
            <w:vAlign w:val="bottom"/>
          </w:tcPr>
          <w:p w:rsidR="00DA702A" w:rsidRPr="00117DF4" w:rsidRDefault="00AC05D5" w:rsidP="001B56F1">
            <w:pPr>
              <w:pStyle w:val="TableBodyText"/>
              <w:rPr>
                <w:sz w:val="18"/>
                <w:szCs w:val="18"/>
              </w:rPr>
            </w:pPr>
            <w:r>
              <w:rPr>
                <w:sz w:val="18"/>
                <w:szCs w:val="18"/>
              </w:rPr>
              <w:noBreakHyphen/>
            </w:r>
          </w:p>
        </w:tc>
        <w:tc>
          <w:tcPr>
            <w:tcW w:w="505" w:type="pct"/>
            <w:shd w:val="clear" w:color="auto" w:fill="auto"/>
            <w:vAlign w:val="bottom"/>
          </w:tcPr>
          <w:p w:rsidR="00DA702A" w:rsidRPr="00117DF4" w:rsidRDefault="00AC05D5" w:rsidP="001B56F1">
            <w:pPr>
              <w:pStyle w:val="TableBodyText"/>
              <w:rPr>
                <w:sz w:val="18"/>
                <w:szCs w:val="18"/>
              </w:rPr>
            </w:pPr>
            <w:r>
              <w:rPr>
                <w:sz w:val="18"/>
                <w:szCs w:val="18"/>
              </w:rPr>
              <w:t>&lt;</w:t>
            </w:r>
            <w:r w:rsidRPr="00E17EEF">
              <w:rPr>
                <w:sz w:val="18"/>
                <w:szCs w:val="18"/>
              </w:rPr>
              <w:t>0.</w:t>
            </w:r>
            <w:r>
              <w:rPr>
                <w:sz w:val="18"/>
                <w:szCs w:val="18"/>
              </w:rPr>
              <w:t>1</w:t>
            </w:r>
          </w:p>
        </w:tc>
      </w:tr>
      <w:tr w:rsidR="00DA702A" w:rsidRPr="006C5A80" w:rsidTr="001B56F1">
        <w:tc>
          <w:tcPr>
            <w:tcW w:w="1960" w:type="pct"/>
            <w:tcBorders>
              <w:bottom w:val="single" w:sz="4" w:space="0" w:color="auto"/>
            </w:tcBorders>
            <w:vAlign w:val="bottom"/>
          </w:tcPr>
          <w:p w:rsidR="00DA702A" w:rsidRPr="00F1539F" w:rsidRDefault="00DA702A" w:rsidP="001B56F1">
            <w:pPr>
              <w:pStyle w:val="TableBodyText"/>
              <w:jc w:val="left"/>
              <w:rPr>
                <w:b/>
                <w:bCs/>
                <w:sz w:val="18"/>
                <w:szCs w:val="18"/>
              </w:rPr>
            </w:pPr>
            <w:r w:rsidRPr="00F1539F">
              <w:rPr>
                <w:b/>
                <w:bCs/>
                <w:sz w:val="18"/>
                <w:szCs w:val="18"/>
              </w:rPr>
              <w:t>Total</w:t>
            </w:r>
          </w:p>
        </w:tc>
        <w:tc>
          <w:tcPr>
            <w:tcW w:w="507" w:type="pct"/>
            <w:tcBorders>
              <w:bottom w:val="single" w:sz="4" w:space="0" w:color="auto"/>
            </w:tcBorders>
            <w:vAlign w:val="bottom"/>
          </w:tcPr>
          <w:p w:rsidR="00DA702A" w:rsidRPr="00813174" w:rsidRDefault="00DA702A" w:rsidP="001B56F1">
            <w:pPr>
              <w:pStyle w:val="TableBodyText"/>
              <w:framePr w:w="2155" w:hSpace="227" w:vSpace="181" w:wrap="around" w:vAnchor="text" w:hAnchor="page" w:xAlign="outside" w:y="1"/>
              <w:rPr>
                <w:b/>
                <w:sz w:val="18"/>
                <w:szCs w:val="18"/>
              </w:rPr>
            </w:pPr>
            <w:r w:rsidRPr="00813174">
              <w:rPr>
                <w:b/>
                <w:sz w:val="18"/>
                <w:szCs w:val="18"/>
              </w:rPr>
              <w:t>11.0</w:t>
            </w:r>
          </w:p>
        </w:tc>
        <w:tc>
          <w:tcPr>
            <w:tcW w:w="507" w:type="pct"/>
            <w:tcBorders>
              <w:bottom w:val="single" w:sz="4" w:space="0" w:color="auto"/>
            </w:tcBorders>
            <w:vAlign w:val="bottom"/>
          </w:tcPr>
          <w:p w:rsidR="00DA702A" w:rsidRPr="00813174" w:rsidRDefault="00DA702A" w:rsidP="001B56F1">
            <w:pPr>
              <w:pStyle w:val="TableBodyText"/>
              <w:framePr w:w="2155" w:hSpace="227" w:vSpace="181" w:wrap="around" w:vAnchor="text" w:hAnchor="page" w:xAlign="outside" w:y="1"/>
              <w:rPr>
                <w:b/>
                <w:sz w:val="18"/>
                <w:szCs w:val="18"/>
              </w:rPr>
            </w:pPr>
            <w:r w:rsidRPr="00813174">
              <w:rPr>
                <w:b/>
                <w:sz w:val="18"/>
                <w:szCs w:val="18"/>
              </w:rPr>
              <w:t>2.8</w:t>
            </w:r>
          </w:p>
        </w:tc>
        <w:tc>
          <w:tcPr>
            <w:tcW w:w="507" w:type="pct"/>
            <w:tcBorders>
              <w:bottom w:val="single" w:sz="4" w:space="0" w:color="auto"/>
            </w:tcBorders>
            <w:vAlign w:val="bottom"/>
          </w:tcPr>
          <w:p w:rsidR="00DA702A" w:rsidRPr="00813174" w:rsidRDefault="00DA702A" w:rsidP="001B56F1">
            <w:pPr>
              <w:pStyle w:val="TableBodyText"/>
              <w:framePr w:w="2155" w:hSpace="227" w:vSpace="181" w:wrap="around" w:vAnchor="text" w:hAnchor="page" w:xAlign="outside" w:y="1"/>
              <w:rPr>
                <w:b/>
                <w:sz w:val="18"/>
                <w:szCs w:val="18"/>
              </w:rPr>
            </w:pPr>
            <w:r w:rsidRPr="00813174">
              <w:rPr>
                <w:b/>
                <w:sz w:val="18"/>
                <w:szCs w:val="18"/>
              </w:rPr>
              <w:t>1.8</w:t>
            </w:r>
          </w:p>
        </w:tc>
        <w:tc>
          <w:tcPr>
            <w:tcW w:w="507" w:type="pct"/>
            <w:tcBorders>
              <w:bottom w:val="single" w:sz="4" w:space="0" w:color="auto"/>
            </w:tcBorders>
            <w:vAlign w:val="bottom"/>
          </w:tcPr>
          <w:p w:rsidR="00DA702A" w:rsidRPr="00813174" w:rsidRDefault="00DA702A" w:rsidP="001B56F1">
            <w:pPr>
              <w:pStyle w:val="TableBodyText"/>
              <w:framePr w:w="2155" w:hSpace="227" w:vSpace="181" w:wrap="around" w:vAnchor="text" w:hAnchor="page" w:xAlign="outside" w:y="1"/>
              <w:rPr>
                <w:b/>
                <w:sz w:val="18"/>
                <w:szCs w:val="18"/>
              </w:rPr>
            </w:pPr>
            <w:r w:rsidRPr="00813174">
              <w:rPr>
                <w:b/>
                <w:sz w:val="18"/>
                <w:szCs w:val="18"/>
              </w:rPr>
              <w:t>0.2</w:t>
            </w:r>
          </w:p>
        </w:tc>
        <w:tc>
          <w:tcPr>
            <w:tcW w:w="507" w:type="pct"/>
            <w:tcBorders>
              <w:bottom w:val="single" w:sz="4" w:space="0" w:color="auto"/>
            </w:tcBorders>
            <w:shd w:val="clear" w:color="auto" w:fill="auto"/>
            <w:vAlign w:val="bottom"/>
          </w:tcPr>
          <w:p w:rsidR="00DA702A" w:rsidRPr="00813174" w:rsidRDefault="00DA702A" w:rsidP="001B56F1">
            <w:pPr>
              <w:pStyle w:val="TableBodyText"/>
              <w:framePr w:w="2155" w:hSpace="227" w:vSpace="181" w:wrap="around" w:vAnchor="text" w:hAnchor="page" w:xAlign="outside" w:y="1"/>
              <w:rPr>
                <w:b/>
                <w:sz w:val="18"/>
                <w:szCs w:val="18"/>
              </w:rPr>
            </w:pPr>
            <w:r w:rsidRPr="00813174">
              <w:rPr>
                <w:b/>
                <w:sz w:val="18"/>
                <w:szCs w:val="18"/>
              </w:rPr>
              <w:t>&lt;0.1</w:t>
            </w:r>
          </w:p>
        </w:tc>
        <w:tc>
          <w:tcPr>
            <w:tcW w:w="505" w:type="pct"/>
            <w:tcBorders>
              <w:bottom w:val="single" w:sz="4" w:space="0" w:color="auto"/>
            </w:tcBorders>
            <w:shd w:val="clear" w:color="auto" w:fill="auto"/>
            <w:vAlign w:val="bottom"/>
          </w:tcPr>
          <w:p w:rsidR="00DA702A" w:rsidRPr="00813174" w:rsidRDefault="00AC05D5" w:rsidP="001B56F1">
            <w:pPr>
              <w:pStyle w:val="TableBodyText"/>
              <w:framePr w:w="2155" w:hSpace="227" w:vSpace="181" w:wrap="around" w:vAnchor="text" w:hAnchor="page" w:xAlign="outside" w:y="1"/>
              <w:rPr>
                <w:b/>
                <w:sz w:val="18"/>
                <w:szCs w:val="18"/>
              </w:rPr>
            </w:pPr>
            <w:r w:rsidRPr="00813174">
              <w:rPr>
                <w:b/>
                <w:sz w:val="18"/>
                <w:szCs w:val="18"/>
              </w:rPr>
              <w:t>&lt;0.1</w:t>
            </w:r>
          </w:p>
        </w:tc>
      </w:tr>
    </w:tbl>
    <w:p w:rsidR="00DA702A" w:rsidRDefault="00DA702A" w:rsidP="00DA702A">
      <w:pPr>
        <w:pStyle w:val="Note"/>
      </w:pPr>
      <w:r>
        <w:t xml:space="preserve">– Nil. </w:t>
      </w:r>
      <w:r w:rsidRPr="008E77FE">
        <w:rPr>
          <w:rStyle w:val="NoteLabel"/>
        </w:rPr>
        <w:t>a</w:t>
      </w:r>
      <w:r>
        <w:t xml:space="preserve"> Unallocated includes general programs where details of beneficiaries are unknown.</w:t>
      </w:r>
    </w:p>
    <w:p w:rsidR="00DA702A" w:rsidRPr="008E77FE" w:rsidRDefault="00DA702A" w:rsidP="00DA702A">
      <w:pPr>
        <w:pStyle w:val="Source"/>
      </w:pPr>
      <w:r>
        <w:rPr>
          <w:i/>
        </w:rPr>
        <w:t>Source</w:t>
      </w:r>
      <w:r w:rsidR="001B371A">
        <w:rPr>
          <w:i/>
        </w:rPr>
        <w:t>s</w:t>
      </w:r>
      <w:r>
        <w:t>: Commission estimates based on DAFF Annual Report 2011</w:t>
      </w:r>
      <w:r w:rsidR="001B371A">
        <w:noBreakHyphen/>
      </w:r>
      <w:r>
        <w:t>12 (and earlier years); DAFF Portfolio Budget Statements 2007</w:t>
      </w:r>
      <w:r>
        <w:noBreakHyphen/>
        <w:t>08; and detailed DAFF data by ANZSIC industry.</w:t>
      </w:r>
    </w:p>
    <w:p w:rsidR="00D61E7B" w:rsidRDefault="00FA09C3" w:rsidP="00D61E7B">
      <w:pPr>
        <w:pStyle w:val="Heading2"/>
      </w:pPr>
      <w:r>
        <w:t>A.</w:t>
      </w:r>
      <w:r>
        <w:rPr>
          <w:noProof/>
        </w:rPr>
        <w:t>124</w:t>
      </w:r>
      <w:r w:rsidR="00D61E7B">
        <w:tab/>
        <w:t>Community Broadcasting Program</w:t>
      </w:r>
    </w:p>
    <w:p w:rsidR="00D61E7B" w:rsidRPr="00945F13" w:rsidRDefault="00D61E7B" w:rsidP="00D61E7B">
      <w:pPr>
        <w:pStyle w:val="BodyText"/>
      </w:pPr>
      <w:r>
        <w:t>The Community Broadcasting Program aims to assist community broadcasters, including with the delivery of community radio services (</w:t>
      </w:r>
      <w:r w:rsidRPr="00813174">
        <w:t>DBCDE 2012b</w:t>
      </w:r>
      <w:r>
        <w:t>).</w:t>
      </w:r>
    </w:p>
    <w:p w:rsidR="00D61E7B" w:rsidRDefault="00D61E7B" w:rsidP="00D61E7B">
      <w:pPr>
        <w:pStyle w:val="BodyText"/>
      </w:pPr>
      <w:r w:rsidRPr="009F0357">
        <w:t xml:space="preserve">Funding for the program has been allocated to the </w:t>
      </w:r>
      <w:r w:rsidRPr="009F0357">
        <w:rPr>
          <w:i/>
        </w:rPr>
        <w:t>Information media and telecommunications</w:t>
      </w:r>
      <w:r w:rsidRPr="009F0357">
        <w:t xml:space="preserve"> industry grouping in the Commission’s ANZSIC-based classification (table A.</w:t>
      </w:r>
      <w:r>
        <w:t>12</w:t>
      </w:r>
      <w:r w:rsidR="00C065C1">
        <w:t>4</w:t>
      </w:r>
      <w:r w:rsidRPr="009F0357">
        <w:t>).</w:t>
      </w:r>
    </w:p>
    <w:p w:rsidR="00D61E7B" w:rsidRDefault="00D61E7B" w:rsidP="00D61E7B">
      <w:pPr>
        <w:pStyle w:val="TableTitle"/>
      </w:pPr>
      <w:r>
        <w:rPr>
          <w:b w:val="0"/>
        </w:rPr>
        <w:t xml:space="preserve">Table </w:t>
      </w:r>
      <w:r w:rsidR="00FA09C3">
        <w:rPr>
          <w:b w:val="0"/>
        </w:rPr>
        <w:t>A.</w:t>
      </w:r>
      <w:r w:rsidR="00FA09C3">
        <w:rPr>
          <w:b w:val="0"/>
          <w:noProof/>
        </w:rPr>
        <w:t>124</w:t>
      </w:r>
      <w:r>
        <w:tab/>
        <w:t>Allocation of Community Broadcasting Program</w:t>
      </w:r>
      <w:r w:rsidR="00B6795B" w:rsidRPr="00B6795B">
        <w:t xml:space="preserve"> to industry</w:t>
      </w:r>
      <w:r>
        <w:t>, 2006</w:t>
      </w:r>
      <w:r>
        <w:noBreakHyphen/>
        <w:t>07 to 2011</w:t>
      </w:r>
      <w:r>
        <w:noBreakHyphen/>
        <w:t>12</w:t>
      </w:r>
    </w:p>
    <w:p w:rsidR="00D61E7B" w:rsidRDefault="00D61E7B" w:rsidP="00D61E7B">
      <w:pPr>
        <w:pStyle w:val="Subtitle"/>
      </w:pPr>
      <w:r>
        <w:t>$</w:t>
      </w:r>
      <w:r w:rsidR="001B371A">
        <w:t xml:space="preserve"> </w:t>
      </w:r>
      <w:r>
        <w:t>million (nominal)</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D61E7B" w:rsidRPr="00AF699A" w:rsidTr="00CB219A">
        <w:trPr>
          <w:trHeight w:val="340"/>
        </w:trPr>
        <w:tc>
          <w:tcPr>
            <w:tcW w:w="1958" w:type="pct"/>
            <w:tcBorders>
              <w:top w:val="single" w:sz="6" w:space="0" w:color="auto"/>
              <w:bottom w:val="single" w:sz="6" w:space="0" w:color="auto"/>
            </w:tcBorders>
          </w:tcPr>
          <w:p w:rsidR="00D61E7B" w:rsidRPr="00AF699A" w:rsidRDefault="00D61E7B"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D61E7B" w:rsidRPr="00AF699A" w:rsidRDefault="00D61E7B"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D61E7B" w:rsidRPr="00AF699A" w:rsidRDefault="00D61E7B"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D61E7B" w:rsidRPr="00AF699A" w:rsidRDefault="00D61E7B"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D61E7B" w:rsidRPr="00AF699A" w:rsidRDefault="00D61E7B"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D61E7B" w:rsidRPr="00AF699A" w:rsidRDefault="00D61E7B" w:rsidP="001B56F1">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D61E7B" w:rsidRPr="00AF699A" w:rsidRDefault="00D61E7B" w:rsidP="001B56F1">
            <w:pPr>
              <w:pStyle w:val="TableColumnHeading"/>
              <w:ind w:right="28"/>
              <w:rPr>
                <w:rFonts w:cs="Arial"/>
                <w:sz w:val="18"/>
                <w:szCs w:val="18"/>
              </w:rPr>
            </w:pPr>
            <w:r w:rsidRPr="00AF699A">
              <w:rPr>
                <w:rFonts w:cs="Arial"/>
                <w:sz w:val="18"/>
                <w:szCs w:val="18"/>
              </w:rPr>
              <w:t>2011-12</w:t>
            </w:r>
          </w:p>
        </w:tc>
      </w:tr>
      <w:tr w:rsidR="00D61E7B" w:rsidRPr="00BA365B" w:rsidTr="001B56F1">
        <w:tc>
          <w:tcPr>
            <w:tcW w:w="1958" w:type="pct"/>
            <w:tcBorders>
              <w:bottom w:val="single" w:sz="4" w:space="0" w:color="auto"/>
            </w:tcBorders>
            <w:vAlign w:val="bottom"/>
          </w:tcPr>
          <w:p w:rsidR="00D61E7B" w:rsidRPr="00BA365B" w:rsidRDefault="00D61E7B" w:rsidP="001B56F1">
            <w:pPr>
              <w:pStyle w:val="TableBodyText"/>
              <w:jc w:val="left"/>
            </w:pPr>
            <w:r w:rsidRPr="00BA365B">
              <w:t>Information, media and telecommunications</w:t>
            </w:r>
          </w:p>
        </w:tc>
        <w:tc>
          <w:tcPr>
            <w:tcW w:w="507" w:type="pct"/>
            <w:tcBorders>
              <w:bottom w:val="single" w:sz="4" w:space="0" w:color="auto"/>
            </w:tcBorders>
            <w:vAlign w:val="bottom"/>
          </w:tcPr>
          <w:p w:rsidR="00D61E7B" w:rsidRPr="00BA365B" w:rsidRDefault="00D61E7B" w:rsidP="001B56F1">
            <w:pPr>
              <w:pStyle w:val="TableBodyText"/>
            </w:pPr>
            <w:r>
              <w:noBreakHyphen/>
            </w:r>
          </w:p>
        </w:tc>
        <w:tc>
          <w:tcPr>
            <w:tcW w:w="507" w:type="pct"/>
            <w:tcBorders>
              <w:bottom w:val="single" w:sz="4" w:space="0" w:color="auto"/>
            </w:tcBorders>
            <w:vAlign w:val="bottom"/>
          </w:tcPr>
          <w:p w:rsidR="00D61E7B" w:rsidRPr="00BA365B" w:rsidRDefault="00D61E7B" w:rsidP="001B56F1">
            <w:pPr>
              <w:pStyle w:val="TableBodyText"/>
            </w:pPr>
            <w:r>
              <w:noBreakHyphen/>
            </w:r>
          </w:p>
        </w:tc>
        <w:tc>
          <w:tcPr>
            <w:tcW w:w="507" w:type="pct"/>
            <w:tcBorders>
              <w:bottom w:val="single" w:sz="4" w:space="0" w:color="auto"/>
            </w:tcBorders>
            <w:vAlign w:val="bottom"/>
          </w:tcPr>
          <w:p w:rsidR="00D61E7B" w:rsidRPr="00BA365B" w:rsidRDefault="00D61E7B" w:rsidP="001B56F1">
            <w:pPr>
              <w:pStyle w:val="TableBodyText"/>
            </w:pPr>
            <w:r>
              <w:noBreakHyphen/>
            </w:r>
          </w:p>
        </w:tc>
        <w:tc>
          <w:tcPr>
            <w:tcW w:w="507" w:type="pct"/>
            <w:tcBorders>
              <w:bottom w:val="single" w:sz="4" w:space="0" w:color="auto"/>
            </w:tcBorders>
            <w:vAlign w:val="bottom"/>
          </w:tcPr>
          <w:p w:rsidR="00D61E7B" w:rsidRPr="00BA365B" w:rsidRDefault="00D61E7B" w:rsidP="001B56F1">
            <w:pPr>
              <w:pStyle w:val="TableBodyText"/>
            </w:pPr>
            <w:r>
              <w:noBreakHyphen/>
            </w:r>
          </w:p>
        </w:tc>
        <w:tc>
          <w:tcPr>
            <w:tcW w:w="507" w:type="pct"/>
            <w:tcBorders>
              <w:bottom w:val="single" w:sz="4" w:space="0" w:color="auto"/>
            </w:tcBorders>
            <w:shd w:val="clear" w:color="auto" w:fill="auto"/>
            <w:vAlign w:val="bottom"/>
          </w:tcPr>
          <w:p w:rsidR="00D61E7B" w:rsidRPr="00BA365B" w:rsidRDefault="00D61E7B" w:rsidP="001B56F1">
            <w:pPr>
              <w:pStyle w:val="TableBodyText"/>
            </w:pPr>
            <w:r>
              <w:noBreakHyphen/>
            </w:r>
          </w:p>
        </w:tc>
        <w:tc>
          <w:tcPr>
            <w:tcW w:w="507" w:type="pct"/>
            <w:tcBorders>
              <w:bottom w:val="single" w:sz="4" w:space="0" w:color="auto"/>
            </w:tcBorders>
            <w:shd w:val="clear" w:color="auto" w:fill="auto"/>
            <w:vAlign w:val="bottom"/>
          </w:tcPr>
          <w:p w:rsidR="00D61E7B" w:rsidRPr="00BA365B" w:rsidRDefault="00D61E7B" w:rsidP="001B56F1">
            <w:pPr>
              <w:pStyle w:val="TableBodyText"/>
            </w:pPr>
            <w:r>
              <w:t>&lt;0.1</w:t>
            </w:r>
          </w:p>
        </w:tc>
      </w:tr>
    </w:tbl>
    <w:p w:rsidR="00D61E7B" w:rsidRDefault="00D61E7B" w:rsidP="00D61E7B">
      <w:pPr>
        <w:pStyle w:val="Note"/>
      </w:pPr>
      <w:r w:rsidRPr="00A2379F">
        <w:noBreakHyphen/>
        <w:t xml:space="preserve"> Nil</w:t>
      </w:r>
      <w:r>
        <w:t>.</w:t>
      </w:r>
    </w:p>
    <w:p w:rsidR="00D61E7B" w:rsidRPr="008E77FE" w:rsidRDefault="00D61E7B" w:rsidP="00D61E7B">
      <w:pPr>
        <w:pStyle w:val="Source"/>
      </w:pPr>
      <w:r>
        <w:rPr>
          <w:i/>
        </w:rPr>
        <w:t>Source</w:t>
      </w:r>
      <w:r>
        <w:t>: Commission estimates based on Department of Broadband, Communications and the Digital Economy Portfolio Budget Statements 2012</w:t>
      </w:r>
      <w:r w:rsidR="00876F73">
        <w:noBreakHyphen/>
      </w:r>
      <w:r>
        <w:t>13.</w:t>
      </w:r>
    </w:p>
    <w:p w:rsidR="002B0C93" w:rsidRDefault="00FA09C3" w:rsidP="002B0C93">
      <w:pPr>
        <w:pStyle w:val="Heading2"/>
      </w:pPr>
      <w:r>
        <w:t>A.</w:t>
      </w:r>
      <w:r>
        <w:rPr>
          <w:noProof/>
        </w:rPr>
        <w:t>125</w:t>
      </w:r>
      <w:r w:rsidR="002B0C93">
        <w:tab/>
        <w:t>Interim Income Support (Exceptional Circumstances)</w:t>
      </w:r>
    </w:p>
    <w:p w:rsidR="002B0C93" w:rsidRDefault="002B0C93" w:rsidP="002B0C93">
      <w:pPr>
        <w:pStyle w:val="BodyText"/>
      </w:pPr>
      <w:r>
        <w:t xml:space="preserve">As part of the Australian Government’s broader Exceptional Circumstances (EC) arrangements, Interim Income Support (IIS) payments are available for farmers and agriculture-dependent small business owners located in prima facie Exceptional Circumstances-declared areas. They are also available to small business owners who derive income from farmers in prima facie declared areas </w:t>
      </w:r>
      <w:r w:rsidRPr="00C65FC2">
        <w:t>(</w:t>
      </w:r>
      <w:r w:rsidRPr="00813174">
        <w:t>DAFF 2011</w:t>
      </w:r>
      <w:r w:rsidRPr="00C65FC2">
        <w:t>)</w:t>
      </w:r>
      <w:r>
        <w:t>.</w:t>
      </w:r>
    </w:p>
    <w:p w:rsidR="002B0C93" w:rsidRDefault="002B0C93" w:rsidP="002B0C93">
      <w:pPr>
        <w:pStyle w:val="BodyText"/>
      </w:pPr>
      <w:r>
        <w:t xml:space="preserve">The Department of Agriculture, Fisheries and Forestry (DAFF) provides a  breakdown of EC relief payments by ANZSIC industry which </w:t>
      </w:r>
      <w:r w:rsidR="00501983">
        <w:t>has been</w:t>
      </w:r>
      <w:r>
        <w:t xml:space="preserve"> used to allocate total expenditure shown in the annual report to the Commission’s ANZSIC-based industry groupings (table A.12</w:t>
      </w:r>
      <w:r w:rsidR="00C065C1">
        <w:t>5</w:t>
      </w:r>
      <w:r>
        <w:t>).</w:t>
      </w:r>
    </w:p>
    <w:p w:rsidR="002B0C93" w:rsidRDefault="002B0C93" w:rsidP="002B0C93">
      <w:pPr>
        <w:pStyle w:val="TableTitle"/>
      </w:pPr>
      <w:r>
        <w:rPr>
          <w:b w:val="0"/>
        </w:rPr>
        <w:t xml:space="preserve">Table </w:t>
      </w:r>
      <w:r w:rsidR="00FA09C3">
        <w:rPr>
          <w:b w:val="0"/>
        </w:rPr>
        <w:t>A.</w:t>
      </w:r>
      <w:r w:rsidR="00FA09C3">
        <w:rPr>
          <w:b w:val="0"/>
          <w:noProof/>
        </w:rPr>
        <w:t>125</w:t>
      </w:r>
      <w:r>
        <w:tab/>
        <w:t>Allocation of Interim Income Support</w:t>
      </w:r>
      <w:r w:rsidR="00B6795B">
        <w:t xml:space="preserve"> (Exceptional Circumstances)</w:t>
      </w:r>
      <w:r>
        <w:t xml:space="preserve"> </w:t>
      </w:r>
      <w:r w:rsidR="00B6795B" w:rsidRPr="00B6795B">
        <w:t>to industry</w:t>
      </w:r>
      <w:r>
        <w:t>, 2006</w:t>
      </w:r>
      <w:r>
        <w:noBreakHyphen/>
        <w:t>07 to 2011</w:t>
      </w:r>
      <w:r>
        <w:noBreakHyphen/>
        <w:t>12</w:t>
      </w:r>
    </w:p>
    <w:p w:rsidR="002B0C93" w:rsidRDefault="002B0C93" w:rsidP="002B0C93">
      <w:pPr>
        <w:pStyle w:val="Subtitle"/>
      </w:pPr>
      <w:r>
        <w:t>$ million (nominal)</w:t>
      </w:r>
    </w:p>
    <w:tbl>
      <w:tblPr>
        <w:tblW w:w="5000" w:type="pct"/>
        <w:tblCellMar>
          <w:left w:w="0" w:type="dxa"/>
          <w:right w:w="0" w:type="dxa"/>
        </w:tblCellMar>
        <w:tblLook w:val="0000" w:firstRow="0" w:lastRow="0" w:firstColumn="0" w:lastColumn="0" w:noHBand="0" w:noVBand="0"/>
      </w:tblPr>
      <w:tblGrid>
        <w:gridCol w:w="3421"/>
        <w:gridCol w:w="1030"/>
        <w:gridCol w:w="870"/>
        <w:gridCol w:w="870"/>
        <w:gridCol w:w="870"/>
        <w:gridCol w:w="870"/>
        <w:gridCol w:w="858"/>
      </w:tblGrid>
      <w:tr w:rsidR="002B0C93" w:rsidRPr="0054517D" w:rsidTr="001B56F1">
        <w:trPr>
          <w:trHeight w:val="227"/>
        </w:trPr>
        <w:tc>
          <w:tcPr>
            <w:tcW w:w="1946" w:type="pct"/>
            <w:tcBorders>
              <w:top w:val="single" w:sz="6" w:space="0" w:color="auto"/>
              <w:bottom w:val="single" w:sz="6" w:space="0" w:color="auto"/>
            </w:tcBorders>
          </w:tcPr>
          <w:p w:rsidR="002B0C93" w:rsidRPr="0054517D" w:rsidRDefault="002B0C93" w:rsidP="001B56F1">
            <w:pPr>
              <w:pStyle w:val="TableColumnHeading"/>
              <w:jc w:val="left"/>
              <w:rPr>
                <w:sz w:val="18"/>
                <w:szCs w:val="18"/>
              </w:rPr>
            </w:pPr>
            <w:r w:rsidRPr="0054517D">
              <w:rPr>
                <w:sz w:val="18"/>
                <w:szCs w:val="18"/>
              </w:rPr>
              <w:t>Industry grouping</w:t>
            </w:r>
          </w:p>
        </w:tc>
        <w:tc>
          <w:tcPr>
            <w:tcW w:w="586" w:type="pct"/>
            <w:tcBorders>
              <w:top w:val="single" w:sz="6" w:space="0" w:color="auto"/>
              <w:bottom w:val="single" w:sz="6" w:space="0" w:color="auto"/>
            </w:tcBorders>
          </w:tcPr>
          <w:p w:rsidR="002B0C93" w:rsidRPr="0054517D" w:rsidRDefault="002B0C93" w:rsidP="001B56F1">
            <w:pPr>
              <w:pStyle w:val="TableColumnHeading"/>
              <w:ind w:right="28"/>
              <w:rPr>
                <w:sz w:val="18"/>
                <w:szCs w:val="18"/>
              </w:rPr>
            </w:pPr>
            <w:r w:rsidRPr="0054517D">
              <w:rPr>
                <w:sz w:val="18"/>
                <w:szCs w:val="18"/>
              </w:rPr>
              <w:t>2006-07</w:t>
            </w:r>
          </w:p>
        </w:tc>
        <w:tc>
          <w:tcPr>
            <w:tcW w:w="495" w:type="pct"/>
            <w:tcBorders>
              <w:top w:val="single" w:sz="6" w:space="0" w:color="auto"/>
              <w:bottom w:val="single" w:sz="6" w:space="0" w:color="auto"/>
            </w:tcBorders>
          </w:tcPr>
          <w:p w:rsidR="002B0C93" w:rsidRPr="0054517D" w:rsidRDefault="002B0C93" w:rsidP="001B56F1">
            <w:pPr>
              <w:pStyle w:val="TableColumnHeading"/>
              <w:ind w:right="28"/>
              <w:rPr>
                <w:sz w:val="18"/>
                <w:szCs w:val="18"/>
              </w:rPr>
            </w:pPr>
            <w:r w:rsidRPr="0054517D">
              <w:rPr>
                <w:sz w:val="18"/>
                <w:szCs w:val="18"/>
              </w:rPr>
              <w:t>2007-08</w:t>
            </w:r>
          </w:p>
        </w:tc>
        <w:tc>
          <w:tcPr>
            <w:tcW w:w="495" w:type="pct"/>
            <w:tcBorders>
              <w:top w:val="single" w:sz="6" w:space="0" w:color="auto"/>
              <w:bottom w:val="single" w:sz="6" w:space="0" w:color="auto"/>
            </w:tcBorders>
          </w:tcPr>
          <w:p w:rsidR="002B0C93" w:rsidRPr="0054517D" w:rsidRDefault="002B0C93" w:rsidP="001B56F1">
            <w:pPr>
              <w:pStyle w:val="TableColumnHeading"/>
              <w:ind w:right="28"/>
              <w:rPr>
                <w:sz w:val="18"/>
                <w:szCs w:val="18"/>
              </w:rPr>
            </w:pPr>
            <w:r w:rsidRPr="0054517D">
              <w:rPr>
                <w:sz w:val="18"/>
                <w:szCs w:val="18"/>
              </w:rPr>
              <w:t>2008-09</w:t>
            </w:r>
          </w:p>
        </w:tc>
        <w:tc>
          <w:tcPr>
            <w:tcW w:w="495" w:type="pct"/>
            <w:tcBorders>
              <w:top w:val="single" w:sz="6" w:space="0" w:color="auto"/>
              <w:bottom w:val="single" w:sz="6" w:space="0" w:color="auto"/>
            </w:tcBorders>
            <w:shd w:val="clear" w:color="auto" w:fill="auto"/>
          </w:tcPr>
          <w:p w:rsidR="002B0C93" w:rsidRPr="0054517D" w:rsidRDefault="002B0C93" w:rsidP="001B56F1">
            <w:pPr>
              <w:pStyle w:val="TableColumnHeading"/>
              <w:ind w:right="28"/>
              <w:rPr>
                <w:sz w:val="18"/>
                <w:szCs w:val="18"/>
              </w:rPr>
            </w:pPr>
            <w:r w:rsidRPr="0054517D">
              <w:rPr>
                <w:sz w:val="18"/>
                <w:szCs w:val="18"/>
              </w:rPr>
              <w:t>2009-10</w:t>
            </w:r>
          </w:p>
        </w:tc>
        <w:tc>
          <w:tcPr>
            <w:tcW w:w="495" w:type="pct"/>
            <w:tcBorders>
              <w:top w:val="single" w:sz="6" w:space="0" w:color="auto"/>
              <w:bottom w:val="single" w:sz="6" w:space="0" w:color="auto"/>
            </w:tcBorders>
            <w:shd w:val="clear" w:color="auto" w:fill="auto"/>
          </w:tcPr>
          <w:p w:rsidR="002B0C93" w:rsidRPr="0054517D" w:rsidRDefault="002B0C93" w:rsidP="001B56F1">
            <w:pPr>
              <w:pStyle w:val="TableColumnHeading"/>
              <w:ind w:right="28"/>
              <w:rPr>
                <w:sz w:val="18"/>
                <w:szCs w:val="18"/>
              </w:rPr>
            </w:pPr>
            <w:r w:rsidRPr="0054517D">
              <w:rPr>
                <w:sz w:val="18"/>
                <w:szCs w:val="18"/>
              </w:rPr>
              <w:t>2010-11</w:t>
            </w:r>
          </w:p>
        </w:tc>
        <w:tc>
          <w:tcPr>
            <w:tcW w:w="488" w:type="pct"/>
            <w:tcBorders>
              <w:top w:val="single" w:sz="6" w:space="0" w:color="auto"/>
              <w:bottom w:val="single" w:sz="6" w:space="0" w:color="auto"/>
            </w:tcBorders>
            <w:shd w:val="clear" w:color="auto" w:fill="auto"/>
          </w:tcPr>
          <w:p w:rsidR="002B0C93" w:rsidRPr="0054517D" w:rsidRDefault="002B0C93" w:rsidP="001B56F1">
            <w:pPr>
              <w:pStyle w:val="TableColumnHeading"/>
              <w:ind w:right="28"/>
              <w:rPr>
                <w:sz w:val="18"/>
                <w:szCs w:val="18"/>
              </w:rPr>
            </w:pPr>
            <w:r w:rsidRPr="0054517D">
              <w:rPr>
                <w:sz w:val="18"/>
                <w:szCs w:val="18"/>
              </w:rPr>
              <w:t>2011-12</w:t>
            </w:r>
          </w:p>
        </w:tc>
      </w:tr>
      <w:tr w:rsidR="002B0C93" w:rsidTr="001B56F1">
        <w:trPr>
          <w:trHeight w:val="227"/>
        </w:trPr>
        <w:tc>
          <w:tcPr>
            <w:tcW w:w="1946" w:type="pct"/>
            <w:tcBorders>
              <w:top w:val="single" w:sz="6" w:space="0" w:color="auto"/>
            </w:tcBorders>
            <w:vAlign w:val="bottom"/>
          </w:tcPr>
          <w:p w:rsidR="002B0C93" w:rsidRPr="00DC145C" w:rsidRDefault="002B0C93" w:rsidP="001B56F1">
            <w:pPr>
              <w:pStyle w:val="TableBodyText"/>
              <w:jc w:val="left"/>
              <w:rPr>
                <w:b/>
                <w:sz w:val="18"/>
                <w:szCs w:val="18"/>
              </w:rPr>
            </w:pPr>
            <w:r w:rsidRPr="00DC145C">
              <w:rPr>
                <w:b/>
                <w:sz w:val="18"/>
                <w:szCs w:val="18"/>
              </w:rPr>
              <w:t>Primary production</w:t>
            </w:r>
          </w:p>
        </w:tc>
        <w:tc>
          <w:tcPr>
            <w:tcW w:w="586" w:type="pct"/>
            <w:tcBorders>
              <w:top w:val="single" w:sz="6" w:space="0" w:color="auto"/>
            </w:tcBorders>
            <w:vAlign w:val="bottom"/>
          </w:tcPr>
          <w:p w:rsidR="002B0C93" w:rsidRPr="000F3D2B" w:rsidRDefault="002B0C93" w:rsidP="001B56F1">
            <w:pPr>
              <w:pStyle w:val="TableBodyText"/>
              <w:rPr>
                <w:b/>
                <w:sz w:val="18"/>
                <w:szCs w:val="18"/>
              </w:rPr>
            </w:pPr>
            <w:r w:rsidRPr="000F3D2B">
              <w:rPr>
                <w:b/>
                <w:sz w:val="18"/>
                <w:szCs w:val="18"/>
              </w:rPr>
              <w:t>11.6</w:t>
            </w:r>
          </w:p>
        </w:tc>
        <w:tc>
          <w:tcPr>
            <w:tcW w:w="495" w:type="pct"/>
            <w:tcBorders>
              <w:top w:val="single" w:sz="6" w:space="0" w:color="auto"/>
            </w:tcBorders>
            <w:vAlign w:val="bottom"/>
          </w:tcPr>
          <w:p w:rsidR="002B0C93" w:rsidRPr="000F3D2B" w:rsidRDefault="002B0C93" w:rsidP="001B56F1">
            <w:pPr>
              <w:pStyle w:val="TableBodyText"/>
              <w:rPr>
                <w:b/>
                <w:sz w:val="18"/>
                <w:szCs w:val="18"/>
              </w:rPr>
            </w:pPr>
            <w:r w:rsidRPr="000F3D2B">
              <w:rPr>
                <w:b/>
                <w:sz w:val="18"/>
                <w:szCs w:val="18"/>
              </w:rPr>
              <w:t>7.9</w:t>
            </w:r>
          </w:p>
        </w:tc>
        <w:tc>
          <w:tcPr>
            <w:tcW w:w="495" w:type="pct"/>
            <w:tcBorders>
              <w:top w:val="single" w:sz="6" w:space="0" w:color="auto"/>
            </w:tcBorders>
            <w:vAlign w:val="bottom"/>
          </w:tcPr>
          <w:p w:rsidR="002B0C93" w:rsidRPr="000F3D2B" w:rsidRDefault="002B0C93" w:rsidP="001B56F1">
            <w:pPr>
              <w:pStyle w:val="TableBodyText"/>
              <w:rPr>
                <w:b/>
                <w:sz w:val="18"/>
                <w:szCs w:val="18"/>
              </w:rPr>
            </w:pPr>
            <w:r w:rsidRPr="000F3D2B">
              <w:rPr>
                <w:b/>
                <w:sz w:val="18"/>
                <w:szCs w:val="18"/>
              </w:rPr>
              <w:t>1.7</w:t>
            </w:r>
          </w:p>
        </w:tc>
        <w:tc>
          <w:tcPr>
            <w:tcW w:w="495" w:type="pct"/>
            <w:tcBorders>
              <w:top w:val="single" w:sz="6" w:space="0" w:color="auto"/>
            </w:tcBorders>
            <w:vAlign w:val="bottom"/>
          </w:tcPr>
          <w:p w:rsidR="002B0C93" w:rsidRPr="000F3D2B" w:rsidRDefault="002B0C93" w:rsidP="001B56F1">
            <w:pPr>
              <w:pStyle w:val="TableBodyText"/>
              <w:rPr>
                <w:b/>
                <w:sz w:val="18"/>
                <w:szCs w:val="18"/>
              </w:rPr>
            </w:pPr>
            <w:r w:rsidRPr="000F3D2B">
              <w:rPr>
                <w:b/>
                <w:sz w:val="18"/>
                <w:szCs w:val="18"/>
              </w:rPr>
              <w:t>0.6</w:t>
            </w:r>
          </w:p>
        </w:tc>
        <w:tc>
          <w:tcPr>
            <w:tcW w:w="495" w:type="pct"/>
            <w:tcBorders>
              <w:top w:val="single" w:sz="6" w:space="0" w:color="auto"/>
            </w:tcBorders>
            <w:vAlign w:val="bottom"/>
          </w:tcPr>
          <w:p w:rsidR="002B0C93" w:rsidRPr="000F3D2B" w:rsidRDefault="002B0C93" w:rsidP="001B56F1">
            <w:pPr>
              <w:pStyle w:val="TableBodyText"/>
              <w:rPr>
                <w:b/>
                <w:sz w:val="18"/>
                <w:szCs w:val="18"/>
              </w:rPr>
            </w:pPr>
            <w:r w:rsidRPr="000F3D2B">
              <w:rPr>
                <w:b/>
                <w:sz w:val="18"/>
                <w:szCs w:val="18"/>
              </w:rPr>
              <w:t>0.3</w:t>
            </w:r>
          </w:p>
        </w:tc>
        <w:tc>
          <w:tcPr>
            <w:tcW w:w="488" w:type="pct"/>
            <w:tcBorders>
              <w:top w:val="single" w:sz="6" w:space="0" w:color="auto"/>
            </w:tcBorders>
            <w:vAlign w:val="bottom"/>
          </w:tcPr>
          <w:p w:rsidR="002B0C93" w:rsidRPr="000F3D2B" w:rsidRDefault="002B0C93" w:rsidP="001B56F1">
            <w:pPr>
              <w:pStyle w:val="TableBodyText"/>
              <w:rPr>
                <w:b/>
                <w:sz w:val="18"/>
                <w:szCs w:val="18"/>
              </w:rPr>
            </w:pPr>
            <w:r w:rsidRPr="00743C2A">
              <w:rPr>
                <w:b/>
                <w:sz w:val="18"/>
                <w:szCs w:val="18"/>
              </w:rPr>
              <w:t>&lt;0.1</w:t>
            </w:r>
          </w:p>
        </w:tc>
      </w:tr>
      <w:tr w:rsidR="002B0C93" w:rsidTr="001B56F1">
        <w:trPr>
          <w:trHeight w:val="227"/>
        </w:trPr>
        <w:tc>
          <w:tcPr>
            <w:tcW w:w="1946" w:type="pct"/>
            <w:vAlign w:val="bottom"/>
          </w:tcPr>
          <w:p w:rsidR="002B0C93" w:rsidRPr="007758AB" w:rsidRDefault="002B0C93" w:rsidP="001B56F1">
            <w:pPr>
              <w:pStyle w:val="TableBodyText"/>
              <w:jc w:val="left"/>
              <w:rPr>
                <w:sz w:val="18"/>
                <w:szCs w:val="18"/>
              </w:rPr>
            </w:pPr>
            <w:r>
              <w:rPr>
                <w:sz w:val="18"/>
                <w:szCs w:val="18"/>
              </w:rPr>
              <w:t>Horticulture and fruit growing</w:t>
            </w:r>
          </w:p>
        </w:tc>
        <w:tc>
          <w:tcPr>
            <w:tcW w:w="586" w:type="pct"/>
            <w:vAlign w:val="bottom"/>
          </w:tcPr>
          <w:p w:rsidR="002B0C93" w:rsidRPr="000031A3" w:rsidRDefault="002B0C93" w:rsidP="001B56F1">
            <w:pPr>
              <w:pStyle w:val="TableBodyText"/>
              <w:rPr>
                <w:sz w:val="18"/>
                <w:szCs w:val="18"/>
              </w:rPr>
            </w:pPr>
            <w:r>
              <w:rPr>
                <w:sz w:val="18"/>
                <w:szCs w:val="18"/>
              </w:rPr>
              <w:noBreakHyphen/>
            </w:r>
          </w:p>
        </w:tc>
        <w:tc>
          <w:tcPr>
            <w:tcW w:w="495" w:type="pct"/>
            <w:vAlign w:val="bottom"/>
          </w:tcPr>
          <w:p w:rsidR="002B0C93" w:rsidRPr="000031A3" w:rsidRDefault="002B0C93" w:rsidP="001B56F1">
            <w:pPr>
              <w:pStyle w:val="TableBodyText"/>
              <w:rPr>
                <w:sz w:val="18"/>
                <w:szCs w:val="18"/>
              </w:rPr>
            </w:pPr>
            <w:r>
              <w:rPr>
                <w:sz w:val="18"/>
                <w:szCs w:val="18"/>
              </w:rPr>
              <w:noBreakHyphen/>
            </w:r>
          </w:p>
        </w:tc>
        <w:tc>
          <w:tcPr>
            <w:tcW w:w="495" w:type="pct"/>
            <w:vAlign w:val="bottom"/>
          </w:tcPr>
          <w:p w:rsidR="002B0C93" w:rsidRPr="000031A3" w:rsidRDefault="002B0C93" w:rsidP="001B56F1">
            <w:pPr>
              <w:pStyle w:val="TableBodyText"/>
              <w:rPr>
                <w:sz w:val="18"/>
                <w:szCs w:val="18"/>
              </w:rPr>
            </w:pPr>
            <w:r>
              <w:rPr>
                <w:sz w:val="18"/>
                <w:szCs w:val="18"/>
              </w:rPr>
              <w:noBreakHyphen/>
            </w:r>
          </w:p>
        </w:tc>
        <w:tc>
          <w:tcPr>
            <w:tcW w:w="495" w:type="pct"/>
            <w:vAlign w:val="bottom"/>
          </w:tcPr>
          <w:p w:rsidR="002B0C93" w:rsidRPr="000031A3" w:rsidRDefault="002B0C93" w:rsidP="001B56F1">
            <w:pPr>
              <w:pStyle w:val="TableBodyText"/>
              <w:rPr>
                <w:sz w:val="18"/>
                <w:szCs w:val="18"/>
              </w:rPr>
            </w:pPr>
            <w:r>
              <w:rPr>
                <w:sz w:val="18"/>
                <w:szCs w:val="18"/>
              </w:rPr>
              <w:t>&lt;</w:t>
            </w:r>
            <w:r w:rsidRPr="000031A3">
              <w:rPr>
                <w:sz w:val="18"/>
                <w:szCs w:val="18"/>
              </w:rPr>
              <w:t>0.1</w:t>
            </w:r>
          </w:p>
        </w:tc>
        <w:tc>
          <w:tcPr>
            <w:tcW w:w="495" w:type="pct"/>
            <w:vAlign w:val="bottom"/>
          </w:tcPr>
          <w:p w:rsidR="002B0C93" w:rsidRPr="000031A3" w:rsidRDefault="002B0C93" w:rsidP="001B56F1">
            <w:pPr>
              <w:pStyle w:val="TableBodyText"/>
              <w:rPr>
                <w:sz w:val="18"/>
                <w:szCs w:val="18"/>
              </w:rPr>
            </w:pPr>
            <w:r>
              <w:rPr>
                <w:sz w:val="18"/>
                <w:szCs w:val="18"/>
              </w:rPr>
              <w:t>&lt;</w:t>
            </w:r>
            <w:r w:rsidRPr="00E17EEF">
              <w:rPr>
                <w:sz w:val="18"/>
                <w:szCs w:val="18"/>
              </w:rPr>
              <w:t>0.</w:t>
            </w:r>
            <w:r>
              <w:rPr>
                <w:sz w:val="18"/>
                <w:szCs w:val="18"/>
              </w:rPr>
              <w:t>1</w:t>
            </w:r>
          </w:p>
        </w:tc>
        <w:tc>
          <w:tcPr>
            <w:tcW w:w="488" w:type="pct"/>
            <w:vAlign w:val="bottom"/>
          </w:tcPr>
          <w:p w:rsidR="002B0C93" w:rsidRPr="000031A3" w:rsidRDefault="002B0C93" w:rsidP="001B56F1">
            <w:pPr>
              <w:pStyle w:val="TableBodyText"/>
              <w:rPr>
                <w:sz w:val="18"/>
                <w:szCs w:val="18"/>
              </w:rPr>
            </w:pPr>
            <w:r>
              <w:rPr>
                <w:sz w:val="18"/>
                <w:szCs w:val="18"/>
              </w:rPr>
              <w:t>&lt;</w:t>
            </w:r>
            <w:r w:rsidRPr="00E17EEF">
              <w:rPr>
                <w:sz w:val="18"/>
                <w:szCs w:val="18"/>
              </w:rPr>
              <w:t>0.</w:t>
            </w:r>
            <w:r>
              <w:rPr>
                <w:sz w:val="18"/>
                <w:szCs w:val="18"/>
              </w:rPr>
              <w:t>1</w:t>
            </w:r>
          </w:p>
        </w:tc>
      </w:tr>
      <w:tr w:rsidR="002B0C93" w:rsidTr="001B56F1">
        <w:trPr>
          <w:trHeight w:val="227"/>
        </w:trPr>
        <w:tc>
          <w:tcPr>
            <w:tcW w:w="1946" w:type="pct"/>
            <w:vAlign w:val="bottom"/>
          </w:tcPr>
          <w:p w:rsidR="002B0C93" w:rsidRPr="007758AB" w:rsidRDefault="002B0C93" w:rsidP="001B56F1">
            <w:pPr>
              <w:pStyle w:val="TableBodyText"/>
              <w:jc w:val="left"/>
              <w:rPr>
                <w:sz w:val="18"/>
                <w:szCs w:val="18"/>
              </w:rPr>
            </w:pPr>
            <w:r w:rsidRPr="007758AB">
              <w:rPr>
                <w:sz w:val="18"/>
                <w:szCs w:val="18"/>
              </w:rPr>
              <w:t>Sheep, beef cattle and grain farming</w:t>
            </w:r>
          </w:p>
        </w:tc>
        <w:tc>
          <w:tcPr>
            <w:tcW w:w="586" w:type="pct"/>
            <w:vAlign w:val="bottom"/>
          </w:tcPr>
          <w:p w:rsidR="002B0C93" w:rsidRPr="000031A3" w:rsidRDefault="002B0C93" w:rsidP="001B56F1">
            <w:pPr>
              <w:pStyle w:val="TableBodyText"/>
              <w:rPr>
                <w:sz w:val="18"/>
                <w:szCs w:val="18"/>
              </w:rPr>
            </w:pPr>
            <w:r w:rsidRPr="000031A3">
              <w:rPr>
                <w:sz w:val="18"/>
                <w:szCs w:val="18"/>
              </w:rPr>
              <w:t>7.0</w:t>
            </w:r>
          </w:p>
        </w:tc>
        <w:tc>
          <w:tcPr>
            <w:tcW w:w="495" w:type="pct"/>
            <w:vAlign w:val="bottom"/>
          </w:tcPr>
          <w:p w:rsidR="002B0C93" w:rsidRPr="000031A3" w:rsidRDefault="002B0C93" w:rsidP="001B56F1">
            <w:pPr>
              <w:pStyle w:val="TableBodyText"/>
              <w:rPr>
                <w:sz w:val="18"/>
                <w:szCs w:val="18"/>
              </w:rPr>
            </w:pPr>
            <w:r w:rsidRPr="000031A3">
              <w:rPr>
                <w:sz w:val="18"/>
                <w:szCs w:val="18"/>
              </w:rPr>
              <w:t>4.8</w:t>
            </w:r>
          </w:p>
        </w:tc>
        <w:tc>
          <w:tcPr>
            <w:tcW w:w="495" w:type="pct"/>
            <w:vAlign w:val="bottom"/>
          </w:tcPr>
          <w:p w:rsidR="002B0C93" w:rsidRPr="000031A3" w:rsidRDefault="002B0C93" w:rsidP="001B56F1">
            <w:pPr>
              <w:pStyle w:val="TableBodyText"/>
              <w:rPr>
                <w:sz w:val="18"/>
                <w:szCs w:val="18"/>
              </w:rPr>
            </w:pPr>
            <w:r w:rsidRPr="000031A3">
              <w:rPr>
                <w:sz w:val="18"/>
                <w:szCs w:val="18"/>
              </w:rPr>
              <w:t>1.0</w:t>
            </w:r>
          </w:p>
        </w:tc>
        <w:tc>
          <w:tcPr>
            <w:tcW w:w="495" w:type="pct"/>
            <w:vAlign w:val="bottom"/>
          </w:tcPr>
          <w:p w:rsidR="002B0C93" w:rsidRPr="000031A3" w:rsidRDefault="002B0C93" w:rsidP="001B56F1">
            <w:pPr>
              <w:pStyle w:val="TableBodyText"/>
              <w:rPr>
                <w:sz w:val="18"/>
                <w:szCs w:val="18"/>
              </w:rPr>
            </w:pPr>
            <w:r w:rsidRPr="000031A3">
              <w:rPr>
                <w:sz w:val="18"/>
                <w:szCs w:val="18"/>
              </w:rPr>
              <w:t>0.4</w:t>
            </w:r>
          </w:p>
        </w:tc>
        <w:tc>
          <w:tcPr>
            <w:tcW w:w="495" w:type="pct"/>
            <w:vAlign w:val="bottom"/>
          </w:tcPr>
          <w:p w:rsidR="002B0C93" w:rsidRPr="000031A3" w:rsidRDefault="002B0C93" w:rsidP="001B56F1">
            <w:pPr>
              <w:pStyle w:val="TableBodyText"/>
              <w:rPr>
                <w:sz w:val="18"/>
                <w:szCs w:val="18"/>
              </w:rPr>
            </w:pPr>
            <w:r w:rsidRPr="000031A3">
              <w:rPr>
                <w:sz w:val="18"/>
                <w:szCs w:val="18"/>
              </w:rPr>
              <w:t>0.2</w:t>
            </w:r>
          </w:p>
        </w:tc>
        <w:tc>
          <w:tcPr>
            <w:tcW w:w="488" w:type="pct"/>
            <w:vAlign w:val="bottom"/>
          </w:tcPr>
          <w:p w:rsidR="002B0C93" w:rsidRPr="000031A3" w:rsidRDefault="002B0C93" w:rsidP="001B56F1">
            <w:pPr>
              <w:pStyle w:val="TableBodyText"/>
              <w:rPr>
                <w:sz w:val="18"/>
                <w:szCs w:val="18"/>
              </w:rPr>
            </w:pPr>
            <w:r>
              <w:rPr>
                <w:sz w:val="18"/>
                <w:szCs w:val="18"/>
              </w:rPr>
              <w:t>&lt;</w:t>
            </w:r>
            <w:r w:rsidRPr="00E17EEF">
              <w:rPr>
                <w:sz w:val="18"/>
                <w:szCs w:val="18"/>
              </w:rPr>
              <w:t>0.</w:t>
            </w:r>
            <w:r>
              <w:rPr>
                <w:sz w:val="18"/>
                <w:szCs w:val="18"/>
              </w:rPr>
              <w:t>1</w:t>
            </w:r>
          </w:p>
        </w:tc>
      </w:tr>
      <w:tr w:rsidR="002B0C93" w:rsidTr="001B56F1">
        <w:trPr>
          <w:trHeight w:val="227"/>
        </w:trPr>
        <w:tc>
          <w:tcPr>
            <w:tcW w:w="1946" w:type="pct"/>
            <w:vAlign w:val="bottom"/>
          </w:tcPr>
          <w:p w:rsidR="002B0C93" w:rsidRPr="007758AB" w:rsidRDefault="002B0C93" w:rsidP="001B56F1">
            <w:pPr>
              <w:pStyle w:val="TableBodyText"/>
              <w:jc w:val="left"/>
              <w:rPr>
                <w:sz w:val="18"/>
                <w:szCs w:val="18"/>
              </w:rPr>
            </w:pPr>
            <w:r w:rsidRPr="007758AB">
              <w:rPr>
                <w:sz w:val="18"/>
                <w:szCs w:val="18"/>
              </w:rPr>
              <w:t>Other crop growing</w:t>
            </w:r>
          </w:p>
        </w:tc>
        <w:tc>
          <w:tcPr>
            <w:tcW w:w="586" w:type="pct"/>
            <w:vAlign w:val="bottom"/>
          </w:tcPr>
          <w:p w:rsidR="002B0C93" w:rsidRPr="000031A3" w:rsidRDefault="002B0C93" w:rsidP="001B56F1">
            <w:pPr>
              <w:pStyle w:val="TableBodyText"/>
              <w:rPr>
                <w:sz w:val="18"/>
                <w:szCs w:val="18"/>
              </w:rPr>
            </w:pPr>
            <w:r w:rsidRPr="000031A3">
              <w:rPr>
                <w:sz w:val="18"/>
                <w:szCs w:val="18"/>
              </w:rPr>
              <w:t>1.0</w:t>
            </w:r>
          </w:p>
        </w:tc>
        <w:tc>
          <w:tcPr>
            <w:tcW w:w="495" w:type="pct"/>
            <w:vAlign w:val="bottom"/>
          </w:tcPr>
          <w:p w:rsidR="002B0C93" w:rsidRPr="000031A3" w:rsidRDefault="002B0C93" w:rsidP="001B56F1">
            <w:pPr>
              <w:pStyle w:val="TableBodyText"/>
              <w:rPr>
                <w:sz w:val="18"/>
                <w:szCs w:val="18"/>
              </w:rPr>
            </w:pPr>
            <w:r w:rsidRPr="000031A3">
              <w:rPr>
                <w:sz w:val="18"/>
                <w:szCs w:val="18"/>
              </w:rPr>
              <w:t>0.7</w:t>
            </w:r>
          </w:p>
        </w:tc>
        <w:tc>
          <w:tcPr>
            <w:tcW w:w="495" w:type="pct"/>
            <w:vAlign w:val="bottom"/>
          </w:tcPr>
          <w:p w:rsidR="002B0C93" w:rsidRPr="000031A3" w:rsidRDefault="002B0C93" w:rsidP="001B56F1">
            <w:pPr>
              <w:pStyle w:val="TableBodyText"/>
              <w:rPr>
                <w:sz w:val="18"/>
                <w:szCs w:val="18"/>
              </w:rPr>
            </w:pPr>
            <w:r w:rsidRPr="000031A3">
              <w:rPr>
                <w:sz w:val="18"/>
                <w:szCs w:val="18"/>
              </w:rPr>
              <w:t>0.1</w:t>
            </w:r>
          </w:p>
        </w:tc>
        <w:tc>
          <w:tcPr>
            <w:tcW w:w="495" w:type="pct"/>
            <w:shd w:val="clear" w:color="auto" w:fill="auto"/>
            <w:vAlign w:val="bottom"/>
          </w:tcPr>
          <w:p w:rsidR="002B0C93" w:rsidRPr="000031A3" w:rsidRDefault="002B0C93" w:rsidP="001B56F1">
            <w:pPr>
              <w:pStyle w:val="TableBodyText"/>
              <w:rPr>
                <w:sz w:val="18"/>
                <w:szCs w:val="18"/>
              </w:rPr>
            </w:pPr>
            <w:r>
              <w:rPr>
                <w:sz w:val="18"/>
                <w:szCs w:val="18"/>
              </w:rPr>
              <w:t>&lt;</w:t>
            </w:r>
            <w:r w:rsidRPr="00E17EEF">
              <w:rPr>
                <w:sz w:val="18"/>
                <w:szCs w:val="18"/>
              </w:rPr>
              <w:t>0.</w:t>
            </w:r>
            <w:r>
              <w:rPr>
                <w:sz w:val="18"/>
                <w:szCs w:val="18"/>
              </w:rPr>
              <w:t>1</w:t>
            </w:r>
          </w:p>
        </w:tc>
        <w:tc>
          <w:tcPr>
            <w:tcW w:w="495" w:type="pct"/>
            <w:shd w:val="clear" w:color="auto" w:fill="auto"/>
            <w:vAlign w:val="bottom"/>
          </w:tcPr>
          <w:p w:rsidR="002B0C93" w:rsidRPr="000031A3" w:rsidRDefault="002B0C93" w:rsidP="001B56F1">
            <w:pPr>
              <w:pStyle w:val="TableBodyText"/>
              <w:rPr>
                <w:sz w:val="18"/>
                <w:szCs w:val="18"/>
              </w:rPr>
            </w:pPr>
            <w:r>
              <w:rPr>
                <w:sz w:val="18"/>
                <w:szCs w:val="18"/>
              </w:rPr>
              <w:noBreakHyphen/>
            </w:r>
          </w:p>
        </w:tc>
        <w:tc>
          <w:tcPr>
            <w:tcW w:w="488" w:type="pct"/>
            <w:shd w:val="clear" w:color="auto" w:fill="auto"/>
            <w:vAlign w:val="bottom"/>
          </w:tcPr>
          <w:p w:rsidR="002B0C93" w:rsidRPr="000031A3" w:rsidRDefault="002B0C93" w:rsidP="001B56F1">
            <w:pPr>
              <w:pStyle w:val="TableBodyText"/>
              <w:rPr>
                <w:sz w:val="18"/>
                <w:szCs w:val="18"/>
              </w:rPr>
            </w:pPr>
            <w:r>
              <w:rPr>
                <w:sz w:val="18"/>
                <w:szCs w:val="18"/>
              </w:rPr>
              <w:t>&lt;</w:t>
            </w:r>
            <w:r w:rsidRPr="00E17EEF">
              <w:rPr>
                <w:sz w:val="18"/>
                <w:szCs w:val="18"/>
              </w:rPr>
              <w:t>0.</w:t>
            </w:r>
            <w:r>
              <w:rPr>
                <w:sz w:val="18"/>
                <w:szCs w:val="18"/>
              </w:rPr>
              <w:t>1</w:t>
            </w:r>
          </w:p>
        </w:tc>
      </w:tr>
      <w:tr w:rsidR="002B0C93" w:rsidTr="001B56F1">
        <w:trPr>
          <w:trHeight w:val="227"/>
        </w:trPr>
        <w:tc>
          <w:tcPr>
            <w:tcW w:w="1946" w:type="pct"/>
            <w:vAlign w:val="bottom"/>
          </w:tcPr>
          <w:p w:rsidR="002B0C93" w:rsidRDefault="002B0C93" w:rsidP="001B56F1">
            <w:pPr>
              <w:pStyle w:val="TableBodyText"/>
              <w:jc w:val="left"/>
              <w:rPr>
                <w:sz w:val="18"/>
                <w:szCs w:val="18"/>
              </w:rPr>
            </w:pPr>
            <w:r>
              <w:rPr>
                <w:sz w:val="18"/>
                <w:szCs w:val="18"/>
              </w:rPr>
              <w:t>Dairy cattle farming</w:t>
            </w:r>
          </w:p>
        </w:tc>
        <w:tc>
          <w:tcPr>
            <w:tcW w:w="586" w:type="pct"/>
            <w:vAlign w:val="bottom"/>
          </w:tcPr>
          <w:p w:rsidR="002B0C93" w:rsidRPr="000031A3" w:rsidRDefault="002B0C93" w:rsidP="001B56F1">
            <w:pPr>
              <w:pStyle w:val="TableBodyText"/>
              <w:rPr>
                <w:sz w:val="18"/>
                <w:szCs w:val="18"/>
              </w:rPr>
            </w:pPr>
            <w:r w:rsidRPr="000031A3">
              <w:rPr>
                <w:sz w:val="18"/>
                <w:szCs w:val="18"/>
              </w:rPr>
              <w:t>3.3</w:t>
            </w:r>
          </w:p>
        </w:tc>
        <w:tc>
          <w:tcPr>
            <w:tcW w:w="495" w:type="pct"/>
            <w:vAlign w:val="bottom"/>
          </w:tcPr>
          <w:p w:rsidR="002B0C93" w:rsidRPr="000031A3" w:rsidRDefault="002B0C93" w:rsidP="001B56F1">
            <w:pPr>
              <w:pStyle w:val="TableBodyText"/>
              <w:rPr>
                <w:sz w:val="18"/>
                <w:szCs w:val="18"/>
              </w:rPr>
            </w:pPr>
            <w:r w:rsidRPr="000031A3">
              <w:rPr>
                <w:sz w:val="18"/>
                <w:szCs w:val="18"/>
              </w:rPr>
              <w:t>2.3</w:t>
            </w:r>
          </w:p>
        </w:tc>
        <w:tc>
          <w:tcPr>
            <w:tcW w:w="495" w:type="pct"/>
            <w:vAlign w:val="bottom"/>
          </w:tcPr>
          <w:p w:rsidR="002B0C93" w:rsidRPr="000031A3" w:rsidRDefault="002B0C93" w:rsidP="001B56F1">
            <w:pPr>
              <w:pStyle w:val="TableBodyText"/>
              <w:rPr>
                <w:sz w:val="18"/>
                <w:szCs w:val="18"/>
              </w:rPr>
            </w:pPr>
            <w:r w:rsidRPr="000031A3">
              <w:rPr>
                <w:sz w:val="18"/>
                <w:szCs w:val="18"/>
              </w:rPr>
              <w:t>0.5</w:t>
            </w:r>
          </w:p>
        </w:tc>
        <w:tc>
          <w:tcPr>
            <w:tcW w:w="495" w:type="pct"/>
            <w:shd w:val="clear" w:color="auto" w:fill="auto"/>
            <w:vAlign w:val="bottom"/>
          </w:tcPr>
          <w:p w:rsidR="002B0C93" w:rsidRPr="000031A3" w:rsidRDefault="002B0C93" w:rsidP="001B56F1">
            <w:pPr>
              <w:pStyle w:val="TableBodyText"/>
              <w:rPr>
                <w:sz w:val="18"/>
                <w:szCs w:val="18"/>
              </w:rPr>
            </w:pPr>
            <w:r>
              <w:rPr>
                <w:sz w:val="18"/>
                <w:szCs w:val="18"/>
              </w:rPr>
              <w:t>&lt;</w:t>
            </w:r>
            <w:r w:rsidRPr="000031A3">
              <w:rPr>
                <w:sz w:val="18"/>
                <w:szCs w:val="18"/>
              </w:rPr>
              <w:t>0.1</w:t>
            </w:r>
          </w:p>
        </w:tc>
        <w:tc>
          <w:tcPr>
            <w:tcW w:w="495" w:type="pct"/>
            <w:shd w:val="clear" w:color="auto" w:fill="auto"/>
            <w:vAlign w:val="bottom"/>
          </w:tcPr>
          <w:p w:rsidR="002B0C93" w:rsidRPr="000031A3" w:rsidRDefault="002B0C93" w:rsidP="001B56F1">
            <w:pPr>
              <w:pStyle w:val="TableBodyText"/>
              <w:rPr>
                <w:sz w:val="18"/>
                <w:szCs w:val="18"/>
              </w:rPr>
            </w:pPr>
            <w:r>
              <w:rPr>
                <w:sz w:val="18"/>
                <w:szCs w:val="18"/>
              </w:rPr>
              <w:t>&lt;</w:t>
            </w:r>
            <w:r w:rsidRPr="00E17EEF">
              <w:rPr>
                <w:sz w:val="18"/>
                <w:szCs w:val="18"/>
              </w:rPr>
              <w:t>0.</w:t>
            </w:r>
            <w:r>
              <w:rPr>
                <w:sz w:val="18"/>
                <w:szCs w:val="18"/>
              </w:rPr>
              <w:t>1</w:t>
            </w:r>
          </w:p>
        </w:tc>
        <w:tc>
          <w:tcPr>
            <w:tcW w:w="488" w:type="pct"/>
            <w:shd w:val="clear" w:color="auto" w:fill="auto"/>
            <w:vAlign w:val="bottom"/>
          </w:tcPr>
          <w:p w:rsidR="002B0C93" w:rsidRPr="000031A3" w:rsidRDefault="002B0C93" w:rsidP="001B56F1">
            <w:pPr>
              <w:pStyle w:val="TableBodyText"/>
              <w:rPr>
                <w:sz w:val="18"/>
                <w:szCs w:val="18"/>
              </w:rPr>
            </w:pPr>
            <w:r>
              <w:rPr>
                <w:sz w:val="18"/>
                <w:szCs w:val="18"/>
              </w:rPr>
              <w:t>&lt;</w:t>
            </w:r>
            <w:r w:rsidRPr="00E17EEF">
              <w:rPr>
                <w:sz w:val="18"/>
                <w:szCs w:val="18"/>
              </w:rPr>
              <w:t>0.</w:t>
            </w:r>
            <w:r>
              <w:rPr>
                <w:sz w:val="18"/>
                <w:szCs w:val="18"/>
              </w:rPr>
              <w:t>1</w:t>
            </w:r>
          </w:p>
        </w:tc>
      </w:tr>
      <w:tr w:rsidR="002B0C93" w:rsidTr="001B56F1">
        <w:trPr>
          <w:trHeight w:val="227"/>
        </w:trPr>
        <w:tc>
          <w:tcPr>
            <w:tcW w:w="1946" w:type="pct"/>
            <w:vAlign w:val="bottom"/>
          </w:tcPr>
          <w:p w:rsidR="002B0C93" w:rsidRPr="007758AB" w:rsidRDefault="002B0C93" w:rsidP="001B56F1">
            <w:pPr>
              <w:pStyle w:val="TableBodyText"/>
              <w:jc w:val="left"/>
              <w:rPr>
                <w:sz w:val="18"/>
                <w:szCs w:val="18"/>
              </w:rPr>
            </w:pPr>
            <w:r>
              <w:rPr>
                <w:sz w:val="18"/>
                <w:szCs w:val="18"/>
              </w:rPr>
              <w:t>Other livestock farming</w:t>
            </w:r>
          </w:p>
        </w:tc>
        <w:tc>
          <w:tcPr>
            <w:tcW w:w="586" w:type="pct"/>
            <w:vAlign w:val="bottom"/>
          </w:tcPr>
          <w:p w:rsidR="002B0C93" w:rsidRPr="000031A3" w:rsidRDefault="002B0C93" w:rsidP="001B56F1">
            <w:pPr>
              <w:pStyle w:val="TableBodyText"/>
              <w:rPr>
                <w:sz w:val="18"/>
                <w:szCs w:val="18"/>
              </w:rPr>
            </w:pPr>
            <w:r w:rsidRPr="000031A3">
              <w:rPr>
                <w:sz w:val="18"/>
                <w:szCs w:val="18"/>
              </w:rPr>
              <w:t>0.2</w:t>
            </w:r>
          </w:p>
        </w:tc>
        <w:tc>
          <w:tcPr>
            <w:tcW w:w="495" w:type="pct"/>
            <w:vAlign w:val="bottom"/>
          </w:tcPr>
          <w:p w:rsidR="002B0C93" w:rsidRPr="000031A3" w:rsidRDefault="002B0C93" w:rsidP="001B56F1">
            <w:pPr>
              <w:pStyle w:val="TableBodyText"/>
              <w:rPr>
                <w:sz w:val="18"/>
                <w:szCs w:val="18"/>
              </w:rPr>
            </w:pPr>
            <w:r w:rsidRPr="000031A3">
              <w:rPr>
                <w:sz w:val="18"/>
                <w:szCs w:val="18"/>
              </w:rPr>
              <w:t>0.2</w:t>
            </w:r>
          </w:p>
        </w:tc>
        <w:tc>
          <w:tcPr>
            <w:tcW w:w="495" w:type="pct"/>
            <w:vAlign w:val="bottom"/>
          </w:tcPr>
          <w:p w:rsidR="002B0C93" w:rsidRPr="000031A3" w:rsidRDefault="002B0C93" w:rsidP="001B56F1">
            <w:pPr>
              <w:pStyle w:val="TableBodyText"/>
              <w:rPr>
                <w:sz w:val="18"/>
                <w:szCs w:val="18"/>
              </w:rPr>
            </w:pPr>
            <w:r>
              <w:rPr>
                <w:sz w:val="18"/>
                <w:szCs w:val="18"/>
              </w:rPr>
              <w:t>&lt;</w:t>
            </w:r>
            <w:r w:rsidRPr="00E17EEF">
              <w:rPr>
                <w:sz w:val="18"/>
                <w:szCs w:val="18"/>
              </w:rPr>
              <w:t>0.</w:t>
            </w:r>
            <w:r>
              <w:rPr>
                <w:sz w:val="18"/>
                <w:szCs w:val="18"/>
              </w:rPr>
              <w:t>1</w:t>
            </w:r>
          </w:p>
        </w:tc>
        <w:tc>
          <w:tcPr>
            <w:tcW w:w="495" w:type="pct"/>
            <w:shd w:val="clear" w:color="auto" w:fill="auto"/>
            <w:vAlign w:val="bottom"/>
          </w:tcPr>
          <w:p w:rsidR="002B0C93" w:rsidRPr="000031A3" w:rsidRDefault="002B0C93" w:rsidP="001B56F1">
            <w:pPr>
              <w:pStyle w:val="TableBodyText"/>
              <w:rPr>
                <w:sz w:val="18"/>
                <w:szCs w:val="18"/>
              </w:rPr>
            </w:pPr>
            <w:r>
              <w:rPr>
                <w:sz w:val="18"/>
                <w:szCs w:val="18"/>
              </w:rPr>
              <w:t>&lt;</w:t>
            </w:r>
            <w:r w:rsidRPr="00E17EEF">
              <w:rPr>
                <w:sz w:val="18"/>
                <w:szCs w:val="18"/>
              </w:rPr>
              <w:t>0.</w:t>
            </w:r>
            <w:r>
              <w:rPr>
                <w:sz w:val="18"/>
                <w:szCs w:val="18"/>
              </w:rPr>
              <w:t>1</w:t>
            </w:r>
          </w:p>
        </w:tc>
        <w:tc>
          <w:tcPr>
            <w:tcW w:w="495" w:type="pct"/>
            <w:shd w:val="clear" w:color="auto" w:fill="auto"/>
            <w:vAlign w:val="bottom"/>
          </w:tcPr>
          <w:p w:rsidR="002B0C93" w:rsidRPr="000031A3" w:rsidRDefault="002B0C93" w:rsidP="001B56F1">
            <w:pPr>
              <w:pStyle w:val="TableBodyText"/>
              <w:rPr>
                <w:sz w:val="18"/>
                <w:szCs w:val="18"/>
              </w:rPr>
            </w:pPr>
            <w:r>
              <w:rPr>
                <w:sz w:val="18"/>
                <w:szCs w:val="18"/>
              </w:rPr>
              <w:t>&lt;</w:t>
            </w:r>
            <w:r w:rsidRPr="00E17EEF">
              <w:rPr>
                <w:sz w:val="18"/>
                <w:szCs w:val="18"/>
              </w:rPr>
              <w:t>0.</w:t>
            </w:r>
            <w:r>
              <w:rPr>
                <w:sz w:val="18"/>
                <w:szCs w:val="18"/>
              </w:rPr>
              <w:t>1</w:t>
            </w:r>
          </w:p>
        </w:tc>
        <w:tc>
          <w:tcPr>
            <w:tcW w:w="488" w:type="pct"/>
            <w:shd w:val="clear" w:color="auto" w:fill="auto"/>
            <w:vAlign w:val="bottom"/>
          </w:tcPr>
          <w:p w:rsidR="002B0C93" w:rsidRPr="000031A3" w:rsidRDefault="002B0C93" w:rsidP="001B56F1">
            <w:pPr>
              <w:pStyle w:val="TableBodyText"/>
              <w:rPr>
                <w:sz w:val="18"/>
                <w:szCs w:val="18"/>
              </w:rPr>
            </w:pPr>
            <w:r>
              <w:rPr>
                <w:sz w:val="18"/>
                <w:szCs w:val="18"/>
              </w:rPr>
              <w:t>&lt;</w:t>
            </w:r>
            <w:r w:rsidRPr="00E17EEF">
              <w:rPr>
                <w:sz w:val="18"/>
                <w:szCs w:val="18"/>
              </w:rPr>
              <w:t>0.</w:t>
            </w:r>
            <w:r>
              <w:rPr>
                <w:sz w:val="18"/>
                <w:szCs w:val="18"/>
              </w:rPr>
              <w:t>1</w:t>
            </w:r>
          </w:p>
        </w:tc>
      </w:tr>
      <w:tr w:rsidR="002B0C93" w:rsidTr="001B56F1">
        <w:trPr>
          <w:trHeight w:val="227"/>
        </w:trPr>
        <w:tc>
          <w:tcPr>
            <w:tcW w:w="1946" w:type="pct"/>
            <w:vAlign w:val="bottom"/>
          </w:tcPr>
          <w:p w:rsidR="002B0C93" w:rsidRPr="007758AB" w:rsidRDefault="002B0C93" w:rsidP="001B56F1">
            <w:pPr>
              <w:pStyle w:val="TableBodyText"/>
              <w:jc w:val="left"/>
              <w:rPr>
                <w:sz w:val="18"/>
                <w:szCs w:val="18"/>
              </w:rPr>
            </w:pPr>
            <w:r>
              <w:rPr>
                <w:sz w:val="18"/>
                <w:szCs w:val="18"/>
              </w:rPr>
              <w:t>Aquaculture and fishing</w:t>
            </w:r>
          </w:p>
        </w:tc>
        <w:tc>
          <w:tcPr>
            <w:tcW w:w="586" w:type="pct"/>
            <w:vAlign w:val="bottom"/>
          </w:tcPr>
          <w:p w:rsidR="002B0C93" w:rsidRPr="000031A3" w:rsidRDefault="002B0C93" w:rsidP="001B56F1">
            <w:pPr>
              <w:pStyle w:val="TableBodyText"/>
              <w:rPr>
                <w:sz w:val="18"/>
                <w:szCs w:val="18"/>
              </w:rPr>
            </w:pPr>
            <w:r>
              <w:rPr>
                <w:sz w:val="18"/>
                <w:szCs w:val="18"/>
              </w:rPr>
              <w:noBreakHyphen/>
            </w:r>
          </w:p>
        </w:tc>
        <w:tc>
          <w:tcPr>
            <w:tcW w:w="495" w:type="pct"/>
            <w:vAlign w:val="bottom"/>
          </w:tcPr>
          <w:p w:rsidR="002B0C93" w:rsidRPr="000031A3" w:rsidRDefault="002B0C93" w:rsidP="001B56F1">
            <w:pPr>
              <w:pStyle w:val="TableBodyText"/>
              <w:rPr>
                <w:sz w:val="18"/>
                <w:szCs w:val="18"/>
              </w:rPr>
            </w:pPr>
            <w:r>
              <w:rPr>
                <w:sz w:val="18"/>
                <w:szCs w:val="18"/>
              </w:rPr>
              <w:noBreakHyphen/>
            </w:r>
          </w:p>
        </w:tc>
        <w:tc>
          <w:tcPr>
            <w:tcW w:w="495" w:type="pct"/>
            <w:vAlign w:val="bottom"/>
          </w:tcPr>
          <w:p w:rsidR="002B0C93" w:rsidRPr="000031A3" w:rsidRDefault="002B0C93" w:rsidP="001B56F1">
            <w:pPr>
              <w:pStyle w:val="TableBodyText"/>
              <w:rPr>
                <w:sz w:val="18"/>
                <w:szCs w:val="18"/>
              </w:rPr>
            </w:pPr>
            <w:r>
              <w:rPr>
                <w:sz w:val="18"/>
                <w:szCs w:val="18"/>
              </w:rPr>
              <w:noBreakHyphen/>
            </w:r>
          </w:p>
        </w:tc>
        <w:tc>
          <w:tcPr>
            <w:tcW w:w="495" w:type="pct"/>
            <w:shd w:val="clear" w:color="auto" w:fill="auto"/>
            <w:vAlign w:val="bottom"/>
          </w:tcPr>
          <w:p w:rsidR="002B0C93" w:rsidRPr="000031A3" w:rsidRDefault="002B0C93" w:rsidP="001B56F1">
            <w:pPr>
              <w:pStyle w:val="TableBodyText"/>
              <w:rPr>
                <w:sz w:val="18"/>
                <w:szCs w:val="18"/>
              </w:rPr>
            </w:pPr>
            <w:r>
              <w:rPr>
                <w:sz w:val="18"/>
                <w:szCs w:val="18"/>
              </w:rPr>
              <w:t>&lt;</w:t>
            </w:r>
            <w:r w:rsidRPr="00E17EEF">
              <w:rPr>
                <w:sz w:val="18"/>
                <w:szCs w:val="18"/>
              </w:rPr>
              <w:t>0.</w:t>
            </w:r>
            <w:r>
              <w:rPr>
                <w:sz w:val="18"/>
                <w:szCs w:val="18"/>
              </w:rPr>
              <w:t>1</w:t>
            </w:r>
          </w:p>
        </w:tc>
        <w:tc>
          <w:tcPr>
            <w:tcW w:w="495" w:type="pct"/>
            <w:shd w:val="clear" w:color="auto" w:fill="auto"/>
            <w:vAlign w:val="bottom"/>
          </w:tcPr>
          <w:p w:rsidR="002B0C93" w:rsidRPr="000031A3" w:rsidRDefault="002B0C93" w:rsidP="001B56F1">
            <w:pPr>
              <w:pStyle w:val="TableBodyText"/>
              <w:rPr>
                <w:sz w:val="18"/>
                <w:szCs w:val="18"/>
              </w:rPr>
            </w:pPr>
            <w:r>
              <w:rPr>
                <w:sz w:val="18"/>
                <w:szCs w:val="18"/>
              </w:rPr>
              <w:t>&lt;</w:t>
            </w:r>
            <w:r w:rsidRPr="00E17EEF">
              <w:rPr>
                <w:sz w:val="18"/>
                <w:szCs w:val="18"/>
              </w:rPr>
              <w:t>0.</w:t>
            </w:r>
            <w:r>
              <w:rPr>
                <w:sz w:val="18"/>
                <w:szCs w:val="18"/>
              </w:rPr>
              <w:t>1</w:t>
            </w:r>
          </w:p>
        </w:tc>
        <w:tc>
          <w:tcPr>
            <w:tcW w:w="488" w:type="pct"/>
            <w:shd w:val="clear" w:color="auto" w:fill="auto"/>
            <w:vAlign w:val="bottom"/>
          </w:tcPr>
          <w:p w:rsidR="002B0C93" w:rsidRPr="000031A3" w:rsidRDefault="002B0C93" w:rsidP="001B56F1">
            <w:pPr>
              <w:pStyle w:val="TableBodyText"/>
              <w:rPr>
                <w:sz w:val="18"/>
                <w:szCs w:val="18"/>
              </w:rPr>
            </w:pPr>
            <w:r>
              <w:rPr>
                <w:sz w:val="18"/>
                <w:szCs w:val="18"/>
              </w:rPr>
              <w:t>&lt;</w:t>
            </w:r>
            <w:r w:rsidRPr="00E17EEF">
              <w:rPr>
                <w:sz w:val="18"/>
                <w:szCs w:val="18"/>
              </w:rPr>
              <w:t>0.</w:t>
            </w:r>
            <w:r>
              <w:rPr>
                <w:sz w:val="18"/>
                <w:szCs w:val="18"/>
              </w:rPr>
              <w:t>1</w:t>
            </w:r>
          </w:p>
        </w:tc>
      </w:tr>
      <w:tr w:rsidR="002B0C93" w:rsidTr="001B56F1">
        <w:trPr>
          <w:trHeight w:val="227"/>
        </w:trPr>
        <w:tc>
          <w:tcPr>
            <w:tcW w:w="1946" w:type="pct"/>
            <w:vAlign w:val="bottom"/>
          </w:tcPr>
          <w:p w:rsidR="002B0C93" w:rsidRPr="007758AB" w:rsidRDefault="002B0C93" w:rsidP="001B56F1">
            <w:pPr>
              <w:pStyle w:val="TableBodyText"/>
              <w:jc w:val="left"/>
              <w:rPr>
                <w:sz w:val="18"/>
                <w:szCs w:val="18"/>
              </w:rPr>
            </w:pPr>
            <w:r>
              <w:rPr>
                <w:sz w:val="18"/>
                <w:szCs w:val="18"/>
              </w:rPr>
              <w:t>Primary production support services</w:t>
            </w:r>
          </w:p>
        </w:tc>
        <w:tc>
          <w:tcPr>
            <w:tcW w:w="586" w:type="pct"/>
            <w:vAlign w:val="bottom"/>
          </w:tcPr>
          <w:p w:rsidR="002B0C93" w:rsidRPr="000031A3" w:rsidRDefault="002B0C93" w:rsidP="001B56F1">
            <w:pPr>
              <w:pStyle w:val="TableBodyText"/>
              <w:rPr>
                <w:sz w:val="18"/>
                <w:szCs w:val="18"/>
              </w:rPr>
            </w:pPr>
            <w:r>
              <w:rPr>
                <w:sz w:val="18"/>
                <w:szCs w:val="18"/>
              </w:rPr>
              <w:noBreakHyphen/>
            </w:r>
          </w:p>
        </w:tc>
        <w:tc>
          <w:tcPr>
            <w:tcW w:w="495" w:type="pct"/>
            <w:vAlign w:val="bottom"/>
          </w:tcPr>
          <w:p w:rsidR="002B0C93" w:rsidRPr="000031A3" w:rsidRDefault="002B0C93" w:rsidP="001B56F1">
            <w:pPr>
              <w:pStyle w:val="TableBodyText"/>
              <w:rPr>
                <w:sz w:val="18"/>
                <w:szCs w:val="18"/>
              </w:rPr>
            </w:pPr>
            <w:r>
              <w:rPr>
                <w:sz w:val="18"/>
                <w:szCs w:val="18"/>
              </w:rPr>
              <w:noBreakHyphen/>
            </w:r>
          </w:p>
        </w:tc>
        <w:tc>
          <w:tcPr>
            <w:tcW w:w="495" w:type="pct"/>
            <w:vAlign w:val="bottom"/>
          </w:tcPr>
          <w:p w:rsidR="002B0C93" w:rsidRPr="000031A3" w:rsidRDefault="002B0C93" w:rsidP="001B56F1">
            <w:pPr>
              <w:pStyle w:val="TableBodyText"/>
              <w:rPr>
                <w:sz w:val="18"/>
                <w:szCs w:val="18"/>
              </w:rPr>
            </w:pPr>
            <w:r>
              <w:rPr>
                <w:sz w:val="18"/>
                <w:szCs w:val="18"/>
              </w:rPr>
              <w:noBreakHyphen/>
            </w:r>
          </w:p>
        </w:tc>
        <w:tc>
          <w:tcPr>
            <w:tcW w:w="495" w:type="pct"/>
            <w:shd w:val="clear" w:color="auto" w:fill="auto"/>
            <w:vAlign w:val="bottom"/>
          </w:tcPr>
          <w:p w:rsidR="002B0C93" w:rsidRPr="000031A3" w:rsidRDefault="002B0C93" w:rsidP="001B56F1">
            <w:pPr>
              <w:pStyle w:val="TableBodyText"/>
              <w:rPr>
                <w:sz w:val="18"/>
                <w:szCs w:val="18"/>
              </w:rPr>
            </w:pPr>
            <w:r>
              <w:rPr>
                <w:sz w:val="18"/>
                <w:szCs w:val="18"/>
              </w:rPr>
              <w:noBreakHyphen/>
            </w:r>
          </w:p>
        </w:tc>
        <w:tc>
          <w:tcPr>
            <w:tcW w:w="495" w:type="pct"/>
            <w:shd w:val="clear" w:color="auto" w:fill="auto"/>
            <w:vAlign w:val="bottom"/>
          </w:tcPr>
          <w:p w:rsidR="002B0C93" w:rsidRPr="000031A3" w:rsidRDefault="002B0C93" w:rsidP="001B56F1">
            <w:pPr>
              <w:pStyle w:val="TableBodyText"/>
              <w:rPr>
                <w:sz w:val="18"/>
                <w:szCs w:val="18"/>
              </w:rPr>
            </w:pPr>
            <w:r>
              <w:rPr>
                <w:sz w:val="18"/>
                <w:szCs w:val="18"/>
              </w:rPr>
              <w:noBreakHyphen/>
            </w:r>
          </w:p>
        </w:tc>
        <w:tc>
          <w:tcPr>
            <w:tcW w:w="488" w:type="pct"/>
            <w:shd w:val="clear" w:color="auto" w:fill="auto"/>
            <w:vAlign w:val="bottom"/>
          </w:tcPr>
          <w:p w:rsidR="002B0C93" w:rsidRPr="000031A3" w:rsidRDefault="002B0C93" w:rsidP="001B56F1">
            <w:pPr>
              <w:pStyle w:val="TableBodyText"/>
              <w:rPr>
                <w:sz w:val="18"/>
                <w:szCs w:val="18"/>
              </w:rPr>
            </w:pPr>
            <w:r>
              <w:rPr>
                <w:sz w:val="18"/>
                <w:szCs w:val="18"/>
              </w:rPr>
              <w:t>&lt;</w:t>
            </w:r>
            <w:r w:rsidRPr="00E17EEF">
              <w:rPr>
                <w:sz w:val="18"/>
                <w:szCs w:val="18"/>
              </w:rPr>
              <w:t>0.</w:t>
            </w:r>
            <w:r>
              <w:rPr>
                <w:sz w:val="18"/>
                <w:szCs w:val="18"/>
              </w:rPr>
              <w:t>1</w:t>
            </w:r>
          </w:p>
        </w:tc>
      </w:tr>
      <w:tr w:rsidR="002B0C93" w:rsidTr="001B56F1">
        <w:trPr>
          <w:trHeight w:val="227"/>
        </w:trPr>
        <w:tc>
          <w:tcPr>
            <w:tcW w:w="1946" w:type="pct"/>
            <w:vAlign w:val="bottom"/>
          </w:tcPr>
          <w:p w:rsidR="002B0C93" w:rsidRPr="007758AB" w:rsidRDefault="002B0C93" w:rsidP="001B56F1">
            <w:pPr>
              <w:pStyle w:val="TableBodyText"/>
              <w:jc w:val="left"/>
              <w:rPr>
                <w:sz w:val="18"/>
                <w:szCs w:val="18"/>
              </w:rPr>
            </w:pPr>
            <w:r>
              <w:rPr>
                <w:sz w:val="18"/>
                <w:szCs w:val="18"/>
              </w:rPr>
              <w:t>Unallocated primary production</w:t>
            </w:r>
            <w:r w:rsidRPr="009B56F1">
              <w:rPr>
                <w:rStyle w:val="NoteLabel"/>
              </w:rPr>
              <w:t>a</w:t>
            </w:r>
          </w:p>
        </w:tc>
        <w:tc>
          <w:tcPr>
            <w:tcW w:w="586" w:type="pct"/>
            <w:vAlign w:val="bottom"/>
          </w:tcPr>
          <w:p w:rsidR="002B0C93" w:rsidRPr="000031A3" w:rsidRDefault="002B0C93" w:rsidP="001B56F1">
            <w:pPr>
              <w:pStyle w:val="TableBodyText"/>
              <w:rPr>
                <w:sz w:val="18"/>
                <w:szCs w:val="18"/>
              </w:rPr>
            </w:pPr>
            <w:r>
              <w:rPr>
                <w:sz w:val="18"/>
                <w:szCs w:val="18"/>
              </w:rPr>
              <w:noBreakHyphen/>
            </w:r>
          </w:p>
        </w:tc>
        <w:tc>
          <w:tcPr>
            <w:tcW w:w="495" w:type="pct"/>
            <w:vAlign w:val="bottom"/>
          </w:tcPr>
          <w:p w:rsidR="002B0C93" w:rsidRPr="000031A3" w:rsidRDefault="002B0C93" w:rsidP="001B56F1">
            <w:pPr>
              <w:pStyle w:val="TableBodyText"/>
              <w:rPr>
                <w:sz w:val="18"/>
                <w:szCs w:val="18"/>
              </w:rPr>
            </w:pPr>
            <w:r>
              <w:rPr>
                <w:sz w:val="18"/>
                <w:szCs w:val="18"/>
              </w:rPr>
              <w:noBreakHyphen/>
            </w:r>
          </w:p>
        </w:tc>
        <w:tc>
          <w:tcPr>
            <w:tcW w:w="495" w:type="pct"/>
            <w:vAlign w:val="bottom"/>
          </w:tcPr>
          <w:p w:rsidR="002B0C93" w:rsidRPr="000031A3" w:rsidRDefault="002B0C93" w:rsidP="001B56F1">
            <w:pPr>
              <w:pStyle w:val="TableBodyText"/>
              <w:rPr>
                <w:sz w:val="18"/>
                <w:szCs w:val="18"/>
              </w:rPr>
            </w:pPr>
            <w:r>
              <w:rPr>
                <w:sz w:val="18"/>
                <w:szCs w:val="18"/>
              </w:rPr>
              <w:noBreakHyphen/>
            </w:r>
          </w:p>
        </w:tc>
        <w:tc>
          <w:tcPr>
            <w:tcW w:w="495" w:type="pct"/>
            <w:shd w:val="clear" w:color="auto" w:fill="auto"/>
            <w:vAlign w:val="bottom"/>
          </w:tcPr>
          <w:p w:rsidR="002B0C93" w:rsidRPr="000031A3" w:rsidRDefault="002B0C93" w:rsidP="001B56F1">
            <w:pPr>
              <w:pStyle w:val="TableBodyText"/>
              <w:rPr>
                <w:sz w:val="18"/>
                <w:szCs w:val="18"/>
              </w:rPr>
            </w:pPr>
            <w:r>
              <w:rPr>
                <w:sz w:val="18"/>
                <w:szCs w:val="18"/>
              </w:rPr>
              <w:t>&lt;</w:t>
            </w:r>
            <w:r w:rsidRPr="00E17EEF">
              <w:rPr>
                <w:sz w:val="18"/>
                <w:szCs w:val="18"/>
              </w:rPr>
              <w:t>0.</w:t>
            </w:r>
            <w:r>
              <w:rPr>
                <w:sz w:val="18"/>
                <w:szCs w:val="18"/>
              </w:rPr>
              <w:t>1</w:t>
            </w:r>
          </w:p>
        </w:tc>
        <w:tc>
          <w:tcPr>
            <w:tcW w:w="495" w:type="pct"/>
            <w:shd w:val="clear" w:color="auto" w:fill="auto"/>
            <w:vAlign w:val="bottom"/>
          </w:tcPr>
          <w:p w:rsidR="002B0C93" w:rsidRPr="000031A3" w:rsidRDefault="002B0C93" w:rsidP="001B56F1">
            <w:pPr>
              <w:pStyle w:val="TableBodyText"/>
              <w:rPr>
                <w:sz w:val="18"/>
                <w:szCs w:val="18"/>
              </w:rPr>
            </w:pPr>
            <w:r>
              <w:rPr>
                <w:sz w:val="18"/>
                <w:szCs w:val="18"/>
              </w:rPr>
              <w:t>&lt;</w:t>
            </w:r>
            <w:r w:rsidRPr="00E17EEF">
              <w:rPr>
                <w:sz w:val="18"/>
                <w:szCs w:val="18"/>
              </w:rPr>
              <w:t>0.</w:t>
            </w:r>
            <w:r>
              <w:rPr>
                <w:sz w:val="18"/>
                <w:szCs w:val="18"/>
              </w:rPr>
              <w:t>1</w:t>
            </w:r>
          </w:p>
        </w:tc>
        <w:tc>
          <w:tcPr>
            <w:tcW w:w="488" w:type="pct"/>
            <w:shd w:val="clear" w:color="auto" w:fill="auto"/>
            <w:vAlign w:val="bottom"/>
          </w:tcPr>
          <w:p w:rsidR="002B0C93" w:rsidRPr="000031A3" w:rsidRDefault="002B0C93" w:rsidP="001B56F1">
            <w:pPr>
              <w:pStyle w:val="TableBodyText"/>
              <w:rPr>
                <w:sz w:val="18"/>
                <w:szCs w:val="18"/>
              </w:rPr>
            </w:pPr>
            <w:r>
              <w:rPr>
                <w:sz w:val="18"/>
                <w:szCs w:val="18"/>
              </w:rPr>
              <w:t>&lt;</w:t>
            </w:r>
            <w:r w:rsidRPr="00E17EEF">
              <w:rPr>
                <w:sz w:val="18"/>
                <w:szCs w:val="18"/>
              </w:rPr>
              <w:t>0.</w:t>
            </w:r>
            <w:r>
              <w:rPr>
                <w:sz w:val="18"/>
                <w:szCs w:val="18"/>
              </w:rPr>
              <w:t>1</w:t>
            </w:r>
          </w:p>
        </w:tc>
      </w:tr>
      <w:tr w:rsidR="002B0C93" w:rsidTr="001B56F1">
        <w:trPr>
          <w:trHeight w:val="227"/>
        </w:trPr>
        <w:tc>
          <w:tcPr>
            <w:tcW w:w="1946" w:type="pct"/>
            <w:vAlign w:val="bottom"/>
          </w:tcPr>
          <w:p w:rsidR="002B0C93" w:rsidRPr="000031A3" w:rsidRDefault="002B0C93" w:rsidP="001B56F1">
            <w:pPr>
              <w:pStyle w:val="TableBodyText"/>
              <w:jc w:val="left"/>
              <w:rPr>
                <w:b/>
                <w:sz w:val="18"/>
                <w:szCs w:val="18"/>
              </w:rPr>
            </w:pPr>
            <w:r w:rsidRPr="000031A3">
              <w:rPr>
                <w:b/>
                <w:sz w:val="18"/>
                <w:szCs w:val="18"/>
              </w:rPr>
              <w:t>Services</w:t>
            </w:r>
          </w:p>
        </w:tc>
        <w:tc>
          <w:tcPr>
            <w:tcW w:w="586" w:type="pct"/>
            <w:vAlign w:val="bottom"/>
          </w:tcPr>
          <w:p w:rsidR="002B0C93" w:rsidRPr="000F3D2B" w:rsidRDefault="002B0C93" w:rsidP="001B56F1">
            <w:pPr>
              <w:pStyle w:val="TableBodyText"/>
              <w:rPr>
                <w:b/>
                <w:sz w:val="18"/>
                <w:szCs w:val="18"/>
              </w:rPr>
            </w:pPr>
            <w:r w:rsidRPr="000F3D2B">
              <w:rPr>
                <w:b/>
                <w:sz w:val="18"/>
                <w:szCs w:val="18"/>
              </w:rPr>
              <w:noBreakHyphen/>
            </w:r>
          </w:p>
        </w:tc>
        <w:tc>
          <w:tcPr>
            <w:tcW w:w="495" w:type="pct"/>
            <w:vAlign w:val="bottom"/>
          </w:tcPr>
          <w:p w:rsidR="002B0C93" w:rsidRPr="000F3D2B" w:rsidRDefault="002B0C93" w:rsidP="001B56F1">
            <w:pPr>
              <w:pStyle w:val="TableBodyText"/>
              <w:rPr>
                <w:b/>
                <w:sz w:val="18"/>
                <w:szCs w:val="18"/>
              </w:rPr>
            </w:pPr>
            <w:r w:rsidRPr="000F3D2B">
              <w:rPr>
                <w:b/>
                <w:sz w:val="18"/>
                <w:szCs w:val="18"/>
              </w:rPr>
              <w:noBreakHyphen/>
            </w:r>
          </w:p>
        </w:tc>
        <w:tc>
          <w:tcPr>
            <w:tcW w:w="495" w:type="pct"/>
            <w:vAlign w:val="bottom"/>
          </w:tcPr>
          <w:p w:rsidR="002B0C93" w:rsidRPr="000F3D2B" w:rsidRDefault="002B0C93" w:rsidP="001B56F1">
            <w:pPr>
              <w:pStyle w:val="TableBodyText"/>
              <w:rPr>
                <w:b/>
                <w:sz w:val="18"/>
                <w:szCs w:val="18"/>
              </w:rPr>
            </w:pPr>
            <w:r w:rsidRPr="000F3D2B">
              <w:rPr>
                <w:b/>
                <w:sz w:val="18"/>
                <w:szCs w:val="18"/>
              </w:rPr>
              <w:noBreakHyphen/>
            </w:r>
          </w:p>
        </w:tc>
        <w:tc>
          <w:tcPr>
            <w:tcW w:w="495" w:type="pct"/>
            <w:shd w:val="clear" w:color="auto" w:fill="auto"/>
            <w:vAlign w:val="bottom"/>
          </w:tcPr>
          <w:p w:rsidR="002B0C93" w:rsidRPr="000F3D2B" w:rsidRDefault="002B0C93" w:rsidP="001B56F1">
            <w:pPr>
              <w:pStyle w:val="TableBodyText"/>
              <w:rPr>
                <w:b/>
                <w:sz w:val="18"/>
                <w:szCs w:val="18"/>
              </w:rPr>
            </w:pPr>
            <w:r w:rsidRPr="000F3D2B">
              <w:rPr>
                <w:b/>
                <w:sz w:val="18"/>
                <w:szCs w:val="18"/>
              </w:rPr>
              <w:noBreakHyphen/>
            </w:r>
          </w:p>
        </w:tc>
        <w:tc>
          <w:tcPr>
            <w:tcW w:w="495" w:type="pct"/>
            <w:shd w:val="clear" w:color="auto" w:fill="auto"/>
            <w:vAlign w:val="bottom"/>
          </w:tcPr>
          <w:p w:rsidR="002B0C93" w:rsidRPr="000F3D2B" w:rsidRDefault="002B0C93" w:rsidP="001B56F1">
            <w:pPr>
              <w:pStyle w:val="TableBodyText"/>
              <w:rPr>
                <w:b/>
                <w:sz w:val="18"/>
                <w:szCs w:val="18"/>
              </w:rPr>
            </w:pPr>
            <w:r w:rsidRPr="00743C2A">
              <w:rPr>
                <w:b/>
                <w:sz w:val="18"/>
                <w:szCs w:val="18"/>
              </w:rPr>
              <w:t>&lt;0.1</w:t>
            </w:r>
          </w:p>
        </w:tc>
        <w:tc>
          <w:tcPr>
            <w:tcW w:w="488" w:type="pct"/>
            <w:shd w:val="clear" w:color="auto" w:fill="auto"/>
            <w:vAlign w:val="bottom"/>
          </w:tcPr>
          <w:p w:rsidR="002B0C93" w:rsidRPr="000F3D2B" w:rsidRDefault="002B0C93" w:rsidP="001B56F1">
            <w:pPr>
              <w:pStyle w:val="TableBodyText"/>
              <w:rPr>
                <w:b/>
                <w:sz w:val="18"/>
                <w:szCs w:val="18"/>
              </w:rPr>
            </w:pPr>
            <w:r w:rsidRPr="00743C2A">
              <w:rPr>
                <w:b/>
                <w:sz w:val="18"/>
                <w:szCs w:val="18"/>
              </w:rPr>
              <w:t>&lt;0.1</w:t>
            </w:r>
          </w:p>
        </w:tc>
      </w:tr>
      <w:tr w:rsidR="002B0C93" w:rsidTr="001B56F1">
        <w:trPr>
          <w:trHeight w:val="227"/>
        </w:trPr>
        <w:tc>
          <w:tcPr>
            <w:tcW w:w="1946" w:type="pct"/>
            <w:vAlign w:val="bottom"/>
          </w:tcPr>
          <w:p w:rsidR="002B0C93" w:rsidRDefault="002B0C93" w:rsidP="001B56F1">
            <w:pPr>
              <w:pStyle w:val="TableBodyText"/>
              <w:jc w:val="left"/>
              <w:rPr>
                <w:sz w:val="18"/>
                <w:szCs w:val="18"/>
              </w:rPr>
            </w:pPr>
            <w:r>
              <w:rPr>
                <w:sz w:val="18"/>
                <w:szCs w:val="18"/>
              </w:rPr>
              <w:t>Transport, postal and warehousing</w:t>
            </w:r>
          </w:p>
        </w:tc>
        <w:tc>
          <w:tcPr>
            <w:tcW w:w="586" w:type="pct"/>
            <w:vAlign w:val="bottom"/>
          </w:tcPr>
          <w:p w:rsidR="002B0C93" w:rsidRPr="000031A3" w:rsidRDefault="002B0C93" w:rsidP="001B56F1">
            <w:pPr>
              <w:pStyle w:val="TableBodyText"/>
              <w:rPr>
                <w:sz w:val="18"/>
                <w:szCs w:val="18"/>
              </w:rPr>
            </w:pPr>
            <w:r>
              <w:rPr>
                <w:sz w:val="18"/>
                <w:szCs w:val="18"/>
              </w:rPr>
              <w:noBreakHyphen/>
            </w:r>
          </w:p>
        </w:tc>
        <w:tc>
          <w:tcPr>
            <w:tcW w:w="495" w:type="pct"/>
            <w:vAlign w:val="bottom"/>
          </w:tcPr>
          <w:p w:rsidR="002B0C93" w:rsidRPr="000031A3" w:rsidRDefault="002B0C93" w:rsidP="001B56F1">
            <w:pPr>
              <w:pStyle w:val="TableBodyText"/>
              <w:rPr>
                <w:sz w:val="18"/>
                <w:szCs w:val="18"/>
              </w:rPr>
            </w:pPr>
            <w:r>
              <w:rPr>
                <w:sz w:val="18"/>
                <w:szCs w:val="18"/>
              </w:rPr>
              <w:noBreakHyphen/>
            </w:r>
          </w:p>
        </w:tc>
        <w:tc>
          <w:tcPr>
            <w:tcW w:w="495" w:type="pct"/>
            <w:vAlign w:val="bottom"/>
          </w:tcPr>
          <w:p w:rsidR="002B0C93" w:rsidRPr="000031A3" w:rsidRDefault="002B0C93" w:rsidP="001B56F1">
            <w:pPr>
              <w:pStyle w:val="TableBodyText"/>
              <w:rPr>
                <w:sz w:val="18"/>
                <w:szCs w:val="18"/>
              </w:rPr>
            </w:pPr>
            <w:r>
              <w:rPr>
                <w:sz w:val="18"/>
                <w:szCs w:val="18"/>
              </w:rPr>
              <w:noBreakHyphen/>
            </w:r>
          </w:p>
        </w:tc>
        <w:tc>
          <w:tcPr>
            <w:tcW w:w="495" w:type="pct"/>
            <w:shd w:val="clear" w:color="auto" w:fill="auto"/>
            <w:vAlign w:val="bottom"/>
          </w:tcPr>
          <w:p w:rsidR="002B0C93" w:rsidRPr="000031A3" w:rsidRDefault="002B0C93" w:rsidP="001B56F1">
            <w:pPr>
              <w:pStyle w:val="TableBodyText"/>
              <w:rPr>
                <w:sz w:val="18"/>
                <w:szCs w:val="18"/>
              </w:rPr>
            </w:pPr>
            <w:r>
              <w:rPr>
                <w:sz w:val="18"/>
                <w:szCs w:val="18"/>
              </w:rPr>
              <w:noBreakHyphen/>
            </w:r>
          </w:p>
        </w:tc>
        <w:tc>
          <w:tcPr>
            <w:tcW w:w="495" w:type="pct"/>
            <w:shd w:val="clear" w:color="auto" w:fill="auto"/>
            <w:vAlign w:val="bottom"/>
          </w:tcPr>
          <w:p w:rsidR="002B0C93" w:rsidRPr="000031A3" w:rsidRDefault="002B0C93" w:rsidP="001B56F1">
            <w:pPr>
              <w:pStyle w:val="TableBodyText"/>
              <w:rPr>
                <w:sz w:val="18"/>
                <w:szCs w:val="18"/>
              </w:rPr>
            </w:pPr>
            <w:r>
              <w:rPr>
                <w:sz w:val="18"/>
                <w:szCs w:val="18"/>
              </w:rPr>
              <w:t>&lt;</w:t>
            </w:r>
            <w:r w:rsidRPr="00E17EEF">
              <w:rPr>
                <w:sz w:val="18"/>
                <w:szCs w:val="18"/>
              </w:rPr>
              <w:t>0.</w:t>
            </w:r>
            <w:r>
              <w:rPr>
                <w:sz w:val="18"/>
                <w:szCs w:val="18"/>
              </w:rPr>
              <w:t>1</w:t>
            </w:r>
          </w:p>
        </w:tc>
        <w:tc>
          <w:tcPr>
            <w:tcW w:w="488" w:type="pct"/>
            <w:shd w:val="clear" w:color="auto" w:fill="auto"/>
            <w:vAlign w:val="bottom"/>
          </w:tcPr>
          <w:p w:rsidR="002B0C93" w:rsidRPr="000031A3" w:rsidRDefault="002B0C93" w:rsidP="001B56F1">
            <w:pPr>
              <w:pStyle w:val="TableBodyText"/>
              <w:rPr>
                <w:sz w:val="18"/>
                <w:szCs w:val="18"/>
              </w:rPr>
            </w:pPr>
            <w:r>
              <w:rPr>
                <w:sz w:val="18"/>
                <w:szCs w:val="18"/>
              </w:rPr>
              <w:t>&lt;</w:t>
            </w:r>
            <w:r w:rsidRPr="00E17EEF">
              <w:rPr>
                <w:sz w:val="18"/>
                <w:szCs w:val="18"/>
              </w:rPr>
              <w:t>0.</w:t>
            </w:r>
            <w:r>
              <w:rPr>
                <w:sz w:val="18"/>
                <w:szCs w:val="18"/>
              </w:rPr>
              <w:t>1</w:t>
            </w:r>
          </w:p>
        </w:tc>
      </w:tr>
      <w:tr w:rsidR="002B0C93" w:rsidTr="001B56F1">
        <w:trPr>
          <w:trHeight w:val="227"/>
        </w:trPr>
        <w:tc>
          <w:tcPr>
            <w:tcW w:w="1946" w:type="pct"/>
            <w:tcBorders>
              <w:bottom w:val="single" w:sz="4" w:space="0" w:color="auto"/>
            </w:tcBorders>
            <w:vAlign w:val="bottom"/>
          </w:tcPr>
          <w:p w:rsidR="002B0C93" w:rsidRPr="007758AB" w:rsidRDefault="002B0C93" w:rsidP="001B56F1">
            <w:pPr>
              <w:pStyle w:val="TableBodyText"/>
              <w:jc w:val="left"/>
              <w:rPr>
                <w:b/>
                <w:bCs/>
                <w:sz w:val="18"/>
                <w:szCs w:val="18"/>
              </w:rPr>
            </w:pPr>
            <w:r w:rsidRPr="007758AB">
              <w:rPr>
                <w:b/>
                <w:bCs/>
                <w:sz w:val="18"/>
                <w:szCs w:val="18"/>
              </w:rPr>
              <w:t>Total</w:t>
            </w:r>
          </w:p>
        </w:tc>
        <w:tc>
          <w:tcPr>
            <w:tcW w:w="586" w:type="pct"/>
            <w:tcBorders>
              <w:bottom w:val="single" w:sz="4" w:space="0" w:color="auto"/>
            </w:tcBorders>
            <w:vAlign w:val="bottom"/>
          </w:tcPr>
          <w:p w:rsidR="002B0C93" w:rsidRPr="000F3D2B" w:rsidRDefault="002B0C93" w:rsidP="001B56F1">
            <w:pPr>
              <w:pStyle w:val="TableBodyText"/>
              <w:rPr>
                <w:b/>
                <w:sz w:val="18"/>
                <w:szCs w:val="18"/>
              </w:rPr>
            </w:pPr>
            <w:r w:rsidRPr="000F3D2B">
              <w:rPr>
                <w:b/>
                <w:sz w:val="18"/>
                <w:szCs w:val="18"/>
              </w:rPr>
              <w:t>11.6</w:t>
            </w:r>
          </w:p>
        </w:tc>
        <w:tc>
          <w:tcPr>
            <w:tcW w:w="495" w:type="pct"/>
            <w:tcBorders>
              <w:bottom w:val="single" w:sz="4" w:space="0" w:color="auto"/>
            </w:tcBorders>
            <w:vAlign w:val="bottom"/>
          </w:tcPr>
          <w:p w:rsidR="002B0C93" w:rsidRPr="000F3D2B" w:rsidRDefault="002B0C93" w:rsidP="001B56F1">
            <w:pPr>
              <w:pStyle w:val="TableBodyText"/>
              <w:rPr>
                <w:b/>
                <w:sz w:val="18"/>
                <w:szCs w:val="18"/>
              </w:rPr>
            </w:pPr>
            <w:r w:rsidRPr="000F3D2B">
              <w:rPr>
                <w:b/>
                <w:sz w:val="18"/>
                <w:szCs w:val="18"/>
              </w:rPr>
              <w:t>7.9</w:t>
            </w:r>
          </w:p>
        </w:tc>
        <w:tc>
          <w:tcPr>
            <w:tcW w:w="495" w:type="pct"/>
            <w:tcBorders>
              <w:bottom w:val="single" w:sz="4" w:space="0" w:color="auto"/>
            </w:tcBorders>
            <w:vAlign w:val="bottom"/>
          </w:tcPr>
          <w:p w:rsidR="002B0C93" w:rsidRPr="000F3D2B" w:rsidRDefault="002B0C93" w:rsidP="001B56F1">
            <w:pPr>
              <w:pStyle w:val="TableBodyText"/>
              <w:rPr>
                <w:b/>
                <w:sz w:val="18"/>
                <w:szCs w:val="18"/>
              </w:rPr>
            </w:pPr>
            <w:r w:rsidRPr="000F3D2B">
              <w:rPr>
                <w:b/>
                <w:sz w:val="18"/>
                <w:szCs w:val="18"/>
              </w:rPr>
              <w:t>1.7</w:t>
            </w:r>
          </w:p>
        </w:tc>
        <w:tc>
          <w:tcPr>
            <w:tcW w:w="495" w:type="pct"/>
            <w:tcBorders>
              <w:bottom w:val="single" w:sz="4" w:space="0" w:color="auto"/>
            </w:tcBorders>
            <w:shd w:val="clear" w:color="auto" w:fill="auto"/>
            <w:vAlign w:val="bottom"/>
          </w:tcPr>
          <w:p w:rsidR="002B0C93" w:rsidRPr="000F3D2B" w:rsidRDefault="002B0C93" w:rsidP="001B56F1">
            <w:pPr>
              <w:pStyle w:val="TableBodyText"/>
              <w:rPr>
                <w:b/>
                <w:sz w:val="18"/>
                <w:szCs w:val="18"/>
              </w:rPr>
            </w:pPr>
            <w:r w:rsidRPr="000F3D2B">
              <w:rPr>
                <w:b/>
                <w:sz w:val="18"/>
                <w:szCs w:val="18"/>
              </w:rPr>
              <w:t>0.6</w:t>
            </w:r>
          </w:p>
        </w:tc>
        <w:tc>
          <w:tcPr>
            <w:tcW w:w="495" w:type="pct"/>
            <w:tcBorders>
              <w:bottom w:val="single" w:sz="4" w:space="0" w:color="auto"/>
            </w:tcBorders>
            <w:shd w:val="clear" w:color="auto" w:fill="auto"/>
            <w:vAlign w:val="bottom"/>
          </w:tcPr>
          <w:p w:rsidR="002B0C93" w:rsidRPr="000F3D2B" w:rsidRDefault="002B0C93" w:rsidP="001B56F1">
            <w:pPr>
              <w:pStyle w:val="TableBodyText"/>
              <w:rPr>
                <w:b/>
                <w:sz w:val="18"/>
                <w:szCs w:val="18"/>
              </w:rPr>
            </w:pPr>
            <w:r w:rsidRPr="000F3D2B">
              <w:rPr>
                <w:b/>
                <w:sz w:val="18"/>
                <w:szCs w:val="18"/>
              </w:rPr>
              <w:t>0.3</w:t>
            </w:r>
          </w:p>
        </w:tc>
        <w:tc>
          <w:tcPr>
            <w:tcW w:w="488" w:type="pct"/>
            <w:tcBorders>
              <w:bottom w:val="single" w:sz="4" w:space="0" w:color="auto"/>
            </w:tcBorders>
            <w:shd w:val="clear" w:color="auto" w:fill="auto"/>
            <w:vAlign w:val="bottom"/>
          </w:tcPr>
          <w:p w:rsidR="002B0C93" w:rsidRPr="000F3D2B" w:rsidRDefault="002B0C93" w:rsidP="001B56F1">
            <w:pPr>
              <w:pStyle w:val="TableBodyText"/>
              <w:rPr>
                <w:b/>
                <w:sz w:val="18"/>
                <w:szCs w:val="18"/>
              </w:rPr>
            </w:pPr>
            <w:r w:rsidRPr="00743C2A">
              <w:rPr>
                <w:b/>
                <w:sz w:val="18"/>
                <w:szCs w:val="18"/>
              </w:rPr>
              <w:t>&lt;0.1</w:t>
            </w:r>
          </w:p>
        </w:tc>
      </w:tr>
    </w:tbl>
    <w:p w:rsidR="002B0C93" w:rsidRDefault="002B0C93" w:rsidP="002B0C93">
      <w:pPr>
        <w:pStyle w:val="Source"/>
        <w:spacing w:after="0"/>
        <w:rPr>
          <w:i/>
        </w:rPr>
      </w:pPr>
      <w:r w:rsidRPr="00A2379F">
        <w:noBreakHyphen/>
        <w:t xml:space="preserve"> </w:t>
      </w:r>
      <w:r>
        <w:t>Nil</w:t>
      </w:r>
      <w:r w:rsidRPr="00A2379F">
        <w:t>.</w:t>
      </w:r>
      <w:r>
        <w:t xml:space="preserve"> </w:t>
      </w:r>
      <w:r w:rsidRPr="009B56F1">
        <w:rPr>
          <w:rStyle w:val="NoteLabel"/>
        </w:rPr>
        <w:t>a</w:t>
      </w:r>
      <w:r w:rsidRPr="009B56F1">
        <w:t xml:space="preserve"> Unallocated includes general programs where detai</w:t>
      </w:r>
      <w:r>
        <w:t>ls of beneficiaries are unknown.</w:t>
      </w:r>
    </w:p>
    <w:p w:rsidR="002B0C93" w:rsidRPr="008E77FE" w:rsidRDefault="002B0C93" w:rsidP="002B0C93">
      <w:pPr>
        <w:pStyle w:val="Source"/>
      </w:pPr>
      <w:r>
        <w:rPr>
          <w:i/>
        </w:rPr>
        <w:t>Sources</w:t>
      </w:r>
      <w:r>
        <w:t xml:space="preserve">: </w:t>
      </w:r>
      <w:r w:rsidRPr="00AF6D67">
        <w:t xml:space="preserve">Commission estimates based on </w:t>
      </w:r>
      <w:r>
        <w:t>DAFF Annual Report 2011</w:t>
      </w:r>
      <w:r>
        <w:noBreakHyphen/>
        <w:t>12 (and earlier years); and detailed DAFF data by ANZSIC industry.</w:t>
      </w:r>
    </w:p>
    <w:p w:rsidR="00947F10" w:rsidRDefault="00FA09C3" w:rsidP="00947F10">
      <w:pPr>
        <w:pStyle w:val="Heading2"/>
      </w:pPr>
      <w:r>
        <w:t>A.</w:t>
      </w:r>
      <w:r>
        <w:rPr>
          <w:noProof/>
        </w:rPr>
        <w:t>126</w:t>
      </w:r>
      <w:r w:rsidR="00947F10">
        <w:tab/>
        <w:t>Clean Technology Investment – General Program</w:t>
      </w:r>
    </w:p>
    <w:p w:rsidR="00947F10" w:rsidRDefault="00501983" w:rsidP="00947F10">
      <w:pPr>
        <w:pStyle w:val="BodyText"/>
      </w:pPr>
      <w:r>
        <w:t>Launched on 16 February 2012</w:t>
      </w:r>
      <w:r w:rsidR="006C49EA">
        <w:t>,</w:t>
      </w:r>
      <w:r>
        <w:t xml:space="preserve"> as part </w:t>
      </w:r>
      <w:r w:rsidR="00947F10">
        <w:t xml:space="preserve">of the Australian Government’s Clean Energy Future plan, the Clean Technology Investment Program is </w:t>
      </w:r>
      <w:r w:rsidR="00947F10" w:rsidRPr="004367C0">
        <w:t xml:space="preserve">a merit-based grants program </w:t>
      </w:r>
      <w:r w:rsidR="00947F10">
        <w:t xml:space="preserve">that aims </w:t>
      </w:r>
      <w:r w:rsidR="00947F10" w:rsidRPr="004367C0">
        <w:t xml:space="preserve">to support Australian manufacturers to maintain competitiveness </w:t>
      </w:r>
      <w:r w:rsidR="00947F10">
        <w:t>in a carbon constrained economy through the provision of</w:t>
      </w:r>
      <w:r w:rsidR="00947F10" w:rsidRPr="004367C0">
        <w:t xml:space="preserve"> grants for investments in energy efficient capital equipment and low emission technologies, processes and products</w:t>
      </w:r>
      <w:r w:rsidR="00947F10">
        <w:t xml:space="preserve"> (</w:t>
      </w:r>
      <w:r w:rsidR="00947F10" w:rsidRPr="00813174">
        <w:t>AusIndustry 2013i</w:t>
      </w:r>
      <w:r w:rsidR="00EA5FB2">
        <w:t>)</w:t>
      </w:r>
      <w:r w:rsidR="00947F10" w:rsidRPr="004367C0">
        <w:t>.</w:t>
      </w:r>
    </w:p>
    <w:p w:rsidR="00947F10" w:rsidRDefault="00947F10" w:rsidP="00947F10">
      <w:pPr>
        <w:pStyle w:val="BodyText"/>
      </w:pPr>
      <w:r>
        <w:t xml:space="preserve">The program primarily benefits the manufacturing sector. However, information on the specific industry incidence of the program has not been readily available. Accordingly, the budget outlay has been classified to the </w:t>
      </w:r>
      <w:r w:rsidRPr="004367C0">
        <w:rPr>
          <w:i/>
        </w:rPr>
        <w:t>Unallocated manufacturing</w:t>
      </w:r>
      <w:r>
        <w:t xml:space="preserve"> industry grouping in the Commission’s ANZSIC-based classification (table A.12</w:t>
      </w:r>
      <w:r w:rsidR="00C065C1">
        <w:t>6</w:t>
      </w:r>
      <w:r>
        <w:t>).</w:t>
      </w:r>
    </w:p>
    <w:p w:rsidR="00947F10" w:rsidRDefault="00947F10" w:rsidP="00947F10">
      <w:pPr>
        <w:pStyle w:val="TableTitle"/>
      </w:pPr>
      <w:r>
        <w:rPr>
          <w:b w:val="0"/>
        </w:rPr>
        <w:t xml:space="preserve">Table </w:t>
      </w:r>
      <w:r w:rsidR="00FA09C3">
        <w:rPr>
          <w:b w:val="0"/>
        </w:rPr>
        <w:t>A.</w:t>
      </w:r>
      <w:r w:rsidR="00FA09C3">
        <w:rPr>
          <w:b w:val="0"/>
          <w:noProof/>
        </w:rPr>
        <w:t>126</w:t>
      </w:r>
      <w:r>
        <w:tab/>
        <w:t>Allocation of Clean Technology Investment – General Program</w:t>
      </w:r>
      <w:r w:rsidR="00B6795B" w:rsidRPr="00B6795B">
        <w:t xml:space="preserve"> to industry</w:t>
      </w:r>
      <w:r>
        <w:t>, 2006</w:t>
      </w:r>
      <w:r>
        <w:noBreakHyphen/>
        <w:t>07 to 2011</w:t>
      </w:r>
      <w:r>
        <w:noBreakHyphen/>
        <w:t>12</w:t>
      </w:r>
    </w:p>
    <w:p w:rsidR="00947F10" w:rsidRDefault="000E1A26" w:rsidP="00947F10">
      <w:pPr>
        <w:pStyle w:val="Subtitle"/>
      </w:pPr>
      <w:r>
        <w:t>$ m</w:t>
      </w:r>
      <w:r w:rsidR="00947F10">
        <w:t xml:space="preserve">illion (nominal) </w:t>
      </w:r>
    </w:p>
    <w:tbl>
      <w:tblPr>
        <w:tblW w:w="5000" w:type="pct"/>
        <w:tblCellMar>
          <w:left w:w="0" w:type="dxa"/>
          <w:right w:w="0" w:type="dxa"/>
        </w:tblCellMar>
        <w:tblLook w:val="0000" w:firstRow="0" w:lastRow="0" w:firstColumn="0" w:lastColumn="0" w:noHBand="0" w:noVBand="0"/>
      </w:tblPr>
      <w:tblGrid>
        <w:gridCol w:w="3445"/>
        <w:gridCol w:w="891"/>
        <w:gridCol w:w="891"/>
        <w:gridCol w:w="891"/>
        <w:gridCol w:w="891"/>
        <w:gridCol w:w="891"/>
        <w:gridCol w:w="889"/>
      </w:tblGrid>
      <w:tr w:rsidR="00947F10" w:rsidRPr="00AF699A" w:rsidTr="00CB219A">
        <w:trPr>
          <w:trHeight w:val="340"/>
        </w:trPr>
        <w:tc>
          <w:tcPr>
            <w:tcW w:w="1959" w:type="pct"/>
            <w:tcBorders>
              <w:top w:val="single" w:sz="6" w:space="0" w:color="auto"/>
              <w:bottom w:val="single" w:sz="6" w:space="0" w:color="auto"/>
            </w:tcBorders>
          </w:tcPr>
          <w:p w:rsidR="00947F10" w:rsidRPr="00AF699A" w:rsidRDefault="00947F10"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947F10" w:rsidRPr="00AF699A" w:rsidRDefault="00947F10"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947F10" w:rsidRPr="00AF699A" w:rsidRDefault="00947F10"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947F10" w:rsidRPr="00AF699A" w:rsidRDefault="00947F10"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947F10" w:rsidRPr="00AF699A" w:rsidRDefault="00947F10"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947F10" w:rsidRPr="00AF699A" w:rsidRDefault="00947F10" w:rsidP="001B56F1">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947F10" w:rsidRPr="00AF699A" w:rsidRDefault="00947F10" w:rsidP="001B56F1">
            <w:pPr>
              <w:pStyle w:val="TableColumnHeading"/>
              <w:ind w:right="28"/>
              <w:rPr>
                <w:rFonts w:cs="Arial"/>
                <w:sz w:val="18"/>
                <w:szCs w:val="18"/>
              </w:rPr>
            </w:pPr>
            <w:r w:rsidRPr="00AF699A">
              <w:rPr>
                <w:rFonts w:cs="Arial"/>
                <w:sz w:val="18"/>
                <w:szCs w:val="18"/>
              </w:rPr>
              <w:t>2011-12</w:t>
            </w:r>
          </w:p>
        </w:tc>
      </w:tr>
      <w:tr w:rsidR="00947F10" w:rsidRPr="00BA365B" w:rsidTr="001B56F1">
        <w:tc>
          <w:tcPr>
            <w:tcW w:w="1959" w:type="pct"/>
            <w:tcBorders>
              <w:bottom w:val="single" w:sz="4" w:space="0" w:color="auto"/>
            </w:tcBorders>
            <w:vAlign w:val="bottom"/>
          </w:tcPr>
          <w:p w:rsidR="00947F10" w:rsidRPr="00BA365B" w:rsidRDefault="00947F10" w:rsidP="001B56F1">
            <w:pPr>
              <w:pStyle w:val="TableBodyText"/>
              <w:jc w:val="left"/>
            </w:pPr>
            <w:r w:rsidRPr="00BA365B">
              <w:t>Unallocated manufacturing</w:t>
            </w:r>
            <w:r w:rsidRPr="00BD3CDA">
              <w:rPr>
                <w:rStyle w:val="NoteLabel"/>
                <w:szCs w:val="18"/>
              </w:rPr>
              <w:t>a</w:t>
            </w:r>
          </w:p>
        </w:tc>
        <w:tc>
          <w:tcPr>
            <w:tcW w:w="507" w:type="pct"/>
            <w:tcBorders>
              <w:bottom w:val="single" w:sz="4" w:space="0" w:color="auto"/>
            </w:tcBorders>
            <w:vAlign w:val="bottom"/>
          </w:tcPr>
          <w:p w:rsidR="00947F10" w:rsidRPr="00BA365B" w:rsidRDefault="00947F10" w:rsidP="001B56F1">
            <w:pPr>
              <w:pStyle w:val="TableBodyText"/>
            </w:pPr>
            <w:r>
              <w:noBreakHyphen/>
            </w:r>
          </w:p>
        </w:tc>
        <w:tc>
          <w:tcPr>
            <w:tcW w:w="507" w:type="pct"/>
            <w:tcBorders>
              <w:bottom w:val="single" w:sz="4" w:space="0" w:color="auto"/>
            </w:tcBorders>
            <w:vAlign w:val="bottom"/>
          </w:tcPr>
          <w:p w:rsidR="00947F10" w:rsidRPr="00BA365B" w:rsidRDefault="00947F10" w:rsidP="001B56F1">
            <w:pPr>
              <w:pStyle w:val="TableBodyText"/>
            </w:pPr>
            <w:r>
              <w:noBreakHyphen/>
            </w:r>
          </w:p>
        </w:tc>
        <w:tc>
          <w:tcPr>
            <w:tcW w:w="507" w:type="pct"/>
            <w:tcBorders>
              <w:bottom w:val="single" w:sz="4" w:space="0" w:color="auto"/>
            </w:tcBorders>
            <w:vAlign w:val="bottom"/>
          </w:tcPr>
          <w:p w:rsidR="00947F10" w:rsidRPr="00BA365B" w:rsidRDefault="00947F10" w:rsidP="001B56F1">
            <w:pPr>
              <w:pStyle w:val="TableBodyText"/>
            </w:pPr>
            <w:r>
              <w:noBreakHyphen/>
            </w:r>
          </w:p>
        </w:tc>
        <w:tc>
          <w:tcPr>
            <w:tcW w:w="507" w:type="pct"/>
            <w:tcBorders>
              <w:bottom w:val="single" w:sz="4" w:space="0" w:color="auto"/>
            </w:tcBorders>
            <w:vAlign w:val="bottom"/>
          </w:tcPr>
          <w:p w:rsidR="00947F10" w:rsidRPr="00BA365B" w:rsidRDefault="00947F10" w:rsidP="001B56F1">
            <w:pPr>
              <w:pStyle w:val="TableBodyText"/>
            </w:pPr>
            <w:r>
              <w:noBreakHyphen/>
            </w:r>
          </w:p>
        </w:tc>
        <w:tc>
          <w:tcPr>
            <w:tcW w:w="507" w:type="pct"/>
            <w:tcBorders>
              <w:bottom w:val="single" w:sz="4" w:space="0" w:color="auto"/>
            </w:tcBorders>
            <w:shd w:val="clear" w:color="auto" w:fill="auto"/>
            <w:vAlign w:val="bottom"/>
          </w:tcPr>
          <w:p w:rsidR="00947F10" w:rsidRPr="00BA365B" w:rsidRDefault="00947F10" w:rsidP="001B56F1">
            <w:pPr>
              <w:pStyle w:val="TableBodyText"/>
            </w:pPr>
            <w:r>
              <w:noBreakHyphen/>
            </w:r>
          </w:p>
        </w:tc>
        <w:tc>
          <w:tcPr>
            <w:tcW w:w="507" w:type="pct"/>
            <w:tcBorders>
              <w:bottom w:val="single" w:sz="4" w:space="0" w:color="auto"/>
            </w:tcBorders>
            <w:shd w:val="clear" w:color="auto" w:fill="auto"/>
            <w:vAlign w:val="bottom"/>
          </w:tcPr>
          <w:p w:rsidR="00947F10" w:rsidRPr="00BA365B" w:rsidRDefault="00AC05D5" w:rsidP="00AC05D5">
            <w:pPr>
              <w:pStyle w:val="TableBodyText"/>
            </w:pPr>
            <w:r>
              <w:rPr>
                <w:sz w:val="18"/>
                <w:szCs w:val="18"/>
              </w:rPr>
              <w:t>&lt;</w:t>
            </w:r>
            <w:r w:rsidRPr="00E17EEF">
              <w:rPr>
                <w:sz w:val="18"/>
                <w:szCs w:val="18"/>
              </w:rPr>
              <w:t>0.</w:t>
            </w:r>
            <w:r>
              <w:rPr>
                <w:sz w:val="18"/>
                <w:szCs w:val="18"/>
              </w:rPr>
              <w:t>1</w:t>
            </w:r>
          </w:p>
        </w:tc>
      </w:tr>
    </w:tbl>
    <w:p w:rsidR="00947F10" w:rsidRDefault="00947F10" w:rsidP="00947F10">
      <w:pPr>
        <w:pStyle w:val="Note"/>
      </w:pPr>
      <w:r w:rsidRPr="00A2379F">
        <w:noBreakHyphen/>
        <w:t xml:space="preserve"> </w:t>
      </w:r>
      <w:r>
        <w:t>Nil</w:t>
      </w:r>
      <w:r w:rsidRPr="00A2379F">
        <w:t>.</w:t>
      </w:r>
      <w:r w:rsidRPr="00B1392F">
        <w:t xml:space="preserve"> </w:t>
      </w:r>
      <w:r w:rsidRPr="009B56F1">
        <w:rPr>
          <w:rStyle w:val="NoteLabel"/>
        </w:rPr>
        <w:t>a</w:t>
      </w:r>
      <w:r w:rsidRPr="009B56F1">
        <w:t xml:space="preserve"> Unallocated includes general programs where detai</w:t>
      </w:r>
      <w:r>
        <w:t>ls of beneficiaries are unknown.</w:t>
      </w:r>
    </w:p>
    <w:p w:rsidR="00947F10" w:rsidRPr="008E77FE" w:rsidRDefault="00947F10" w:rsidP="00947F10">
      <w:pPr>
        <w:pStyle w:val="Source"/>
      </w:pPr>
      <w:r>
        <w:rPr>
          <w:i/>
        </w:rPr>
        <w:t>Source</w:t>
      </w:r>
      <w:r>
        <w:t>: Commission estimates based on detailed DIISR data by ANZSIC industry.</w:t>
      </w:r>
    </w:p>
    <w:p w:rsidR="00347D5F" w:rsidRDefault="00FA09C3" w:rsidP="00347D5F">
      <w:pPr>
        <w:pStyle w:val="Heading2"/>
      </w:pPr>
      <w:r>
        <w:t>A.</w:t>
      </w:r>
      <w:r>
        <w:rPr>
          <w:noProof/>
        </w:rPr>
        <w:t>127</w:t>
      </w:r>
      <w:r w:rsidR="00347D5F">
        <w:tab/>
        <w:t>Tax deductions for grape vines</w:t>
      </w:r>
    </w:p>
    <w:p w:rsidR="00347D5F" w:rsidRDefault="00347D5F" w:rsidP="00347D5F">
      <w:pPr>
        <w:pStyle w:val="BodyText"/>
      </w:pPr>
      <w:r>
        <w:t xml:space="preserve">Capital expenditure incurred on or after 1 July 1993, and used to acquire and establish grapevines for use in a business of primary production, is deductable over a four year period under the Section 387-D of the </w:t>
      </w:r>
      <w:r w:rsidRPr="004E5920">
        <w:rPr>
          <w:i/>
        </w:rPr>
        <w:t>Income Tax Assessment Act 1997</w:t>
      </w:r>
      <w:r>
        <w:t xml:space="preserve">. Deductions are available from the time vines are planted </w:t>
      </w:r>
      <w:r w:rsidRPr="00964EEB">
        <w:t>(</w:t>
      </w:r>
      <w:r w:rsidRPr="00C305B5">
        <w:t>Tax Expenditure Statement, Australian Government 2013, Item B 77</w:t>
      </w:r>
      <w:r w:rsidRPr="00964EEB">
        <w:t>)</w:t>
      </w:r>
      <w:r>
        <w:t>. Under the arrangements, capital expenditure is written off earlier than would be the case in the absence of the scheme.</w:t>
      </w:r>
    </w:p>
    <w:p w:rsidR="00347D5F" w:rsidRDefault="00347D5F" w:rsidP="00347D5F">
      <w:pPr>
        <w:pStyle w:val="BodyText"/>
      </w:pPr>
      <w:r>
        <w:t>The estimates, either positive or negative, reflect the net cost to the government of having the scheme in place relative to the tax arrangement not being available. Negative estimates have been recorded since 2007-08 onwards.</w:t>
      </w:r>
    </w:p>
    <w:p w:rsidR="00347D5F" w:rsidRDefault="00347D5F" w:rsidP="00347D5F">
      <w:pPr>
        <w:pStyle w:val="BodyText"/>
      </w:pPr>
      <w:r>
        <w:t xml:space="preserve">The tax </w:t>
      </w:r>
      <w:r w:rsidRPr="004E5920">
        <w:t xml:space="preserve">deduction targets grape growers and has been allocated to the </w:t>
      </w:r>
      <w:r w:rsidRPr="004E5920">
        <w:rPr>
          <w:i/>
        </w:rPr>
        <w:t>Horticulture and fruit growing</w:t>
      </w:r>
      <w:r>
        <w:t xml:space="preserve"> industry grouping in the Commission’s ANZSIC-based classification (table A.12</w:t>
      </w:r>
      <w:r w:rsidR="00C065C1">
        <w:t>7</w:t>
      </w:r>
      <w:r>
        <w:t>).</w:t>
      </w:r>
    </w:p>
    <w:p w:rsidR="00347D5F" w:rsidRDefault="00347D5F" w:rsidP="00347D5F">
      <w:pPr>
        <w:pStyle w:val="TableTitle"/>
      </w:pPr>
      <w:r>
        <w:rPr>
          <w:b w:val="0"/>
        </w:rPr>
        <w:t xml:space="preserve">Table </w:t>
      </w:r>
      <w:r w:rsidR="00FA09C3">
        <w:rPr>
          <w:b w:val="0"/>
        </w:rPr>
        <w:t>A.</w:t>
      </w:r>
      <w:r w:rsidR="00FA09C3">
        <w:rPr>
          <w:b w:val="0"/>
          <w:noProof/>
        </w:rPr>
        <w:t>127</w:t>
      </w:r>
      <w:r>
        <w:tab/>
        <w:t>Allocation of Tax deductions for grape vines</w:t>
      </w:r>
      <w:r w:rsidR="00B6795B" w:rsidRPr="00B6795B">
        <w:t xml:space="preserve"> to industry</w:t>
      </w:r>
      <w:r>
        <w:t>, 2006</w:t>
      </w:r>
      <w:r>
        <w:noBreakHyphen/>
        <w:t>07 to 2011</w:t>
      </w:r>
      <w:r>
        <w:noBreakHyphen/>
        <w:t>12</w:t>
      </w:r>
    </w:p>
    <w:p w:rsidR="00347D5F" w:rsidRDefault="00347D5F" w:rsidP="00347D5F">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347D5F" w:rsidRPr="00AF699A" w:rsidTr="001B56F1">
        <w:tc>
          <w:tcPr>
            <w:tcW w:w="1960" w:type="pct"/>
            <w:tcBorders>
              <w:top w:val="single" w:sz="6" w:space="0" w:color="auto"/>
              <w:bottom w:val="single" w:sz="6" w:space="0" w:color="auto"/>
            </w:tcBorders>
          </w:tcPr>
          <w:p w:rsidR="00347D5F" w:rsidRPr="00AF699A" w:rsidRDefault="00347D5F"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347D5F" w:rsidRPr="00AF699A" w:rsidRDefault="00347D5F"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347D5F" w:rsidRPr="00AF699A" w:rsidRDefault="00347D5F"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347D5F" w:rsidRPr="00AF699A" w:rsidRDefault="00347D5F"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347D5F" w:rsidRPr="00AF699A" w:rsidRDefault="00347D5F"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347D5F" w:rsidRPr="00AF699A" w:rsidRDefault="00347D5F"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347D5F" w:rsidRPr="00AF699A" w:rsidRDefault="00347D5F" w:rsidP="001B56F1">
            <w:pPr>
              <w:pStyle w:val="TableColumnHeading"/>
              <w:ind w:right="28"/>
              <w:rPr>
                <w:rFonts w:cs="Arial"/>
                <w:sz w:val="18"/>
                <w:szCs w:val="18"/>
              </w:rPr>
            </w:pPr>
            <w:r w:rsidRPr="00AF699A">
              <w:rPr>
                <w:rFonts w:cs="Arial"/>
                <w:sz w:val="18"/>
                <w:szCs w:val="18"/>
              </w:rPr>
              <w:t>2011-12</w:t>
            </w:r>
          </w:p>
        </w:tc>
      </w:tr>
      <w:tr w:rsidR="00347D5F" w:rsidRPr="006C5A80" w:rsidTr="001B56F1">
        <w:tc>
          <w:tcPr>
            <w:tcW w:w="1960" w:type="pct"/>
            <w:tcBorders>
              <w:bottom w:val="single" w:sz="4" w:space="0" w:color="auto"/>
            </w:tcBorders>
            <w:vAlign w:val="bottom"/>
          </w:tcPr>
          <w:p w:rsidR="00347D5F" w:rsidRPr="00C944BA" w:rsidRDefault="00347D5F" w:rsidP="001B56F1">
            <w:pPr>
              <w:pStyle w:val="TableBodyText"/>
              <w:jc w:val="left"/>
            </w:pPr>
            <w:r>
              <w:t>Horticulture and fruit growing</w:t>
            </w:r>
          </w:p>
        </w:tc>
        <w:tc>
          <w:tcPr>
            <w:tcW w:w="507" w:type="pct"/>
            <w:tcBorders>
              <w:bottom w:val="single" w:sz="4" w:space="0" w:color="auto"/>
            </w:tcBorders>
            <w:vAlign w:val="bottom"/>
          </w:tcPr>
          <w:p w:rsidR="00347D5F" w:rsidRPr="002D738A" w:rsidRDefault="00347D5F" w:rsidP="001B56F1">
            <w:pPr>
              <w:pStyle w:val="TableBodyText"/>
            </w:pPr>
            <w:r>
              <w:t>3.0</w:t>
            </w:r>
          </w:p>
        </w:tc>
        <w:tc>
          <w:tcPr>
            <w:tcW w:w="507" w:type="pct"/>
            <w:tcBorders>
              <w:bottom w:val="single" w:sz="4" w:space="0" w:color="auto"/>
            </w:tcBorders>
            <w:vAlign w:val="bottom"/>
          </w:tcPr>
          <w:p w:rsidR="00347D5F" w:rsidRPr="002D738A" w:rsidRDefault="00347D5F" w:rsidP="001B56F1">
            <w:pPr>
              <w:pStyle w:val="TableBodyText"/>
            </w:pPr>
            <w:r>
              <w:t>-1.0</w:t>
            </w:r>
          </w:p>
        </w:tc>
        <w:tc>
          <w:tcPr>
            <w:tcW w:w="507" w:type="pct"/>
            <w:tcBorders>
              <w:bottom w:val="single" w:sz="4" w:space="0" w:color="auto"/>
            </w:tcBorders>
            <w:vAlign w:val="bottom"/>
          </w:tcPr>
          <w:p w:rsidR="00347D5F" w:rsidRPr="002D738A" w:rsidRDefault="00347D5F" w:rsidP="001B56F1">
            <w:pPr>
              <w:pStyle w:val="TableBodyText"/>
            </w:pPr>
            <w:r>
              <w:t>-4.0</w:t>
            </w:r>
          </w:p>
        </w:tc>
        <w:tc>
          <w:tcPr>
            <w:tcW w:w="507" w:type="pct"/>
            <w:tcBorders>
              <w:bottom w:val="single" w:sz="4" w:space="0" w:color="auto"/>
            </w:tcBorders>
            <w:vAlign w:val="bottom"/>
          </w:tcPr>
          <w:p w:rsidR="00347D5F" w:rsidRPr="002D738A" w:rsidRDefault="00347D5F" w:rsidP="001B56F1">
            <w:pPr>
              <w:pStyle w:val="TableBodyText"/>
            </w:pPr>
            <w:r>
              <w:t>-7.0</w:t>
            </w:r>
          </w:p>
        </w:tc>
        <w:tc>
          <w:tcPr>
            <w:tcW w:w="507" w:type="pct"/>
            <w:tcBorders>
              <w:bottom w:val="single" w:sz="4" w:space="0" w:color="auto"/>
            </w:tcBorders>
            <w:shd w:val="clear" w:color="auto" w:fill="auto"/>
            <w:vAlign w:val="bottom"/>
          </w:tcPr>
          <w:p w:rsidR="00347D5F" w:rsidRPr="002D738A" w:rsidRDefault="00347D5F" w:rsidP="001B56F1">
            <w:pPr>
              <w:pStyle w:val="TableBodyText"/>
            </w:pPr>
            <w:r>
              <w:t>-7.0</w:t>
            </w:r>
          </w:p>
        </w:tc>
        <w:tc>
          <w:tcPr>
            <w:tcW w:w="505" w:type="pct"/>
            <w:tcBorders>
              <w:bottom w:val="single" w:sz="4" w:space="0" w:color="auto"/>
            </w:tcBorders>
            <w:shd w:val="clear" w:color="auto" w:fill="auto"/>
            <w:vAlign w:val="bottom"/>
          </w:tcPr>
          <w:p w:rsidR="00347D5F" w:rsidRPr="002D738A" w:rsidRDefault="00347D5F" w:rsidP="001B56F1">
            <w:pPr>
              <w:pStyle w:val="TableBodyText"/>
            </w:pPr>
            <w:r>
              <w:t>-6.0</w:t>
            </w:r>
          </w:p>
        </w:tc>
      </w:tr>
    </w:tbl>
    <w:p w:rsidR="00347D5F" w:rsidRDefault="00347D5F" w:rsidP="00347D5F">
      <w:pPr>
        <w:pStyle w:val="Source"/>
      </w:pPr>
      <w:r>
        <w:rPr>
          <w:i/>
        </w:rPr>
        <w:t>Source</w:t>
      </w:r>
      <w:r>
        <w:t>: Commission estimates based on Tax Expenditure Statement 2012, Australian Government 2013, p. 103, Item B77.</w:t>
      </w:r>
    </w:p>
    <w:p w:rsidR="00347D5F" w:rsidRDefault="00FA09C3" w:rsidP="00347D5F">
      <w:pPr>
        <w:pStyle w:val="Heading2"/>
      </w:pPr>
      <w:r>
        <w:t>A.</w:t>
      </w:r>
      <w:r>
        <w:rPr>
          <w:noProof/>
        </w:rPr>
        <w:t>128</w:t>
      </w:r>
      <w:r w:rsidR="00347D5F">
        <w:tab/>
        <w:t>Film industry division 10B and 10BA</w:t>
      </w:r>
    </w:p>
    <w:p w:rsidR="00347D5F" w:rsidRDefault="00347D5F" w:rsidP="00347D5F">
      <w:pPr>
        <w:pStyle w:val="BodyText"/>
      </w:pPr>
      <w:r>
        <w:t xml:space="preserve">Under the Film industry division 10B and 10BA tax concession, capital expenditures incurred in acquiring an interest in the initial copyright of a new Australian film can either be deducted immediately (for certain types of film) or written off over two years. </w:t>
      </w:r>
      <w:r w:rsidRPr="00964EEB">
        <w:t>(</w:t>
      </w:r>
      <w:r w:rsidRPr="00C305B5">
        <w:t>Tax Expenditure Statement, Australian Government 2013, Item B 76</w:t>
      </w:r>
      <w:r w:rsidRPr="00964EEB">
        <w:t>)</w:t>
      </w:r>
      <w:r>
        <w:t>. Under the arrangements, capital expenditure is written off earlier than would be the case in the absence of the scheme.</w:t>
      </w:r>
    </w:p>
    <w:p w:rsidR="00347D5F" w:rsidRDefault="00347D5F" w:rsidP="00347D5F">
      <w:pPr>
        <w:pStyle w:val="BodyText"/>
      </w:pPr>
      <w:r>
        <w:t>The estimates, either positive or negative, reflect the net cost to the government of having the scheme in place relative to the tax arrangement not being available. Negative estimates are recorded from 2004-05 onwards.</w:t>
      </w:r>
    </w:p>
    <w:p w:rsidR="00347D5F" w:rsidRDefault="00347D5F" w:rsidP="00347D5F">
      <w:pPr>
        <w:pStyle w:val="BodyText"/>
      </w:pPr>
      <w:r w:rsidRPr="004C1AA6">
        <w:t xml:space="preserve">The divisions were repealed effective from 1 July 2010 </w:t>
      </w:r>
      <w:r w:rsidRPr="0019612C">
        <w:t xml:space="preserve">(Tax Expenditure Statement 2009, </w:t>
      </w:r>
      <w:r w:rsidRPr="00C305B5">
        <w:t>Australian Government 2010, Item B 71</w:t>
      </w:r>
      <w:r w:rsidRPr="0019612C">
        <w:t>)</w:t>
      </w:r>
      <w:r w:rsidRPr="004C1AA6">
        <w:t>.</w:t>
      </w:r>
    </w:p>
    <w:p w:rsidR="00347D5F" w:rsidRDefault="00347D5F" w:rsidP="00347D5F">
      <w:pPr>
        <w:pStyle w:val="BodyText"/>
      </w:pPr>
      <w:r>
        <w:t xml:space="preserve">The Film industry division 10B and 10BA </w:t>
      </w:r>
      <w:r w:rsidR="00281890">
        <w:t xml:space="preserve">tax </w:t>
      </w:r>
      <w:r>
        <w:t xml:space="preserve">concession selectively benefits activities in the film industry and has been allocated to the </w:t>
      </w:r>
      <w:r w:rsidRPr="00545050">
        <w:rPr>
          <w:i/>
        </w:rPr>
        <w:t>Arts and recreation services</w:t>
      </w:r>
      <w:r>
        <w:t xml:space="preserve"> industry grouping in the Commission’s ANZSIC-based classification (table A.12</w:t>
      </w:r>
      <w:r w:rsidR="00C065C1">
        <w:t>8</w:t>
      </w:r>
      <w:r>
        <w:t>).</w:t>
      </w:r>
    </w:p>
    <w:p w:rsidR="00347D5F" w:rsidRDefault="00347D5F" w:rsidP="00347D5F">
      <w:pPr>
        <w:pStyle w:val="TableTitle"/>
      </w:pPr>
      <w:r>
        <w:rPr>
          <w:b w:val="0"/>
        </w:rPr>
        <w:t xml:space="preserve">Table </w:t>
      </w:r>
      <w:r w:rsidR="00FA09C3">
        <w:rPr>
          <w:b w:val="0"/>
        </w:rPr>
        <w:t>A.</w:t>
      </w:r>
      <w:r w:rsidR="00FA09C3">
        <w:rPr>
          <w:b w:val="0"/>
          <w:noProof/>
        </w:rPr>
        <w:t>128</w:t>
      </w:r>
      <w:r>
        <w:tab/>
        <w:t>Allocation of Film industry division 10B and 10BA</w:t>
      </w:r>
      <w:r w:rsidR="00B6795B" w:rsidRPr="00B6795B">
        <w:t xml:space="preserve"> to industry</w:t>
      </w:r>
      <w:r>
        <w:t>, 2006</w:t>
      </w:r>
      <w:r>
        <w:noBreakHyphen/>
        <w:t>07 to 2011</w:t>
      </w:r>
      <w:r>
        <w:noBreakHyphen/>
        <w:t>12</w:t>
      </w:r>
    </w:p>
    <w:p w:rsidR="00347D5F" w:rsidRDefault="00347D5F" w:rsidP="00347D5F">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347D5F" w:rsidRPr="00AF699A" w:rsidTr="001B56F1">
        <w:tc>
          <w:tcPr>
            <w:tcW w:w="1960" w:type="pct"/>
            <w:tcBorders>
              <w:top w:val="single" w:sz="6" w:space="0" w:color="auto"/>
              <w:bottom w:val="single" w:sz="6" w:space="0" w:color="auto"/>
            </w:tcBorders>
          </w:tcPr>
          <w:p w:rsidR="00347D5F" w:rsidRPr="00AF699A" w:rsidRDefault="00347D5F"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347D5F" w:rsidRPr="00AF699A" w:rsidRDefault="00347D5F"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347D5F" w:rsidRPr="00AF699A" w:rsidRDefault="00347D5F"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347D5F" w:rsidRPr="00AF699A" w:rsidRDefault="00347D5F"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347D5F" w:rsidRPr="00AF699A" w:rsidRDefault="00347D5F"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347D5F" w:rsidRPr="00AF699A" w:rsidRDefault="00347D5F"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347D5F" w:rsidRPr="00AF699A" w:rsidRDefault="00347D5F" w:rsidP="001B56F1">
            <w:pPr>
              <w:pStyle w:val="TableColumnHeading"/>
              <w:ind w:right="28"/>
              <w:rPr>
                <w:rFonts w:cs="Arial"/>
                <w:sz w:val="18"/>
                <w:szCs w:val="18"/>
              </w:rPr>
            </w:pPr>
            <w:r w:rsidRPr="00AF699A">
              <w:rPr>
                <w:rFonts w:cs="Arial"/>
                <w:sz w:val="18"/>
                <w:szCs w:val="18"/>
              </w:rPr>
              <w:t>2011-12</w:t>
            </w:r>
          </w:p>
        </w:tc>
      </w:tr>
      <w:tr w:rsidR="00347D5F" w:rsidRPr="006C5A80" w:rsidTr="001B56F1">
        <w:tc>
          <w:tcPr>
            <w:tcW w:w="1960" w:type="pct"/>
            <w:tcBorders>
              <w:bottom w:val="single" w:sz="4" w:space="0" w:color="auto"/>
            </w:tcBorders>
            <w:vAlign w:val="bottom"/>
          </w:tcPr>
          <w:p w:rsidR="00347D5F" w:rsidRPr="00C944BA" w:rsidRDefault="00347D5F" w:rsidP="001B56F1">
            <w:pPr>
              <w:pStyle w:val="TableBodyText"/>
              <w:jc w:val="left"/>
            </w:pPr>
            <w:r>
              <w:t>Arts and recreation services</w:t>
            </w:r>
          </w:p>
        </w:tc>
        <w:tc>
          <w:tcPr>
            <w:tcW w:w="507" w:type="pct"/>
            <w:tcBorders>
              <w:bottom w:val="single" w:sz="4" w:space="0" w:color="auto"/>
            </w:tcBorders>
            <w:vAlign w:val="bottom"/>
          </w:tcPr>
          <w:p w:rsidR="00347D5F" w:rsidRPr="00DC4BDB" w:rsidRDefault="00347D5F" w:rsidP="001B56F1">
            <w:pPr>
              <w:pStyle w:val="TableBodyText"/>
            </w:pPr>
            <w:r>
              <w:t>-13.0</w:t>
            </w:r>
          </w:p>
        </w:tc>
        <w:tc>
          <w:tcPr>
            <w:tcW w:w="507" w:type="pct"/>
            <w:tcBorders>
              <w:bottom w:val="single" w:sz="4" w:space="0" w:color="auto"/>
            </w:tcBorders>
            <w:vAlign w:val="bottom"/>
          </w:tcPr>
          <w:p w:rsidR="00347D5F" w:rsidRPr="00DC4BDB" w:rsidRDefault="00347D5F" w:rsidP="001B56F1">
            <w:pPr>
              <w:pStyle w:val="TableBodyText"/>
            </w:pPr>
            <w:r w:rsidRPr="00DC4BDB">
              <w:t>-13.0</w:t>
            </w:r>
          </w:p>
        </w:tc>
        <w:tc>
          <w:tcPr>
            <w:tcW w:w="507" w:type="pct"/>
            <w:tcBorders>
              <w:bottom w:val="single" w:sz="4" w:space="0" w:color="auto"/>
            </w:tcBorders>
            <w:vAlign w:val="bottom"/>
          </w:tcPr>
          <w:p w:rsidR="00347D5F" w:rsidRPr="00DC4BDB" w:rsidRDefault="00347D5F" w:rsidP="001B56F1">
            <w:pPr>
              <w:pStyle w:val="TableBodyText"/>
            </w:pPr>
            <w:r w:rsidRPr="00DC4BDB">
              <w:t>-14.0</w:t>
            </w:r>
          </w:p>
        </w:tc>
        <w:tc>
          <w:tcPr>
            <w:tcW w:w="507" w:type="pct"/>
            <w:tcBorders>
              <w:bottom w:val="single" w:sz="4" w:space="0" w:color="auto"/>
            </w:tcBorders>
            <w:vAlign w:val="bottom"/>
          </w:tcPr>
          <w:p w:rsidR="00347D5F" w:rsidRPr="00DC4BDB" w:rsidRDefault="00347D5F" w:rsidP="001B56F1">
            <w:pPr>
              <w:pStyle w:val="TableBodyText"/>
            </w:pPr>
            <w:r w:rsidRPr="00DC4BDB">
              <w:t>-22.0</w:t>
            </w:r>
          </w:p>
        </w:tc>
        <w:tc>
          <w:tcPr>
            <w:tcW w:w="507" w:type="pct"/>
            <w:tcBorders>
              <w:bottom w:val="single" w:sz="4" w:space="0" w:color="auto"/>
            </w:tcBorders>
            <w:shd w:val="clear" w:color="auto" w:fill="auto"/>
            <w:vAlign w:val="bottom"/>
          </w:tcPr>
          <w:p w:rsidR="00347D5F" w:rsidRPr="00DC4BDB" w:rsidRDefault="00347D5F" w:rsidP="001B56F1">
            <w:pPr>
              <w:pStyle w:val="TableBodyText"/>
            </w:pPr>
            <w:r w:rsidRPr="00DC4BDB">
              <w:t>-18.0</w:t>
            </w:r>
          </w:p>
        </w:tc>
        <w:tc>
          <w:tcPr>
            <w:tcW w:w="505" w:type="pct"/>
            <w:tcBorders>
              <w:bottom w:val="single" w:sz="4" w:space="0" w:color="auto"/>
            </w:tcBorders>
            <w:shd w:val="clear" w:color="auto" w:fill="auto"/>
            <w:vAlign w:val="bottom"/>
          </w:tcPr>
          <w:p w:rsidR="00347D5F" w:rsidRPr="00DC4BDB" w:rsidRDefault="00347D5F" w:rsidP="001B56F1">
            <w:pPr>
              <w:pStyle w:val="TableBodyText"/>
            </w:pPr>
            <w:r w:rsidRPr="00DC4BDB">
              <w:t>-17.0</w:t>
            </w:r>
          </w:p>
        </w:tc>
      </w:tr>
    </w:tbl>
    <w:p w:rsidR="007A66FC" w:rsidRDefault="00347D5F" w:rsidP="00347D5F">
      <w:pPr>
        <w:pStyle w:val="Source"/>
      </w:pPr>
      <w:r>
        <w:rPr>
          <w:i/>
        </w:rPr>
        <w:t>Source</w:t>
      </w:r>
      <w:r>
        <w:t>: Commission estimates based on Tax Expenditure Statement 2012, Australian Government 2013, p</w:t>
      </w:r>
      <w:r w:rsidR="00281890">
        <w:t>. </w:t>
      </w:r>
      <w:r>
        <w:t>102, Item B76.</w:t>
      </w:r>
    </w:p>
    <w:p w:rsidR="007A66FC" w:rsidRDefault="007A66FC" w:rsidP="00BF6BF7">
      <w:pPr>
        <w:pStyle w:val="BodyText"/>
        <w:rPr>
          <w:rFonts w:ascii="Arial" w:hAnsi="Arial"/>
          <w:sz w:val="18"/>
        </w:rPr>
      </w:pPr>
      <w:r>
        <w:br w:type="page"/>
      </w:r>
    </w:p>
    <w:p w:rsidR="00347D5F" w:rsidRDefault="00FA09C3" w:rsidP="00347D5F">
      <w:pPr>
        <w:pStyle w:val="Heading2"/>
      </w:pPr>
      <w:r>
        <w:t>A.</w:t>
      </w:r>
      <w:r>
        <w:rPr>
          <w:noProof/>
        </w:rPr>
        <w:t>129</w:t>
      </w:r>
      <w:r w:rsidR="00347D5F">
        <w:tab/>
        <w:t>R&amp;D Tax Offset payments exemption (former scheme)</w:t>
      </w:r>
    </w:p>
    <w:p w:rsidR="00347D5F" w:rsidRDefault="00347D5F" w:rsidP="00347D5F">
      <w:pPr>
        <w:pStyle w:val="BodyText"/>
      </w:pPr>
      <w:r>
        <w:t xml:space="preserve">Prior to 1 July 2011, when the longstanding R&amp;D Tax Concession was replaced with the </w:t>
      </w:r>
      <w:r w:rsidR="00B85A9E">
        <w:t xml:space="preserve">new </w:t>
      </w:r>
      <w:r>
        <w:t xml:space="preserve">R&amp;D Tax Offset, payments made under the </w:t>
      </w:r>
      <w:r w:rsidR="00FA18E2">
        <w:t xml:space="preserve">existing </w:t>
      </w:r>
      <w:r>
        <w:t>R&amp;D tax offset program (see A.4) were exempt from tax. In addition, companies that claimed the offset were unable to claim deductions for the R&amp;D expenditures concerned. This is because payments made under the offset had already provided these companies with a benefit equivalent to the value of these deductions. The absence of these deductions constitutes a negative tax expenditure. The estimates have been negative since 2006</w:t>
      </w:r>
      <w:r w:rsidR="00FA18E2">
        <w:noBreakHyphen/>
      </w:r>
      <w:r>
        <w:t>07 (</w:t>
      </w:r>
      <w:r w:rsidRPr="00C305B5">
        <w:t>Tax Expenditure Statement, Australian Government</w:t>
      </w:r>
      <w:r>
        <w:t> </w:t>
      </w:r>
      <w:r w:rsidRPr="00C305B5">
        <w:t>2013, Item B 98</w:t>
      </w:r>
      <w:r>
        <w:t>).</w:t>
      </w:r>
    </w:p>
    <w:p w:rsidR="00347D5F" w:rsidRDefault="00347D5F" w:rsidP="00347D5F">
      <w:pPr>
        <w:pStyle w:val="BodyText"/>
      </w:pPr>
      <w:r w:rsidRPr="00C305B5">
        <w:t xml:space="preserve">Information on the industry incidence of the program has not been readily available. Accordingly, the taxation concession has been classified to the </w:t>
      </w:r>
      <w:r w:rsidRPr="00C305B5">
        <w:rPr>
          <w:i/>
        </w:rPr>
        <w:t>Unallocated other</w:t>
      </w:r>
      <w:r w:rsidRPr="00C305B5">
        <w:t xml:space="preserve"> industry grouping in the Commission’s ANZSIC-based classification</w:t>
      </w:r>
      <w:r>
        <w:t xml:space="preserve"> (table A.12</w:t>
      </w:r>
      <w:r w:rsidR="00C065C1">
        <w:t>9</w:t>
      </w:r>
      <w:r>
        <w:t>).</w:t>
      </w:r>
    </w:p>
    <w:p w:rsidR="00347D5F" w:rsidRDefault="00347D5F" w:rsidP="00347D5F">
      <w:pPr>
        <w:pStyle w:val="TableTitle"/>
      </w:pPr>
      <w:r>
        <w:rPr>
          <w:b w:val="0"/>
        </w:rPr>
        <w:t xml:space="preserve">Table </w:t>
      </w:r>
      <w:r w:rsidR="00FA09C3">
        <w:rPr>
          <w:b w:val="0"/>
        </w:rPr>
        <w:t>A.</w:t>
      </w:r>
      <w:r w:rsidR="00FA09C3">
        <w:rPr>
          <w:b w:val="0"/>
          <w:noProof/>
        </w:rPr>
        <w:t>129</w:t>
      </w:r>
      <w:r w:rsidR="00B6795B">
        <w:tab/>
        <w:t>Allocation of R&amp;D Tax O</w:t>
      </w:r>
      <w:r>
        <w:t>ffset payments exemption (former scheme)</w:t>
      </w:r>
      <w:r w:rsidR="00B6795B" w:rsidRPr="00B6795B">
        <w:t xml:space="preserve"> to industry</w:t>
      </w:r>
      <w:r>
        <w:t>, 2006</w:t>
      </w:r>
      <w:r>
        <w:noBreakHyphen/>
        <w:t>07 to 2011</w:t>
      </w:r>
      <w:r>
        <w:noBreakHyphen/>
        <w:t>12</w:t>
      </w:r>
    </w:p>
    <w:p w:rsidR="00347D5F" w:rsidRDefault="00347D5F" w:rsidP="00347D5F">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347D5F" w:rsidRPr="00AF699A" w:rsidTr="001B56F1">
        <w:tc>
          <w:tcPr>
            <w:tcW w:w="1960" w:type="pct"/>
            <w:tcBorders>
              <w:top w:val="single" w:sz="6" w:space="0" w:color="auto"/>
              <w:bottom w:val="single" w:sz="6" w:space="0" w:color="auto"/>
            </w:tcBorders>
          </w:tcPr>
          <w:p w:rsidR="00347D5F" w:rsidRPr="00AF699A" w:rsidRDefault="00347D5F"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347D5F" w:rsidRPr="00AF699A" w:rsidRDefault="00347D5F"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347D5F" w:rsidRPr="00AF699A" w:rsidRDefault="00347D5F"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347D5F" w:rsidRPr="00AF699A" w:rsidRDefault="00347D5F"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347D5F" w:rsidRPr="00AF699A" w:rsidRDefault="00347D5F"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347D5F" w:rsidRPr="00AF699A" w:rsidRDefault="00347D5F"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347D5F" w:rsidRPr="00AF699A" w:rsidRDefault="00347D5F" w:rsidP="001B56F1">
            <w:pPr>
              <w:pStyle w:val="TableColumnHeading"/>
              <w:ind w:right="28"/>
              <w:rPr>
                <w:rFonts w:cs="Arial"/>
                <w:sz w:val="18"/>
                <w:szCs w:val="18"/>
              </w:rPr>
            </w:pPr>
            <w:r w:rsidRPr="00AF699A">
              <w:rPr>
                <w:rFonts w:cs="Arial"/>
                <w:sz w:val="18"/>
                <w:szCs w:val="18"/>
              </w:rPr>
              <w:t>2011-12</w:t>
            </w:r>
          </w:p>
        </w:tc>
      </w:tr>
      <w:tr w:rsidR="00347D5F" w:rsidRPr="006C5A80" w:rsidTr="001B56F1">
        <w:tc>
          <w:tcPr>
            <w:tcW w:w="1960" w:type="pct"/>
            <w:tcBorders>
              <w:bottom w:val="single" w:sz="4" w:space="0" w:color="auto"/>
            </w:tcBorders>
            <w:vAlign w:val="bottom"/>
          </w:tcPr>
          <w:p w:rsidR="00347D5F" w:rsidRPr="00C944BA" w:rsidRDefault="00347D5F" w:rsidP="001B56F1">
            <w:pPr>
              <w:pStyle w:val="TableBodyText"/>
              <w:jc w:val="left"/>
            </w:pPr>
            <w:r>
              <w:t>Unallocated other</w:t>
            </w:r>
            <w:r w:rsidRPr="00BD3CDA">
              <w:rPr>
                <w:rStyle w:val="NoteLabel"/>
                <w:szCs w:val="18"/>
              </w:rPr>
              <w:t>a</w:t>
            </w:r>
          </w:p>
        </w:tc>
        <w:tc>
          <w:tcPr>
            <w:tcW w:w="507" w:type="pct"/>
            <w:tcBorders>
              <w:bottom w:val="single" w:sz="4" w:space="0" w:color="auto"/>
            </w:tcBorders>
            <w:vAlign w:val="bottom"/>
          </w:tcPr>
          <w:p w:rsidR="00347D5F" w:rsidRPr="00890D73" w:rsidRDefault="00347D5F" w:rsidP="001B56F1">
            <w:pPr>
              <w:pStyle w:val="TableBodyText"/>
            </w:pPr>
            <w:r w:rsidRPr="00890D73">
              <w:t>-30.0</w:t>
            </w:r>
          </w:p>
        </w:tc>
        <w:tc>
          <w:tcPr>
            <w:tcW w:w="507" w:type="pct"/>
            <w:tcBorders>
              <w:bottom w:val="single" w:sz="4" w:space="0" w:color="auto"/>
            </w:tcBorders>
            <w:vAlign w:val="bottom"/>
          </w:tcPr>
          <w:p w:rsidR="00347D5F" w:rsidRPr="00890D73" w:rsidRDefault="00347D5F" w:rsidP="001B56F1">
            <w:pPr>
              <w:pStyle w:val="TableBodyText"/>
            </w:pPr>
            <w:r w:rsidRPr="00890D73">
              <w:t>-120.0</w:t>
            </w:r>
          </w:p>
        </w:tc>
        <w:tc>
          <w:tcPr>
            <w:tcW w:w="507" w:type="pct"/>
            <w:tcBorders>
              <w:bottom w:val="single" w:sz="4" w:space="0" w:color="auto"/>
            </w:tcBorders>
            <w:vAlign w:val="bottom"/>
          </w:tcPr>
          <w:p w:rsidR="00347D5F" w:rsidRPr="00890D73" w:rsidRDefault="00347D5F" w:rsidP="001B56F1">
            <w:pPr>
              <w:pStyle w:val="TableBodyText"/>
            </w:pPr>
            <w:r w:rsidRPr="00890D73">
              <w:t>-140.0</w:t>
            </w:r>
          </w:p>
        </w:tc>
        <w:tc>
          <w:tcPr>
            <w:tcW w:w="507" w:type="pct"/>
            <w:tcBorders>
              <w:bottom w:val="single" w:sz="4" w:space="0" w:color="auto"/>
            </w:tcBorders>
            <w:vAlign w:val="bottom"/>
          </w:tcPr>
          <w:p w:rsidR="00347D5F" w:rsidRPr="00890D73" w:rsidRDefault="00347D5F" w:rsidP="001B56F1">
            <w:pPr>
              <w:pStyle w:val="TableBodyText"/>
            </w:pPr>
            <w:r w:rsidRPr="00890D73">
              <w:t>-170.0</w:t>
            </w:r>
          </w:p>
        </w:tc>
        <w:tc>
          <w:tcPr>
            <w:tcW w:w="507" w:type="pct"/>
            <w:tcBorders>
              <w:bottom w:val="single" w:sz="4" w:space="0" w:color="auto"/>
            </w:tcBorders>
            <w:shd w:val="clear" w:color="auto" w:fill="auto"/>
            <w:vAlign w:val="bottom"/>
          </w:tcPr>
          <w:p w:rsidR="00347D5F" w:rsidRPr="00890D73" w:rsidRDefault="00347D5F" w:rsidP="001B56F1">
            <w:pPr>
              <w:pStyle w:val="TableBodyText"/>
            </w:pPr>
            <w:r w:rsidRPr="00890D73">
              <w:t>-200.0</w:t>
            </w:r>
          </w:p>
        </w:tc>
        <w:tc>
          <w:tcPr>
            <w:tcW w:w="505" w:type="pct"/>
            <w:tcBorders>
              <w:bottom w:val="single" w:sz="4" w:space="0" w:color="auto"/>
            </w:tcBorders>
            <w:shd w:val="clear" w:color="auto" w:fill="auto"/>
            <w:vAlign w:val="bottom"/>
          </w:tcPr>
          <w:p w:rsidR="00347D5F" w:rsidRPr="00890D73" w:rsidRDefault="00347D5F" w:rsidP="001B56F1">
            <w:pPr>
              <w:pStyle w:val="TableBodyText"/>
            </w:pPr>
            <w:r w:rsidRPr="00890D73">
              <w:t>-235.0</w:t>
            </w:r>
          </w:p>
        </w:tc>
      </w:tr>
    </w:tbl>
    <w:p w:rsidR="00347D5F" w:rsidRPr="00F60026" w:rsidRDefault="00347D5F" w:rsidP="00347D5F">
      <w:pPr>
        <w:pStyle w:val="Source"/>
        <w:spacing w:after="0"/>
        <w:rPr>
          <w:i/>
        </w:rPr>
      </w:pPr>
      <w:r w:rsidRPr="009B56F1">
        <w:rPr>
          <w:rStyle w:val="NoteLabel"/>
        </w:rPr>
        <w:t>a</w:t>
      </w:r>
      <w:r w:rsidRPr="009B56F1">
        <w:t xml:space="preserve"> Unallocated includes general programs where detai</w:t>
      </w:r>
      <w:r>
        <w:t>ls of beneficiaries are unknown.</w:t>
      </w:r>
    </w:p>
    <w:p w:rsidR="00347D5F" w:rsidRDefault="00347D5F" w:rsidP="00347D5F">
      <w:pPr>
        <w:pStyle w:val="Source"/>
      </w:pPr>
      <w:r>
        <w:rPr>
          <w:i/>
        </w:rPr>
        <w:t>Source</w:t>
      </w:r>
      <w:r>
        <w:t>: Commission estimates based on Tax Expenditure Statement 2012, Australian Government 2013, p.</w:t>
      </w:r>
      <w:r w:rsidR="0049215B">
        <w:t> </w:t>
      </w:r>
      <w:r>
        <w:t>112, Item B98.</w:t>
      </w:r>
    </w:p>
    <w:p w:rsidR="005D0C25" w:rsidRDefault="00FA09C3" w:rsidP="005D0C25">
      <w:pPr>
        <w:pStyle w:val="Heading2"/>
      </w:pPr>
      <w:r>
        <w:t>A.</w:t>
      </w:r>
      <w:r>
        <w:rPr>
          <w:noProof/>
        </w:rPr>
        <w:t>130</w:t>
      </w:r>
      <w:r w:rsidR="005D0C25">
        <w:tab/>
        <w:t>Automotive Competitiveness and Investment Scheme</w:t>
      </w:r>
    </w:p>
    <w:p w:rsidR="005D0C25" w:rsidRDefault="005D0C25" w:rsidP="005D0C25">
      <w:pPr>
        <w:pStyle w:val="BodyText"/>
      </w:pPr>
      <w:r>
        <w:t xml:space="preserve">The Automotive Competitiveness and Investment Scheme (ACIS) commenced on 1 January 2001 and was initially scheduled to run for </w:t>
      </w:r>
      <w:r w:rsidR="00FA18E2">
        <w:t xml:space="preserve">five </w:t>
      </w:r>
      <w:r>
        <w:t xml:space="preserve">years. </w:t>
      </w:r>
      <w:r w:rsidR="00FA18E2">
        <w:t>T</w:t>
      </w:r>
      <w:r>
        <w:t>he Scheme</w:t>
      </w:r>
      <w:r w:rsidR="00FA18E2">
        <w:t xml:space="preserve"> provided</w:t>
      </w:r>
      <w:r>
        <w:t xml:space="preserve"> import duty credits that </w:t>
      </w:r>
      <w:r w:rsidR="00FA18E2">
        <w:t xml:space="preserve">could </w:t>
      </w:r>
      <w:r>
        <w:t xml:space="preserve">be used to offset customs duty payable on eligible imports. The credits </w:t>
      </w:r>
      <w:r w:rsidR="00FA18E2">
        <w:t xml:space="preserve">could </w:t>
      </w:r>
      <w:r w:rsidR="00080C6D">
        <w:t xml:space="preserve">also </w:t>
      </w:r>
      <w:r>
        <w:t>be sold or transferred.</w:t>
      </w:r>
    </w:p>
    <w:p w:rsidR="00B62655" w:rsidRDefault="005D0C25" w:rsidP="00B62655">
      <w:pPr>
        <w:pStyle w:val="BodyText"/>
      </w:pPr>
      <w:r>
        <w:t xml:space="preserve">The estimated value of ACIS assistance is sourced from the annual report of the Department of Innovation, Industry, Science and Research (DIISR). The ACIS ended on 31 December 2010 with the commencement of the Automotive Transformation Scheme (ATS) under A New Car Plan for a Greener Future </w:t>
      </w:r>
      <w:r w:rsidRPr="00DD3B0A">
        <w:t>(</w:t>
      </w:r>
      <w:r w:rsidRPr="00C305B5">
        <w:t>Carr 2008a</w:t>
      </w:r>
      <w:r w:rsidRPr="00DD3B0A">
        <w:t>)</w:t>
      </w:r>
      <w:r>
        <w:t xml:space="preserve">. The full value of the concession is classified to the </w:t>
      </w:r>
      <w:r w:rsidRPr="008D3CF8">
        <w:rPr>
          <w:i/>
        </w:rPr>
        <w:t xml:space="preserve">Motor vehicle </w:t>
      </w:r>
      <w:r>
        <w:rPr>
          <w:i/>
        </w:rPr>
        <w:t>and</w:t>
      </w:r>
      <w:r w:rsidRPr="008D3CF8">
        <w:rPr>
          <w:i/>
        </w:rPr>
        <w:t xml:space="preserve"> parts</w:t>
      </w:r>
      <w:r>
        <w:t xml:space="preserve"> industry (table A.1</w:t>
      </w:r>
      <w:r w:rsidR="00C065C1">
        <w:t>30</w:t>
      </w:r>
      <w:r>
        <w:t>).</w:t>
      </w:r>
      <w:r w:rsidR="00B62655">
        <w:t xml:space="preserve"> </w:t>
      </w:r>
    </w:p>
    <w:p w:rsidR="005D0C25" w:rsidRDefault="005D0C25" w:rsidP="005D0C25">
      <w:pPr>
        <w:pStyle w:val="TableTitle"/>
      </w:pPr>
      <w:r>
        <w:rPr>
          <w:b w:val="0"/>
        </w:rPr>
        <w:t xml:space="preserve">Table </w:t>
      </w:r>
      <w:r w:rsidR="00FA09C3">
        <w:rPr>
          <w:b w:val="0"/>
        </w:rPr>
        <w:t>A.</w:t>
      </w:r>
      <w:r w:rsidR="00FA09C3">
        <w:rPr>
          <w:b w:val="0"/>
          <w:noProof/>
        </w:rPr>
        <w:t>130</w:t>
      </w:r>
      <w:r>
        <w:tab/>
        <w:t xml:space="preserve">Allocation of Automotive Competitiveness and Investment Scheme </w:t>
      </w:r>
      <w:r w:rsidR="00B6795B" w:rsidRPr="00B6795B">
        <w:t>to industry</w:t>
      </w:r>
      <w:r>
        <w:t>, 2006</w:t>
      </w:r>
      <w:r>
        <w:noBreakHyphen/>
        <w:t>07 to 2011</w:t>
      </w:r>
      <w:r>
        <w:noBreakHyphen/>
        <w:t>12</w:t>
      </w:r>
    </w:p>
    <w:p w:rsidR="005D0C25" w:rsidRDefault="005D0C25" w:rsidP="005D0C25">
      <w:pPr>
        <w:pStyle w:val="Subtitle"/>
      </w:pPr>
      <w:r>
        <w:t>$ million (nominal)</w:t>
      </w:r>
    </w:p>
    <w:tbl>
      <w:tblPr>
        <w:tblW w:w="5000" w:type="pct"/>
        <w:tblCellMar>
          <w:left w:w="0" w:type="dxa"/>
          <w:right w:w="0" w:type="dxa"/>
        </w:tblCellMar>
        <w:tblLook w:val="0000" w:firstRow="0" w:lastRow="0" w:firstColumn="0" w:lastColumn="0" w:noHBand="0" w:noVBand="0"/>
      </w:tblPr>
      <w:tblGrid>
        <w:gridCol w:w="3445"/>
        <w:gridCol w:w="891"/>
        <w:gridCol w:w="891"/>
        <w:gridCol w:w="891"/>
        <w:gridCol w:w="891"/>
        <w:gridCol w:w="891"/>
        <w:gridCol w:w="889"/>
      </w:tblGrid>
      <w:tr w:rsidR="005D0C25" w:rsidRPr="00AF699A" w:rsidTr="001B56F1">
        <w:tc>
          <w:tcPr>
            <w:tcW w:w="1959" w:type="pct"/>
            <w:tcBorders>
              <w:top w:val="single" w:sz="6" w:space="0" w:color="auto"/>
              <w:bottom w:val="single" w:sz="6" w:space="0" w:color="auto"/>
            </w:tcBorders>
          </w:tcPr>
          <w:p w:rsidR="005D0C25" w:rsidRPr="00AF699A" w:rsidRDefault="005D0C25"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5D0C25" w:rsidRPr="00AF699A" w:rsidRDefault="005D0C25"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5D0C25" w:rsidRPr="00AF699A" w:rsidRDefault="005D0C25"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5D0C25" w:rsidRPr="00AF699A" w:rsidRDefault="005D0C25"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5D0C25" w:rsidRPr="00AF699A" w:rsidRDefault="005D0C25"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5D0C25" w:rsidRPr="00AF699A" w:rsidRDefault="005D0C25" w:rsidP="001B56F1">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5D0C25" w:rsidRPr="00AF699A" w:rsidRDefault="005D0C25" w:rsidP="001B56F1">
            <w:pPr>
              <w:pStyle w:val="TableColumnHeading"/>
              <w:ind w:right="28"/>
              <w:rPr>
                <w:rFonts w:cs="Arial"/>
                <w:sz w:val="18"/>
                <w:szCs w:val="18"/>
              </w:rPr>
            </w:pPr>
            <w:r w:rsidRPr="00AF699A">
              <w:rPr>
                <w:rFonts w:cs="Arial"/>
                <w:sz w:val="18"/>
                <w:szCs w:val="18"/>
              </w:rPr>
              <w:t>2011-12</w:t>
            </w:r>
          </w:p>
        </w:tc>
      </w:tr>
      <w:tr w:rsidR="005D0C25" w:rsidRPr="006C5A80" w:rsidTr="001B56F1">
        <w:tc>
          <w:tcPr>
            <w:tcW w:w="1959" w:type="pct"/>
            <w:tcBorders>
              <w:bottom w:val="single" w:sz="4" w:space="0" w:color="auto"/>
            </w:tcBorders>
            <w:vAlign w:val="bottom"/>
          </w:tcPr>
          <w:p w:rsidR="005D0C25" w:rsidRPr="00144B0B" w:rsidRDefault="005D0C25" w:rsidP="001B56F1">
            <w:pPr>
              <w:pStyle w:val="TableBodyText"/>
              <w:jc w:val="left"/>
            </w:pPr>
            <w:r w:rsidRPr="00144B0B">
              <w:t>Motor vehicle and parts</w:t>
            </w:r>
          </w:p>
        </w:tc>
        <w:tc>
          <w:tcPr>
            <w:tcW w:w="507" w:type="pct"/>
            <w:tcBorders>
              <w:bottom w:val="single" w:sz="4" w:space="0" w:color="auto"/>
            </w:tcBorders>
            <w:vAlign w:val="bottom"/>
          </w:tcPr>
          <w:p w:rsidR="005D0C25" w:rsidRPr="00144B0B" w:rsidRDefault="005D0C25" w:rsidP="001B56F1">
            <w:pPr>
              <w:pStyle w:val="TableBodyText"/>
            </w:pPr>
            <w:r w:rsidRPr="00144B0B">
              <w:t>537.0</w:t>
            </w:r>
          </w:p>
        </w:tc>
        <w:tc>
          <w:tcPr>
            <w:tcW w:w="507" w:type="pct"/>
            <w:tcBorders>
              <w:bottom w:val="single" w:sz="4" w:space="0" w:color="auto"/>
            </w:tcBorders>
            <w:vAlign w:val="bottom"/>
          </w:tcPr>
          <w:p w:rsidR="005D0C25" w:rsidRPr="00144B0B" w:rsidRDefault="005D0C25" w:rsidP="001B56F1">
            <w:pPr>
              <w:pStyle w:val="TableBodyText"/>
            </w:pPr>
            <w:r w:rsidRPr="00144B0B">
              <w:t>506.9</w:t>
            </w:r>
          </w:p>
        </w:tc>
        <w:tc>
          <w:tcPr>
            <w:tcW w:w="507" w:type="pct"/>
            <w:tcBorders>
              <w:bottom w:val="single" w:sz="4" w:space="0" w:color="auto"/>
            </w:tcBorders>
            <w:vAlign w:val="bottom"/>
          </w:tcPr>
          <w:p w:rsidR="005D0C25" w:rsidRPr="00144B0B" w:rsidRDefault="005D0C25" w:rsidP="001B56F1">
            <w:pPr>
              <w:pStyle w:val="TableBodyText"/>
            </w:pPr>
            <w:r w:rsidRPr="00144B0B">
              <w:t>479.1</w:t>
            </w:r>
          </w:p>
        </w:tc>
        <w:tc>
          <w:tcPr>
            <w:tcW w:w="507" w:type="pct"/>
            <w:tcBorders>
              <w:bottom w:val="single" w:sz="4" w:space="0" w:color="auto"/>
            </w:tcBorders>
            <w:vAlign w:val="bottom"/>
          </w:tcPr>
          <w:p w:rsidR="005D0C25" w:rsidRPr="00144B0B" w:rsidRDefault="005D0C25" w:rsidP="001B56F1">
            <w:pPr>
              <w:pStyle w:val="TableBodyText"/>
            </w:pPr>
            <w:r w:rsidRPr="00144B0B">
              <w:t>520.9</w:t>
            </w:r>
          </w:p>
        </w:tc>
        <w:tc>
          <w:tcPr>
            <w:tcW w:w="507" w:type="pct"/>
            <w:tcBorders>
              <w:bottom w:val="single" w:sz="4" w:space="0" w:color="auto"/>
            </w:tcBorders>
            <w:shd w:val="clear" w:color="auto" w:fill="auto"/>
            <w:vAlign w:val="bottom"/>
          </w:tcPr>
          <w:p w:rsidR="005D0C25" w:rsidRPr="00144B0B" w:rsidRDefault="005D0C25" w:rsidP="001B56F1">
            <w:pPr>
              <w:pStyle w:val="TableBodyText"/>
            </w:pPr>
            <w:r w:rsidRPr="00144B0B">
              <w:t>282.7</w:t>
            </w:r>
          </w:p>
        </w:tc>
        <w:tc>
          <w:tcPr>
            <w:tcW w:w="507" w:type="pct"/>
            <w:tcBorders>
              <w:bottom w:val="single" w:sz="4" w:space="0" w:color="auto"/>
            </w:tcBorders>
            <w:shd w:val="clear" w:color="auto" w:fill="auto"/>
            <w:vAlign w:val="bottom"/>
          </w:tcPr>
          <w:p w:rsidR="005D0C25" w:rsidRPr="00144B0B" w:rsidRDefault="005D0C25" w:rsidP="001B56F1">
            <w:pPr>
              <w:pStyle w:val="TableBodyText"/>
            </w:pPr>
            <w:r w:rsidRPr="00144B0B">
              <w:noBreakHyphen/>
            </w:r>
          </w:p>
        </w:tc>
      </w:tr>
    </w:tbl>
    <w:p w:rsidR="005D0C25" w:rsidRDefault="005D0C25" w:rsidP="005D0C25">
      <w:pPr>
        <w:pStyle w:val="Source"/>
        <w:spacing w:after="0"/>
        <w:rPr>
          <w:i/>
        </w:rPr>
      </w:pPr>
      <w:r>
        <w:t>– Nil.</w:t>
      </w:r>
    </w:p>
    <w:p w:rsidR="005D0C25" w:rsidRDefault="005D0C25" w:rsidP="005D0C25">
      <w:pPr>
        <w:pStyle w:val="Source"/>
      </w:pPr>
      <w:r>
        <w:rPr>
          <w:i/>
        </w:rPr>
        <w:t>Source</w:t>
      </w:r>
      <w:r>
        <w:t>: Commission estimates based on DIISR Annual Report 2010</w:t>
      </w:r>
      <w:r>
        <w:noBreakHyphen/>
        <w:t>11 (and earlier years).</w:t>
      </w:r>
    </w:p>
    <w:p w:rsidR="005D0C25" w:rsidRDefault="00FA09C3" w:rsidP="005D0C25">
      <w:pPr>
        <w:pStyle w:val="Heading2"/>
      </w:pPr>
      <w:r>
        <w:t>A.</w:t>
      </w:r>
      <w:r>
        <w:rPr>
          <w:noProof/>
        </w:rPr>
        <w:t>131</w:t>
      </w:r>
      <w:r w:rsidR="005D0C25">
        <w:tab/>
      </w:r>
      <w:r w:rsidR="00C705B7">
        <w:t xml:space="preserve">Textile, Clothing and Footwear </w:t>
      </w:r>
      <w:r w:rsidR="005D0C25">
        <w:t>Strategic Investment Program Scheme – Post 2005</w:t>
      </w:r>
    </w:p>
    <w:p w:rsidR="005D0C25" w:rsidRDefault="005D0C25" w:rsidP="005D0C25">
      <w:pPr>
        <w:pStyle w:val="BodyText"/>
      </w:pPr>
      <w:r>
        <w:t xml:space="preserve">The </w:t>
      </w:r>
      <w:r w:rsidR="00C705B7">
        <w:t>Textile, Clothing and Footwear (</w:t>
      </w:r>
      <w:r>
        <w:t>TCF</w:t>
      </w:r>
      <w:r w:rsidR="00C705B7">
        <w:t>)</w:t>
      </w:r>
      <w:r>
        <w:t xml:space="preserve"> Post-2005 Strategic Investment Program (SIP) Scheme was introduced by the Australian Government in 2005</w:t>
      </w:r>
      <w:r>
        <w:noBreakHyphen/>
        <w:t>06. The Government’s intention for the scheme was to foster the development of a sustainable and internationally competitive TCF manufacturing and design industry in Australia through the provision of incentives to promote investment and innovation. The scheme provides incentives in the form of grants, paid annually and in arrears, for investment and innovation activities.</w:t>
      </w:r>
    </w:p>
    <w:p w:rsidR="005D0C25" w:rsidRDefault="005D0C25" w:rsidP="005D0C25">
      <w:pPr>
        <w:pStyle w:val="BodyText"/>
      </w:pPr>
      <w:r w:rsidRPr="00224DF6">
        <w:t>The SIP closed on 30</w:t>
      </w:r>
      <w:r>
        <w:t> </w:t>
      </w:r>
      <w:r w:rsidRPr="00224DF6">
        <w:t>June</w:t>
      </w:r>
      <w:r>
        <w:t> </w:t>
      </w:r>
      <w:r w:rsidRPr="00224DF6">
        <w:t xml:space="preserve">2010 </w:t>
      </w:r>
      <w:r w:rsidRPr="000138D9">
        <w:t>(</w:t>
      </w:r>
      <w:r w:rsidRPr="00C305B5">
        <w:t>DIISR 2011</w:t>
      </w:r>
      <w:r w:rsidRPr="000138D9">
        <w:t>)</w:t>
      </w:r>
      <w:r w:rsidRPr="00224DF6">
        <w:t xml:space="preserve"> and was replaced by the Clothing and Household Textile (Building Innovative Capability) scheme in 2010</w:t>
      </w:r>
      <w:r>
        <w:noBreakHyphen/>
      </w:r>
      <w:r w:rsidRPr="00224DF6">
        <w:t>11. Not all activities assisted under the SIP, however, are eligible under the new scheme.</w:t>
      </w:r>
    </w:p>
    <w:p w:rsidR="005D0C25" w:rsidRDefault="005D0C25" w:rsidP="005D0C25">
      <w:pPr>
        <w:pStyle w:val="BodyText"/>
      </w:pPr>
      <w:r>
        <w:t>The SIP selectively benefits textiles, clothing and footwear activities and has been allocated under the Commission’s ANZSIC-based industry classification to the textiles, clothing and footwear industry grouping (table A.13</w:t>
      </w:r>
      <w:r w:rsidR="00C065C1">
        <w:t>1</w:t>
      </w:r>
      <w:r>
        <w:t>).</w:t>
      </w:r>
    </w:p>
    <w:p w:rsidR="005D0C25" w:rsidRDefault="005D0C25" w:rsidP="005D0C25">
      <w:pPr>
        <w:pStyle w:val="TableTitle"/>
      </w:pPr>
      <w:r>
        <w:rPr>
          <w:b w:val="0"/>
        </w:rPr>
        <w:t xml:space="preserve">Table </w:t>
      </w:r>
      <w:r w:rsidR="00FA09C3">
        <w:rPr>
          <w:b w:val="0"/>
        </w:rPr>
        <w:t>A.</w:t>
      </w:r>
      <w:r w:rsidR="00FA09C3">
        <w:rPr>
          <w:b w:val="0"/>
          <w:noProof/>
        </w:rPr>
        <w:t>131</w:t>
      </w:r>
      <w:r>
        <w:tab/>
        <w:t xml:space="preserve">Allocation of </w:t>
      </w:r>
      <w:r w:rsidR="00C705B7">
        <w:t xml:space="preserve">Textile, Clothing and Footwear </w:t>
      </w:r>
      <w:r>
        <w:t>Strategic Investment Program Scheme – Post 2005</w:t>
      </w:r>
      <w:r w:rsidR="00B6795B" w:rsidRPr="00B6795B">
        <w:t xml:space="preserve"> to industry</w:t>
      </w:r>
      <w:r>
        <w:t>, 2006</w:t>
      </w:r>
      <w:r>
        <w:noBreakHyphen/>
        <w:t>07 to 2011</w:t>
      </w:r>
      <w:r>
        <w:noBreakHyphen/>
        <w:t>12</w:t>
      </w:r>
    </w:p>
    <w:p w:rsidR="005D0C25" w:rsidRDefault="005D0C25" w:rsidP="005D0C25">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5D0C25" w:rsidRPr="00AF699A" w:rsidTr="001B56F1">
        <w:tc>
          <w:tcPr>
            <w:tcW w:w="1960" w:type="pct"/>
            <w:tcBorders>
              <w:top w:val="single" w:sz="6" w:space="0" w:color="auto"/>
              <w:bottom w:val="single" w:sz="6" w:space="0" w:color="auto"/>
            </w:tcBorders>
          </w:tcPr>
          <w:p w:rsidR="005D0C25" w:rsidRPr="00AF699A" w:rsidRDefault="005D0C25"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5D0C25" w:rsidRPr="00AF699A" w:rsidRDefault="005D0C25"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5D0C25" w:rsidRPr="00AF699A" w:rsidRDefault="005D0C25"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5D0C25" w:rsidRPr="00AF699A" w:rsidRDefault="005D0C25"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5D0C25" w:rsidRPr="00AF699A" w:rsidRDefault="005D0C25"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5D0C25" w:rsidRPr="00AF699A" w:rsidRDefault="005D0C25"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5D0C25" w:rsidRPr="00AF699A" w:rsidRDefault="005D0C25" w:rsidP="001B56F1">
            <w:pPr>
              <w:pStyle w:val="TableColumnHeading"/>
              <w:ind w:right="28"/>
              <w:rPr>
                <w:rFonts w:cs="Arial"/>
                <w:sz w:val="18"/>
                <w:szCs w:val="18"/>
              </w:rPr>
            </w:pPr>
            <w:r w:rsidRPr="00AF699A">
              <w:rPr>
                <w:rFonts w:cs="Arial"/>
                <w:sz w:val="18"/>
                <w:szCs w:val="18"/>
              </w:rPr>
              <w:t>2011-12</w:t>
            </w:r>
          </w:p>
        </w:tc>
      </w:tr>
      <w:tr w:rsidR="005D0C25" w:rsidRPr="006C5A80" w:rsidTr="001B56F1">
        <w:tc>
          <w:tcPr>
            <w:tcW w:w="1960" w:type="pct"/>
            <w:tcBorders>
              <w:bottom w:val="single" w:sz="4" w:space="0" w:color="auto"/>
            </w:tcBorders>
            <w:vAlign w:val="bottom"/>
          </w:tcPr>
          <w:p w:rsidR="005D0C25" w:rsidRPr="00C944BA" w:rsidRDefault="005D0C25" w:rsidP="001B56F1">
            <w:pPr>
              <w:pStyle w:val="TableBodyText"/>
              <w:jc w:val="left"/>
            </w:pPr>
            <w:r>
              <w:t>Textile, leather, clothing and footwear</w:t>
            </w:r>
          </w:p>
        </w:tc>
        <w:tc>
          <w:tcPr>
            <w:tcW w:w="507" w:type="pct"/>
            <w:tcBorders>
              <w:bottom w:val="single" w:sz="4" w:space="0" w:color="auto"/>
            </w:tcBorders>
            <w:vAlign w:val="bottom"/>
          </w:tcPr>
          <w:p w:rsidR="005D0C25" w:rsidRDefault="005D0C25" w:rsidP="001B56F1">
            <w:pPr>
              <w:pStyle w:val="TableBodyText"/>
            </w:pPr>
            <w:r>
              <w:t>96.2</w:t>
            </w:r>
          </w:p>
        </w:tc>
        <w:tc>
          <w:tcPr>
            <w:tcW w:w="507" w:type="pct"/>
            <w:tcBorders>
              <w:bottom w:val="single" w:sz="4" w:space="0" w:color="auto"/>
            </w:tcBorders>
            <w:vAlign w:val="bottom"/>
          </w:tcPr>
          <w:p w:rsidR="005D0C25" w:rsidRDefault="005D0C25" w:rsidP="001B56F1">
            <w:pPr>
              <w:pStyle w:val="TableBodyText"/>
            </w:pPr>
            <w:r>
              <w:t>97.4</w:t>
            </w:r>
          </w:p>
        </w:tc>
        <w:tc>
          <w:tcPr>
            <w:tcW w:w="507" w:type="pct"/>
            <w:tcBorders>
              <w:bottom w:val="single" w:sz="4" w:space="0" w:color="auto"/>
            </w:tcBorders>
            <w:vAlign w:val="bottom"/>
          </w:tcPr>
          <w:p w:rsidR="005D0C25" w:rsidRDefault="005D0C25" w:rsidP="001B56F1">
            <w:pPr>
              <w:pStyle w:val="TableBodyText"/>
            </w:pPr>
            <w:r>
              <w:t>96.5</w:t>
            </w:r>
          </w:p>
        </w:tc>
        <w:tc>
          <w:tcPr>
            <w:tcW w:w="507" w:type="pct"/>
            <w:tcBorders>
              <w:bottom w:val="single" w:sz="4" w:space="0" w:color="auto"/>
            </w:tcBorders>
            <w:vAlign w:val="bottom"/>
          </w:tcPr>
          <w:p w:rsidR="005D0C25" w:rsidRDefault="005D0C25" w:rsidP="001B56F1">
            <w:pPr>
              <w:pStyle w:val="TableBodyText"/>
            </w:pPr>
            <w:r>
              <w:t>98.5</w:t>
            </w:r>
          </w:p>
        </w:tc>
        <w:tc>
          <w:tcPr>
            <w:tcW w:w="507" w:type="pct"/>
            <w:tcBorders>
              <w:bottom w:val="single" w:sz="4" w:space="0" w:color="auto"/>
            </w:tcBorders>
            <w:shd w:val="clear" w:color="auto" w:fill="auto"/>
            <w:vAlign w:val="bottom"/>
          </w:tcPr>
          <w:p w:rsidR="005D0C25" w:rsidRDefault="005D0C25" w:rsidP="001B56F1">
            <w:pPr>
              <w:pStyle w:val="TableBodyText"/>
            </w:pPr>
            <w:r>
              <w:t>99.2</w:t>
            </w:r>
          </w:p>
        </w:tc>
        <w:tc>
          <w:tcPr>
            <w:tcW w:w="505" w:type="pct"/>
            <w:tcBorders>
              <w:bottom w:val="single" w:sz="4" w:space="0" w:color="auto"/>
            </w:tcBorders>
            <w:shd w:val="clear" w:color="auto" w:fill="auto"/>
            <w:vAlign w:val="bottom"/>
          </w:tcPr>
          <w:p w:rsidR="005D0C25" w:rsidRDefault="005D0C25" w:rsidP="001B56F1">
            <w:pPr>
              <w:pStyle w:val="TableBodyText"/>
            </w:pPr>
            <w:r>
              <w:noBreakHyphen/>
            </w:r>
          </w:p>
        </w:tc>
      </w:tr>
    </w:tbl>
    <w:p w:rsidR="005D0C25" w:rsidRDefault="005D0C25" w:rsidP="005D0C25">
      <w:pPr>
        <w:pStyle w:val="Note"/>
      </w:pPr>
      <w:r w:rsidRPr="00A2379F">
        <w:noBreakHyphen/>
        <w:t xml:space="preserve"> </w:t>
      </w:r>
      <w:r>
        <w:t>Nil</w:t>
      </w:r>
      <w:r w:rsidRPr="00A2379F">
        <w:t>.</w:t>
      </w:r>
    </w:p>
    <w:p w:rsidR="005D0C25" w:rsidRDefault="005D0C25" w:rsidP="005D0C25">
      <w:pPr>
        <w:pStyle w:val="Source"/>
      </w:pPr>
      <w:r>
        <w:rPr>
          <w:i/>
        </w:rPr>
        <w:t>Source</w:t>
      </w:r>
      <w:r>
        <w:t>: Commission estimates based on DIISR Annual Report 2010-11 (and earlier years).</w:t>
      </w:r>
    </w:p>
    <w:p w:rsidR="00CC78E1" w:rsidRPr="00CC78E1" w:rsidRDefault="00CC78E1" w:rsidP="00CC78E1">
      <w:pPr>
        <w:pStyle w:val="Source"/>
      </w:pPr>
      <w:r>
        <w:br w:type="page"/>
      </w:r>
    </w:p>
    <w:p w:rsidR="0016686F" w:rsidRDefault="00FA09C3" w:rsidP="0016686F">
      <w:pPr>
        <w:pStyle w:val="Heading2"/>
      </w:pPr>
      <w:r>
        <w:t>A.</w:t>
      </w:r>
      <w:r>
        <w:rPr>
          <w:noProof/>
        </w:rPr>
        <w:t>132</w:t>
      </w:r>
      <w:r w:rsidR="0016686F">
        <w:tab/>
        <w:t>Insulation Industry Assistance Package</w:t>
      </w:r>
    </w:p>
    <w:p w:rsidR="0016686F" w:rsidRDefault="0016686F" w:rsidP="0016686F">
      <w:pPr>
        <w:pStyle w:val="BodyText"/>
      </w:pPr>
      <w:r w:rsidRPr="00601A2C">
        <w:t>Formed as part of the Australian Government’s Home Insulation Safety Plan (HISP), t</w:t>
      </w:r>
      <w:r>
        <w:t xml:space="preserve">he Insulation Industry Assistance Package (IIAP) </w:t>
      </w:r>
      <w:r w:rsidRPr="00601A2C">
        <w:t>provided financial assistance for ceiling insulation businesses including manufacturers, distributors, importers and installers adversely affected by the termination of the Home Insulation Program</w:t>
      </w:r>
      <w:r>
        <w:t xml:space="preserve"> </w:t>
      </w:r>
      <w:r w:rsidRPr="002F5C9C">
        <w:t>(</w:t>
      </w:r>
      <w:r w:rsidRPr="00C305B5">
        <w:t>DIISR 2011</w:t>
      </w:r>
      <w:r w:rsidRPr="002F5C9C">
        <w:t>)</w:t>
      </w:r>
      <w:r w:rsidRPr="00601A2C">
        <w:t>.</w:t>
      </w:r>
    </w:p>
    <w:p w:rsidR="0016686F" w:rsidRDefault="0016686F" w:rsidP="0016686F">
      <w:pPr>
        <w:pStyle w:val="BodyText"/>
      </w:pPr>
      <w:r>
        <w:t>I</w:t>
      </w:r>
      <w:r w:rsidRPr="00433F91">
        <w:t xml:space="preserve">nformation on the industry incidence </w:t>
      </w:r>
      <w:r>
        <w:t xml:space="preserve">of the </w:t>
      </w:r>
      <w:r w:rsidR="00664EE6">
        <w:t>package</w:t>
      </w:r>
      <w:r w:rsidR="00664EE6" w:rsidRPr="00433F91">
        <w:t xml:space="preserve"> </w:t>
      </w:r>
      <w:r>
        <w:t>has not been readily available. Accordingly, the budget outlay has been</w:t>
      </w:r>
      <w:r w:rsidRPr="00433F91">
        <w:t xml:space="preserve"> </w:t>
      </w:r>
      <w:r>
        <w:t>classifi</w:t>
      </w:r>
      <w:r w:rsidRPr="00433F91">
        <w:t xml:space="preserve">ed to the </w:t>
      </w:r>
      <w:r w:rsidRPr="00433F91">
        <w:rPr>
          <w:i/>
        </w:rPr>
        <w:t>Unallocated other</w:t>
      </w:r>
      <w:r w:rsidRPr="00433F91">
        <w:t xml:space="preserve"> industry grouping </w:t>
      </w:r>
      <w:r>
        <w:t xml:space="preserve">in the Commission’s ANZSIC-based classification </w:t>
      </w:r>
      <w:r w:rsidRPr="00433F91">
        <w:t>(table A.</w:t>
      </w:r>
      <w:r>
        <w:t>13</w:t>
      </w:r>
      <w:r w:rsidR="00C065C1">
        <w:t>2</w:t>
      </w:r>
      <w:r w:rsidRPr="00433F91">
        <w:t>).</w:t>
      </w:r>
    </w:p>
    <w:p w:rsidR="0016686F" w:rsidRDefault="0016686F" w:rsidP="0016686F">
      <w:pPr>
        <w:pStyle w:val="TableTitle"/>
      </w:pPr>
      <w:r>
        <w:rPr>
          <w:b w:val="0"/>
        </w:rPr>
        <w:t xml:space="preserve">Table </w:t>
      </w:r>
      <w:r w:rsidR="00FA09C3">
        <w:rPr>
          <w:b w:val="0"/>
        </w:rPr>
        <w:t>A.</w:t>
      </w:r>
      <w:r w:rsidR="00FA09C3">
        <w:rPr>
          <w:b w:val="0"/>
          <w:noProof/>
        </w:rPr>
        <w:t>132</w:t>
      </w:r>
      <w:r>
        <w:tab/>
        <w:t>Allocation of Insulation Industry Assistance Package</w:t>
      </w:r>
      <w:r w:rsidR="00B6795B" w:rsidRPr="00B6795B">
        <w:t xml:space="preserve"> to industry</w:t>
      </w:r>
      <w:r>
        <w:t>, 2006</w:t>
      </w:r>
      <w:r>
        <w:noBreakHyphen/>
        <w:t>07 to 2011</w:t>
      </w:r>
      <w:r>
        <w:noBreakHyphen/>
        <w:t>12</w:t>
      </w:r>
    </w:p>
    <w:p w:rsidR="0016686F" w:rsidRDefault="0016686F" w:rsidP="0016686F">
      <w:pPr>
        <w:pStyle w:val="Subtitle"/>
      </w:pPr>
      <w:r>
        <w:t>$</w:t>
      </w:r>
      <w:r w:rsidR="00664EE6">
        <w:t xml:space="preserve"> </w:t>
      </w:r>
      <w:r>
        <w:t>million (nominal)</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16686F" w:rsidRPr="00AF699A" w:rsidTr="00CB219A">
        <w:trPr>
          <w:trHeight w:val="340"/>
        </w:trPr>
        <w:tc>
          <w:tcPr>
            <w:tcW w:w="1958" w:type="pct"/>
            <w:tcBorders>
              <w:top w:val="single" w:sz="6" w:space="0" w:color="auto"/>
              <w:bottom w:val="single" w:sz="6" w:space="0" w:color="auto"/>
            </w:tcBorders>
          </w:tcPr>
          <w:p w:rsidR="0016686F" w:rsidRPr="00AF699A" w:rsidRDefault="0016686F"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16686F" w:rsidRPr="00AF699A" w:rsidRDefault="0016686F"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16686F" w:rsidRPr="00AF699A" w:rsidRDefault="0016686F"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16686F" w:rsidRPr="00AF699A" w:rsidRDefault="0016686F"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16686F" w:rsidRPr="00AF699A" w:rsidRDefault="0016686F"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16686F" w:rsidRPr="00AF699A" w:rsidRDefault="0016686F" w:rsidP="001B56F1">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16686F" w:rsidRPr="00AF699A" w:rsidRDefault="0016686F" w:rsidP="001B56F1">
            <w:pPr>
              <w:pStyle w:val="TableColumnHeading"/>
              <w:ind w:right="28"/>
              <w:rPr>
                <w:rFonts w:cs="Arial"/>
                <w:sz w:val="18"/>
                <w:szCs w:val="18"/>
              </w:rPr>
            </w:pPr>
            <w:r w:rsidRPr="00AF699A">
              <w:rPr>
                <w:rFonts w:cs="Arial"/>
                <w:sz w:val="18"/>
                <w:szCs w:val="18"/>
              </w:rPr>
              <w:t>2011-12</w:t>
            </w:r>
          </w:p>
        </w:tc>
      </w:tr>
      <w:tr w:rsidR="0016686F" w:rsidRPr="00F238EC" w:rsidTr="001B56F1">
        <w:tc>
          <w:tcPr>
            <w:tcW w:w="1958" w:type="pct"/>
            <w:tcBorders>
              <w:bottom w:val="single" w:sz="4" w:space="0" w:color="auto"/>
            </w:tcBorders>
            <w:vAlign w:val="bottom"/>
          </w:tcPr>
          <w:p w:rsidR="0016686F" w:rsidRDefault="0016686F" w:rsidP="001B56F1">
            <w:pPr>
              <w:pStyle w:val="TableBodyText"/>
              <w:jc w:val="left"/>
            </w:pPr>
            <w:r>
              <w:t>Unallocated other</w:t>
            </w:r>
            <w:r w:rsidRPr="00BD3CDA">
              <w:rPr>
                <w:rStyle w:val="NoteLabel"/>
                <w:szCs w:val="18"/>
              </w:rPr>
              <w:t>a</w:t>
            </w:r>
          </w:p>
        </w:tc>
        <w:tc>
          <w:tcPr>
            <w:tcW w:w="507" w:type="pct"/>
            <w:tcBorders>
              <w:bottom w:val="single" w:sz="4" w:space="0" w:color="auto"/>
            </w:tcBorders>
            <w:vAlign w:val="bottom"/>
          </w:tcPr>
          <w:p w:rsidR="0016686F" w:rsidRDefault="0016686F" w:rsidP="001B56F1">
            <w:pPr>
              <w:pStyle w:val="TableBodyText"/>
            </w:pPr>
            <w:r>
              <w:noBreakHyphen/>
            </w:r>
          </w:p>
        </w:tc>
        <w:tc>
          <w:tcPr>
            <w:tcW w:w="507" w:type="pct"/>
            <w:tcBorders>
              <w:bottom w:val="single" w:sz="4" w:space="0" w:color="auto"/>
            </w:tcBorders>
            <w:vAlign w:val="bottom"/>
          </w:tcPr>
          <w:p w:rsidR="0016686F" w:rsidRDefault="0016686F" w:rsidP="001B56F1">
            <w:pPr>
              <w:pStyle w:val="TableBodyText"/>
            </w:pPr>
            <w:r>
              <w:noBreakHyphen/>
            </w:r>
          </w:p>
        </w:tc>
        <w:tc>
          <w:tcPr>
            <w:tcW w:w="507" w:type="pct"/>
            <w:tcBorders>
              <w:bottom w:val="single" w:sz="4" w:space="0" w:color="auto"/>
            </w:tcBorders>
            <w:vAlign w:val="bottom"/>
          </w:tcPr>
          <w:p w:rsidR="0016686F" w:rsidRDefault="0016686F" w:rsidP="001B56F1">
            <w:pPr>
              <w:pStyle w:val="TableBodyText"/>
            </w:pPr>
            <w:r>
              <w:noBreakHyphen/>
            </w:r>
          </w:p>
        </w:tc>
        <w:tc>
          <w:tcPr>
            <w:tcW w:w="507" w:type="pct"/>
            <w:tcBorders>
              <w:bottom w:val="single" w:sz="4" w:space="0" w:color="auto"/>
            </w:tcBorders>
            <w:vAlign w:val="bottom"/>
          </w:tcPr>
          <w:p w:rsidR="0016686F" w:rsidRDefault="0016686F" w:rsidP="001B56F1">
            <w:pPr>
              <w:pStyle w:val="TableBodyText"/>
            </w:pPr>
            <w:r>
              <w:noBreakHyphen/>
            </w:r>
          </w:p>
        </w:tc>
        <w:tc>
          <w:tcPr>
            <w:tcW w:w="507" w:type="pct"/>
            <w:tcBorders>
              <w:bottom w:val="single" w:sz="4" w:space="0" w:color="auto"/>
            </w:tcBorders>
            <w:shd w:val="clear" w:color="auto" w:fill="auto"/>
            <w:vAlign w:val="bottom"/>
          </w:tcPr>
          <w:p w:rsidR="0016686F" w:rsidRDefault="0016686F" w:rsidP="001B56F1">
            <w:pPr>
              <w:pStyle w:val="TableBodyText"/>
            </w:pPr>
            <w:r>
              <w:t>22.9</w:t>
            </w:r>
          </w:p>
        </w:tc>
        <w:tc>
          <w:tcPr>
            <w:tcW w:w="507" w:type="pct"/>
            <w:tcBorders>
              <w:bottom w:val="single" w:sz="4" w:space="0" w:color="auto"/>
            </w:tcBorders>
            <w:shd w:val="clear" w:color="auto" w:fill="auto"/>
            <w:vAlign w:val="bottom"/>
          </w:tcPr>
          <w:p w:rsidR="0016686F" w:rsidRDefault="0016686F" w:rsidP="001B56F1">
            <w:pPr>
              <w:pStyle w:val="TableBodyText"/>
            </w:pPr>
            <w:r>
              <w:noBreakHyphen/>
            </w:r>
          </w:p>
        </w:tc>
      </w:tr>
    </w:tbl>
    <w:p w:rsidR="0016686F" w:rsidRDefault="0016686F" w:rsidP="0016686F">
      <w:pPr>
        <w:pStyle w:val="Note"/>
      </w:pPr>
      <w:r w:rsidRPr="00A2379F">
        <w:noBreakHyphen/>
        <w:t xml:space="preserve"> Nil</w:t>
      </w:r>
      <w:r>
        <w:t>.</w:t>
      </w:r>
      <w:r w:rsidRPr="008E77FE">
        <w:rPr>
          <w:rStyle w:val="NoteLabel"/>
        </w:rPr>
        <w:t xml:space="preserve"> a</w:t>
      </w:r>
      <w:r>
        <w:t xml:space="preserve"> </w:t>
      </w:r>
      <w:r w:rsidRPr="009B56F1">
        <w:t>Unallocated includes general programs where detai</w:t>
      </w:r>
      <w:r>
        <w:t>ls of beneficiaries are unknown.</w:t>
      </w:r>
    </w:p>
    <w:p w:rsidR="0016686F" w:rsidRPr="008E77FE" w:rsidRDefault="0016686F" w:rsidP="0016686F">
      <w:pPr>
        <w:pStyle w:val="Source"/>
      </w:pPr>
      <w:r>
        <w:rPr>
          <w:i/>
        </w:rPr>
        <w:t>Source</w:t>
      </w:r>
      <w:r>
        <w:t>: Commission estimates based on DIISR Annual Report 2010</w:t>
      </w:r>
      <w:r>
        <w:noBreakHyphen/>
        <w:t>11.</w:t>
      </w:r>
    </w:p>
    <w:p w:rsidR="00414787" w:rsidRDefault="00FA09C3" w:rsidP="00414787">
      <w:pPr>
        <w:pStyle w:val="Heading2"/>
      </w:pPr>
      <w:r>
        <w:t>A.</w:t>
      </w:r>
      <w:r>
        <w:rPr>
          <w:noProof/>
        </w:rPr>
        <w:t>133</w:t>
      </w:r>
      <w:r w:rsidR="00414787">
        <w:tab/>
        <w:t xml:space="preserve">Tasmanian </w:t>
      </w:r>
      <w:r w:rsidR="0093613A">
        <w:t xml:space="preserve">Forest </w:t>
      </w:r>
      <w:r w:rsidR="00414787">
        <w:t xml:space="preserve">Contractors </w:t>
      </w:r>
      <w:r w:rsidR="0093613A">
        <w:t xml:space="preserve">Exit </w:t>
      </w:r>
      <w:r w:rsidR="00414787">
        <w:t xml:space="preserve">Assistance </w:t>
      </w:r>
      <w:r w:rsidR="0093613A">
        <w:t xml:space="preserve">Grant </w:t>
      </w:r>
      <w:r w:rsidR="00414787">
        <w:t>Program</w:t>
      </w:r>
    </w:p>
    <w:p w:rsidR="00414787" w:rsidRPr="004F6705" w:rsidRDefault="00414787" w:rsidP="00414787">
      <w:pPr>
        <w:pStyle w:val="BodyText"/>
      </w:pPr>
      <w:r>
        <w:t xml:space="preserve">The Tasmanian </w:t>
      </w:r>
      <w:r w:rsidR="0093613A">
        <w:t xml:space="preserve">Forest </w:t>
      </w:r>
      <w:r>
        <w:t xml:space="preserve">Contractors </w:t>
      </w:r>
      <w:r w:rsidR="0093613A">
        <w:t xml:space="preserve">Exit </w:t>
      </w:r>
      <w:r>
        <w:t xml:space="preserve">Assistance </w:t>
      </w:r>
      <w:r w:rsidR="0093613A">
        <w:t xml:space="preserve">Grant </w:t>
      </w:r>
      <w:r>
        <w:t xml:space="preserve">Program was a competitive grants program that aimed to </w:t>
      </w:r>
      <w:r w:rsidRPr="00EF32D0">
        <w:t>assist eligible businesses to exit the Tasmanian native forest harvest and haulage contracting sector</w:t>
      </w:r>
      <w:r>
        <w:t xml:space="preserve"> and reduce </w:t>
      </w:r>
      <w:r w:rsidRPr="00EF32D0">
        <w:t xml:space="preserve">overcapacity in the </w:t>
      </w:r>
      <w:r>
        <w:t>industry</w:t>
      </w:r>
      <w:r w:rsidRPr="00EF32D0">
        <w:t xml:space="preserve"> through reduc</w:t>
      </w:r>
      <w:r>
        <w:t>tions</w:t>
      </w:r>
      <w:r w:rsidRPr="00EF32D0">
        <w:t xml:space="preserve"> </w:t>
      </w:r>
      <w:r>
        <w:t xml:space="preserve">in </w:t>
      </w:r>
      <w:r w:rsidRPr="00EF32D0">
        <w:t xml:space="preserve">the number of </w:t>
      </w:r>
      <w:r>
        <w:t xml:space="preserve">participating </w:t>
      </w:r>
      <w:r w:rsidRPr="00EF32D0">
        <w:t>businesses</w:t>
      </w:r>
      <w:r>
        <w:t xml:space="preserve"> (</w:t>
      </w:r>
      <w:r w:rsidRPr="00C305B5">
        <w:t>DAFF 2010c</w:t>
      </w:r>
      <w:r>
        <w:rPr>
          <w:b/>
          <w:color w:val="FF0000"/>
          <w:sz w:val="24"/>
          <w:u w:val="dotted"/>
        </w:rPr>
        <w:t>‎</w:t>
      </w:r>
      <w:r>
        <w:t>)</w:t>
      </w:r>
      <w:r w:rsidRPr="00EF32D0">
        <w:t>.</w:t>
      </w:r>
      <w:r>
        <w:t xml:space="preserve"> To be eligible for assistance a business had to: have an ABN; conduct its activities predomina</w:t>
      </w:r>
      <w:r w:rsidR="0093613A">
        <w:t>n</w:t>
      </w:r>
      <w:r>
        <w:t xml:space="preserve">tly in the Tasmanian native forest harvest and/or Tasmanian native forest haulage contracting sector; have been operating as a harvest and/or haulage business for the period 1 January 2009 to 30 June 2010 </w:t>
      </w:r>
      <w:r w:rsidR="0093613A">
        <w:t xml:space="preserve">with </w:t>
      </w:r>
      <w:r>
        <w:t>a contract, quota or delivery arrangement; and be able to show business related debt.</w:t>
      </w:r>
    </w:p>
    <w:p w:rsidR="00414787" w:rsidRDefault="00414787" w:rsidP="00414787">
      <w:pPr>
        <w:pStyle w:val="BodyText"/>
      </w:pPr>
      <w:r>
        <w:t>The Program</w:t>
      </w:r>
      <w:r w:rsidRPr="00FE23FC">
        <w:t xml:space="preserve"> selectively benefit</w:t>
      </w:r>
      <w:r>
        <w:t>ed</w:t>
      </w:r>
      <w:r w:rsidRPr="00FE23FC">
        <w:t xml:space="preserve"> </w:t>
      </w:r>
      <w:r>
        <w:t xml:space="preserve">businesses in the Tasmanian native forest harvest and haulage contracting sector </w:t>
      </w:r>
      <w:r w:rsidRPr="00FE23FC">
        <w:t xml:space="preserve">and has been allocated </w:t>
      </w:r>
      <w:r>
        <w:t xml:space="preserve">to the broader </w:t>
      </w:r>
      <w:r w:rsidRPr="00182FE9">
        <w:rPr>
          <w:i/>
        </w:rPr>
        <w:t>Forestry &amp; logging</w:t>
      </w:r>
      <w:r>
        <w:t xml:space="preserve"> industry grouping</w:t>
      </w:r>
      <w:r w:rsidRPr="00FE23FC">
        <w:t xml:space="preserve"> </w:t>
      </w:r>
      <w:r>
        <w:t xml:space="preserve">in </w:t>
      </w:r>
      <w:r w:rsidRPr="00FE23FC">
        <w:t xml:space="preserve">the Commission’s ANZSIC-based classification </w:t>
      </w:r>
      <w:r>
        <w:t>(table A.13</w:t>
      </w:r>
      <w:r w:rsidR="00C065C1">
        <w:t>3</w:t>
      </w:r>
      <w:r>
        <w:t>).</w:t>
      </w:r>
    </w:p>
    <w:p w:rsidR="00414787" w:rsidRDefault="00414787" w:rsidP="00414787">
      <w:pPr>
        <w:pStyle w:val="TableTitle"/>
      </w:pPr>
      <w:r>
        <w:rPr>
          <w:b w:val="0"/>
        </w:rPr>
        <w:t xml:space="preserve">Table </w:t>
      </w:r>
      <w:r w:rsidR="00FA09C3">
        <w:rPr>
          <w:b w:val="0"/>
        </w:rPr>
        <w:t>A.</w:t>
      </w:r>
      <w:r w:rsidR="00FA09C3">
        <w:rPr>
          <w:b w:val="0"/>
          <w:noProof/>
        </w:rPr>
        <w:t>133</w:t>
      </w:r>
      <w:r>
        <w:tab/>
        <w:t xml:space="preserve">Allocation of Tasmanian </w:t>
      </w:r>
      <w:r w:rsidR="00BE3539">
        <w:t xml:space="preserve">Forest </w:t>
      </w:r>
      <w:r>
        <w:t xml:space="preserve">Contractors </w:t>
      </w:r>
      <w:r w:rsidR="00BE3539">
        <w:t xml:space="preserve">Exit </w:t>
      </w:r>
      <w:r>
        <w:t xml:space="preserve">Assistance </w:t>
      </w:r>
      <w:r w:rsidR="00BE3539">
        <w:t xml:space="preserve">Grant </w:t>
      </w:r>
      <w:r>
        <w:t>Program</w:t>
      </w:r>
      <w:r w:rsidR="00B6795B" w:rsidRPr="00B6795B">
        <w:t xml:space="preserve"> to industry</w:t>
      </w:r>
      <w:r>
        <w:t>, 2006</w:t>
      </w:r>
      <w:r>
        <w:noBreakHyphen/>
        <w:t>07 to 2011</w:t>
      </w:r>
      <w:r>
        <w:noBreakHyphen/>
        <w:t>12</w:t>
      </w:r>
    </w:p>
    <w:p w:rsidR="00414787" w:rsidRDefault="00414787" w:rsidP="00414787">
      <w:pPr>
        <w:pStyle w:val="Subtitle"/>
      </w:pPr>
      <w:r>
        <w:t>$</w:t>
      </w:r>
      <w:r w:rsidR="003979CC">
        <w:t xml:space="preserve"> </w:t>
      </w:r>
      <w:r>
        <w:t xml:space="preserve">million (nominal) </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2C4E6A" w:rsidRPr="00AF699A" w:rsidTr="00CB219A">
        <w:trPr>
          <w:trHeight w:val="340"/>
        </w:trPr>
        <w:tc>
          <w:tcPr>
            <w:tcW w:w="1960" w:type="pct"/>
            <w:tcBorders>
              <w:top w:val="single" w:sz="6" w:space="0" w:color="auto"/>
              <w:bottom w:val="single" w:sz="6" w:space="0" w:color="auto"/>
            </w:tcBorders>
          </w:tcPr>
          <w:p w:rsidR="002C4E6A" w:rsidRPr="00AF699A" w:rsidRDefault="002C4E6A"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2C4E6A" w:rsidRPr="00AF699A" w:rsidRDefault="002C4E6A"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2C4E6A" w:rsidRPr="00AF699A" w:rsidRDefault="002C4E6A"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2C4E6A" w:rsidRPr="00AF699A" w:rsidRDefault="002C4E6A"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2C4E6A" w:rsidRPr="00AF699A" w:rsidRDefault="002C4E6A"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2C4E6A" w:rsidRPr="00AF699A" w:rsidRDefault="002C4E6A" w:rsidP="001B56F1">
            <w:pPr>
              <w:pStyle w:val="TableColumnHeading"/>
              <w:ind w:right="28"/>
              <w:rPr>
                <w:rFonts w:cs="Arial"/>
                <w:sz w:val="18"/>
                <w:szCs w:val="18"/>
              </w:rPr>
            </w:pPr>
            <w:r w:rsidRPr="00AF699A">
              <w:rPr>
                <w:rFonts w:cs="Arial"/>
                <w:sz w:val="18"/>
                <w:szCs w:val="18"/>
              </w:rPr>
              <w:t>2010-11</w:t>
            </w:r>
          </w:p>
        </w:tc>
        <w:tc>
          <w:tcPr>
            <w:tcW w:w="506" w:type="pct"/>
            <w:tcBorders>
              <w:top w:val="single" w:sz="6" w:space="0" w:color="auto"/>
              <w:bottom w:val="single" w:sz="6" w:space="0" w:color="auto"/>
            </w:tcBorders>
            <w:shd w:val="clear" w:color="auto" w:fill="auto"/>
          </w:tcPr>
          <w:p w:rsidR="002C4E6A" w:rsidRPr="00AF699A" w:rsidRDefault="002C4E6A" w:rsidP="001B56F1">
            <w:pPr>
              <w:pStyle w:val="TableColumnHeading"/>
              <w:ind w:right="28"/>
              <w:rPr>
                <w:rFonts w:cs="Arial"/>
                <w:sz w:val="18"/>
                <w:szCs w:val="18"/>
              </w:rPr>
            </w:pPr>
            <w:r w:rsidRPr="00AF699A">
              <w:rPr>
                <w:rFonts w:cs="Arial"/>
                <w:sz w:val="18"/>
                <w:szCs w:val="18"/>
              </w:rPr>
              <w:t>2011-12</w:t>
            </w:r>
          </w:p>
        </w:tc>
      </w:tr>
      <w:tr w:rsidR="002C4E6A" w:rsidRPr="00BB0164" w:rsidTr="002C4E6A">
        <w:tc>
          <w:tcPr>
            <w:tcW w:w="1960" w:type="pct"/>
            <w:tcBorders>
              <w:bottom w:val="single" w:sz="4" w:space="0" w:color="auto"/>
            </w:tcBorders>
            <w:vAlign w:val="bottom"/>
          </w:tcPr>
          <w:p w:rsidR="002C4E6A" w:rsidRPr="003C6A4E" w:rsidRDefault="002C4E6A" w:rsidP="001B56F1">
            <w:pPr>
              <w:pStyle w:val="TableBodyText"/>
              <w:jc w:val="left"/>
            </w:pPr>
            <w:r w:rsidRPr="003C6A4E">
              <w:t>Forestry and logging</w:t>
            </w:r>
          </w:p>
        </w:tc>
        <w:tc>
          <w:tcPr>
            <w:tcW w:w="507" w:type="pct"/>
            <w:tcBorders>
              <w:bottom w:val="single" w:sz="4" w:space="0" w:color="auto"/>
            </w:tcBorders>
            <w:vAlign w:val="bottom"/>
          </w:tcPr>
          <w:p w:rsidR="002C4E6A" w:rsidRPr="003C6A4E" w:rsidRDefault="002C4E6A" w:rsidP="001B56F1">
            <w:pPr>
              <w:pStyle w:val="TableBodyText"/>
            </w:pPr>
            <w:r>
              <w:noBreakHyphen/>
            </w:r>
          </w:p>
        </w:tc>
        <w:tc>
          <w:tcPr>
            <w:tcW w:w="507" w:type="pct"/>
            <w:tcBorders>
              <w:bottom w:val="single" w:sz="4" w:space="0" w:color="auto"/>
            </w:tcBorders>
            <w:vAlign w:val="bottom"/>
          </w:tcPr>
          <w:p w:rsidR="002C4E6A" w:rsidRPr="003C6A4E" w:rsidRDefault="002C4E6A" w:rsidP="001B56F1">
            <w:pPr>
              <w:pStyle w:val="TableBodyText"/>
            </w:pPr>
            <w:r>
              <w:noBreakHyphen/>
            </w:r>
          </w:p>
        </w:tc>
        <w:tc>
          <w:tcPr>
            <w:tcW w:w="507" w:type="pct"/>
            <w:tcBorders>
              <w:bottom w:val="single" w:sz="4" w:space="0" w:color="auto"/>
            </w:tcBorders>
            <w:vAlign w:val="bottom"/>
          </w:tcPr>
          <w:p w:rsidR="002C4E6A" w:rsidRPr="003C6A4E" w:rsidRDefault="002C4E6A" w:rsidP="001B56F1">
            <w:pPr>
              <w:pStyle w:val="TableBodyText"/>
            </w:pPr>
            <w:r>
              <w:noBreakHyphen/>
            </w:r>
          </w:p>
        </w:tc>
        <w:tc>
          <w:tcPr>
            <w:tcW w:w="507" w:type="pct"/>
            <w:tcBorders>
              <w:bottom w:val="single" w:sz="4" w:space="0" w:color="auto"/>
            </w:tcBorders>
            <w:vAlign w:val="bottom"/>
          </w:tcPr>
          <w:p w:rsidR="002C4E6A" w:rsidRPr="003C6A4E" w:rsidRDefault="002C4E6A" w:rsidP="001B56F1">
            <w:pPr>
              <w:pStyle w:val="TableBodyText"/>
            </w:pPr>
            <w:r>
              <w:noBreakHyphen/>
            </w:r>
          </w:p>
        </w:tc>
        <w:tc>
          <w:tcPr>
            <w:tcW w:w="507" w:type="pct"/>
            <w:tcBorders>
              <w:bottom w:val="single" w:sz="4" w:space="0" w:color="auto"/>
            </w:tcBorders>
            <w:shd w:val="clear" w:color="auto" w:fill="auto"/>
            <w:vAlign w:val="bottom"/>
          </w:tcPr>
          <w:p w:rsidR="002C4E6A" w:rsidRPr="003C6A4E" w:rsidRDefault="002C4E6A" w:rsidP="001B56F1">
            <w:pPr>
              <w:pStyle w:val="TableBodyText"/>
            </w:pPr>
            <w:r w:rsidRPr="003C6A4E">
              <w:t>16.9</w:t>
            </w:r>
          </w:p>
        </w:tc>
        <w:tc>
          <w:tcPr>
            <w:tcW w:w="506" w:type="pct"/>
            <w:tcBorders>
              <w:bottom w:val="single" w:sz="4" w:space="0" w:color="auto"/>
            </w:tcBorders>
            <w:shd w:val="clear" w:color="auto" w:fill="auto"/>
            <w:vAlign w:val="bottom"/>
          </w:tcPr>
          <w:p w:rsidR="002C4E6A" w:rsidRPr="003C6A4E" w:rsidRDefault="002C4E6A" w:rsidP="001B56F1">
            <w:pPr>
              <w:pStyle w:val="TableBodyText"/>
            </w:pPr>
            <w:r>
              <w:noBreakHyphen/>
            </w:r>
          </w:p>
        </w:tc>
      </w:tr>
    </w:tbl>
    <w:p w:rsidR="00414787" w:rsidRDefault="00414787" w:rsidP="00414787">
      <w:pPr>
        <w:pStyle w:val="Note"/>
      </w:pPr>
      <w:r w:rsidRPr="00A2379F">
        <w:noBreakHyphen/>
        <w:t xml:space="preserve"> </w:t>
      </w:r>
      <w:r>
        <w:t>Nil</w:t>
      </w:r>
      <w:r w:rsidRPr="00A2379F">
        <w:t>.</w:t>
      </w:r>
    </w:p>
    <w:p w:rsidR="00414787" w:rsidRPr="008E77FE" w:rsidRDefault="00414787" w:rsidP="00414787">
      <w:pPr>
        <w:pStyle w:val="Source"/>
      </w:pPr>
      <w:r>
        <w:rPr>
          <w:i/>
        </w:rPr>
        <w:t>Source</w:t>
      </w:r>
      <w:r>
        <w:t>: Commission estimates based on DAFF Annual Report 2010</w:t>
      </w:r>
      <w:r>
        <w:noBreakHyphen/>
        <w:t>11.</w:t>
      </w:r>
    </w:p>
    <w:p w:rsidR="00DF64AA" w:rsidRDefault="00FA09C3" w:rsidP="00DF64AA">
      <w:pPr>
        <w:pStyle w:val="Heading2"/>
      </w:pPr>
      <w:r>
        <w:t>A.</w:t>
      </w:r>
      <w:r>
        <w:rPr>
          <w:noProof/>
        </w:rPr>
        <w:t>134</w:t>
      </w:r>
      <w:r w:rsidR="00DF64AA">
        <w:tab/>
        <w:t>North West and Northern Tasmania Innovation and Investment Fund</w:t>
      </w:r>
    </w:p>
    <w:p w:rsidR="00DF64AA" w:rsidRPr="00A80430" w:rsidRDefault="00DF64AA" w:rsidP="00DF64AA">
      <w:pPr>
        <w:pStyle w:val="BodyText"/>
      </w:pPr>
      <w:r>
        <w:t>The North West and Northern Tasmanian Innovation and Investment Fund (NWNTIIF) aimed to support new investment that creates sustainable job opportunities in north-west and northern Tasmania following the closure of large manufacturing enterprises in the region. After a competitive merit-based process, $16 million was committed to 36 projects  (</w:t>
      </w:r>
      <w:r w:rsidRPr="00C305B5">
        <w:t>DIISR 2011</w:t>
      </w:r>
      <w:r>
        <w:t>).</w:t>
      </w:r>
    </w:p>
    <w:p w:rsidR="00DF64AA" w:rsidRPr="00310AF2" w:rsidRDefault="00DF64AA" w:rsidP="00DF64AA">
      <w:pPr>
        <w:pStyle w:val="BodyText"/>
      </w:pPr>
      <w:r w:rsidRPr="00AF616C">
        <w:t xml:space="preserve">The Commission has obtained information from the Department of Innovation, Industry, Science and Research (DIISR) detailing expenditure data for the </w:t>
      </w:r>
      <w:r>
        <w:t>NWNTIIF</w:t>
      </w:r>
      <w:r w:rsidRPr="00AF616C">
        <w:t xml:space="preserve"> by ANZSIC industry. These industry shares have been used to allocate total funding to the Commission’s ANZSIC-based industry groupings (table</w:t>
      </w:r>
      <w:r w:rsidR="00C065C1">
        <w:t> </w:t>
      </w:r>
      <w:r w:rsidRPr="00AF616C">
        <w:t>A.</w:t>
      </w:r>
      <w:r>
        <w:t>13</w:t>
      </w:r>
      <w:r w:rsidR="00C065C1">
        <w:t>4</w:t>
      </w:r>
      <w:r w:rsidRPr="00AF616C">
        <w:t>).</w:t>
      </w:r>
    </w:p>
    <w:p w:rsidR="00DF64AA" w:rsidRDefault="00DF64AA" w:rsidP="00DF64AA">
      <w:pPr>
        <w:pStyle w:val="TableTitle"/>
      </w:pPr>
      <w:r>
        <w:rPr>
          <w:b w:val="0"/>
        </w:rPr>
        <w:t xml:space="preserve">Table </w:t>
      </w:r>
      <w:r w:rsidR="00FA09C3">
        <w:rPr>
          <w:b w:val="0"/>
        </w:rPr>
        <w:t>A.</w:t>
      </w:r>
      <w:r w:rsidR="00FA09C3">
        <w:rPr>
          <w:b w:val="0"/>
          <w:noProof/>
        </w:rPr>
        <w:t>134</w:t>
      </w:r>
      <w:r>
        <w:tab/>
        <w:t xml:space="preserve">Allocation of North West and Northern Tasmania Innovation and Investment Fund </w:t>
      </w:r>
      <w:r w:rsidR="00B6795B" w:rsidRPr="00B6795B">
        <w:t>to industry</w:t>
      </w:r>
      <w:r>
        <w:t>, 2006</w:t>
      </w:r>
      <w:r>
        <w:noBreakHyphen/>
        <w:t>07 to 2011</w:t>
      </w:r>
      <w:r>
        <w:noBreakHyphen/>
        <w:t>12</w:t>
      </w:r>
    </w:p>
    <w:p w:rsidR="00DF64AA" w:rsidRDefault="00DF64AA" w:rsidP="00DF64AA">
      <w:pPr>
        <w:pStyle w:val="Subtitle"/>
      </w:pPr>
      <w:r>
        <w:t>$</w:t>
      </w:r>
      <w:r w:rsidR="003979CC">
        <w:t xml:space="preserve"> </w:t>
      </w:r>
      <w:r>
        <w:t>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DF64AA" w:rsidRPr="00AF699A" w:rsidTr="007546E2">
        <w:trPr>
          <w:trHeight w:val="340"/>
        </w:trPr>
        <w:tc>
          <w:tcPr>
            <w:tcW w:w="1960" w:type="pct"/>
            <w:tcBorders>
              <w:top w:val="single" w:sz="6" w:space="0" w:color="auto"/>
              <w:bottom w:val="single" w:sz="6" w:space="0" w:color="auto"/>
            </w:tcBorders>
          </w:tcPr>
          <w:p w:rsidR="00DF64AA" w:rsidRPr="00AF699A" w:rsidRDefault="00DF64AA"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DF64AA" w:rsidRPr="00AF699A" w:rsidRDefault="00DF64AA"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DF64AA" w:rsidRPr="00AF699A" w:rsidRDefault="00DF64AA"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DF64AA" w:rsidRPr="00AF699A" w:rsidRDefault="00DF64AA"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DF64AA" w:rsidRPr="00AF699A" w:rsidRDefault="00DF64AA"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DF64AA" w:rsidRPr="00AF699A" w:rsidRDefault="00DF64AA" w:rsidP="001B56F1">
            <w:pPr>
              <w:pStyle w:val="TableColumnHeading"/>
              <w:ind w:right="28"/>
              <w:rPr>
                <w:rFonts w:cs="Arial"/>
                <w:sz w:val="18"/>
                <w:szCs w:val="18"/>
              </w:rPr>
            </w:pPr>
            <w:r w:rsidRPr="00AF699A">
              <w:rPr>
                <w:rFonts w:cs="Arial"/>
                <w:sz w:val="18"/>
                <w:szCs w:val="18"/>
              </w:rPr>
              <w:t>2010-11</w:t>
            </w:r>
          </w:p>
        </w:tc>
        <w:tc>
          <w:tcPr>
            <w:tcW w:w="506" w:type="pct"/>
            <w:tcBorders>
              <w:top w:val="single" w:sz="6" w:space="0" w:color="auto"/>
              <w:bottom w:val="single" w:sz="6" w:space="0" w:color="auto"/>
            </w:tcBorders>
            <w:shd w:val="clear" w:color="auto" w:fill="auto"/>
          </w:tcPr>
          <w:p w:rsidR="00DF64AA" w:rsidRPr="00AF699A" w:rsidRDefault="00DF64AA" w:rsidP="001B56F1">
            <w:pPr>
              <w:pStyle w:val="TableColumnHeading"/>
              <w:ind w:right="28"/>
              <w:rPr>
                <w:rFonts w:cs="Arial"/>
                <w:sz w:val="18"/>
                <w:szCs w:val="18"/>
              </w:rPr>
            </w:pPr>
            <w:r w:rsidRPr="00AF699A">
              <w:rPr>
                <w:rFonts w:cs="Arial"/>
                <w:sz w:val="18"/>
                <w:szCs w:val="18"/>
              </w:rPr>
              <w:t>2011-12</w:t>
            </w:r>
          </w:p>
        </w:tc>
      </w:tr>
      <w:tr w:rsidR="00DF64AA" w:rsidRPr="0086425C" w:rsidTr="001B56F1">
        <w:tc>
          <w:tcPr>
            <w:tcW w:w="1960" w:type="pct"/>
            <w:vAlign w:val="bottom"/>
          </w:tcPr>
          <w:p w:rsidR="00DF64AA" w:rsidRPr="008770BD" w:rsidRDefault="00DF64AA" w:rsidP="001B56F1">
            <w:pPr>
              <w:pStyle w:val="TableBodyText"/>
              <w:jc w:val="left"/>
              <w:rPr>
                <w:b/>
                <w:sz w:val="18"/>
                <w:szCs w:val="18"/>
              </w:rPr>
            </w:pPr>
            <w:r w:rsidRPr="008770BD">
              <w:rPr>
                <w:b/>
                <w:sz w:val="18"/>
                <w:szCs w:val="18"/>
              </w:rPr>
              <w:t>Primary production</w:t>
            </w:r>
          </w:p>
        </w:tc>
        <w:tc>
          <w:tcPr>
            <w:tcW w:w="507" w:type="pct"/>
            <w:vAlign w:val="bottom"/>
          </w:tcPr>
          <w:p w:rsidR="00DF64AA" w:rsidRPr="008770BD" w:rsidRDefault="00DF64AA" w:rsidP="001B56F1">
            <w:pPr>
              <w:pStyle w:val="TableBodyText"/>
              <w:rPr>
                <w:b/>
                <w:sz w:val="18"/>
                <w:szCs w:val="18"/>
              </w:rPr>
            </w:pPr>
            <w:r w:rsidRPr="008770BD">
              <w:rPr>
                <w:b/>
                <w:sz w:val="18"/>
                <w:szCs w:val="18"/>
              </w:rPr>
              <w:noBreakHyphen/>
            </w:r>
          </w:p>
        </w:tc>
        <w:tc>
          <w:tcPr>
            <w:tcW w:w="507" w:type="pct"/>
            <w:vAlign w:val="bottom"/>
          </w:tcPr>
          <w:p w:rsidR="00DF64AA" w:rsidRPr="008770BD" w:rsidRDefault="00DF64AA" w:rsidP="001B56F1">
            <w:pPr>
              <w:pStyle w:val="TableBodyText"/>
              <w:rPr>
                <w:b/>
                <w:sz w:val="18"/>
                <w:szCs w:val="18"/>
              </w:rPr>
            </w:pPr>
            <w:r w:rsidRPr="008770BD">
              <w:rPr>
                <w:b/>
                <w:sz w:val="18"/>
                <w:szCs w:val="18"/>
              </w:rPr>
              <w:noBreakHyphen/>
            </w:r>
          </w:p>
        </w:tc>
        <w:tc>
          <w:tcPr>
            <w:tcW w:w="507" w:type="pct"/>
            <w:vAlign w:val="bottom"/>
          </w:tcPr>
          <w:p w:rsidR="00DF64AA" w:rsidRPr="008770BD" w:rsidRDefault="00DF64AA" w:rsidP="001B56F1">
            <w:pPr>
              <w:pStyle w:val="TableBodyText"/>
              <w:rPr>
                <w:b/>
                <w:sz w:val="18"/>
                <w:szCs w:val="18"/>
              </w:rPr>
            </w:pPr>
            <w:r w:rsidRPr="008770BD">
              <w:rPr>
                <w:b/>
                <w:sz w:val="18"/>
                <w:szCs w:val="18"/>
              </w:rPr>
              <w:noBreakHyphen/>
            </w:r>
          </w:p>
        </w:tc>
        <w:tc>
          <w:tcPr>
            <w:tcW w:w="507" w:type="pct"/>
            <w:vAlign w:val="bottom"/>
          </w:tcPr>
          <w:p w:rsidR="00DF64AA" w:rsidRPr="008770BD" w:rsidRDefault="00DF64AA" w:rsidP="001B56F1">
            <w:pPr>
              <w:pStyle w:val="TableBodyText"/>
              <w:rPr>
                <w:b/>
                <w:sz w:val="18"/>
                <w:szCs w:val="18"/>
              </w:rPr>
            </w:pPr>
            <w:r w:rsidRPr="008770BD">
              <w:rPr>
                <w:b/>
                <w:sz w:val="18"/>
                <w:szCs w:val="18"/>
              </w:rPr>
              <w:t>1.6</w:t>
            </w:r>
          </w:p>
        </w:tc>
        <w:tc>
          <w:tcPr>
            <w:tcW w:w="507" w:type="pct"/>
            <w:shd w:val="clear" w:color="auto" w:fill="auto"/>
            <w:vAlign w:val="bottom"/>
          </w:tcPr>
          <w:p w:rsidR="00DF64AA" w:rsidRPr="008770BD" w:rsidRDefault="00DF64AA" w:rsidP="001B56F1">
            <w:pPr>
              <w:pStyle w:val="TableBodyText"/>
              <w:rPr>
                <w:b/>
                <w:sz w:val="18"/>
                <w:szCs w:val="18"/>
              </w:rPr>
            </w:pPr>
            <w:r w:rsidRPr="008770BD">
              <w:rPr>
                <w:b/>
                <w:sz w:val="18"/>
                <w:szCs w:val="18"/>
              </w:rPr>
              <w:t>1.9</w:t>
            </w:r>
          </w:p>
        </w:tc>
        <w:tc>
          <w:tcPr>
            <w:tcW w:w="506" w:type="pct"/>
            <w:shd w:val="clear" w:color="auto" w:fill="auto"/>
            <w:vAlign w:val="bottom"/>
          </w:tcPr>
          <w:p w:rsidR="00DF64AA" w:rsidRPr="008770BD" w:rsidRDefault="00DF64AA" w:rsidP="001B56F1">
            <w:pPr>
              <w:pStyle w:val="TableBodyText"/>
              <w:rPr>
                <w:b/>
                <w:sz w:val="18"/>
                <w:szCs w:val="18"/>
              </w:rPr>
            </w:pPr>
            <w:r w:rsidRPr="008770BD">
              <w:rPr>
                <w:b/>
                <w:sz w:val="18"/>
                <w:szCs w:val="18"/>
              </w:rPr>
              <w:noBreakHyphen/>
            </w:r>
          </w:p>
        </w:tc>
      </w:tr>
      <w:tr w:rsidR="00DF64AA" w:rsidRPr="0086425C" w:rsidTr="001B56F1">
        <w:tc>
          <w:tcPr>
            <w:tcW w:w="1960" w:type="pct"/>
            <w:vAlign w:val="bottom"/>
          </w:tcPr>
          <w:p w:rsidR="00DF64AA" w:rsidRPr="008770BD" w:rsidRDefault="00DF64AA" w:rsidP="001B56F1">
            <w:pPr>
              <w:pStyle w:val="TableBodyText"/>
              <w:jc w:val="left"/>
              <w:rPr>
                <w:sz w:val="18"/>
                <w:szCs w:val="18"/>
              </w:rPr>
            </w:pPr>
            <w:r w:rsidRPr="008770BD">
              <w:rPr>
                <w:sz w:val="18"/>
                <w:szCs w:val="18"/>
              </w:rPr>
              <w:t>Horticulture and fruit growing</w:t>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t>1.0</w:t>
            </w:r>
          </w:p>
        </w:tc>
        <w:tc>
          <w:tcPr>
            <w:tcW w:w="507" w:type="pct"/>
            <w:shd w:val="clear" w:color="auto" w:fill="auto"/>
            <w:vAlign w:val="bottom"/>
          </w:tcPr>
          <w:p w:rsidR="00DF64AA" w:rsidRPr="008770BD" w:rsidRDefault="00DF64AA" w:rsidP="001B56F1">
            <w:pPr>
              <w:pStyle w:val="TableBodyText"/>
              <w:rPr>
                <w:sz w:val="18"/>
                <w:szCs w:val="18"/>
              </w:rPr>
            </w:pPr>
            <w:r w:rsidRPr="008770BD">
              <w:rPr>
                <w:sz w:val="18"/>
                <w:szCs w:val="18"/>
              </w:rPr>
              <w:t>1.5</w:t>
            </w:r>
          </w:p>
        </w:tc>
        <w:tc>
          <w:tcPr>
            <w:tcW w:w="506" w:type="pct"/>
            <w:shd w:val="clear" w:color="auto" w:fill="auto"/>
            <w:vAlign w:val="bottom"/>
          </w:tcPr>
          <w:p w:rsidR="00DF64AA" w:rsidRPr="008770BD" w:rsidRDefault="00DF64AA" w:rsidP="001B56F1">
            <w:pPr>
              <w:pStyle w:val="TableBodyText"/>
              <w:rPr>
                <w:sz w:val="18"/>
                <w:szCs w:val="18"/>
              </w:rPr>
            </w:pPr>
            <w:r w:rsidRPr="008770BD">
              <w:rPr>
                <w:sz w:val="18"/>
                <w:szCs w:val="18"/>
              </w:rPr>
              <w:noBreakHyphen/>
            </w:r>
          </w:p>
        </w:tc>
      </w:tr>
      <w:tr w:rsidR="00DF64AA" w:rsidRPr="0086425C" w:rsidTr="001B56F1">
        <w:tc>
          <w:tcPr>
            <w:tcW w:w="1960" w:type="pct"/>
            <w:vAlign w:val="bottom"/>
          </w:tcPr>
          <w:p w:rsidR="00DF64AA" w:rsidRPr="008770BD" w:rsidRDefault="00DF64AA" w:rsidP="001B56F1">
            <w:pPr>
              <w:pStyle w:val="TableBodyText"/>
              <w:jc w:val="left"/>
              <w:rPr>
                <w:sz w:val="18"/>
                <w:szCs w:val="18"/>
              </w:rPr>
            </w:pPr>
            <w:r w:rsidRPr="008770BD">
              <w:rPr>
                <w:sz w:val="18"/>
                <w:szCs w:val="18"/>
              </w:rPr>
              <w:t>Aquaculture and fishing</w:t>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t>0.5</w:t>
            </w:r>
          </w:p>
        </w:tc>
        <w:tc>
          <w:tcPr>
            <w:tcW w:w="507" w:type="pct"/>
            <w:shd w:val="clear" w:color="auto" w:fill="auto"/>
            <w:vAlign w:val="bottom"/>
          </w:tcPr>
          <w:p w:rsidR="00DF64AA" w:rsidRPr="008770BD" w:rsidRDefault="00DF64AA" w:rsidP="001B56F1">
            <w:pPr>
              <w:pStyle w:val="TableBodyText"/>
              <w:rPr>
                <w:sz w:val="18"/>
                <w:szCs w:val="18"/>
              </w:rPr>
            </w:pPr>
            <w:r w:rsidRPr="008770BD">
              <w:rPr>
                <w:sz w:val="18"/>
                <w:szCs w:val="18"/>
              </w:rPr>
              <w:t>0.4</w:t>
            </w:r>
          </w:p>
        </w:tc>
        <w:tc>
          <w:tcPr>
            <w:tcW w:w="506" w:type="pct"/>
            <w:shd w:val="clear" w:color="auto" w:fill="auto"/>
            <w:vAlign w:val="bottom"/>
          </w:tcPr>
          <w:p w:rsidR="00DF64AA" w:rsidRPr="008770BD" w:rsidRDefault="00DF64AA" w:rsidP="001B56F1">
            <w:pPr>
              <w:pStyle w:val="TableBodyText"/>
              <w:rPr>
                <w:sz w:val="18"/>
                <w:szCs w:val="18"/>
              </w:rPr>
            </w:pPr>
            <w:r w:rsidRPr="008770BD">
              <w:rPr>
                <w:sz w:val="18"/>
                <w:szCs w:val="18"/>
              </w:rPr>
              <w:noBreakHyphen/>
            </w:r>
          </w:p>
        </w:tc>
      </w:tr>
      <w:tr w:rsidR="00DF64AA" w:rsidRPr="0086425C" w:rsidTr="001B56F1">
        <w:tc>
          <w:tcPr>
            <w:tcW w:w="1960" w:type="pct"/>
            <w:vAlign w:val="bottom"/>
          </w:tcPr>
          <w:p w:rsidR="00DF64AA" w:rsidRPr="008770BD" w:rsidRDefault="00DF64AA" w:rsidP="001B56F1">
            <w:pPr>
              <w:pStyle w:val="TableBodyText"/>
              <w:jc w:val="left"/>
              <w:rPr>
                <w:sz w:val="18"/>
                <w:szCs w:val="18"/>
              </w:rPr>
            </w:pPr>
            <w:r w:rsidRPr="008770BD">
              <w:rPr>
                <w:sz w:val="18"/>
                <w:szCs w:val="18"/>
              </w:rPr>
              <w:t>Primary production support services</w:t>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t>&lt;0.1</w:t>
            </w:r>
          </w:p>
        </w:tc>
        <w:tc>
          <w:tcPr>
            <w:tcW w:w="507" w:type="pct"/>
            <w:shd w:val="clear" w:color="auto" w:fill="auto"/>
            <w:vAlign w:val="bottom"/>
          </w:tcPr>
          <w:p w:rsidR="00DF64AA" w:rsidRPr="008770BD" w:rsidRDefault="00DF64AA" w:rsidP="001B56F1">
            <w:pPr>
              <w:pStyle w:val="TableBodyText"/>
              <w:rPr>
                <w:sz w:val="18"/>
                <w:szCs w:val="18"/>
              </w:rPr>
            </w:pPr>
            <w:r w:rsidRPr="008770BD">
              <w:rPr>
                <w:sz w:val="18"/>
                <w:szCs w:val="18"/>
              </w:rPr>
              <w:noBreakHyphen/>
            </w:r>
          </w:p>
        </w:tc>
        <w:tc>
          <w:tcPr>
            <w:tcW w:w="506" w:type="pct"/>
            <w:shd w:val="clear" w:color="auto" w:fill="auto"/>
            <w:vAlign w:val="bottom"/>
          </w:tcPr>
          <w:p w:rsidR="00DF64AA" w:rsidRPr="008770BD" w:rsidRDefault="00DF64AA" w:rsidP="001B56F1">
            <w:pPr>
              <w:pStyle w:val="TableBodyText"/>
              <w:rPr>
                <w:sz w:val="18"/>
                <w:szCs w:val="18"/>
              </w:rPr>
            </w:pPr>
            <w:r w:rsidRPr="008770BD">
              <w:rPr>
                <w:sz w:val="18"/>
                <w:szCs w:val="18"/>
              </w:rPr>
              <w:noBreakHyphen/>
            </w:r>
          </w:p>
        </w:tc>
      </w:tr>
      <w:tr w:rsidR="00DF64AA" w:rsidRPr="0086425C" w:rsidTr="001B56F1">
        <w:tc>
          <w:tcPr>
            <w:tcW w:w="1960" w:type="pct"/>
            <w:vAlign w:val="bottom"/>
          </w:tcPr>
          <w:p w:rsidR="00DF64AA" w:rsidRPr="008770BD" w:rsidRDefault="00DF64AA" w:rsidP="001B56F1">
            <w:pPr>
              <w:pStyle w:val="TableBodyText"/>
              <w:jc w:val="left"/>
              <w:rPr>
                <w:b/>
                <w:sz w:val="18"/>
                <w:szCs w:val="18"/>
              </w:rPr>
            </w:pPr>
            <w:r w:rsidRPr="008770BD">
              <w:rPr>
                <w:b/>
                <w:sz w:val="18"/>
                <w:szCs w:val="18"/>
              </w:rPr>
              <w:t>Mining</w:t>
            </w:r>
          </w:p>
        </w:tc>
        <w:tc>
          <w:tcPr>
            <w:tcW w:w="507" w:type="pct"/>
            <w:vAlign w:val="bottom"/>
          </w:tcPr>
          <w:p w:rsidR="00DF64AA" w:rsidRPr="008770BD" w:rsidRDefault="00DF64AA" w:rsidP="001B56F1">
            <w:pPr>
              <w:pStyle w:val="TableBodyText"/>
              <w:rPr>
                <w:b/>
                <w:sz w:val="18"/>
                <w:szCs w:val="18"/>
              </w:rPr>
            </w:pPr>
            <w:r w:rsidRPr="008770BD">
              <w:rPr>
                <w:sz w:val="18"/>
                <w:szCs w:val="18"/>
              </w:rPr>
              <w:noBreakHyphen/>
            </w:r>
          </w:p>
        </w:tc>
        <w:tc>
          <w:tcPr>
            <w:tcW w:w="507" w:type="pct"/>
            <w:vAlign w:val="bottom"/>
          </w:tcPr>
          <w:p w:rsidR="00DF64AA" w:rsidRPr="008770BD" w:rsidRDefault="00DF64AA" w:rsidP="001B56F1">
            <w:pPr>
              <w:pStyle w:val="TableBodyText"/>
              <w:rPr>
                <w:b/>
                <w:sz w:val="18"/>
                <w:szCs w:val="18"/>
              </w:rPr>
            </w:pPr>
            <w:r w:rsidRPr="008770BD">
              <w:rPr>
                <w:sz w:val="18"/>
                <w:szCs w:val="18"/>
              </w:rPr>
              <w:noBreakHyphen/>
            </w:r>
          </w:p>
        </w:tc>
        <w:tc>
          <w:tcPr>
            <w:tcW w:w="507" w:type="pct"/>
            <w:vAlign w:val="bottom"/>
          </w:tcPr>
          <w:p w:rsidR="00DF64AA" w:rsidRPr="008770BD" w:rsidRDefault="00DF64AA" w:rsidP="001B56F1">
            <w:pPr>
              <w:pStyle w:val="TableBodyText"/>
              <w:rPr>
                <w:b/>
                <w:sz w:val="18"/>
                <w:szCs w:val="18"/>
              </w:rPr>
            </w:pPr>
            <w:r w:rsidRPr="008770BD">
              <w:rPr>
                <w:sz w:val="18"/>
                <w:szCs w:val="18"/>
              </w:rPr>
              <w:noBreakHyphen/>
            </w:r>
          </w:p>
        </w:tc>
        <w:tc>
          <w:tcPr>
            <w:tcW w:w="507" w:type="pct"/>
            <w:vAlign w:val="bottom"/>
          </w:tcPr>
          <w:p w:rsidR="00DF64AA" w:rsidRPr="008770BD" w:rsidRDefault="00DF64AA" w:rsidP="001B56F1">
            <w:pPr>
              <w:pStyle w:val="TableBodyText"/>
              <w:rPr>
                <w:b/>
                <w:sz w:val="18"/>
                <w:szCs w:val="18"/>
              </w:rPr>
            </w:pPr>
            <w:r w:rsidRPr="008770BD">
              <w:rPr>
                <w:b/>
                <w:sz w:val="18"/>
                <w:szCs w:val="18"/>
              </w:rPr>
              <w:t>0.2</w:t>
            </w:r>
          </w:p>
        </w:tc>
        <w:tc>
          <w:tcPr>
            <w:tcW w:w="507" w:type="pct"/>
            <w:shd w:val="clear" w:color="auto" w:fill="auto"/>
            <w:vAlign w:val="bottom"/>
          </w:tcPr>
          <w:p w:rsidR="00DF64AA" w:rsidRPr="008770BD" w:rsidRDefault="00DF64AA" w:rsidP="001B56F1">
            <w:pPr>
              <w:pStyle w:val="TableBodyText"/>
              <w:rPr>
                <w:b/>
                <w:sz w:val="18"/>
                <w:szCs w:val="18"/>
              </w:rPr>
            </w:pPr>
            <w:r w:rsidRPr="008770BD">
              <w:rPr>
                <w:b/>
                <w:sz w:val="18"/>
                <w:szCs w:val="18"/>
              </w:rPr>
              <w:t>&lt;0.1</w:t>
            </w:r>
          </w:p>
        </w:tc>
        <w:tc>
          <w:tcPr>
            <w:tcW w:w="506" w:type="pct"/>
            <w:shd w:val="clear" w:color="auto" w:fill="auto"/>
            <w:vAlign w:val="bottom"/>
          </w:tcPr>
          <w:p w:rsidR="00DF64AA" w:rsidRPr="008770BD" w:rsidRDefault="00DF64AA" w:rsidP="001B56F1">
            <w:pPr>
              <w:pStyle w:val="TableBodyText"/>
              <w:rPr>
                <w:b/>
                <w:sz w:val="18"/>
                <w:szCs w:val="18"/>
              </w:rPr>
            </w:pPr>
            <w:r w:rsidRPr="008770BD">
              <w:rPr>
                <w:b/>
                <w:sz w:val="18"/>
                <w:szCs w:val="18"/>
              </w:rPr>
              <w:noBreakHyphen/>
            </w:r>
          </w:p>
        </w:tc>
      </w:tr>
      <w:tr w:rsidR="00DF64AA" w:rsidRPr="0086425C" w:rsidTr="001B56F1">
        <w:tc>
          <w:tcPr>
            <w:tcW w:w="1960" w:type="pct"/>
            <w:vAlign w:val="bottom"/>
          </w:tcPr>
          <w:p w:rsidR="00DF64AA" w:rsidRPr="008770BD" w:rsidRDefault="00DF64AA" w:rsidP="001B56F1">
            <w:pPr>
              <w:pStyle w:val="TableBodyText"/>
              <w:jc w:val="left"/>
              <w:rPr>
                <w:b/>
                <w:sz w:val="18"/>
                <w:szCs w:val="18"/>
              </w:rPr>
            </w:pPr>
            <w:r w:rsidRPr="008770BD">
              <w:rPr>
                <w:b/>
                <w:sz w:val="18"/>
                <w:szCs w:val="18"/>
              </w:rPr>
              <w:t>Manufacturing</w:t>
            </w:r>
          </w:p>
        </w:tc>
        <w:tc>
          <w:tcPr>
            <w:tcW w:w="507" w:type="pct"/>
            <w:vAlign w:val="bottom"/>
          </w:tcPr>
          <w:p w:rsidR="00DF64AA" w:rsidRPr="008770BD" w:rsidRDefault="00DF64AA" w:rsidP="001B56F1">
            <w:pPr>
              <w:pStyle w:val="TableBodyText"/>
              <w:rPr>
                <w:b/>
                <w:sz w:val="18"/>
                <w:szCs w:val="18"/>
              </w:rPr>
            </w:pPr>
            <w:r w:rsidRPr="008770BD">
              <w:rPr>
                <w:b/>
                <w:sz w:val="18"/>
                <w:szCs w:val="18"/>
              </w:rPr>
              <w:noBreakHyphen/>
            </w:r>
          </w:p>
        </w:tc>
        <w:tc>
          <w:tcPr>
            <w:tcW w:w="507" w:type="pct"/>
            <w:vAlign w:val="bottom"/>
          </w:tcPr>
          <w:p w:rsidR="00DF64AA" w:rsidRPr="008770BD" w:rsidRDefault="00DF64AA" w:rsidP="001B56F1">
            <w:pPr>
              <w:pStyle w:val="TableBodyText"/>
              <w:rPr>
                <w:b/>
                <w:sz w:val="18"/>
                <w:szCs w:val="18"/>
              </w:rPr>
            </w:pPr>
            <w:r w:rsidRPr="008770BD">
              <w:rPr>
                <w:b/>
                <w:sz w:val="18"/>
                <w:szCs w:val="18"/>
              </w:rPr>
              <w:noBreakHyphen/>
            </w:r>
          </w:p>
        </w:tc>
        <w:tc>
          <w:tcPr>
            <w:tcW w:w="507" w:type="pct"/>
            <w:vAlign w:val="bottom"/>
          </w:tcPr>
          <w:p w:rsidR="00DF64AA" w:rsidRPr="008770BD" w:rsidRDefault="00DF64AA" w:rsidP="001B56F1">
            <w:pPr>
              <w:pStyle w:val="TableBodyText"/>
              <w:rPr>
                <w:b/>
                <w:sz w:val="18"/>
                <w:szCs w:val="18"/>
              </w:rPr>
            </w:pPr>
            <w:r w:rsidRPr="008770BD">
              <w:rPr>
                <w:b/>
                <w:sz w:val="18"/>
                <w:szCs w:val="18"/>
              </w:rPr>
              <w:noBreakHyphen/>
            </w:r>
          </w:p>
        </w:tc>
        <w:tc>
          <w:tcPr>
            <w:tcW w:w="507" w:type="pct"/>
            <w:vAlign w:val="bottom"/>
          </w:tcPr>
          <w:p w:rsidR="00DF64AA" w:rsidRPr="008770BD" w:rsidRDefault="00DF64AA" w:rsidP="001B56F1">
            <w:pPr>
              <w:pStyle w:val="TableBodyText"/>
              <w:rPr>
                <w:b/>
                <w:sz w:val="18"/>
                <w:szCs w:val="18"/>
              </w:rPr>
            </w:pPr>
            <w:r w:rsidRPr="008770BD">
              <w:rPr>
                <w:b/>
                <w:sz w:val="18"/>
                <w:szCs w:val="18"/>
              </w:rPr>
              <w:t>5.4</w:t>
            </w:r>
          </w:p>
        </w:tc>
        <w:tc>
          <w:tcPr>
            <w:tcW w:w="507" w:type="pct"/>
            <w:shd w:val="clear" w:color="auto" w:fill="auto"/>
            <w:vAlign w:val="bottom"/>
          </w:tcPr>
          <w:p w:rsidR="00DF64AA" w:rsidRPr="008770BD" w:rsidRDefault="00DF64AA" w:rsidP="001B56F1">
            <w:pPr>
              <w:pStyle w:val="TableBodyText"/>
              <w:rPr>
                <w:b/>
                <w:sz w:val="18"/>
                <w:szCs w:val="18"/>
              </w:rPr>
            </w:pPr>
            <w:r w:rsidRPr="008770BD">
              <w:rPr>
                <w:b/>
                <w:sz w:val="18"/>
                <w:szCs w:val="18"/>
              </w:rPr>
              <w:t>5.4</w:t>
            </w:r>
          </w:p>
        </w:tc>
        <w:tc>
          <w:tcPr>
            <w:tcW w:w="506" w:type="pct"/>
            <w:shd w:val="clear" w:color="auto" w:fill="auto"/>
            <w:vAlign w:val="bottom"/>
          </w:tcPr>
          <w:p w:rsidR="00DF64AA" w:rsidRPr="008770BD" w:rsidRDefault="00DF64AA" w:rsidP="001B56F1">
            <w:pPr>
              <w:pStyle w:val="TableBodyText"/>
              <w:rPr>
                <w:b/>
                <w:sz w:val="18"/>
                <w:szCs w:val="18"/>
              </w:rPr>
            </w:pPr>
            <w:r w:rsidRPr="008770BD">
              <w:rPr>
                <w:b/>
                <w:sz w:val="18"/>
                <w:szCs w:val="18"/>
              </w:rPr>
              <w:noBreakHyphen/>
            </w:r>
          </w:p>
        </w:tc>
      </w:tr>
      <w:tr w:rsidR="00DF64AA" w:rsidRPr="0086425C" w:rsidTr="001B56F1">
        <w:tc>
          <w:tcPr>
            <w:tcW w:w="1960" w:type="pct"/>
            <w:vAlign w:val="bottom"/>
          </w:tcPr>
          <w:p w:rsidR="00DF64AA" w:rsidRPr="008770BD" w:rsidRDefault="00DF64AA" w:rsidP="001B56F1">
            <w:pPr>
              <w:pStyle w:val="TableBodyText"/>
              <w:jc w:val="left"/>
              <w:rPr>
                <w:sz w:val="18"/>
                <w:szCs w:val="18"/>
              </w:rPr>
            </w:pPr>
            <w:r w:rsidRPr="008770BD">
              <w:rPr>
                <w:sz w:val="18"/>
                <w:szCs w:val="18"/>
              </w:rPr>
              <w:t>Food, beverages and tobacco</w:t>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t>2.5</w:t>
            </w:r>
          </w:p>
        </w:tc>
        <w:tc>
          <w:tcPr>
            <w:tcW w:w="507" w:type="pct"/>
            <w:shd w:val="clear" w:color="auto" w:fill="auto"/>
            <w:vAlign w:val="bottom"/>
          </w:tcPr>
          <w:p w:rsidR="00DF64AA" w:rsidRPr="008770BD" w:rsidRDefault="00DF64AA" w:rsidP="001B56F1">
            <w:pPr>
              <w:pStyle w:val="TableBodyText"/>
              <w:rPr>
                <w:sz w:val="18"/>
                <w:szCs w:val="18"/>
              </w:rPr>
            </w:pPr>
            <w:r w:rsidRPr="008770BD">
              <w:rPr>
                <w:sz w:val="18"/>
                <w:szCs w:val="18"/>
              </w:rPr>
              <w:t>1.9</w:t>
            </w:r>
          </w:p>
        </w:tc>
        <w:tc>
          <w:tcPr>
            <w:tcW w:w="506" w:type="pct"/>
            <w:shd w:val="clear" w:color="auto" w:fill="auto"/>
            <w:vAlign w:val="bottom"/>
          </w:tcPr>
          <w:p w:rsidR="00DF64AA" w:rsidRPr="008770BD" w:rsidRDefault="00DF64AA" w:rsidP="001B56F1">
            <w:pPr>
              <w:pStyle w:val="TableBodyText"/>
              <w:rPr>
                <w:sz w:val="18"/>
                <w:szCs w:val="18"/>
              </w:rPr>
            </w:pPr>
            <w:r w:rsidRPr="008770BD">
              <w:rPr>
                <w:sz w:val="18"/>
                <w:szCs w:val="18"/>
              </w:rPr>
              <w:noBreakHyphen/>
            </w:r>
          </w:p>
        </w:tc>
      </w:tr>
      <w:tr w:rsidR="00DF64AA" w:rsidRPr="0086425C" w:rsidTr="001B56F1">
        <w:tc>
          <w:tcPr>
            <w:tcW w:w="1960" w:type="pct"/>
            <w:vAlign w:val="bottom"/>
          </w:tcPr>
          <w:p w:rsidR="00DF64AA" w:rsidRPr="008770BD" w:rsidRDefault="00DF64AA" w:rsidP="001B56F1">
            <w:pPr>
              <w:pStyle w:val="TableBodyText"/>
              <w:jc w:val="left"/>
              <w:rPr>
                <w:sz w:val="18"/>
                <w:szCs w:val="18"/>
              </w:rPr>
            </w:pPr>
            <w:r w:rsidRPr="008770BD">
              <w:rPr>
                <w:sz w:val="18"/>
                <w:szCs w:val="18"/>
              </w:rPr>
              <w:t>Textile, leather, clothing and footwear</w:t>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t>0.2</w:t>
            </w:r>
          </w:p>
        </w:tc>
        <w:tc>
          <w:tcPr>
            <w:tcW w:w="507" w:type="pct"/>
            <w:shd w:val="clear" w:color="auto" w:fill="auto"/>
            <w:vAlign w:val="bottom"/>
          </w:tcPr>
          <w:p w:rsidR="00DF64AA" w:rsidRPr="008770BD" w:rsidRDefault="00DF64AA" w:rsidP="001B56F1">
            <w:pPr>
              <w:pStyle w:val="TableBodyText"/>
              <w:rPr>
                <w:sz w:val="18"/>
                <w:szCs w:val="18"/>
              </w:rPr>
            </w:pPr>
            <w:r w:rsidRPr="008770BD">
              <w:rPr>
                <w:sz w:val="18"/>
                <w:szCs w:val="18"/>
              </w:rPr>
              <w:t>&lt;0.1</w:t>
            </w:r>
          </w:p>
        </w:tc>
        <w:tc>
          <w:tcPr>
            <w:tcW w:w="506" w:type="pct"/>
            <w:shd w:val="clear" w:color="auto" w:fill="auto"/>
            <w:vAlign w:val="bottom"/>
          </w:tcPr>
          <w:p w:rsidR="00DF64AA" w:rsidRPr="008770BD" w:rsidRDefault="00DF64AA" w:rsidP="001B56F1">
            <w:pPr>
              <w:pStyle w:val="TableBodyText"/>
              <w:rPr>
                <w:sz w:val="18"/>
                <w:szCs w:val="18"/>
              </w:rPr>
            </w:pPr>
            <w:r w:rsidRPr="008770BD">
              <w:rPr>
                <w:sz w:val="18"/>
                <w:szCs w:val="18"/>
              </w:rPr>
              <w:noBreakHyphen/>
            </w:r>
          </w:p>
        </w:tc>
      </w:tr>
      <w:tr w:rsidR="00DF64AA" w:rsidRPr="0086425C" w:rsidTr="001B56F1">
        <w:tc>
          <w:tcPr>
            <w:tcW w:w="1960" w:type="pct"/>
            <w:vAlign w:val="bottom"/>
          </w:tcPr>
          <w:p w:rsidR="00DF64AA" w:rsidRPr="008770BD" w:rsidRDefault="00DF64AA" w:rsidP="001B56F1">
            <w:pPr>
              <w:pStyle w:val="TableBodyText"/>
              <w:jc w:val="left"/>
              <w:rPr>
                <w:sz w:val="18"/>
                <w:szCs w:val="18"/>
              </w:rPr>
            </w:pPr>
            <w:r w:rsidRPr="008770BD">
              <w:rPr>
                <w:sz w:val="18"/>
                <w:szCs w:val="18"/>
              </w:rPr>
              <w:t>Petroleum, coal, chemical and rubber products</w:t>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t>0.3</w:t>
            </w:r>
          </w:p>
        </w:tc>
        <w:tc>
          <w:tcPr>
            <w:tcW w:w="507" w:type="pct"/>
            <w:shd w:val="clear" w:color="auto" w:fill="auto"/>
            <w:vAlign w:val="bottom"/>
          </w:tcPr>
          <w:p w:rsidR="00DF64AA" w:rsidRPr="008770BD" w:rsidRDefault="00DF64AA" w:rsidP="001B56F1">
            <w:pPr>
              <w:pStyle w:val="TableBodyText"/>
              <w:rPr>
                <w:sz w:val="18"/>
                <w:szCs w:val="18"/>
              </w:rPr>
            </w:pPr>
            <w:r w:rsidRPr="008770BD">
              <w:rPr>
                <w:sz w:val="18"/>
                <w:szCs w:val="18"/>
              </w:rPr>
              <w:noBreakHyphen/>
            </w:r>
          </w:p>
        </w:tc>
        <w:tc>
          <w:tcPr>
            <w:tcW w:w="506" w:type="pct"/>
            <w:shd w:val="clear" w:color="auto" w:fill="auto"/>
            <w:vAlign w:val="bottom"/>
          </w:tcPr>
          <w:p w:rsidR="00DF64AA" w:rsidRPr="008770BD" w:rsidRDefault="00DF64AA" w:rsidP="001B56F1">
            <w:pPr>
              <w:pStyle w:val="TableBodyText"/>
              <w:rPr>
                <w:sz w:val="18"/>
                <w:szCs w:val="18"/>
              </w:rPr>
            </w:pPr>
            <w:r w:rsidRPr="008770BD">
              <w:rPr>
                <w:sz w:val="18"/>
                <w:szCs w:val="18"/>
              </w:rPr>
              <w:noBreakHyphen/>
            </w:r>
          </w:p>
        </w:tc>
      </w:tr>
      <w:tr w:rsidR="00DF64AA" w:rsidRPr="0086425C" w:rsidTr="001B56F1">
        <w:tc>
          <w:tcPr>
            <w:tcW w:w="1960" w:type="pct"/>
            <w:vAlign w:val="bottom"/>
          </w:tcPr>
          <w:p w:rsidR="00DF64AA" w:rsidRPr="008770BD" w:rsidRDefault="00DF64AA" w:rsidP="00821748">
            <w:pPr>
              <w:pStyle w:val="TableBodyText"/>
              <w:jc w:val="left"/>
              <w:rPr>
                <w:sz w:val="18"/>
                <w:szCs w:val="18"/>
              </w:rPr>
            </w:pPr>
            <w:r w:rsidRPr="008770BD">
              <w:rPr>
                <w:sz w:val="18"/>
                <w:szCs w:val="18"/>
              </w:rPr>
              <w:t>Non-</w:t>
            </w:r>
            <w:r w:rsidR="00821748">
              <w:rPr>
                <w:sz w:val="18"/>
                <w:szCs w:val="18"/>
              </w:rPr>
              <w:t>m</w:t>
            </w:r>
            <w:r w:rsidRPr="008770BD">
              <w:rPr>
                <w:sz w:val="18"/>
                <w:szCs w:val="18"/>
              </w:rPr>
              <w:t>etallic mineral products</w:t>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t>0.4</w:t>
            </w:r>
          </w:p>
        </w:tc>
        <w:tc>
          <w:tcPr>
            <w:tcW w:w="507" w:type="pct"/>
            <w:shd w:val="clear" w:color="auto" w:fill="auto"/>
            <w:vAlign w:val="bottom"/>
          </w:tcPr>
          <w:p w:rsidR="00DF64AA" w:rsidRPr="008770BD" w:rsidRDefault="00DF64AA" w:rsidP="001B56F1">
            <w:pPr>
              <w:pStyle w:val="TableBodyText"/>
              <w:rPr>
                <w:sz w:val="18"/>
                <w:szCs w:val="18"/>
              </w:rPr>
            </w:pPr>
            <w:r w:rsidRPr="008770BD">
              <w:rPr>
                <w:sz w:val="18"/>
                <w:szCs w:val="18"/>
              </w:rPr>
              <w:t>&lt;0.1</w:t>
            </w:r>
          </w:p>
        </w:tc>
        <w:tc>
          <w:tcPr>
            <w:tcW w:w="506" w:type="pct"/>
            <w:shd w:val="clear" w:color="auto" w:fill="auto"/>
            <w:vAlign w:val="bottom"/>
          </w:tcPr>
          <w:p w:rsidR="00DF64AA" w:rsidRPr="008770BD" w:rsidRDefault="00DF64AA" w:rsidP="001B56F1">
            <w:pPr>
              <w:pStyle w:val="TableBodyText"/>
              <w:rPr>
                <w:sz w:val="18"/>
                <w:szCs w:val="18"/>
              </w:rPr>
            </w:pPr>
            <w:r w:rsidRPr="008770BD">
              <w:rPr>
                <w:sz w:val="18"/>
                <w:szCs w:val="18"/>
              </w:rPr>
              <w:noBreakHyphen/>
            </w:r>
          </w:p>
        </w:tc>
      </w:tr>
      <w:tr w:rsidR="00DF64AA" w:rsidRPr="0086425C" w:rsidTr="001B56F1">
        <w:tc>
          <w:tcPr>
            <w:tcW w:w="1960" w:type="pct"/>
            <w:vAlign w:val="bottom"/>
          </w:tcPr>
          <w:p w:rsidR="00DF64AA" w:rsidRPr="008770BD" w:rsidRDefault="00DF64AA" w:rsidP="001B56F1">
            <w:pPr>
              <w:pStyle w:val="TableBodyText"/>
              <w:jc w:val="left"/>
              <w:rPr>
                <w:sz w:val="18"/>
                <w:szCs w:val="18"/>
              </w:rPr>
            </w:pPr>
            <w:r w:rsidRPr="008770BD">
              <w:rPr>
                <w:sz w:val="18"/>
                <w:szCs w:val="18"/>
              </w:rPr>
              <w:t>Metal and fabricated metal products</w:t>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t>0.8</w:t>
            </w:r>
          </w:p>
        </w:tc>
        <w:tc>
          <w:tcPr>
            <w:tcW w:w="507" w:type="pct"/>
            <w:shd w:val="clear" w:color="auto" w:fill="auto"/>
            <w:vAlign w:val="bottom"/>
          </w:tcPr>
          <w:p w:rsidR="00DF64AA" w:rsidRPr="008770BD" w:rsidRDefault="00DF64AA" w:rsidP="001B56F1">
            <w:pPr>
              <w:pStyle w:val="TableBodyText"/>
              <w:rPr>
                <w:sz w:val="18"/>
                <w:szCs w:val="18"/>
              </w:rPr>
            </w:pPr>
            <w:r w:rsidRPr="008770BD">
              <w:rPr>
                <w:sz w:val="18"/>
                <w:szCs w:val="18"/>
              </w:rPr>
              <w:t>1.3</w:t>
            </w:r>
          </w:p>
        </w:tc>
        <w:tc>
          <w:tcPr>
            <w:tcW w:w="506" w:type="pct"/>
            <w:shd w:val="clear" w:color="auto" w:fill="auto"/>
            <w:vAlign w:val="bottom"/>
          </w:tcPr>
          <w:p w:rsidR="00DF64AA" w:rsidRPr="008770BD" w:rsidRDefault="00DF64AA" w:rsidP="001B56F1">
            <w:pPr>
              <w:pStyle w:val="TableBodyText"/>
              <w:rPr>
                <w:sz w:val="18"/>
                <w:szCs w:val="18"/>
              </w:rPr>
            </w:pPr>
            <w:r w:rsidRPr="008770BD">
              <w:rPr>
                <w:sz w:val="18"/>
                <w:szCs w:val="18"/>
              </w:rPr>
              <w:noBreakHyphen/>
            </w:r>
          </w:p>
        </w:tc>
      </w:tr>
      <w:tr w:rsidR="00DF64AA" w:rsidRPr="0086425C" w:rsidTr="001B56F1">
        <w:tc>
          <w:tcPr>
            <w:tcW w:w="1960" w:type="pct"/>
            <w:vAlign w:val="bottom"/>
          </w:tcPr>
          <w:p w:rsidR="00DF64AA" w:rsidRPr="008770BD" w:rsidRDefault="00DF64AA" w:rsidP="001B56F1">
            <w:pPr>
              <w:pStyle w:val="TableBodyText"/>
              <w:jc w:val="left"/>
              <w:rPr>
                <w:sz w:val="18"/>
                <w:szCs w:val="18"/>
              </w:rPr>
            </w:pPr>
            <w:r w:rsidRPr="008770BD">
              <w:rPr>
                <w:sz w:val="18"/>
                <w:szCs w:val="18"/>
              </w:rPr>
              <w:t>Other transport equipment</w:t>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t>0.1</w:t>
            </w:r>
          </w:p>
        </w:tc>
        <w:tc>
          <w:tcPr>
            <w:tcW w:w="507" w:type="pct"/>
            <w:shd w:val="clear" w:color="auto" w:fill="auto"/>
            <w:vAlign w:val="bottom"/>
          </w:tcPr>
          <w:p w:rsidR="00DF64AA" w:rsidRPr="008770BD" w:rsidRDefault="00DF64AA" w:rsidP="001B56F1">
            <w:pPr>
              <w:pStyle w:val="TableBodyText"/>
              <w:rPr>
                <w:sz w:val="18"/>
                <w:szCs w:val="18"/>
              </w:rPr>
            </w:pPr>
            <w:r w:rsidRPr="008770BD">
              <w:rPr>
                <w:sz w:val="18"/>
                <w:szCs w:val="18"/>
              </w:rPr>
              <w:t>&lt;0.1</w:t>
            </w:r>
          </w:p>
        </w:tc>
        <w:tc>
          <w:tcPr>
            <w:tcW w:w="506" w:type="pct"/>
            <w:shd w:val="clear" w:color="auto" w:fill="auto"/>
            <w:vAlign w:val="bottom"/>
          </w:tcPr>
          <w:p w:rsidR="00DF64AA" w:rsidRPr="008770BD" w:rsidRDefault="00DF64AA" w:rsidP="001B56F1">
            <w:pPr>
              <w:pStyle w:val="TableBodyText"/>
              <w:rPr>
                <w:sz w:val="18"/>
                <w:szCs w:val="18"/>
              </w:rPr>
            </w:pPr>
            <w:r w:rsidRPr="008770BD">
              <w:rPr>
                <w:sz w:val="18"/>
                <w:szCs w:val="18"/>
              </w:rPr>
              <w:noBreakHyphen/>
            </w:r>
          </w:p>
        </w:tc>
      </w:tr>
      <w:tr w:rsidR="00DF64AA" w:rsidRPr="0086425C" w:rsidTr="001B56F1">
        <w:tc>
          <w:tcPr>
            <w:tcW w:w="1960" w:type="pct"/>
            <w:vAlign w:val="bottom"/>
          </w:tcPr>
          <w:p w:rsidR="00DF64AA" w:rsidRPr="008770BD" w:rsidRDefault="00DF64AA" w:rsidP="001B56F1">
            <w:pPr>
              <w:pStyle w:val="TableBodyText"/>
              <w:jc w:val="left"/>
              <w:rPr>
                <w:sz w:val="18"/>
                <w:szCs w:val="18"/>
              </w:rPr>
            </w:pPr>
            <w:r w:rsidRPr="008770BD">
              <w:rPr>
                <w:sz w:val="18"/>
                <w:szCs w:val="18"/>
              </w:rPr>
              <w:t>Machinery and equipment manufacturing</w:t>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t>0.9</w:t>
            </w:r>
          </w:p>
        </w:tc>
        <w:tc>
          <w:tcPr>
            <w:tcW w:w="507" w:type="pct"/>
            <w:shd w:val="clear" w:color="auto" w:fill="auto"/>
            <w:vAlign w:val="bottom"/>
          </w:tcPr>
          <w:p w:rsidR="00DF64AA" w:rsidRPr="008770BD" w:rsidRDefault="00DF64AA" w:rsidP="001B56F1">
            <w:pPr>
              <w:pStyle w:val="TableBodyText"/>
              <w:rPr>
                <w:sz w:val="18"/>
                <w:szCs w:val="18"/>
              </w:rPr>
            </w:pPr>
            <w:r w:rsidRPr="008770BD">
              <w:rPr>
                <w:sz w:val="18"/>
                <w:szCs w:val="18"/>
              </w:rPr>
              <w:t>0.6</w:t>
            </w:r>
          </w:p>
        </w:tc>
        <w:tc>
          <w:tcPr>
            <w:tcW w:w="506" w:type="pct"/>
            <w:shd w:val="clear" w:color="auto" w:fill="auto"/>
            <w:vAlign w:val="bottom"/>
          </w:tcPr>
          <w:p w:rsidR="00DF64AA" w:rsidRPr="008770BD" w:rsidRDefault="00DF64AA" w:rsidP="001B56F1">
            <w:pPr>
              <w:pStyle w:val="TableBodyText"/>
              <w:rPr>
                <w:sz w:val="18"/>
                <w:szCs w:val="18"/>
              </w:rPr>
            </w:pPr>
            <w:r w:rsidRPr="008770BD">
              <w:rPr>
                <w:sz w:val="18"/>
                <w:szCs w:val="18"/>
              </w:rPr>
              <w:noBreakHyphen/>
            </w:r>
          </w:p>
        </w:tc>
      </w:tr>
      <w:tr w:rsidR="00DF64AA" w:rsidRPr="0086425C" w:rsidTr="001B56F1">
        <w:tc>
          <w:tcPr>
            <w:tcW w:w="1960" w:type="pct"/>
            <w:vAlign w:val="bottom"/>
          </w:tcPr>
          <w:p w:rsidR="00DF64AA" w:rsidRPr="008770BD" w:rsidRDefault="00DF64AA" w:rsidP="001B56F1">
            <w:pPr>
              <w:pStyle w:val="TableBodyText"/>
              <w:jc w:val="left"/>
              <w:rPr>
                <w:sz w:val="18"/>
                <w:szCs w:val="18"/>
              </w:rPr>
            </w:pPr>
            <w:r w:rsidRPr="008770BD">
              <w:rPr>
                <w:sz w:val="18"/>
                <w:szCs w:val="18"/>
              </w:rPr>
              <w:t>Furniture and other manufacturing</w:t>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t>0.1</w:t>
            </w:r>
          </w:p>
        </w:tc>
        <w:tc>
          <w:tcPr>
            <w:tcW w:w="507" w:type="pct"/>
            <w:shd w:val="clear" w:color="auto" w:fill="auto"/>
            <w:vAlign w:val="bottom"/>
          </w:tcPr>
          <w:p w:rsidR="00DF64AA" w:rsidRPr="008770BD" w:rsidRDefault="00DF64AA" w:rsidP="001B56F1">
            <w:pPr>
              <w:pStyle w:val="TableBodyText"/>
              <w:rPr>
                <w:sz w:val="18"/>
                <w:szCs w:val="18"/>
              </w:rPr>
            </w:pPr>
            <w:r w:rsidRPr="008770BD">
              <w:rPr>
                <w:sz w:val="18"/>
                <w:szCs w:val="18"/>
              </w:rPr>
              <w:t>1.5</w:t>
            </w:r>
          </w:p>
        </w:tc>
        <w:tc>
          <w:tcPr>
            <w:tcW w:w="506" w:type="pct"/>
            <w:shd w:val="clear" w:color="auto" w:fill="auto"/>
            <w:vAlign w:val="bottom"/>
          </w:tcPr>
          <w:p w:rsidR="00DF64AA" w:rsidRPr="008770BD" w:rsidRDefault="00DF64AA" w:rsidP="001B56F1">
            <w:pPr>
              <w:pStyle w:val="TableBodyText"/>
              <w:rPr>
                <w:sz w:val="18"/>
                <w:szCs w:val="18"/>
              </w:rPr>
            </w:pPr>
            <w:r w:rsidRPr="008770BD">
              <w:rPr>
                <w:sz w:val="18"/>
                <w:szCs w:val="18"/>
              </w:rPr>
              <w:noBreakHyphen/>
            </w:r>
          </w:p>
        </w:tc>
      </w:tr>
      <w:tr w:rsidR="00DF64AA" w:rsidRPr="0086425C" w:rsidTr="001B56F1">
        <w:tc>
          <w:tcPr>
            <w:tcW w:w="1960" w:type="pct"/>
            <w:vAlign w:val="bottom"/>
          </w:tcPr>
          <w:p w:rsidR="00DF64AA" w:rsidRPr="008770BD" w:rsidRDefault="00DF64AA" w:rsidP="001B56F1">
            <w:pPr>
              <w:pStyle w:val="TableBodyText"/>
              <w:jc w:val="left"/>
              <w:rPr>
                <w:b/>
                <w:sz w:val="18"/>
                <w:szCs w:val="18"/>
              </w:rPr>
            </w:pPr>
            <w:r w:rsidRPr="008770BD">
              <w:rPr>
                <w:b/>
                <w:sz w:val="18"/>
                <w:szCs w:val="18"/>
              </w:rPr>
              <w:t>Services</w:t>
            </w:r>
          </w:p>
        </w:tc>
        <w:tc>
          <w:tcPr>
            <w:tcW w:w="507" w:type="pct"/>
            <w:vAlign w:val="bottom"/>
          </w:tcPr>
          <w:p w:rsidR="00DF64AA" w:rsidRPr="008770BD" w:rsidRDefault="00DF64AA" w:rsidP="001B56F1">
            <w:pPr>
              <w:pStyle w:val="TableBodyText"/>
              <w:rPr>
                <w:b/>
                <w:sz w:val="18"/>
                <w:szCs w:val="18"/>
              </w:rPr>
            </w:pPr>
            <w:r w:rsidRPr="008770BD">
              <w:rPr>
                <w:b/>
                <w:sz w:val="18"/>
                <w:szCs w:val="18"/>
              </w:rPr>
              <w:noBreakHyphen/>
            </w:r>
          </w:p>
        </w:tc>
        <w:tc>
          <w:tcPr>
            <w:tcW w:w="507" w:type="pct"/>
            <w:vAlign w:val="bottom"/>
          </w:tcPr>
          <w:p w:rsidR="00DF64AA" w:rsidRPr="008770BD" w:rsidRDefault="00DF64AA" w:rsidP="001B56F1">
            <w:pPr>
              <w:pStyle w:val="TableBodyText"/>
              <w:rPr>
                <w:b/>
                <w:sz w:val="18"/>
                <w:szCs w:val="18"/>
              </w:rPr>
            </w:pPr>
            <w:r w:rsidRPr="008770BD">
              <w:rPr>
                <w:b/>
                <w:sz w:val="18"/>
                <w:szCs w:val="18"/>
              </w:rPr>
              <w:noBreakHyphen/>
            </w:r>
          </w:p>
        </w:tc>
        <w:tc>
          <w:tcPr>
            <w:tcW w:w="507" w:type="pct"/>
            <w:vAlign w:val="bottom"/>
          </w:tcPr>
          <w:p w:rsidR="00DF64AA" w:rsidRPr="008770BD" w:rsidRDefault="00DF64AA" w:rsidP="001B56F1">
            <w:pPr>
              <w:pStyle w:val="TableBodyText"/>
              <w:rPr>
                <w:b/>
                <w:sz w:val="18"/>
                <w:szCs w:val="18"/>
              </w:rPr>
            </w:pPr>
            <w:r w:rsidRPr="008770BD">
              <w:rPr>
                <w:b/>
                <w:sz w:val="18"/>
                <w:szCs w:val="18"/>
              </w:rPr>
              <w:noBreakHyphen/>
            </w:r>
          </w:p>
        </w:tc>
        <w:tc>
          <w:tcPr>
            <w:tcW w:w="507" w:type="pct"/>
            <w:vAlign w:val="bottom"/>
          </w:tcPr>
          <w:p w:rsidR="00DF64AA" w:rsidRPr="008770BD" w:rsidRDefault="00DF64AA" w:rsidP="001B56F1">
            <w:pPr>
              <w:pStyle w:val="TableBodyText"/>
              <w:rPr>
                <w:b/>
                <w:sz w:val="18"/>
                <w:szCs w:val="18"/>
              </w:rPr>
            </w:pPr>
            <w:r w:rsidRPr="008770BD">
              <w:rPr>
                <w:b/>
                <w:sz w:val="18"/>
                <w:szCs w:val="18"/>
              </w:rPr>
              <w:t>1.7</w:t>
            </w:r>
          </w:p>
        </w:tc>
        <w:tc>
          <w:tcPr>
            <w:tcW w:w="507" w:type="pct"/>
            <w:shd w:val="clear" w:color="auto" w:fill="auto"/>
            <w:vAlign w:val="bottom"/>
          </w:tcPr>
          <w:p w:rsidR="00DF64AA" w:rsidRPr="008770BD" w:rsidRDefault="00DF64AA" w:rsidP="001B56F1">
            <w:pPr>
              <w:pStyle w:val="TableBodyText"/>
              <w:rPr>
                <w:b/>
                <w:sz w:val="18"/>
                <w:szCs w:val="18"/>
              </w:rPr>
            </w:pPr>
            <w:r w:rsidRPr="008770BD">
              <w:rPr>
                <w:b/>
                <w:sz w:val="18"/>
                <w:szCs w:val="18"/>
              </w:rPr>
              <w:t>0.7</w:t>
            </w:r>
          </w:p>
        </w:tc>
        <w:tc>
          <w:tcPr>
            <w:tcW w:w="506" w:type="pct"/>
            <w:shd w:val="clear" w:color="auto" w:fill="auto"/>
            <w:vAlign w:val="bottom"/>
          </w:tcPr>
          <w:p w:rsidR="00DF64AA" w:rsidRPr="008770BD" w:rsidRDefault="00DF64AA" w:rsidP="001B56F1">
            <w:pPr>
              <w:pStyle w:val="TableBodyText"/>
              <w:rPr>
                <w:b/>
                <w:sz w:val="18"/>
                <w:szCs w:val="18"/>
              </w:rPr>
            </w:pPr>
            <w:r w:rsidRPr="008770BD">
              <w:rPr>
                <w:b/>
                <w:sz w:val="18"/>
                <w:szCs w:val="18"/>
              </w:rPr>
              <w:noBreakHyphen/>
            </w:r>
          </w:p>
        </w:tc>
      </w:tr>
      <w:tr w:rsidR="00DF64AA" w:rsidRPr="0086425C" w:rsidTr="001B56F1">
        <w:tc>
          <w:tcPr>
            <w:tcW w:w="1960" w:type="pct"/>
            <w:vAlign w:val="bottom"/>
          </w:tcPr>
          <w:p w:rsidR="00DF64AA" w:rsidRPr="008770BD" w:rsidRDefault="00DF64AA" w:rsidP="001B56F1">
            <w:pPr>
              <w:pStyle w:val="TableBodyText"/>
              <w:jc w:val="left"/>
              <w:rPr>
                <w:sz w:val="18"/>
                <w:szCs w:val="18"/>
              </w:rPr>
            </w:pPr>
            <w:r w:rsidRPr="008770BD">
              <w:rPr>
                <w:sz w:val="18"/>
                <w:szCs w:val="18"/>
              </w:rPr>
              <w:t>Construction</w:t>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t>0.9</w:t>
            </w:r>
          </w:p>
        </w:tc>
        <w:tc>
          <w:tcPr>
            <w:tcW w:w="507" w:type="pct"/>
            <w:shd w:val="clear" w:color="auto" w:fill="auto"/>
            <w:vAlign w:val="bottom"/>
          </w:tcPr>
          <w:p w:rsidR="00DF64AA" w:rsidRPr="008770BD" w:rsidRDefault="00DF64AA" w:rsidP="001B56F1">
            <w:pPr>
              <w:pStyle w:val="TableBodyText"/>
              <w:rPr>
                <w:sz w:val="18"/>
                <w:szCs w:val="18"/>
              </w:rPr>
            </w:pPr>
            <w:r w:rsidRPr="008770BD">
              <w:rPr>
                <w:sz w:val="18"/>
                <w:szCs w:val="18"/>
              </w:rPr>
              <w:t>0.6</w:t>
            </w:r>
          </w:p>
        </w:tc>
        <w:tc>
          <w:tcPr>
            <w:tcW w:w="506" w:type="pct"/>
            <w:shd w:val="clear" w:color="auto" w:fill="auto"/>
            <w:vAlign w:val="bottom"/>
          </w:tcPr>
          <w:p w:rsidR="00DF64AA" w:rsidRPr="008770BD" w:rsidRDefault="00DF64AA" w:rsidP="001B56F1">
            <w:pPr>
              <w:pStyle w:val="TableBodyText"/>
              <w:rPr>
                <w:sz w:val="18"/>
                <w:szCs w:val="18"/>
              </w:rPr>
            </w:pPr>
            <w:r w:rsidRPr="008770BD">
              <w:rPr>
                <w:sz w:val="18"/>
                <w:szCs w:val="18"/>
              </w:rPr>
              <w:noBreakHyphen/>
            </w:r>
          </w:p>
        </w:tc>
      </w:tr>
      <w:tr w:rsidR="00DF64AA" w:rsidRPr="0086425C" w:rsidTr="001B56F1">
        <w:tc>
          <w:tcPr>
            <w:tcW w:w="1960" w:type="pct"/>
            <w:vAlign w:val="bottom"/>
          </w:tcPr>
          <w:p w:rsidR="00DF64AA" w:rsidRPr="008770BD" w:rsidRDefault="00DF64AA" w:rsidP="001B56F1">
            <w:pPr>
              <w:pStyle w:val="TableBodyText"/>
              <w:jc w:val="left"/>
              <w:rPr>
                <w:sz w:val="18"/>
                <w:szCs w:val="18"/>
              </w:rPr>
            </w:pPr>
            <w:r w:rsidRPr="008770BD">
              <w:rPr>
                <w:sz w:val="18"/>
                <w:szCs w:val="18"/>
              </w:rPr>
              <w:t>Wholesale trade</w:t>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t>0.2</w:t>
            </w:r>
          </w:p>
        </w:tc>
        <w:tc>
          <w:tcPr>
            <w:tcW w:w="507" w:type="pct"/>
            <w:shd w:val="clear" w:color="auto" w:fill="auto"/>
            <w:vAlign w:val="bottom"/>
          </w:tcPr>
          <w:p w:rsidR="00DF64AA" w:rsidRPr="008770BD" w:rsidRDefault="00DF64AA" w:rsidP="001B56F1">
            <w:pPr>
              <w:pStyle w:val="TableBodyText"/>
              <w:rPr>
                <w:sz w:val="18"/>
                <w:szCs w:val="18"/>
              </w:rPr>
            </w:pPr>
            <w:r w:rsidRPr="008770BD">
              <w:rPr>
                <w:sz w:val="18"/>
                <w:szCs w:val="18"/>
              </w:rPr>
              <w:t>&lt;0.1</w:t>
            </w:r>
          </w:p>
        </w:tc>
        <w:tc>
          <w:tcPr>
            <w:tcW w:w="506" w:type="pct"/>
            <w:shd w:val="clear" w:color="auto" w:fill="auto"/>
            <w:vAlign w:val="bottom"/>
          </w:tcPr>
          <w:p w:rsidR="00DF64AA" w:rsidRPr="008770BD" w:rsidRDefault="00DF64AA" w:rsidP="001B56F1">
            <w:pPr>
              <w:pStyle w:val="TableBodyText"/>
              <w:rPr>
                <w:sz w:val="18"/>
                <w:szCs w:val="18"/>
              </w:rPr>
            </w:pPr>
            <w:r w:rsidRPr="008770BD">
              <w:rPr>
                <w:sz w:val="18"/>
                <w:szCs w:val="18"/>
              </w:rPr>
              <w:noBreakHyphen/>
            </w:r>
          </w:p>
        </w:tc>
      </w:tr>
      <w:tr w:rsidR="00DF64AA" w:rsidRPr="0086425C" w:rsidTr="001B56F1">
        <w:tc>
          <w:tcPr>
            <w:tcW w:w="1960" w:type="pct"/>
            <w:vAlign w:val="bottom"/>
          </w:tcPr>
          <w:p w:rsidR="00DF64AA" w:rsidRPr="008770BD" w:rsidRDefault="00DF64AA" w:rsidP="001B56F1">
            <w:pPr>
              <w:pStyle w:val="TableBodyText"/>
              <w:jc w:val="left"/>
              <w:rPr>
                <w:sz w:val="18"/>
                <w:szCs w:val="18"/>
              </w:rPr>
            </w:pPr>
            <w:r w:rsidRPr="008770BD">
              <w:rPr>
                <w:sz w:val="18"/>
                <w:szCs w:val="18"/>
              </w:rPr>
              <w:t>Retail trade</w:t>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t>0.3</w:t>
            </w:r>
          </w:p>
        </w:tc>
        <w:tc>
          <w:tcPr>
            <w:tcW w:w="507" w:type="pct"/>
            <w:shd w:val="clear" w:color="auto" w:fill="auto"/>
            <w:vAlign w:val="bottom"/>
          </w:tcPr>
          <w:p w:rsidR="00DF64AA" w:rsidRPr="008770BD" w:rsidRDefault="00DF64AA" w:rsidP="001B56F1">
            <w:pPr>
              <w:pStyle w:val="TableBodyText"/>
              <w:rPr>
                <w:sz w:val="18"/>
                <w:szCs w:val="18"/>
              </w:rPr>
            </w:pPr>
            <w:r w:rsidRPr="008770BD">
              <w:rPr>
                <w:sz w:val="18"/>
                <w:szCs w:val="18"/>
              </w:rPr>
              <w:t>&lt;0.1</w:t>
            </w:r>
          </w:p>
        </w:tc>
        <w:tc>
          <w:tcPr>
            <w:tcW w:w="506" w:type="pct"/>
            <w:shd w:val="clear" w:color="auto" w:fill="auto"/>
            <w:vAlign w:val="bottom"/>
          </w:tcPr>
          <w:p w:rsidR="00DF64AA" w:rsidRPr="008770BD" w:rsidRDefault="00DF64AA" w:rsidP="001B56F1">
            <w:pPr>
              <w:pStyle w:val="TableBodyText"/>
              <w:rPr>
                <w:sz w:val="18"/>
                <w:szCs w:val="18"/>
              </w:rPr>
            </w:pPr>
            <w:r w:rsidRPr="008770BD">
              <w:rPr>
                <w:sz w:val="18"/>
                <w:szCs w:val="18"/>
              </w:rPr>
              <w:noBreakHyphen/>
            </w:r>
          </w:p>
        </w:tc>
      </w:tr>
      <w:tr w:rsidR="00DF64AA" w:rsidRPr="0086425C" w:rsidTr="001B56F1">
        <w:tc>
          <w:tcPr>
            <w:tcW w:w="1960" w:type="pct"/>
            <w:vAlign w:val="bottom"/>
          </w:tcPr>
          <w:p w:rsidR="00DF64AA" w:rsidRPr="008770BD" w:rsidRDefault="00DF64AA" w:rsidP="001B56F1">
            <w:pPr>
              <w:pStyle w:val="TableBodyText"/>
              <w:jc w:val="left"/>
              <w:rPr>
                <w:sz w:val="18"/>
                <w:szCs w:val="18"/>
              </w:rPr>
            </w:pPr>
            <w:r w:rsidRPr="008770BD">
              <w:rPr>
                <w:sz w:val="18"/>
                <w:szCs w:val="18"/>
              </w:rPr>
              <w:t>Transport, postal and warehousing</w:t>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t>&lt;0.1</w:t>
            </w:r>
          </w:p>
        </w:tc>
        <w:tc>
          <w:tcPr>
            <w:tcW w:w="507" w:type="pct"/>
            <w:shd w:val="clear" w:color="auto" w:fill="auto"/>
            <w:vAlign w:val="bottom"/>
          </w:tcPr>
          <w:p w:rsidR="00DF64AA" w:rsidRPr="008770BD" w:rsidRDefault="00DF64AA" w:rsidP="001B56F1">
            <w:pPr>
              <w:pStyle w:val="TableBodyText"/>
              <w:rPr>
                <w:sz w:val="18"/>
                <w:szCs w:val="18"/>
              </w:rPr>
            </w:pPr>
            <w:r w:rsidRPr="008770BD">
              <w:rPr>
                <w:sz w:val="18"/>
                <w:szCs w:val="18"/>
              </w:rPr>
              <w:noBreakHyphen/>
            </w:r>
          </w:p>
        </w:tc>
        <w:tc>
          <w:tcPr>
            <w:tcW w:w="506" w:type="pct"/>
            <w:shd w:val="clear" w:color="auto" w:fill="auto"/>
            <w:vAlign w:val="bottom"/>
          </w:tcPr>
          <w:p w:rsidR="00DF64AA" w:rsidRPr="008770BD" w:rsidRDefault="00DF64AA" w:rsidP="001B56F1">
            <w:pPr>
              <w:pStyle w:val="TableBodyText"/>
              <w:rPr>
                <w:sz w:val="18"/>
                <w:szCs w:val="18"/>
              </w:rPr>
            </w:pPr>
            <w:r w:rsidRPr="008770BD">
              <w:rPr>
                <w:sz w:val="18"/>
                <w:szCs w:val="18"/>
              </w:rPr>
              <w:noBreakHyphen/>
            </w:r>
          </w:p>
        </w:tc>
      </w:tr>
      <w:tr w:rsidR="00DF64AA" w:rsidRPr="0086425C" w:rsidTr="001B56F1">
        <w:tc>
          <w:tcPr>
            <w:tcW w:w="1960" w:type="pct"/>
            <w:vAlign w:val="bottom"/>
          </w:tcPr>
          <w:p w:rsidR="00DF64AA" w:rsidRPr="008770BD" w:rsidRDefault="00DF64AA" w:rsidP="001B56F1">
            <w:pPr>
              <w:pStyle w:val="TableBodyText"/>
              <w:jc w:val="left"/>
              <w:rPr>
                <w:sz w:val="18"/>
                <w:szCs w:val="18"/>
              </w:rPr>
            </w:pPr>
            <w:r w:rsidRPr="008770BD">
              <w:rPr>
                <w:sz w:val="18"/>
                <w:szCs w:val="18"/>
              </w:rPr>
              <w:t>Information, media and telecommunications</w:t>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t>&lt;0.1</w:t>
            </w:r>
          </w:p>
        </w:tc>
        <w:tc>
          <w:tcPr>
            <w:tcW w:w="507" w:type="pct"/>
            <w:shd w:val="clear" w:color="auto" w:fill="auto"/>
            <w:vAlign w:val="bottom"/>
          </w:tcPr>
          <w:p w:rsidR="00DF64AA" w:rsidRPr="008770BD" w:rsidRDefault="00DF64AA" w:rsidP="001B56F1">
            <w:pPr>
              <w:pStyle w:val="TableBodyText"/>
              <w:rPr>
                <w:sz w:val="18"/>
                <w:szCs w:val="18"/>
              </w:rPr>
            </w:pPr>
            <w:r w:rsidRPr="008770BD">
              <w:rPr>
                <w:sz w:val="18"/>
                <w:szCs w:val="18"/>
              </w:rPr>
              <w:t>&lt;0.1</w:t>
            </w:r>
          </w:p>
        </w:tc>
        <w:tc>
          <w:tcPr>
            <w:tcW w:w="506" w:type="pct"/>
            <w:shd w:val="clear" w:color="auto" w:fill="auto"/>
            <w:vAlign w:val="bottom"/>
          </w:tcPr>
          <w:p w:rsidR="00DF64AA" w:rsidRPr="008770BD" w:rsidRDefault="00DF64AA" w:rsidP="001B56F1">
            <w:pPr>
              <w:pStyle w:val="TableBodyText"/>
              <w:rPr>
                <w:sz w:val="18"/>
                <w:szCs w:val="18"/>
              </w:rPr>
            </w:pPr>
            <w:r w:rsidRPr="008770BD">
              <w:rPr>
                <w:sz w:val="18"/>
                <w:szCs w:val="18"/>
              </w:rPr>
              <w:noBreakHyphen/>
            </w:r>
          </w:p>
        </w:tc>
      </w:tr>
      <w:tr w:rsidR="00DF64AA" w:rsidRPr="0086425C" w:rsidTr="001B56F1">
        <w:tc>
          <w:tcPr>
            <w:tcW w:w="1960" w:type="pct"/>
            <w:vAlign w:val="bottom"/>
          </w:tcPr>
          <w:p w:rsidR="00DF64AA" w:rsidRPr="008770BD" w:rsidRDefault="00DF64AA" w:rsidP="001B56F1">
            <w:pPr>
              <w:pStyle w:val="TableBodyText"/>
              <w:jc w:val="left"/>
              <w:rPr>
                <w:sz w:val="18"/>
                <w:szCs w:val="18"/>
              </w:rPr>
            </w:pPr>
            <w:r w:rsidRPr="008770BD">
              <w:rPr>
                <w:sz w:val="18"/>
                <w:szCs w:val="18"/>
              </w:rPr>
              <w:t>Other services</w:t>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t>&lt;0.1</w:t>
            </w:r>
          </w:p>
        </w:tc>
        <w:tc>
          <w:tcPr>
            <w:tcW w:w="507" w:type="pct"/>
            <w:shd w:val="clear" w:color="auto" w:fill="auto"/>
            <w:vAlign w:val="bottom"/>
          </w:tcPr>
          <w:p w:rsidR="00DF64AA" w:rsidRPr="008770BD" w:rsidRDefault="00DF64AA" w:rsidP="001B56F1">
            <w:pPr>
              <w:pStyle w:val="TableBodyText"/>
              <w:rPr>
                <w:sz w:val="18"/>
                <w:szCs w:val="18"/>
              </w:rPr>
            </w:pPr>
            <w:r w:rsidRPr="008770BD">
              <w:rPr>
                <w:sz w:val="18"/>
                <w:szCs w:val="18"/>
              </w:rPr>
              <w:t>&lt;0.1</w:t>
            </w:r>
          </w:p>
        </w:tc>
        <w:tc>
          <w:tcPr>
            <w:tcW w:w="506" w:type="pct"/>
            <w:shd w:val="clear" w:color="auto" w:fill="auto"/>
            <w:vAlign w:val="bottom"/>
          </w:tcPr>
          <w:p w:rsidR="00DF64AA" w:rsidRPr="008770BD" w:rsidRDefault="00DF64AA" w:rsidP="001B56F1">
            <w:pPr>
              <w:pStyle w:val="TableBodyText"/>
              <w:rPr>
                <w:sz w:val="18"/>
                <w:szCs w:val="18"/>
              </w:rPr>
            </w:pPr>
            <w:r w:rsidRPr="008770BD">
              <w:rPr>
                <w:sz w:val="18"/>
                <w:szCs w:val="18"/>
              </w:rPr>
              <w:noBreakHyphen/>
            </w:r>
          </w:p>
        </w:tc>
      </w:tr>
      <w:tr w:rsidR="00DF64AA" w:rsidRPr="0086425C" w:rsidTr="001B56F1">
        <w:tc>
          <w:tcPr>
            <w:tcW w:w="1960" w:type="pct"/>
            <w:vAlign w:val="bottom"/>
          </w:tcPr>
          <w:p w:rsidR="00DF64AA" w:rsidRPr="008770BD" w:rsidRDefault="00DF64AA" w:rsidP="001B56F1">
            <w:pPr>
              <w:pStyle w:val="TableBodyText"/>
              <w:jc w:val="left"/>
              <w:rPr>
                <w:sz w:val="18"/>
                <w:szCs w:val="18"/>
              </w:rPr>
            </w:pPr>
            <w:r w:rsidRPr="008770BD">
              <w:rPr>
                <w:sz w:val="18"/>
                <w:szCs w:val="18"/>
              </w:rPr>
              <w:t>Unallocated other</w:t>
            </w:r>
            <w:r w:rsidRPr="008770BD">
              <w:rPr>
                <w:rStyle w:val="NoteLabel"/>
                <w:szCs w:val="18"/>
              </w:rPr>
              <w:t>a</w:t>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noBreakHyphen/>
            </w:r>
          </w:p>
        </w:tc>
        <w:tc>
          <w:tcPr>
            <w:tcW w:w="507" w:type="pct"/>
            <w:vAlign w:val="bottom"/>
          </w:tcPr>
          <w:p w:rsidR="00DF64AA" w:rsidRPr="008770BD" w:rsidRDefault="00DF64AA" w:rsidP="001B56F1">
            <w:pPr>
              <w:pStyle w:val="TableBodyText"/>
              <w:rPr>
                <w:sz w:val="18"/>
                <w:szCs w:val="18"/>
              </w:rPr>
            </w:pPr>
            <w:r w:rsidRPr="008770BD">
              <w:rPr>
                <w:sz w:val="18"/>
                <w:szCs w:val="18"/>
              </w:rPr>
              <w:t>&lt;0.1</w:t>
            </w:r>
          </w:p>
        </w:tc>
        <w:tc>
          <w:tcPr>
            <w:tcW w:w="507" w:type="pct"/>
            <w:shd w:val="clear" w:color="auto" w:fill="auto"/>
            <w:vAlign w:val="bottom"/>
          </w:tcPr>
          <w:p w:rsidR="00DF64AA" w:rsidRPr="008770BD" w:rsidRDefault="00DF64AA" w:rsidP="001B56F1">
            <w:pPr>
              <w:pStyle w:val="TableBodyText"/>
              <w:rPr>
                <w:sz w:val="18"/>
                <w:szCs w:val="18"/>
              </w:rPr>
            </w:pPr>
            <w:r w:rsidRPr="008770BD">
              <w:rPr>
                <w:sz w:val="18"/>
                <w:szCs w:val="18"/>
              </w:rPr>
              <w:noBreakHyphen/>
            </w:r>
          </w:p>
        </w:tc>
        <w:tc>
          <w:tcPr>
            <w:tcW w:w="506" w:type="pct"/>
            <w:shd w:val="clear" w:color="auto" w:fill="auto"/>
            <w:vAlign w:val="bottom"/>
          </w:tcPr>
          <w:p w:rsidR="00DF64AA" w:rsidRPr="008770BD" w:rsidRDefault="00DF64AA" w:rsidP="001B56F1">
            <w:pPr>
              <w:pStyle w:val="TableBodyText"/>
              <w:rPr>
                <w:sz w:val="18"/>
                <w:szCs w:val="18"/>
              </w:rPr>
            </w:pPr>
            <w:r w:rsidRPr="008770BD">
              <w:rPr>
                <w:sz w:val="18"/>
                <w:szCs w:val="18"/>
              </w:rPr>
              <w:noBreakHyphen/>
            </w:r>
          </w:p>
        </w:tc>
      </w:tr>
      <w:tr w:rsidR="00DF64AA" w:rsidRPr="0086425C" w:rsidTr="001B56F1">
        <w:tc>
          <w:tcPr>
            <w:tcW w:w="1960" w:type="pct"/>
            <w:tcBorders>
              <w:bottom w:val="single" w:sz="4" w:space="0" w:color="auto"/>
            </w:tcBorders>
            <w:vAlign w:val="bottom"/>
          </w:tcPr>
          <w:p w:rsidR="00DF64AA" w:rsidRPr="008770BD" w:rsidRDefault="00DF64AA" w:rsidP="001B56F1">
            <w:pPr>
              <w:pStyle w:val="TableBodyText"/>
              <w:jc w:val="left"/>
              <w:rPr>
                <w:b/>
                <w:bCs/>
                <w:sz w:val="18"/>
                <w:szCs w:val="18"/>
              </w:rPr>
            </w:pPr>
            <w:r w:rsidRPr="008770BD">
              <w:rPr>
                <w:b/>
                <w:bCs/>
                <w:sz w:val="18"/>
                <w:szCs w:val="18"/>
              </w:rPr>
              <w:t>Total</w:t>
            </w:r>
          </w:p>
        </w:tc>
        <w:tc>
          <w:tcPr>
            <w:tcW w:w="507" w:type="pct"/>
            <w:tcBorders>
              <w:bottom w:val="single" w:sz="4" w:space="0" w:color="auto"/>
            </w:tcBorders>
            <w:vAlign w:val="bottom"/>
          </w:tcPr>
          <w:p w:rsidR="00DF64AA" w:rsidRPr="008770BD" w:rsidRDefault="00DF64AA" w:rsidP="001B56F1">
            <w:pPr>
              <w:pStyle w:val="TableBodyText"/>
              <w:rPr>
                <w:b/>
                <w:bCs/>
                <w:sz w:val="18"/>
                <w:szCs w:val="18"/>
              </w:rPr>
            </w:pPr>
            <w:r w:rsidRPr="008770BD">
              <w:rPr>
                <w:sz w:val="18"/>
                <w:szCs w:val="18"/>
              </w:rPr>
              <w:noBreakHyphen/>
            </w:r>
          </w:p>
        </w:tc>
        <w:tc>
          <w:tcPr>
            <w:tcW w:w="507" w:type="pct"/>
            <w:tcBorders>
              <w:bottom w:val="single" w:sz="4" w:space="0" w:color="auto"/>
            </w:tcBorders>
            <w:vAlign w:val="bottom"/>
          </w:tcPr>
          <w:p w:rsidR="00DF64AA" w:rsidRPr="008770BD" w:rsidRDefault="00DF64AA" w:rsidP="001B56F1">
            <w:pPr>
              <w:pStyle w:val="TableBodyText"/>
              <w:rPr>
                <w:b/>
                <w:bCs/>
                <w:sz w:val="18"/>
                <w:szCs w:val="18"/>
              </w:rPr>
            </w:pPr>
            <w:r w:rsidRPr="008770BD">
              <w:rPr>
                <w:sz w:val="18"/>
                <w:szCs w:val="18"/>
              </w:rPr>
              <w:noBreakHyphen/>
            </w:r>
          </w:p>
        </w:tc>
        <w:tc>
          <w:tcPr>
            <w:tcW w:w="507" w:type="pct"/>
            <w:tcBorders>
              <w:bottom w:val="single" w:sz="4" w:space="0" w:color="auto"/>
            </w:tcBorders>
            <w:vAlign w:val="bottom"/>
          </w:tcPr>
          <w:p w:rsidR="00DF64AA" w:rsidRPr="008770BD" w:rsidRDefault="00DF64AA" w:rsidP="001B56F1">
            <w:pPr>
              <w:pStyle w:val="TableBodyText"/>
              <w:rPr>
                <w:b/>
                <w:bCs/>
                <w:sz w:val="18"/>
                <w:szCs w:val="18"/>
              </w:rPr>
            </w:pPr>
            <w:r w:rsidRPr="008770BD">
              <w:rPr>
                <w:b/>
                <w:sz w:val="18"/>
                <w:szCs w:val="18"/>
              </w:rPr>
              <w:noBreakHyphen/>
            </w:r>
          </w:p>
        </w:tc>
        <w:tc>
          <w:tcPr>
            <w:tcW w:w="507" w:type="pct"/>
            <w:tcBorders>
              <w:bottom w:val="single" w:sz="4" w:space="0" w:color="auto"/>
            </w:tcBorders>
            <w:vAlign w:val="bottom"/>
          </w:tcPr>
          <w:p w:rsidR="00DF64AA" w:rsidRPr="008770BD" w:rsidRDefault="00DF64AA" w:rsidP="001B56F1">
            <w:pPr>
              <w:pStyle w:val="TableBodyText"/>
              <w:rPr>
                <w:b/>
                <w:sz w:val="18"/>
                <w:szCs w:val="18"/>
              </w:rPr>
            </w:pPr>
            <w:r w:rsidRPr="008770BD">
              <w:rPr>
                <w:b/>
                <w:sz w:val="18"/>
                <w:szCs w:val="18"/>
              </w:rPr>
              <w:t>8.8</w:t>
            </w:r>
          </w:p>
        </w:tc>
        <w:tc>
          <w:tcPr>
            <w:tcW w:w="507" w:type="pct"/>
            <w:tcBorders>
              <w:bottom w:val="single" w:sz="4" w:space="0" w:color="auto"/>
            </w:tcBorders>
            <w:shd w:val="clear" w:color="auto" w:fill="auto"/>
            <w:vAlign w:val="bottom"/>
          </w:tcPr>
          <w:p w:rsidR="00DF64AA" w:rsidRPr="008770BD" w:rsidRDefault="00DF64AA" w:rsidP="001B56F1">
            <w:pPr>
              <w:pStyle w:val="TableBodyText"/>
              <w:rPr>
                <w:b/>
                <w:sz w:val="18"/>
                <w:szCs w:val="18"/>
              </w:rPr>
            </w:pPr>
            <w:r w:rsidRPr="008770BD">
              <w:rPr>
                <w:b/>
                <w:sz w:val="18"/>
                <w:szCs w:val="18"/>
              </w:rPr>
              <w:t>8.0</w:t>
            </w:r>
          </w:p>
        </w:tc>
        <w:tc>
          <w:tcPr>
            <w:tcW w:w="506" w:type="pct"/>
            <w:tcBorders>
              <w:bottom w:val="single" w:sz="4" w:space="0" w:color="auto"/>
            </w:tcBorders>
            <w:shd w:val="clear" w:color="auto" w:fill="auto"/>
            <w:vAlign w:val="bottom"/>
          </w:tcPr>
          <w:p w:rsidR="00DF64AA" w:rsidRPr="008770BD" w:rsidRDefault="00DF64AA" w:rsidP="001B56F1">
            <w:pPr>
              <w:pStyle w:val="TableBodyText"/>
              <w:rPr>
                <w:b/>
                <w:bCs/>
                <w:sz w:val="18"/>
                <w:szCs w:val="18"/>
              </w:rPr>
            </w:pPr>
            <w:r w:rsidRPr="008770BD">
              <w:rPr>
                <w:b/>
                <w:sz w:val="18"/>
                <w:szCs w:val="18"/>
              </w:rPr>
              <w:noBreakHyphen/>
            </w:r>
          </w:p>
        </w:tc>
      </w:tr>
    </w:tbl>
    <w:p w:rsidR="00DF64AA" w:rsidRDefault="00DF64AA" w:rsidP="00DF64AA">
      <w:pPr>
        <w:pStyle w:val="Note"/>
      </w:pPr>
      <w:r w:rsidRPr="00A2379F">
        <w:noBreakHyphen/>
        <w:t xml:space="preserve"> Nil</w:t>
      </w:r>
      <w:r>
        <w:t>.</w:t>
      </w:r>
      <w:r w:rsidRPr="008E77FE">
        <w:rPr>
          <w:rStyle w:val="NoteLabel"/>
        </w:rPr>
        <w:t xml:space="preserve"> a</w:t>
      </w:r>
      <w:r>
        <w:t xml:space="preserve"> </w:t>
      </w:r>
      <w:r w:rsidRPr="009B56F1">
        <w:t>Unallocated includes general programs where detai</w:t>
      </w:r>
      <w:r>
        <w:t>ls of beneficiaries are unknown.</w:t>
      </w:r>
    </w:p>
    <w:p w:rsidR="00DF64AA" w:rsidRPr="008E77FE" w:rsidRDefault="00DF64AA" w:rsidP="00DF64AA">
      <w:pPr>
        <w:pStyle w:val="Source"/>
      </w:pPr>
      <w:r>
        <w:rPr>
          <w:i/>
        </w:rPr>
        <w:t>Sources</w:t>
      </w:r>
      <w:r>
        <w:t>: Commission estimates based on DIISR Annual Report 2009</w:t>
      </w:r>
      <w:r w:rsidR="003979CC">
        <w:noBreakHyphen/>
      </w:r>
      <w:r>
        <w:t>10; and detailed DIISR data by ANZSIC industry</w:t>
      </w:r>
      <w:r w:rsidRPr="00BC00F9">
        <w:t>.</w:t>
      </w:r>
    </w:p>
    <w:p w:rsidR="00665C4E" w:rsidRDefault="00FA09C3" w:rsidP="00665C4E">
      <w:pPr>
        <w:pStyle w:val="Heading2"/>
      </w:pPr>
      <w:r>
        <w:t>A.</w:t>
      </w:r>
      <w:r>
        <w:rPr>
          <w:noProof/>
        </w:rPr>
        <w:t>135</w:t>
      </w:r>
      <w:r w:rsidR="00665C4E">
        <w:tab/>
        <w:t>Small Business Online Program</w:t>
      </w:r>
    </w:p>
    <w:p w:rsidR="00665C4E" w:rsidRDefault="00665C4E" w:rsidP="00665C4E">
      <w:pPr>
        <w:pStyle w:val="BodyText"/>
      </w:pPr>
      <w:r>
        <w:t>Announced in the 2009</w:t>
      </w:r>
      <w:r>
        <w:noBreakHyphen/>
        <w:t>10 Budget, the Small Business Online (SBO) Program provided $15 million in funding over two years offering grants to service providers to help small businesses, including home-based businesses</w:t>
      </w:r>
      <w:r w:rsidR="001C698E">
        <w:t>,</w:t>
      </w:r>
      <w:r>
        <w:t xml:space="preserve"> to go online, significantly enhance their web presence and engage in e-business activities enabling them to take full advantage of the National Broadband Network. The government launched the program in August 2009. By March 2010, 47 grants of between $60 000 and $700 000 (totalling $14.29 million) </w:t>
      </w:r>
      <w:r w:rsidR="001C698E">
        <w:t xml:space="preserve">had been </w:t>
      </w:r>
      <w:r>
        <w:t>awarded to eligible service providers through a competitive, merit-based application process. The services provided by organisations included IT skills development, training and mentoring to small businesses and small business owners (</w:t>
      </w:r>
      <w:r w:rsidRPr="00C305B5">
        <w:t>DIISR 2011</w:t>
      </w:r>
      <w:r>
        <w:t>).</w:t>
      </w:r>
    </w:p>
    <w:p w:rsidR="00665C4E" w:rsidRDefault="00665C4E" w:rsidP="00665C4E">
      <w:pPr>
        <w:pStyle w:val="BodyText"/>
      </w:pPr>
      <w:r>
        <w:t>The SBO Program concluded on 30 June 2011.</w:t>
      </w:r>
    </w:p>
    <w:p w:rsidR="00665C4E" w:rsidRDefault="00665C4E" w:rsidP="00665C4E">
      <w:pPr>
        <w:pStyle w:val="BodyText"/>
      </w:pPr>
      <w:r w:rsidRPr="001B2107">
        <w:t xml:space="preserve">The Commission has obtained information from the Department of Innovation, Industry, Science and Research detailing program funding according to ANZSIC industry </w:t>
      </w:r>
      <w:r w:rsidRPr="00E82543">
        <w:t>(table</w:t>
      </w:r>
      <w:r w:rsidR="00C065C1">
        <w:t> </w:t>
      </w:r>
      <w:r w:rsidRPr="00E82543">
        <w:t>A.</w:t>
      </w:r>
      <w:r>
        <w:t>13</w:t>
      </w:r>
      <w:r w:rsidR="00C065C1">
        <w:t>5</w:t>
      </w:r>
      <w:r w:rsidRPr="00E82543">
        <w:t>).</w:t>
      </w:r>
    </w:p>
    <w:p w:rsidR="00665C4E" w:rsidRDefault="00665C4E" w:rsidP="00665C4E">
      <w:pPr>
        <w:pStyle w:val="TableTitle"/>
      </w:pPr>
      <w:r>
        <w:rPr>
          <w:b w:val="0"/>
        </w:rPr>
        <w:t xml:space="preserve">Table </w:t>
      </w:r>
      <w:r w:rsidR="00FA09C3">
        <w:rPr>
          <w:b w:val="0"/>
        </w:rPr>
        <w:t>A.</w:t>
      </w:r>
      <w:r w:rsidR="00FA09C3">
        <w:rPr>
          <w:b w:val="0"/>
          <w:noProof/>
        </w:rPr>
        <w:t>135</w:t>
      </w:r>
      <w:r>
        <w:tab/>
        <w:t xml:space="preserve">Allocation of Small Business Online Program </w:t>
      </w:r>
      <w:r w:rsidR="00B6795B" w:rsidRPr="00B6795B">
        <w:t>to industry</w:t>
      </w:r>
      <w:r>
        <w:t>, 2006</w:t>
      </w:r>
      <w:r>
        <w:noBreakHyphen/>
        <w:t>07 to 2011</w:t>
      </w:r>
      <w:r>
        <w:noBreakHyphen/>
        <w:t>12</w:t>
      </w:r>
    </w:p>
    <w:p w:rsidR="00665C4E" w:rsidRDefault="00665C4E" w:rsidP="00665C4E">
      <w:pPr>
        <w:pStyle w:val="Subtitle"/>
      </w:pPr>
      <w:r>
        <w:t>$</w:t>
      </w:r>
      <w:r w:rsidR="001C698E">
        <w:t xml:space="preserve"> </w:t>
      </w:r>
      <w:r>
        <w:t xml:space="preserve">million (nominal) </w:t>
      </w:r>
    </w:p>
    <w:tbl>
      <w:tblPr>
        <w:tblW w:w="5000" w:type="pct"/>
        <w:tblCellMar>
          <w:left w:w="0" w:type="dxa"/>
          <w:right w:w="0" w:type="dxa"/>
        </w:tblCellMar>
        <w:tblLook w:val="0000" w:firstRow="0" w:lastRow="0" w:firstColumn="0" w:lastColumn="0" w:noHBand="0" w:noVBand="0"/>
      </w:tblPr>
      <w:tblGrid>
        <w:gridCol w:w="3445"/>
        <w:gridCol w:w="891"/>
        <w:gridCol w:w="891"/>
        <w:gridCol w:w="891"/>
        <w:gridCol w:w="891"/>
        <w:gridCol w:w="891"/>
        <w:gridCol w:w="889"/>
      </w:tblGrid>
      <w:tr w:rsidR="00665C4E" w:rsidRPr="00AF699A" w:rsidTr="007546E2">
        <w:trPr>
          <w:trHeight w:val="340"/>
        </w:trPr>
        <w:tc>
          <w:tcPr>
            <w:tcW w:w="1959" w:type="pct"/>
            <w:tcBorders>
              <w:top w:val="single" w:sz="6" w:space="0" w:color="auto"/>
              <w:bottom w:val="single" w:sz="6" w:space="0" w:color="auto"/>
            </w:tcBorders>
          </w:tcPr>
          <w:p w:rsidR="00665C4E" w:rsidRPr="00AF699A" w:rsidRDefault="00665C4E"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665C4E" w:rsidRPr="00AF699A" w:rsidRDefault="00665C4E"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665C4E" w:rsidRPr="00AF699A" w:rsidRDefault="00665C4E"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665C4E" w:rsidRPr="00AF699A" w:rsidRDefault="00665C4E"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665C4E" w:rsidRPr="00AF699A" w:rsidRDefault="00665C4E"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665C4E" w:rsidRPr="00AF699A" w:rsidRDefault="00665C4E" w:rsidP="001B56F1">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665C4E" w:rsidRPr="00AF699A" w:rsidRDefault="00665C4E" w:rsidP="001B56F1">
            <w:pPr>
              <w:pStyle w:val="TableColumnHeading"/>
              <w:ind w:right="28"/>
              <w:rPr>
                <w:rFonts w:cs="Arial"/>
                <w:sz w:val="18"/>
                <w:szCs w:val="18"/>
              </w:rPr>
            </w:pPr>
            <w:r w:rsidRPr="00AF699A">
              <w:rPr>
                <w:rFonts w:cs="Arial"/>
                <w:sz w:val="18"/>
                <w:szCs w:val="18"/>
              </w:rPr>
              <w:t>2011-12</w:t>
            </w:r>
          </w:p>
        </w:tc>
      </w:tr>
      <w:tr w:rsidR="00665C4E" w:rsidRPr="00C51018" w:rsidTr="001B56F1">
        <w:tc>
          <w:tcPr>
            <w:tcW w:w="1959" w:type="pct"/>
            <w:vAlign w:val="bottom"/>
          </w:tcPr>
          <w:p w:rsidR="00665C4E" w:rsidRPr="00D04898" w:rsidRDefault="00665C4E" w:rsidP="001B56F1">
            <w:pPr>
              <w:pStyle w:val="TableBodyText"/>
              <w:jc w:val="left"/>
              <w:rPr>
                <w:b/>
                <w:sz w:val="18"/>
                <w:szCs w:val="18"/>
              </w:rPr>
            </w:pPr>
            <w:r w:rsidRPr="00D04898">
              <w:rPr>
                <w:b/>
                <w:sz w:val="18"/>
                <w:szCs w:val="18"/>
              </w:rPr>
              <w:t>Services</w:t>
            </w:r>
          </w:p>
        </w:tc>
        <w:tc>
          <w:tcPr>
            <w:tcW w:w="507" w:type="pct"/>
            <w:vAlign w:val="bottom"/>
          </w:tcPr>
          <w:p w:rsidR="00665C4E" w:rsidRPr="00D04898" w:rsidRDefault="00665C4E" w:rsidP="001B56F1">
            <w:pPr>
              <w:pStyle w:val="TableBodyText"/>
              <w:rPr>
                <w:b/>
                <w:sz w:val="18"/>
                <w:szCs w:val="18"/>
              </w:rPr>
            </w:pPr>
            <w:r w:rsidRPr="00D04898">
              <w:rPr>
                <w:b/>
                <w:sz w:val="18"/>
                <w:szCs w:val="18"/>
              </w:rPr>
              <w:noBreakHyphen/>
            </w:r>
          </w:p>
        </w:tc>
        <w:tc>
          <w:tcPr>
            <w:tcW w:w="507" w:type="pct"/>
            <w:vAlign w:val="bottom"/>
          </w:tcPr>
          <w:p w:rsidR="00665C4E" w:rsidRPr="00D04898" w:rsidRDefault="00665C4E" w:rsidP="001B56F1">
            <w:pPr>
              <w:pStyle w:val="TableBodyText"/>
              <w:rPr>
                <w:b/>
                <w:sz w:val="18"/>
                <w:szCs w:val="18"/>
              </w:rPr>
            </w:pPr>
            <w:r w:rsidRPr="00D04898">
              <w:rPr>
                <w:b/>
                <w:sz w:val="18"/>
                <w:szCs w:val="18"/>
              </w:rPr>
              <w:noBreakHyphen/>
            </w:r>
          </w:p>
        </w:tc>
        <w:tc>
          <w:tcPr>
            <w:tcW w:w="507" w:type="pct"/>
            <w:vAlign w:val="bottom"/>
          </w:tcPr>
          <w:p w:rsidR="00665C4E" w:rsidRPr="00D04898" w:rsidRDefault="00665C4E" w:rsidP="001B56F1">
            <w:pPr>
              <w:pStyle w:val="TableBodyText"/>
              <w:rPr>
                <w:b/>
                <w:sz w:val="18"/>
                <w:szCs w:val="18"/>
              </w:rPr>
            </w:pPr>
            <w:r w:rsidRPr="00D04898">
              <w:rPr>
                <w:b/>
                <w:sz w:val="18"/>
                <w:szCs w:val="18"/>
              </w:rPr>
              <w:noBreakHyphen/>
            </w:r>
          </w:p>
        </w:tc>
        <w:tc>
          <w:tcPr>
            <w:tcW w:w="507" w:type="pct"/>
            <w:vAlign w:val="bottom"/>
          </w:tcPr>
          <w:p w:rsidR="00665C4E" w:rsidRPr="00D04898" w:rsidRDefault="00665C4E" w:rsidP="001B56F1">
            <w:pPr>
              <w:pStyle w:val="TableBodyText"/>
              <w:rPr>
                <w:b/>
                <w:sz w:val="18"/>
                <w:szCs w:val="18"/>
              </w:rPr>
            </w:pPr>
            <w:r w:rsidRPr="00D04898">
              <w:rPr>
                <w:b/>
                <w:sz w:val="18"/>
                <w:szCs w:val="18"/>
              </w:rPr>
              <w:t>7.2</w:t>
            </w:r>
          </w:p>
        </w:tc>
        <w:tc>
          <w:tcPr>
            <w:tcW w:w="507" w:type="pct"/>
            <w:shd w:val="clear" w:color="auto" w:fill="auto"/>
            <w:vAlign w:val="bottom"/>
          </w:tcPr>
          <w:p w:rsidR="00665C4E" w:rsidRPr="00D04898" w:rsidRDefault="00665C4E" w:rsidP="001B56F1">
            <w:pPr>
              <w:pStyle w:val="TableBodyText"/>
              <w:rPr>
                <w:b/>
                <w:sz w:val="18"/>
                <w:szCs w:val="18"/>
              </w:rPr>
            </w:pPr>
            <w:r w:rsidRPr="00D04898">
              <w:rPr>
                <w:b/>
                <w:sz w:val="18"/>
                <w:szCs w:val="18"/>
              </w:rPr>
              <w:t>7.1</w:t>
            </w:r>
          </w:p>
        </w:tc>
        <w:tc>
          <w:tcPr>
            <w:tcW w:w="507" w:type="pct"/>
            <w:shd w:val="clear" w:color="auto" w:fill="auto"/>
            <w:vAlign w:val="bottom"/>
          </w:tcPr>
          <w:p w:rsidR="00665C4E" w:rsidRPr="00D04898" w:rsidRDefault="00665C4E" w:rsidP="001B56F1">
            <w:pPr>
              <w:pStyle w:val="TableBodyText"/>
              <w:rPr>
                <w:b/>
                <w:sz w:val="18"/>
                <w:szCs w:val="18"/>
              </w:rPr>
            </w:pPr>
            <w:r w:rsidRPr="00D04898">
              <w:rPr>
                <w:b/>
                <w:sz w:val="18"/>
                <w:szCs w:val="18"/>
              </w:rPr>
              <w:noBreakHyphen/>
            </w:r>
          </w:p>
        </w:tc>
      </w:tr>
      <w:tr w:rsidR="00665C4E" w:rsidRPr="00C51018" w:rsidTr="001B56F1">
        <w:tc>
          <w:tcPr>
            <w:tcW w:w="1959" w:type="pct"/>
            <w:vAlign w:val="bottom"/>
          </w:tcPr>
          <w:p w:rsidR="00665C4E" w:rsidRPr="00D04898" w:rsidRDefault="00665C4E" w:rsidP="001B56F1">
            <w:pPr>
              <w:pStyle w:val="TableBodyText"/>
              <w:jc w:val="left"/>
              <w:rPr>
                <w:sz w:val="18"/>
                <w:szCs w:val="18"/>
              </w:rPr>
            </w:pPr>
            <w:r w:rsidRPr="00D04898">
              <w:rPr>
                <w:sz w:val="18"/>
                <w:szCs w:val="18"/>
              </w:rPr>
              <w:t>Property, professional and administrative services</w:t>
            </w:r>
          </w:p>
        </w:tc>
        <w:tc>
          <w:tcPr>
            <w:tcW w:w="507" w:type="pct"/>
            <w:vAlign w:val="bottom"/>
          </w:tcPr>
          <w:p w:rsidR="00665C4E" w:rsidRPr="00D04898" w:rsidRDefault="00665C4E" w:rsidP="001B56F1">
            <w:pPr>
              <w:pStyle w:val="TableBodyText"/>
              <w:rPr>
                <w:sz w:val="18"/>
                <w:szCs w:val="18"/>
              </w:rPr>
            </w:pPr>
            <w:r w:rsidRPr="00D04898">
              <w:rPr>
                <w:sz w:val="18"/>
                <w:szCs w:val="18"/>
              </w:rPr>
              <w:noBreakHyphen/>
            </w:r>
          </w:p>
        </w:tc>
        <w:tc>
          <w:tcPr>
            <w:tcW w:w="507" w:type="pct"/>
            <w:vAlign w:val="bottom"/>
          </w:tcPr>
          <w:p w:rsidR="00665C4E" w:rsidRPr="00D04898" w:rsidRDefault="00665C4E" w:rsidP="001B56F1">
            <w:pPr>
              <w:pStyle w:val="TableBodyText"/>
              <w:rPr>
                <w:sz w:val="18"/>
                <w:szCs w:val="18"/>
              </w:rPr>
            </w:pPr>
            <w:r w:rsidRPr="00D04898">
              <w:rPr>
                <w:sz w:val="18"/>
                <w:szCs w:val="18"/>
              </w:rPr>
              <w:noBreakHyphen/>
            </w:r>
          </w:p>
        </w:tc>
        <w:tc>
          <w:tcPr>
            <w:tcW w:w="507" w:type="pct"/>
            <w:vAlign w:val="bottom"/>
          </w:tcPr>
          <w:p w:rsidR="00665C4E" w:rsidRPr="00D04898" w:rsidRDefault="00665C4E" w:rsidP="001B56F1">
            <w:pPr>
              <w:pStyle w:val="TableBodyText"/>
              <w:rPr>
                <w:sz w:val="18"/>
                <w:szCs w:val="18"/>
              </w:rPr>
            </w:pPr>
            <w:r w:rsidRPr="00D04898">
              <w:rPr>
                <w:sz w:val="18"/>
                <w:szCs w:val="18"/>
              </w:rPr>
              <w:noBreakHyphen/>
            </w:r>
          </w:p>
        </w:tc>
        <w:tc>
          <w:tcPr>
            <w:tcW w:w="507" w:type="pct"/>
            <w:vAlign w:val="bottom"/>
          </w:tcPr>
          <w:p w:rsidR="00665C4E" w:rsidRPr="00D04898" w:rsidRDefault="00665C4E" w:rsidP="001B56F1">
            <w:pPr>
              <w:pStyle w:val="TableBodyText"/>
              <w:rPr>
                <w:sz w:val="18"/>
                <w:szCs w:val="18"/>
              </w:rPr>
            </w:pPr>
            <w:r w:rsidRPr="00D04898">
              <w:rPr>
                <w:sz w:val="18"/>
                <w:szCs w:val="18"/>
              </w:rPr>
              <w:noBreakHyphen/>
            </w:r>
          </w:p>
        </w:tc>
        <w:tc>
          <w:tcPr>
            <w:tcW w:w="507" w:type="pct"/>
            <w:shd w:val="clear" w:color="auto" w:fill="auto"/>
            <w:vAlign w:val="bottom"/>
          </w:tcPr>
          <w:p w:rsidR="00665C4E" w:rsidRPr="00D04898" w:rsidRDefault="00665C4E" w:rsidP="001B56F1">
            <w:pPr>
              <w:pStyle w:val="TableBodyText"/>
              <w:rPr>
                <w:sz w:val="18"/>
                <w:szCs w:val="18"/>
              </w:rPr>
            </w:pPr>
            <w:r w:rsidRPr="00D04898">
              <w:rPr>
                <w:sz w:val="18"/>
                <w:szCs w:val="18"/>
              </w:rPr>
              <w:t>2.4</w:t>
            </w:r>
          </w:p>
        </w:tc>
        <w:tc>
          <w:tcPr>
            <w:tcW w:w="507" w:type="pct"/>
            <w:shd w:val="clear" w:color="auto" w:fill="auto"/>
            <w:vAlign w:val="bottom"/>
          </w:tcPr>
          <w:p w:rsidR="00665C4E" w:rsidRPr="00D04898" w:rsidRDefault="00665C4E" w:rsidP="001B56F1">
            <w:pPr>
              <w:pStyle w:val="TableBodyText"/>
              <w:rPr>
                <w:sz w:val="18"/>
                <w:szCs w:val="18"/>
              </w:rPr>
            </w:pPr>
            <w:r w:rsidRPr="00D04898">
              <w:rPr>
                <w:sz w:val="18"/>
                <w:szCs w:val="18"/>
              </w:rPr>
              <w:noBreakHyphen/>
            </w:r>
          </w:p>
        </w:tc>
      </w:tr>
      <w:tr w:rsidR="00665C4E" w:rsidRPr="00C51018" w:rsidTr="001B56F1">
        <w:tc>
          <w:tcPr>
            <w:tcW w:w="1959" w:type="pct"/>
            <w:vAlign w:val="bottom"/>
          </w:tcPr>
          <w:p w:rsidR="00665C4E" w:rsidRPr="00D04898" w:rsidRDefault="00665C4E" w:rsidP="001B56F1">
            <w:pPr>
              <w:pStyle w:val="TableBodyText"/>
              <w:jc w:val="left"/>
              <w:rPr>
                <w:sz w:val="18"/>
                <w:szCs w:val="18"/>
              </w:rPr>
            </w:pPr>
            <w:r w:rsidRPr="00D04898">
              <w:rPr>
                <w:sz w:val="18"/>
                <w:szCs w:val="18"/>
              </w:rPr>
              <w:t>Education and training</w:t>
            </w:r>
          </w:p>
        </w:tc>
        <w:tc>
          <w:tcPr>
            <w:tcW w:w="507" w:type="pct"/>
            <w:vAlign w:val="bottom"/>
          </w:tcPr>
          <w:p w:rsidR="00665C4E" w:rsidRPr="00D04898" w:rsidRDefault="00665C4E" w:rsidP="001B56F1">
            <w:pPr>
              <w:pStyle w:val="TableBodyText"/>
              <w:rPr>
                <w:sz w:val="18"/>
                <w:szCs w:val="18"/>
              </w:rPr>
            </w:pPr>
            <w:r w:rsidRPr="00D04898">
              <w:rPr>
                <w:sz w:val="18"/>
                <w:szCs w:val="18"/>
              </w:rPr>
              <w:noBreakHyphen/>
            </w:r>
          </w:p>
        </w:tc>
        <w:tc>
          <w:tcPr>
            <w:tcW w:w="507" w:type="pct"/>
            <w:vAlign w:val="bottom"/>
          </w:tcPr>
          <w:p w:rsidR="00665C4E" w:rsidRPr="00D04898" w:rsidRDefault="00665C4E" w:rsidP="001B56F1">
            <w:pPr>
              <w:pStyle w:val="TableBodyText"/>
              <w:rPr>
                <w:sz w:val="18"/>
                <w:szCs w:val="18"/>
              </w:rPr>
            </w:pPr>
            <w:r w:rsidRPr="00D04898">
              <w:rPr>
                <w:sz w:val="18"/>
                <w:szCs w:val="18"/>
              </w:rPr>
              <w:noBreakHyphen/>
            </w:r>
          </w:p>
        </w:tc>
        <w:tc>
          <w:tcPr>
            <w:tcW w:w="507" w:type="pct"/>
            <w:vAlign w:val="bottom"/>
          </w:tcPr>
          <w:p w:rsidR="00665C4E" w:rsidRPr="00D04898" w:rsidRDefault="00665C4E" w:rsidP="001B56F1">
            <w:pPr>
              <w:pStyle w:val="TableBodyText"/>
              <w:rPr>
                <w:sz w:val="18"/>
                <w:szCs w:val="18"/>
              </w:rPr>
            </w:pPr>
            <w:r w:rsidRPr="00D04898">
              <w:rPr>
                <w:sz w:val="18"/>
                <w:szCs w:val="18"/>
              </w:rPr>
              <w:noBreakHyphen/>
            </w:r>
          </w:p>
        </w:tc>
        <w:tc>
          <w:tcPr>
            <w:tcW w:w="507" w:type="pct"/>
            <w:vAlign w:val="bottom"/>
          </w:tcPr>
          <w:p w:rsidR="00665C4E" w:rsidRPr="00D04898" w:rsidRDefault="00665C4E" w:rsidP="001B56F1">
            <w:pPr>
              <w:pStyle w:val="TableBodyText"/>
              <w:rPr>
                <w:sz w:val="18"/>
                <w:szCs w:val="18"/>
              </w:rPr>
            </w:pPr>
            <w:r w:rsidRPr="00D04898">
              <w:rPr>
                <w:sz w:val="18"/>
                <w:szCs w:val="18"/>
              </w:rPr>
              <w:noBreakHyphen/>
            </w:r>
          </w:p>
        </w:tc>
        <w:tc>
          <w:tcPr>
            <w:tcW w:w="507" w:type="pct"/>
            <w:shd w:val="clear" w:color="auto" w:fill="auto"/>
            <w:vAlign w:val="bottom"/>
          </w:tcPr>
          <w:p w:rsidR="00665C4E" w:rsidRPr="00D04898" w:rsidRDefault="00665C4E" w:rsidP="001B56F1">
            <w:pPr>
              <w:pStyle w:val="TableBodyText"/>
              <w:rPr>
                <w:sz w:val="18"/>
                <w:szCs w:val="18"/>
              </w:rPr>
            </w:pPr>
            <w:r w:rsidRPr="00D04898">
              <w:rPr>
                <w:sz w:val="18"/>
                <w:szCs w:val="18"/>
              </w:rPr>
              <w:t>2.3</w:t>
            </w:r>
          </w:p>
        </w:tc>
        <w:tc>
          <w:tcPr>
            <w:tcW w:w="507" w:type="pct"/>
            <w:shd w:val="clear" w:color="auto" w:fill="auto"/>
            <w:vAlign w:val="bottom"/>
          </w:tcPr>
          <w:p w:rsidR="00665C4E" w:rsidRPr="00D04898" w:rsidRDefault="00665C4E" w:rsidP="001B56F1">
            <w:pPr>
              <w:pStyle w:val="TableBodyText"/>
              <w:rPr>
                <w:sz w:val="18"/>
                <w:szCs w:val="18"/>
              </w:rPr>
            </w:pPr>
            <w:r w:rsidRPr="00D04898">
              <w:rPr>
                <w:sz w:val="18"/>
                <w:szCs w:val="18"/>
              </w:rPr>
              <w:noBreakHyphen/>
            </w:r>
          </w:p>
        </w:tc>
      </w:tr>
      <w:tr w:rsidR="00665C4E" w:rsidRPr="00C51018" w:rsidTr="001B56F1">
        <w:tc>
          <w:tcPr>
            <w:tcW w:w="1959" w:type="pct"/>
            <w:vAlign w:val="bottom"/>
          </w:tcPr>
          <w:p w:rsidR="00665C4E" w:rsidRPr="00D04898" w:rsidRDefault="00665C4E" w:rsidP="001B56F1">
            <w:pPr>
              <w:pStyle w:val="TableBodyText"/>
              <w:jc w:val="left"/>
              <w:rPr>
                <w:sz w:val="18"/>
                <w:szCs w:val="18"/>
              </w:rPr>
            </w:pPr>
            <w:r w:rsidRPr="00D04898">
              <w:rPr>
                <w:sz w:val="18"/>
                <w:szCs w:val="18"/>
              </w:rPr>
              <w:t>Other services</w:t>
            </w:r>
          </w:p>
        </w:tc>
        <w:tc>
          <w:tcPr>
            <w:tcW w:w="507" w:type="pct"/>
            <w:vAlign w:val="bottom"/>
          </w:tcPr>
          <w:p w:rsidR="00665C4E" w:rsidRPr="00D04898" w:rsidRDefault="00665C4E" w:rsidP="001B56F1">
            <w:pPr>
              <w:pStyle w:val="TableBodyText"/>
              <w:rPr>
                <w:sz w:val="18"/>
                <w:szCs w:val="18"/>
              </w:rPr>
            </w:pPr>
            <w:r w:rsidRPr="00D04898">
              <w:rPr>
                <w:sz w:val="18"/>
                <w:szCs w:val="18"/>
              </w:rPr>
              <w:noBreakHyphen/>
            </w:r>
          </w:p>
        </w:tc>
        <w:tc>
          <w:tcPr>
            <w:tcW w:w="507" w:type="pct"/>
            <w:vAlign w:val="bottom"/>
          </w:tcPr>
          <w:p w:rsidR="00665C4E" w:rsidRPr="00D04898" w:rsidRDefault="00665C4E" w:rsidP="001B56F1">
            <w:pPr>
              <w:pStyle w:val="TableBodyText"/>
              <w:rPr>
                <w:sz w:val="18"/>
                <w:szCs w:val="18"/>
              </w:rPr>
            </w:pPr>
            <w:r w:rsidRPr="00D04898">
              <w:rPr>
                <w:sz w:val="18"/>
                <w:szCs w:val="18"/>
              </w:rPr>
              <w:noBreakHyphen/>
            </w:r>
          </w:p>
        </w:tc>
        <w:tc>
          <w:tcPr>
            <w:tcW w:w="507" w:type="pct"/>
            <w:vAlign w:val="bottom"/>
          </w:tcPr>
          <w:p w:rsidR="00665C4E" w:rsidRPr="00D04898" w:rsidRDefault="00665C4E" w:rsidP="001B56F1">
            <w:pPr>
              <w:pStyle w:val="TableBodyText"/>
              <w:rPr>
                <w:sz w:val="18"/>
                <w:szCs w:val="18"/>
              </w:rPr>
            </w:pPr>
            <w:r w:rsidRPr="00D04898">
              <w:rPr>
                <w:sz w:val="18"/>
                <w:szCs w:val="18"/>
              </w:rPr>
              <w:noBreakHyphen/>
            </w:r>
          </w:p>
        </w:tc>
        <w:tc>
          <w:tcPr>
            <w:tcW w:w="507" w:type="pct"/>
            <w:vAlign w:val="bottom"/>
          </w:tcPr>
          <w:p w:rsidR="00665C4E" w:rsidRPr="00D04898" w:rsidRDefault="00665C4E" w:rsidP="001B56F1">
            <w:pPr>
              <w:pStyle w:val="TableBodyText"/>
              <w:rPr>
                <w:sz w:val="18"/>
                <w:szCs w:val="18"/>
              </w:rPr>
            </w:pPr>
            <w:r w:rsidRPr="00D04898">
              <w:rPr>
                <w:sz w:val="18"/>
                <w:szCs w:val="18"/>
              </w:rPr>
              <w:noBreakHyphen/>
            </w:r>
          </w:p>
        </w:tc>
        <w:tc>
          <w:tcPr>
            <w:tcW w:w="507" w:type="pct"/>
            <w:shd w:val="clear" w:color="auto" w:fill="auto"/>
            <w:vAlign w:val="bottom"/>
          </w:tcPr>
          <w:p w:rsidR="00665C4E" w:rsidRPr="00D04898" w:rsidRDefault="00665C4E" w:rsidP="001B56F1">
            <w:pPr>
              <w:pStyle w:val="TableBodyText"/>
              <w:rPr>
                <w:sz w:val="18"/>
                <w:szCs w:val="18"/>
              </w:rPr>
            </w:pPr>
            <w:r w:rsidRPr="00D04898">
              <w:rPr>
                <w:sz w:val="18"/>
                <w:szCs w:val="18"/>
              </w:rPr>
              <w:t>2.4</w:t>
            </w:r>
          </w:p>
        </w:tc>
        <w:tc>
          <w:tcPr>
            <w:tcW w:w="507" w:type="pct"/>
            <w:shd w:val="clear" w:color="auto" w:fill="auto"/>
            <w:vAlign w:val="bottom"/>
          </w:tcPr>
          <w:p w:rsidR="00665C4E" w:rsidRPr="00D04898" w:rsidRDefault="00665C4E" w:rsidP="001B56F1">
            <w:pPr>
              <w:pStyle w:val="TableBodyText"/>
              <w:rPr>
                <w:sz w:val="18"/>
                <w:szCs w:val="18"/>
              </w:rPr>
            </w:pPr>
            <w:r w:rsidRPr="00D04898">
              <w:rPr>
                <w:sz w:val="18"/>
                <w:szCs w:val="18"/>
              </w:rPr>
              <w:noBreakHyphen/>
            </w:r>
          </w:p>
        </w:tc>
      </w:tr>
      <w:tr w:rsidR="00665C4E" w:rsidRPr="00C51018" w:rsidTr="001B56F1">
        <w:tc>
          <w:tcPr>
            <w:tcW w:w="1959" w:type="pct"/>
            <w:vAlign w:val="bottom"/>
          </w:tcPr>
          <w:p w:rsidR="00665C4E" w:rsidRPr="00D04898" w:rsidRDefault="00665C4E" w:rsidP="001B56F1">
            <w:pPr>
              <w:pStyle w:val="TableBodyText"/>
              <w:jc w:val="left"/>
              <w:rPr>
                <w:sz w:val="18"/>
                <w:szCs w:val="18"/>
              </w:rPr>
            </w:pPr>
            <w:r w:rsidRPr="00D04898">
              <w:rPr>
                <w:sz w:val="18"/>
                <w:szCs w:val="18"/>
              </w:rPr>
              <w:t>Unallocated services</w:t>
            </w:r>
            <w:r w:rsidRPr="00D04898">
              <w:rPr>
                <w:rStyle w:val="NoteLabel"/>
                <w:szCs w:val="18"/>
              </w:rPr>
              <w:t>a</w:t>
            </w:r>
          </w:p>
        </w:tc>
        <w:tc>
          <w:tcPr>
            <w:tcW w:w="507" w:type="pct"/>
            <w:vAlign w:val="bottom"/>
          </w:tcPr>
          <w:p w:rsidR="00665C4E" w:rsidRPr="00D04898" w:rsidRDefault="00665C4E" w:rsidP="001B56F1">
            <w:pPr>
              <w:pStyle w:val="TableBodyText"/>
              <w:rPr>
                <w:sz w:val="18"/>
                <w:szCs w:val="18"/>
              </w:rPr>
            </w:pPr>
            <w:r w:rsidRPr="00D04898">
              <w:rPr>
                <w:sz w:val="18"/>
                <w:szCs w:val="18"/>
              </w:rPr>
              <w:noBreakHyphen/>
            </w:r>
          </w:p>
        </w:tc>
        <w:tc>
          <w:tcPr>
            <w:tcW w:w="507" w:type="pct"/>
            <w:vAlign w:val="bottom"/>
          </w:tcPr>
          <w:p w:rsidR="00665C4E" w:rsidRPr="00D04898" w:rsidRDefault="00665C4E" w:rsidP="001B56F1">
            <w:pPr>
              <w:pStyle w:val="TableBodyText"/>
              <w:rPr>
                <w:sz w:val="18"/>
                <w:szCs w:val="18"/>
              </w:rPr>
            </w:pPr>
            <w:r w:rsidRPr="00D04898">
              <w:rPr>
                <w:sz w:val="18"/>
                <w:szCs w:val="18"/>
              </w:rPr>
              <w:noBreakHyphen/>
            </w:r>
          </w:p>
        </w:tc>
        <w:tc>
          <w:tcPr>
            <w:tcW w:w="507" w:type="pct"/>
            <w:vAlign w:val="bottom"/>
          </w:tcPr>
          <w:p w:rsidR="00665C4E" w:rsidRPr="00D04898" w:rsidRDefault="00665C4E" w:rsidP="001B56F1">
            <w:pPr>
              <w:pStyle w:val="TableBodyText"/>
              <w:rPr>
                <w:sz w:val="18"/>
                <w:szCs w:val="18"/>
              </w:rPr>
            </w:pPr>
            <w:r w:rsidRPr="00D04898">
              <w:rPr>
                <w:sz w:val="18"/>
                <w:szCs w:val="18"/>
              </w:rPr>
              <w:noBreakHyphen/>
            </w:r>
          </w:p>
        </w:tc>
        <w:tc>
          <w:tcPr>
            <w:tcW w:w="507" w:type="pct"/>
            <w:vAlign w:val="bottom"/>
          </w:tcPr>
          <w:p w:rsidR="00665C4E" w:rsidRPr="00D04898" w:rsidRDefault="00665C4E" w:rsidP="001B56F1">
            <w:pPr>
              <w:pStyle w:val="TableBodyText"/>
              <w:rPr>
                <w:sz w:val="18"/>
                <w:szCs w:val="18"/>
              </w:rPr>
            </w:pPr>
            <w:r w:rsidRPr="00D04898">
              <w:rPr>
                <w:sz w:val="18"/>
                <w:szCs w:val="18"/>
              </w:rPr>
              <w:t>7.2</w:t>
            </w:r>
          </w:p>
        </w:tc>
        <w:tc>
          <w:tcPr>
            <w:tcW w:w="507" w:type="pct"/>
            <w:shd w:val="clear" w:color="auto" w:fill="auto"/>
            <w:vAlign w:val="bottom"/>
          </w:tcPr>
          <w:p w:rsidR="00665C4E" w:rsidRPr="00D04898" w:rsidRDefault="00665C4E" w:rsidP="001B56F1">
            <w:pPr>
              <w:pStyle w:val="TableBodyText"/>
              <w:rPr>
                <w:sz w:val="18"/>
                <w:szCs w:val="18"/>
              </w:rPr>
            </w:pPr>
            <w:r w:rsidRPr="00D04898">
              <w:rPr>
                <w:sz w:val="18"/>
                <w:szCs w:val="18"/>
              </w:rPr>
              <w:noBreakHyphen/>
            </w:r>
          </w:p>
        </w:tc>
        <w:tc>
          <w:tcPr>
            <w:tcW w:w="507" w:type="pct"/>
            <w:shd w:val="clear" w:color="auto" w:fill="auto"/>
            <w:vAlign w:val="bottom"/>
          </w:tcPr>
          <w:p w:rsidR="00665C4E" w:rsidRPr="00D04898" w:rsidRDefault="00665C4E" w:rsidP="001B56F1">
            <w:pPr>
              <w:pStyle w:val="TableBodyText"/>
              <w:rPr>
                <w:sz w:val="18"/>
                <w:szCs w:val="18"/>
              </w:rPr>
            </w:pPr>
            <w:r w:rsidRPr="00D04898">
              <w:rPr>
                <w:sz w:val="18"/>
                <w:szCs w:val="18"/>
              </w:rPr>
              <w:noBreakHyphen/>
            </w:r>
          </w:p>
        </w:tc>
      </w:tr>
      <w:tr w:rsidR="00665C4E" w:rsidRPr="00C51018" w:rsidTr="001B56F1">
        <w:tc>
          <w:tcPr>
            <w:tcW w:w="1959" w:type="pct"/>
            <w:tcBorders>
              <w:bottom w:val="single" w:sz="4" w:space="0" w:color="auto"/>
            </w:tcBorders>
            <w:vAlign w:val="bottom"/>
          </w:tcPr>
          <w:p w:rsidR="00665C4E" w:rsidRPr="00D04898" w:rsidRDefault="00665C4E" w:rsidP="001B56F1">
            <w:pPr>
              <w:pStyle w:val="TableBodyText"/>
              <w:jc w:val="left"/>
              <w:rPr>
                <w:b/>
                <w:bCs/>
                <w:sz w:val="18"/>
                <w:szCs w:val="18"/>
              </w:rPr>
            </w:pPr>
            <w:r w:rsidRPr="00D04898">
              <w:rPr>
                <w:b/>
                <w:bCs/>
                <w:sz w:val="18"/>
                <w:szCs w:val="18"/>
              </w:rPr>
              <w:t>Total</w:t>
            </w:r>
          </w:p>
        </w:tc>
        <w:tc>
          <w:tcPr>
            <w:tcW w:w="507" w:type="pct"/>
            <w:tcBorders>
              <w:bottom w:val="single" w:sz="4" w:space="0" w:color="auto"/>
            </w:tcBorders>
            <w:vAlign w:val="bottom"/>
          </w:tcPr>
          <w:p w:rsidR="00665C4E" w:rsidRPr="00D04898" w:rsidRDefault="00665C4E" w:rsidP="001B56F1">
            <w:pPr>
              <w:pStyle w:val="TableBodyText"/>
              <w:rPr>
                <w:b/>
                <w:bCs/>
                <w:sz w:val="18"/>
                <w:szCs w:val="18"/>
              </w:rPr>
            </w:pPr>
            <w:r w:rsidRPr="00D04898">
              <w:rPr>
                <w:b/>
                <w:bCs/>
                <w:sz w:val="18"/>
                <w:szCs w:val="18"/>
              </w:rPr>
              <w:noBreakHyphen/>
            </w:r>
          </w:p>
        </w:tc>
        <w:tc>
          <w:tcPr>
            <w:tcW w:w="507" w:type="pct"/>
            <w:tcBorders>
              <w:bottom w:val="single" w:sz="4" w:space="0" w:color="auto"/>
            </w:tcBorders>
            <w:vAlign w:val="bottom"/>
          </w:tcPr>
          <w:p w:rsidR="00665C4E" w:rsidRPr="00D04898" w:rsidRDefault="00665C4E" w:rsidP="001B56F1">
            <w:pPr>
              <w:pStyle w:val="TableBodyText"/>
              <w:rPr>
                <w:b/>
                <w:bCs/>
                <w:sz w:val="18"/>
                <w:szCs w:val="18"/>
              </w:rPr>
            </w:pPr>
            <w:r w:rsidRPr="00D04898">
              <w:rPr>
                <w:b/>
                <w:bCs/>
                <w:sz w:val="18"/>
                <w:szCs w:val="18"/>
              </w:rPr>
              <w:noBreakHyphen/>
            </w:r>
          </w:p>
        </w:tc>
        <w:tc>
          <w:tcPr>
            <w:tcW w:w="507" w:type="pct"/>
            <w:tcBorders>
              <w:bottom w:val="single" w:sz="4" w:space="0" w:color="auto"/>
            </w:tcBorders>
            <w:vAlign w:val="bottom"/>
          </w:tcPr>
          <w:p w:rsidR="00665C4E" w:rsidRPr="00D04898" w:rsidRDefault="00665C4E" w:rsidP="001B56F1">
            <w:pPr>
              <w:pStyle w:val="TableBodyText"/>
              <w:rPr>
                <w:b/>
                <w:bCs/>
                <w:sz w:val="18"/>
                <w:szCs w:val="18"/>
              </w:rPr>
            </w:pPr>
            <w:r w:rsidRPr="00D04898">
              <w:rPr>
                <w:b/>
                <w:bCs/>
                <w:sz w:val="18"/>
                <w:szCs w:val="18"/>
              </w:rPr>
              <w:noBreakHyphen/>
            </w:r>
          </w:p>
        </w:tc>
        <w:tc>
          <w:tcPr>
            <w:tcW w:w="507" w:type="pct"/>
            <w:tcBorders>
              <w:bottom w:val="single" w:sz="4" w:space="0" w:color="auto"/>
            </w:tcBorders>
            <w:vAlign w:val="bottom"/>
          </w:tcPr>
          <w:p w:rsidR="00665C4E" w:rsidRPr="00D04898" w:rsidRDefault="00665C4E" w:rsidP="001B56F1">
            <w:pPr>
              <w:pStyle w:val="TableBodyText"/>
              <w:rPr>
                <w:b/>
                <w:bCs/>
                <w:sz w:val="18"/>
                <w:szCs w:val="18"/>
              </w:rPr>
            </w:pPr>
            <w:r w:rsidRPr="00D04898">
              <w:rPr>
                <w:b/>
                <w:bCs/>
                <w:sz w:val="18"/>
                <w:szCs w:val="18"/>
              </w:rPr>
              <w:t>7.2</w:t>
            </w:r>
          </w:p>
        </w:tc>
        <w:tc>
          <w:tcPr>
            <w:tcW w:w="507" w:type="pct"/>
            <w:tcBorders>
              <w:bottom w:val="single" w:sz="4" w:space="0" w:color="auto"/>
            </w:tcBorders>
            <w:shd w:val="clear" w:color="auto" w:fill="auto"/>
            <w:vAlign w:val="bottom"/>
          </w:tcPr>
          <w:p w:rsidR="00665C4E" w:rsidRPr="00D04898" w:rsidRDefault="00665C4E" w:rsidP="001B56F1">
            <w:pPr>
              <w:pStyle w:val="TableBodyText"/>
              <w:rPr>
                <w:b/>
                <w:bCs/>
                <w:sz w:val="18"/>
                <w:szCs w:val="18"/>
              </w:rPr>
            </w:pPr>
            <w:r w:rsidRPr="00D04898">
              <w:rPr>
                <w:b/>
                <w:bCs/>
                <w:sz w:val="18"/>
                <w:szCs w:val="18"/>
              </w:rPr>
              <w:t>7.1</w:t>
            </w:r>
          </w:p>
        </w:tc>
        <w:tc>
          <w:tcPr>
            <w:tcW w:w="507" w:type="pct"/>
            <w:tcBorders>
              <w:bottom w:val="single" w:sz="4" w:space="0" w:color="auto"/>
            </w:tcBorders>
            <w:shd w:val="clear" w:color="auto" w:fill="auto"/>
            <w:vAlign w:val="bottom"/>
          </w:tcPr>
          <w:p w:rsidR="00665C4E" w:rsidRPr="00D04898" w:rsidRDefault="00665C4E" w:rsidP="001B56F1">
            <w:pPr>
              <w:pStyle w:val="TableBodyText"/>
              <w:rPr>
                <w:b/>
                <w:bCs/>
                <w:sz w:val="18"/>
                <w:szCs w:val="18"/>
              </w:rPr>
            </w:pPr>
            <w:r w:rsidRPr="00D04898">
              <w:rPr>
                <w:b/>
                <w:bCs/>
                <w:sz w:val="18"/>
                <w:szCs w:val="18"/>
              </w:rPr>
              <w:noBreakHyphen/>
            </w:r>
          </w:p>
        </w:tc>
      </w:tr>
    </w:tbl>
    <w:p w:rsidR="00665C4E" w:rsidRDefault="00665C4E" w:rsidP="00665C4E">
      <w:pPr>
        <w:pStyle w:val="Note"/>
      </w:pPr>
      <w:r w:rsidRPr="00A2379F">
        <w:noBreakHyphen/>
        <w:t xml:space="preserve"> Nil</w:t>
      </w:r>
      <w:r>
        <w:t>.</w:t>
      </w:r>
      <w:r w:rsidRPr="008E77FE">
        <w:rPr>
          <w:rStyle w:val="NoteLabel"/>
        </w:rPr>
        <w:t xml:space="preserve"> a</w:t>
      </w:r>
      <w:r>
        <w:t xml:space="preserve"> </w:t>
      </w:r>
      <w:r w:rsidRPr="009B56F1">
        <w:t>Unallocated includes general programs where detai</w:t>
      </w:r>
      <w:r>
        <w:t>ls of beneficiaries are unknown.</w:t>
      </w:r>
    </w:p>
    <w:p w:rsidR="00665C4E" w:rsidRPr="008E77FE" w:rsidRDefault="00665C4E" w:rsidP="00665C4E">
      <w:pPr>
        <w:pStyle w:val="Source"/>
      </w:pPr>
      <w:r>
        <w:rPr>
          <w:i/>
        </w:rPr>
        <w:t>Source</w:t>
      </w:r>
      <w:r>
        <w:t>: Commission estimates based on DIISR Annual Report 2010</w:t>
      </w:r>
      <w:r>
        <w:noBreakHyphen/>
        <w:t>11 (and earlier years).</w:t>
      </w:r>
    </w:p>
    <w:p w:rsidR="006B403D" w:rsidRDefault="00FA09C3" w:rsidP="006B403D">
      <w:pPr>
        <w:pStyle w:val="Heading2"/>
      </w:pPr>
      <w:r>
        <w:t>A.</w:t>
      </w:r>
      <w:r>
        <w:rPr>
          <w:noProof/>
        </w:rPr>
        <w:t>136</w:t>
      </w:r>
      <w:r w:rsidR="006B403D">
        <w:tab/>
        <w:t>South Australia Innovation and Investment Fund and Labour Assistance Package</w:t>
      </w:r>
    </w:p>
    <w:p w:rsidR="006B403D" w:rsidRDefault="006B403D" w:rsidP="006B403D">
      <w:pPr>
        <w:pStyle w:val="BodyText"/>
      </w:pPr>
      <w:r>
        <w:t>In February 2008, the Australian and South Australian Governments announced an assistance package to help support workers, and also the Tonsley Park region in South Australia</w:t>
      </w:r>
      <w:r w:rsidR="001C57D6">
        <w:t>,</w:t>
      </w:r>
      <w:r>
        <w:t xml:space="preserve"> following the announcement by Mitsubishi Motor Corporation that it would close its Adelaide vehicle assembly plant. The package included: intensive assistance to workers made redundant as a result of the plant closure; and a South Australian Innovation and Investment Fund (SAIIF) to assist the expansion of manufacturing in South Australia.</w:t>
      </w:r>
    </w:p>
    <w:p w:rsidR="006B403D" w:rsidRDefault="006B403D" w:rsidP="006B403D">
      <w:pPr>
        <w:pStyle w:val="BodyText"/>
      </w:pPr>
      <w:r>
        <w:t xml:space="preserve">The SAIIF aimed to support projects that were likely to create full-time employment, with a focus on projects aimed at supporting the introduction of new innovations or technology (including investment in emerging and growth sectors such as defence and ICT), and activities in the southern suburbs of Adelaide. In addition, the fund aimed to support strategic infrastructure </w:t>
      </w:r>
      <w:r w:rsidR="001C57D6">
        <w:t>that could</w:t>
      </w:r>
      <w:r>
        <w:t xml:space="preserve"> improve the competitiveness of the region </w:t>
      </w:r>
      <w:r w:rsidRPr="00EC76CA">
        <w:t>(</w:t>
      </w:r>
      <w:r w:rsidRPr="00C305B5">
        <w:t>Rudd, Carr and Rann 2008</w:t>
      </w:r>
      <w:r w:rsidRPr="00EC76CA">
        <w:t>). The Fund closed on 30 June 2011 (</w:t>
      </w:r>
      <w:r w:rsidRPr="00C305B5">
        <w:t>DIISR 2011</w:t>
      </w:r>
      <w:r w:rsidRPr="00EC76CA">
        <w:t>)</w:t>
      </w:r>
      <w:r>
        <w:t>.</w:t>
      </w:r>
    </w:p>
    <w:p w:rsidR="006B403D" w:rsidRDefault="006B403D" w:rsidP="006B403D">
      <w:pPr>
        <w:pStyle w:val="BodyText"/>
      </w:pPr>
      <w:r w:rsidRPr="001B2107">
        <w:t xml:space="preserve">The Commission has obtained information from the Department of Innovation, Industry, Science and Research detailing program funding according to ANZSIC industry. This information has been used to allocate the Department’s estimate of total program expenditure, as published in </w:t>
      </w:r>
      <w:r w:rsidR="001C57D6">
        <w:t>its</w:t>
      </w:r>
      <w:r w:rsidR="001C57D6" w:rsidRPr="001B2107">
        <w:t xml:space="preserve"> </w:t>
      </w:r>
      <w:r w:rsidRPr="001B2107">
        <w:t>annual report, to the Commission’s ANZSIC-based industry groupings</w:t>
      </w:r>
      <w:r>
        <w:t xml:space="preserve"> (table A.13</w:t>
      </w:r>
      <w:r w:rsidR="00C065C1">
        <w:t>6</w:t>
      </w:r>
      <w:r>
        <w:t>).</w:t>
      </w:r>
    </w:p>
    <w:p w:rsidR="006B403D" w:rsidRDefault="006B403D" w:rsidP="006B403D">
      <w:pPr>
        <w:pStyle w:val="TableTitle"/>
      </w:pPr>
      <w:r>
        <w:rPr>
          <w:b w:val="0"/>
        </w:rPr>
        <w:t xml:space="preserve">Table </w:t>
      </w:r>
      <w:r w:rsidR="00FA09C3">
        <w:rPr>
          <w:b w:val="0"/>
        </w:rPr>
        <w:t>A.</w:t>
      </w:r>
      <w:r w:rsidR="00FA09C3">
        <w:rPr>
          <w:b w:val="0"/>
          <w:noProof/>
        </w:rPr>
        <w:t>136</w:t>
      </w:r>
      <w:r>
        <w:tab/>
        <w:t xml:space="preserve">Allocation of South Australia Innovation and Investment Fund and Labour Assistance Package </w:t>
      </w:r>
      <w:r w:rsidR="00B6795B" w:rsidRPr="00B6795B">
        <w:t>to industry</w:t>
      </w:r>
      <w:r>
        <w:t>, 2006</w:t>
      </w:r>
      <w:r>
        <w:noBreakHyphen/>
        <w:t>07 to 2011</w:t>
      </w:r>
      <w:r>
        <w:noBreakHyphen/>
        <w:t>12</w:t>
      </w:r>
    </w:p>
    <w:p w:rsidR="006B403D" w:rsidRDefault="006B403D" w:rsidP="006B403D">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6B403D" w:rsidRPr="00AF699A" w:rsidTr="001B56F1">
        <w:tc>
          <w:tcPr>
            <w:tcW w:w="1960" w:type="pct"/>
            <w:tcBorders>
              <w:top w:val="single" w:sz="6" w:space="0" w:color="auto"/>
              <w:bottom w:val="single" w:sz="6" w:space="0" w:color="auto"/>
            </w:tcBorders>
          </w:tcPr>
          <w:p w:rsidR="006B403D" w:rsidRPr="00AF699A" w:rsidRDefault="006B403D"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6B403D" w:rsidRPr="00AF699A" w:rsidRDefault="006B403D"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6B403D" w:rsidRPr="00AF699A" w:rsidRDefault="006B403D"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6B403D" w:rsidRPr="00AF699A" w:rsidRDefault="006B403D"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6B403D" w:rsidRPr="00AF699A" w:rsidRDefault="006B403D"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6B403D" w:rsidRPr="00AF699A" w:rsidRDefault="006B403D"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6B403D" w:rsidRPr="00AF699A" w:rsidRDefault="006B403D" w:rsidP="001B56F1">
            <w:pPr>
              <w:pStyle w:val="TableColumnHeading"/>
              <w:ind w:right="28"/>
              <w:rPr>
                <w:rFonts w:cs="Arial"/>
                <w:sz w:val="18"/>
                <w:szCs w:val="18"/>
              </w:rPr>
            </w:pPr>
            <w:r w:rsidRPr="00AF699A">
              <w:rPr>
                <w:rFonts w:cs="Arial"/>
                <w:sz w:val="18"/>
                <w:szCs w:val="18"/>
              </w:rPr>
              <w:t>2011-12</w:t>
            </w:r>
          </w:p>
        </w:tc>
      </w:tr>
      <w:tr w:rsidR="006B403D" w:rsidRPr="006C5A80" w:rsidTr="001B56F1">
        <w:tc>
          <w:tcPr>
            <w:tcW w:w="1960" w:type="pct"/>
            <w:tcBorders>
              <w:top w:val="single" w:sz="6" w:space="0" w:color="auto"/>
            </w:tcBorders>
            <w:vAlign w:val="bottom"/>
          </w:tcPr>
          <w:p w:rsidR="006B403D" w:rsidRPr="00682BD4" w:rsidRDefault="006B403D" w:rsidP="001B56F1">
            <w:pPr>
              <w:pStyle w:val="TableBodyText"/>
              <w:jc w:val="left"/>
              <w:rPr>
                <w:b/>
                <w:sz w:val="18"/>
                <w:szCs w:val="18"/>
              </w:rPr>
            </w:pPr>
            <w:r w:rsidRPr="00682BD4">
              <w:rPr>
                <w:b/>
                <w:sz w:val="18"/>
                <w:szCs w:val="18"/>
              </w:rPr>
              <w:t>Primary production</w:t>
            </w:r>
          </w:p>
        </w:tc>
        <w:tc>
          <w:tcPr>
            <w:tcW w:w="507" w:type="pct"/>
            <w:tcBorders>
              <w:top w:val="single" w:sz="6" w:space="0" w:color="auto"/>
            </w:tcBorders>
            <w:vAlign w:val="bottom"/>
          </w:tcPr>
          <w:p w:rsidR="006B403D" w:rsidRPr="008B7CE2" w:rsidRDefault="006B403D" w:rsidP="001B56F1">
            <w:pPr>
              <w:pStyle w:val="TableBodyText"/>
              <w:rPr>
                <w:b/>
                <w:sz w:val="18"/>
                <w:szCs w:val="18"/>
              </w:rPr>
            </w:pPr>
            <w:r w:rsidRPr="008B7CE2">
              <w:rPr>
                <w:b/>
                <w:sz w:val="18"/>
                <w:szCs w:val="18"/>
              </w:rPr>
              <w:noBreakHyphen/>
            </w:r>
          </w:p>
        </w:tc>
        <w:tc>
          <w:tcPr>
            <w:tcW w:w="507" w:type="pct"/>
            <w:tcBorders>
              <w:top w:val="single" w:sz="6" w:space="0" w:color="auto"/>
            </w:tcBorders>
            <w:vAlign w:val="bottom"/>
          </w:tcPr>
          <w:p w:rsidR="006B403D" w:rsidRPr="008B7CE2" w:rsidRDefault="006B403D" w:rsidP="001B56F1">
            <w:pPr>
              <w:pStyle w:val="TableBodyText"/>
              <w:rPr>
                <w:b/>
                <w:sz w:val="18"/>
                <w:szCs w:val="18"/>
              </w:rPr>
            </w:pPr>
            <w:r w:rsidRPr="008B7CE2">
              <w:rPr>
                <w:b/>
                <w:sz w:val="18"/>
                <w:szCs w:val="18"/>
              </w:rPr>
              <w:noBreakHyphen/>
            </w:r>
          </w:p>
        </w:tc>
        <w:tc>
          <w:tcPr>
            <w:tcW w:w="507" w:type="pct"/>
            <w:tcBorders>
              <w:top w:val="single" w:sz="6" w:space="0" w:color="auto"/>
            </w:tcBorders>
            <w:vAlign w:val="bottom"/>
          </w:tcPr>
          <w:p w:rsidR="006B403D" w:rsidRPr="008B7CE2" w:rsidRDefault="006B403D" w:rsidP="001B56F1">
            <w:pPr>
              <w:pStyle w:val="TableBodyText"/>
              <w:rPr>
                <w:b/>
                <w:sz w:val="18"/>
                <w:szCs w:val="18"/>
              </w:rPr>
            </w:pPr>
            <w:r w:rsidRPr="008B7CE2">
              <w:rPr>
                <w:b/>
                <w:sz w:val="18"/>
                <w:szCs w:val="18"/>
              </w:rPr>
              <w:t>0.3</w:t>
            </w:r>
          </w:p>
        </w:tc>
        <w:tc>
          <w:tcPr>
            <w:tcW w:w="507" w:type="pct"/>
            <w:tcBorders>
              <w:top w:val="single" w:sz="6" w:space="0" w:color="auto"/>
            </w:tcBorders>
            <w:vAlign w:val="bottom"/>
          </w:tcPr>
          <w:p w:rsidR="006B403D" w:rsidRPr="008B7CE2" w:rsidRDefault="006B403D" w:rsidP="001B56F1">
            <w:pPr>
              <w:pStyle w:val="TableBodyText"/>
              <w:rPr>
                <w:b/>
                <w:sz w:val="18"/>
                <w:szCs w:val="18"/>
              </w:rPr>
            </w:pPr>
            <w:r w:rsidRPr="008B7CE2">
              <w:rPr>
                <w:b/>
                <w:sz w:val="18"/>
                <w:szCs w:val="18"/>
              </w:rPr>
              <w:t>0.5</w:t>
            </w:r>
          </w:p>
        </w:tc>
        <w:tc>
          <w:tcPr>
            <w:tcW w:w="507" w:type="pct"/>
            <w:tcBorders>
              <w:top w:val="single" w:sz="6" w:space="0" w:color="auto"/>
            </w:tcBorders>
            <w:vAlign w:val="bottom"/>
          </w:tcPr>
          <w:p w:rsidR="006B403D" w:rsidRPr="008B7CE2" w:rsidRDefault="006B403D" w:rsidP="001B56F1">
            <w:pPr>
              <w:pStyle w:val="TableBodyText"/>
              <w:rPr>
                <w:b/>
                <w:sz w:val="18"/>
                <w:szCs w:val="18"/>
              </w:rPr>
            </w:pPr>
            <w:r w:rsidRPr="000104CB">
              <w:rPr>
                <w:b/>
                <w:sz w:val="18"/>
                <w:szCs w:val="18"/>
              </w:rPr>
              <w:t>&lt;0.1</w:t>
            </w:r>
          </w:p>
        </w:tc>
        <w:tc>
          <w:tcPr>
            <w:tcW w:w="505" w:type="pct"/>
            <w:tcBorders>
              <w:top w:val="single" w:sz="6" w:space="0" w:color="auto"/>
            </w:tcBorders>
            <w:vAlign w:val="bottom"/>
          </w:tcPr>
          <w:p w:rsidR="006B403D" w:rsidRPr="008B7CE2" w:rsidRDefault="006B403D" w:rsidP="001B56F1">
            <w:pPr>
              <w:pStyle w:val="TableBodyText"/>
              <w:rPr>
                <w:b/>
                <w:sz w:val="18"/>
                <w:szCs w:val="18"/>
              </w:rPr>
            </w:pPr>
            <w:r w:rsidRPr="008B7CE2">
              <w:rPr>
                <w:b/>
                <w:sz w:val="18"/>
                <w:szCs w:val="18"/>
              </w:rPr>
              <w:noBreakHyphen/>
            </w:r>
          </w:p>
        </w:tc>
      </w:tr>
      <w:tr w:rsidR="006B403D" w:rsidRPr="006C5A80" w:rsidTr="001B56F1">
        <w:tc>
          <w:tcPr>
            <w:tcW w:w="1960" w:type="pct"/>
            <w:vAlign w:val="bottom"/>
          </w:tcPr>
          <w:p w:rsidR="006B403D" w:rsidRPr="00682BD4" w:rsidRDefault="006B403D" w:rsidP="001B56F1">
            <w:pPr>
              <w:pStyle w:val="TableBodyText"/>
              <w:jc w:val="left"/>
              <w:rPr>
                <w:sz w:val="18"/>
                <w:szCs w:val="18"/>
              </w:rPr>
            </w:pPr>
            <w:r w:rsidRPr="00682BD4">
              <w:rPr>
                <w:sz w:val="18"/>
                <w:szCs w:val="18"/>
              </w:rPr>
              <w:t>Aquaculture and fishing</w:t>
            </w:r>
          </w:p>
        </w:tc>
        <w:tc>
          <w:tcPr>
            <w:tcW w:w="507" w:type="pct"/>
            <w:vAlign w:val="bottom"/>
          </w:tcPr>
          <w:p w:rsidR="006B403D" w:rsidRPr="00B81230" w:rsidRDefault="006B403D" w:rsidP="001B56F1">
            <w:pPr>
              <w:pStyle w:val="TableBodyText"/>
              <w:rPr>
                <w:sz w:val="18"/>
                <w:szCs w:val="18"/>
              </w:rPr>
            </w:pPr>
            <w:r>
              <w:rPr>
                <w:sz w:val="18"/>
                <w:szCs w:val="18"/>
              </w:rPr>
              <w:noBreakHyphen/>
            </w:r>
          </w:p>
        </w:tc>
        <w:tc>
          <w:tcPr>
            <w:tcW w:w="507" w:type="pct"/>
            <w:vAlign w:val="bottom"/>
          </w:tcPr>
          <w:p w:rsidR="006B403D" w:rsidRPr="00B81230" w:rsidRDefault="006B403D" w:rsidP="001B56F1">
            <w:pPr>
              <w:pStyle w:val="TableBodyText"/>
              <w:rPr>
                <w:sz w:val="18"/>
                <w:szCs w:val="18"/>
              </w:rPr>
            </w:pPr>
            <w:r>
              <w:rPr>
                <w:sz w:val="18"/>
                <w:szCs w:val="18"/>
              </w:rPr>
              <w:noBreakHyphen/>
            </w:r>
          </w:p>
        </w:tc>
        <w:tc>
          <w:tcPr>
            <w:tcW w:w="507" w:type="pct"/>
            <w:vAlign w:val="bottom"/>
          </w:tcPr>
          <w:p w:rsidR="006B403D" w:rsidRPr="00B81230" w:rsidRDefault="006B403D" w:rsidP="001B56F1">
            <w:pPr>
              <w:pStyle w:val="TableBodyText"/>
              <w:rPr>
                <w:sz w:val="18"/>
                <w:szCs w:val="18"/>
              </w:rPr>
            </w:pPr>
            <w:r>
              <w:rPr>
                <w:sz w:val="18"/>
                <w:szCs w:val="18"/>
              </w:rPr>
              <w:noBreakHyphen/>
            </w:r>
          </w:p>
        </w:tc>
        <w:tc>
          <w:tcPr>
            <w:tcW w:w="507" w:type="pct"/>
            <w:vAlign w:val="bottom"/>
          </w:tcPr>
          <w:p w:rsidR="006B403D" w:rsidRPr="00B81230" w:rsidRDefault="006B403D" w:rsidP="001B56F1">
            <w:pPr>
              <w:pStyle w:val="TableBodyText"/>
              <w:rPr>
                <w:sz w:val="18"/>
                <w:szCs w:val="18"/>
              </w:rPr>
            </w:pPr>
            <w:r>
              <w:rPr>
                <w:sz w:val="18"/>
                <w:szCs w:val="18"/>
              </w:rPr>
              <w:noBreakHyphen/>
            </w:r>
          </w:p>
        </w:tc>
        <w:tc>
          <w:tcPr>
            <w:tcW w:w="507" w:type="pct"/>
            <w:vAlign w:val="bottom"/>
          </w:tcPr>
          <w:p w:rsidR="006B403D" w:rsidRPr="00B81230" w:rsidRDefault="006B403D" w:rsidP="001B56F1">
            <w:pPr>
              <w:pStyle w:val="TableBodyText"/>
              <w:rPr>
                <w:sz w:val="18"/>
                <w:szCs w:val="18"/>
              </w:rPr>
            </w:pPr>
            <w:r>
              <w:rPr>
                <w:sz w:val="18"/>
                <w:szCs w:val="18"/>
              </w:rPr>
              <w:t>&lt;</w:t>
            </w:r>
            <w:r w:rsidRPr="00E17EEF">
              <w:rPr>
                <w:sz w:val="18"/>
                <w:szCs w:val="18"/>
              </w:rPr>
              <w:t>0.</w:t>
            </w:r>
            <w:r>
              <w:rPr>
                <w:sz w:val="18"/>
                <w:szCs w:val="18"/>
              </w:rPr>
              <w:t>1</w:t>
            </w:r>
          </w:p>
        </w:tc>
        <w:tc>
          <w:tcPr>
            <w:tcW w:w="505" w:type="pct"/>
            <w:vAlign w:val="bottom"/>
          </w:tcPr>
          <w:p w:rsidR="006B403D" w:rsidRPr="00B81230" w:rsidRDefault="006B403D" w:rsidP="001B56F1">
            <w:pPr>
              <w:pStyle w:val="TableBodyText"/>
              <w:rPr>
                <w:sz w:val="18"/>
                <w:szCs w:val="18"/>
              </w:rPr>
            </w:pPr>
            <w:r>
              <w:rPr>
                <w:sz w:val="18"/>
                <w:szCs w:val="18"/>
              </w:rPr>
              <w:noBreakHyphen/>
            </w:r>
          </w:p>
        </w:tc>
      </w:tr>
      <w:tr w:rsidR="006B403D" w:rsidRPr="006C5A80" w:rsidTr="001B56F1">
        <w:tc>
          <w:tcPr>
            <w:tcW w:w="1960" w:type="pct"/>
            <w:vAlign w:val="bottom"/>
          </w:tcPr>
          <w:p w:rsidR="006B403D" w:rsidRPr="00682BD4" w:rsidRDefault="006B403D" w:rsidP="001B56F1">
            <w:pPr>
              <w:pStyle w:val="TableBodyText"/>
              <w:jc w:val="left"/>
              <w:rPr>
                <w:sz w:val="18"/>
                <w:szCs w:val="18"/>
              </w:rPr>
            </w:pPr>
            <w:r>
              <w:rPr>
                <w:sz w:val="18"/>
                <w:szCs w:val="18"/>
              </w:rPr>
              <w:t>Food, beverages and tobacco</w:t>
            </w:r>
          </w:p>
        </w:tc>
        <w:tc>
          <w:tcPr>
            <w:tcW w:w="507" w:type="pct"/>
            <w:vAlign w:val="bottom"/>
          </w:tcPr>
          <w:p w:rsidR="006B403D" w:rsidRPr="00B81230" w:rsidRDefault="006B403D" w:rsidP="001B56F1">
            <w:pPr>
              <w:pStyle w:val="TableBodyText"/>
              <w:rPr>
                <w:sz w:val="18"/>
                <w:szCs w:val="18"/>
              </w:rPr>
            </w:pPr>
            <w:r>
              <w:rPr>
                <w:sz w:val="18"/>
                <w:szCs w:val="18"/>
              </w:rPr>
              <w:noBreakHyphen/>
            </w:r>
          </w:p>
        </w:tc>
        <w:tc>
          <w:tcPr>
            <w:tcW w:w="507" w:type="pct"/>
            <w:vAlign w:val="bottom"/>
          </w:tcPr>
          <w:p w:rsidR="006B403D" w:rsidRPr="00B81230" w:rsidRDefault="006B403D" w:rsidP="001B56F1">
            <w:pPr>
              <w:pStyle w:val="TableBodyText"/>
              <w:rPr>
                <w:sz w:val="18"/>
                <w:szCs w:val="18"/>
              </w:rPr>
            </w:pPr>
            <w:r>
              <w:rPr>
                <w:sz w:val="18"/>
                <w:szCs w:val="18"/>
              </w:rPr>
              <w:noBreakHyphen/>
            </w:r>
          </w:p>
        </w:tc>
        <w:tc>
          <w:tcPr>
            <w:tcW w:w="507" w:type="pct"/>
            <w:vAlign w:val="bottom"/>
          </w:tcPr>
          <w:p w:rsidR="006B403D" w:rsidRPr="00B81230" w:rsidRDefault="006B403D" w:rsidP="001B56F1">
            <w:pPr>
              <w:pStyle w:val="TableBodyText"/>
              <w:rPr>
                <w:sz w:val="18"/>
                <w:szCs w:val="18"/>
              </w:rPr>
            </w:pPr>
            <w:r w:rsidRPr="00B81230">
              <w:rPr>
                <w:sz w:val="18"/>
                <w:szCs w:val="18"/>
              </w:rPr>
              <w:t>0.3</w:t>
            </w:r>
          </w:p>
        </w:tc>
        <w:tc>
          <w:tcPr>
            <w:tcW w:w="507" w:type="pct"/>
            <w:vAlign w:val="bottom"/>
          </w:tcPr>
          <w:p w:rsidR="006B403D" w:rsidRPr="00B81230" w:rsidRDefault="006B403D" w:rsidP="001B56F1">
            <w:pPr>
              <w:pStyle w:val="TableBodyText"/>
              <w:rPr>
                <w:sz w:val="18"/>
                <w:szCs w:val="18"/>
              </w:rPr>
            </w:pPr>
            <w:r w:rsidRPr="00B81230">
              <w:rPr>
                <w:sz w:val="18"/>
                <w:szCs w:val="18"/>
              </w:rPr>
              <w:t>0.5</w:t>
            </w:r>
          </w:p>
        </w:tc>
        <w:tc>
          <w:tcPr>
            <w:tcW w:w="507" w:type="pct"/>
            <w:vAlign w:val="bottom"/>
          </w:tcPr>
          <w:p w:rsidR="006B403D" w:rsidRPr="00B81230" w:rsidRDefault="006B403D" w:rsidP="001B56F1">
            <w:pPr>
              <w:pStyle w:val="TableBodyText"/>
              <w:rPr>
                <w:sz w:val="18"/>
                <w:szCs w:val="18"/>
              </w:rPr>
            </w:pPr>
            <w:r>
              <w:rPr>
                <w:sz w:val="18"/>
                <w:szCs w:val="18"/>
              </w:rPr>
              <w:noBreakHyphen/>
            </w:r>
          </w:p>
        </w:tc>
        <w:tc>
          <w:tcPr>
            <w:tcW w:w="505" w:type="pct"/>
            <w:vAlign w:val="bottom"/>
          </w:tcPr>
          <w:p w:rsidR="006B403D" w:rsidRPr="00B81230" w:rsidRDefault="006B403D" w:rsidP="001B56F1">
            <w:pPr>
              <w:pStyle w:val="TableBodyText"/>
              <w:rPr>
                <w:sz w:val="18"/>
                <w:szCs w:val="18"/>
              </w:rPr>
            </w:pPr>
            <w:r>
              <w:rPr>
                <w:sz w:val="18"/>
                <w:szCs w:val="18"/>
              </w:rPr>
              <w:noBreakHyphen/>
            </w:r>
          </w:p>
        </w:tc>
      </w:tr>
      <w:tr w:rsidR="006B403D" w:rsidRPr="006C5A80" w:rsidTr="001B56F1">
        <w:tc>
          <w:tcPr>
            <w:tcW w:w="1960" w:type="pct"/>
            <w:vAlign w:val="bottom"/>
          </w:tcPr>
          <w:p w:rsidR="006B403D" w:rsidRPr="00682BD4" w:rsidRDefault="006B403D" w:rsidP="001B56F1">
            <w:pPr>
              <w:pStyle w:val="TableBodyText"/>
              <w:jc w:val="left"/>
              <w:rPr>
                <w:b/>
                <w:sz w:val="18"/>
                <w:szCs w:val="18"/>
              </w:rPr>
            </w:pPr>
            <w:r w:rsidRPr="00682BD4">
              <w:rPr>
                <w:b/>
                <w:sz w:val="18"/>
                <w:szCs w:val="18"/>
              </w:rPr>
              <w:t>Manufacturing</w:t>
            </w:r>
          </w:p>
        </w:tc>
        <w:tc>
          <w:tcPr>
            <w:tcW w:w="507" w:type="pct"/>
            <w:vAlign w:val="bottom"/>
          </w:tcPr>
          <w:p w:rsidR="006B403D" w:rsidRPr="008B7CE2" w:rsidRDefault="006B403D" w:rsidP="001B56F1">
            <w:pPr>
              <w:pStyle w:val="TableBodyText"/>
              <w:rPr>
                <w:b/>
                <w:sz w:val="18"/>
                <w:szCs w:val="18"/>
              </w:rPr>
            </w:pPr>
            <w:r w:rsidRPr="008B7CE2">
              <w:rPr>
                <w:b/>
                <w:sz w:val="18"/>
                <w:szCs w:val="18"/>
              </w:rPr>
              <w:noBreakHyphen/>
            </w:r>
          </w:p>
        </w:tc>
        <w:tc>
          <w:tcPr>
            <w:tcW w:w="507" w:type="pct"/>
            <w:vAlign w:val="bottom"/>
          </w:tcPr>
          <w:p w:rsidR="006B403D" w:rsidRPr="008B7CE2" w:rsidRDefault="006B403D" w:rsidP="001B56F1">
            <w:pPr>
              <w:pStyle w:val="TableBodyText"/>
              <w:rPr>
                <w:b/>
                <w:sz w:val="18"/>
                <w:szCs w:val="18"/>
              </w:rPr>
            </w:pPr>
            <w:r w:rsidRPr="008B7CE2">
              <w:rPr>
                <w:b/>
                <w:sz w:val="18"/>
                <w:szCs w:val="18"/>
              </w:rPr>
              <w:noBreakHyphen/>
            </w:r>
          </w:p>
        </w:tc>
        <w:tc>
          <w:tcPr>
            <w:tcW w:w="507" w:type="pct"/>
            <w:vAlign w:val="bottom"/>
          </w:tcPr>
          <w:p w:rsidR="006B403D" w:rsidRPr="008B7CE2" w:rsidRDefault="006B403D" w:rsidP="001B56F1">
            <w:pPr>
              <w:pStyle w:val="TableBodyText"/>
              <w:rPr>
                <w:b/>
                <w:sz w:val="18"/>
                <w:szCs w:val="18"/>
              </w:rPr>
            </w:pPr>
            <w:r w:rsidRPr="008B7CE2">
              <w:rPr>
                <w:b/>
                <w:sz w:val="18"/>
                <w:szCs w:val="18"/>
              </w:rPr>
              <w:t>3.8</w:t>
            </w:r>
          </w:p>
        </w:tc>
        <w:tc>
          <w:tcPr>
            <w:tcW w:w="507" w:type="pct"/>
            <w:vAlign w:val="bottom"/>
          </w:tcPr>
          <w:p w:rsidR="006B403D" w:rsidRPr="008B7CE2" w:rsidRDefault="006B403D" w:rsidP="001B56F1">
            <w:pPr>
              <w:pStyle w:val="TableBodyText"/>
              <w:rPr>
                <w:b/>
                <w:sz w:val="18"/>
                <w:szCs w:val="18"/>
              </w:rPr>
            </w:pPr>
            <w:r w:rsidRPr="008B7CE2">
              <w:rPr>
                <w:b/>
                <w:sz w:val="18"/>
                <w:szCs w:val="18"/>
              </w:rPr>
              <w:t>5.9</w:t>
            </w:r>
          </w:p>
        </w:tc>
        <w:tc>
          <w:tcPr>
            <w:tcW w:w="507" w:type="pct"/>
            <w:shd w:val="clear" w:color="auto" w:fill="auto"/>
            <w:vAlign w:val="bottom"/>
          </w:tcPr>
          <w:p w:rsidR="006B403D" w:rsidRPr="008B7CE2" w:rsidRDefault="006B403D" w:rsidP="001B56F1">
            <w:pPr>
              <w:pStyle w:val="TableBodyText"/>
              <w:rPr>
                <w:b/>
                <w:sz w:val="18"/>
                <w:szCs w:val="18"/>
              </w:rPr>
            </w:pPr>
            <w:r w:rsidRPr="008B7CE2">
              <w:rPr>
                <w:b/>
                <w:sz w:val="18"/>
                <w:szCs w:val="18"/>
              </w:rPr>
              <w:t>3.9</w:t>
            </w:r>
          </w:p>
        </w:tc>
        <w:tc>
          <w:tcPr>
            <w:tcW w:w="505" w:type="pct"/>
            <w:shd w:val="clear" w:color="auto" w:fill="auto"/>
            <w:vAlign w:val="bottom"/>
          </w:tcPr>
          <w:p w:rsidR="006B403D" w:rsidRPr="008B7CE2" w:rsidRDefault="006B403D" w:rsidP="001B56F1">
            <w:pPr>
              <w:pStyle w:val="TableBodyText"/>
              <w:rPr>
                <w:b/>
                <w:sz w:val="18"/>
                <w:szCs w:val="18"/>
              </w:rPr>
            </w:pPr>
            <w:r w:rsidRPr="008B7CE2">
              <w:rPr>
                <w:b/>
                <w:sz w:val="18"/>
                <w:szCs w:val="18"/>
              </w:rPr>
              <w:noBreakHyphen/>
            </w:r>
          </w:p>
        </w:tc>
      </w:tr>
      <w:tr w:rsidR="006B403D" w:rsidRPr="006C5A80" w:rsidTr="001B56F1">
        <w:tc>
          <w:tcPr>
            <w:tcW w:w="1960" w:type="pct"/>
            <w:vAlign w:val="bottom"/>
          </w:tcPr>
          <w:p w:rsidR="006B403D" w:rsidRPr="00682BD4" w:rsidRDefault="006B403D" w:rsidP="001B56F1">
            <w:pPr>
              <w:pStyle w:val="TableBodyText"/>
              <w:jc w:val="left"/>
              <w:rPr>
                <w:sz w:val="18"/>
                <w:szCs w:val="18"/>
              </w:rPr>
            </w:pPr>
            <w:r w:rsidRPr="00682BD4">
              <w:rPr>
                <w:sz w:val="18"/>
                <w:szCs w:val="18"/>
              </w:rPr>
              <w:t>Petroleum, coal, chemical and rubber products</w:t>
            </w:r>
          </w:p>
        </w:tc>
        <w:tc>
          <w:tcPr>
            <w:tcW w:w="507" w:type="pct"/>
            <w:vAlign w:val="bottom"/>
          </w:tcPr>
          <w:p w:rsidR="006B403D" w:rsidRPr="00B81230" w:rsidRDefault="006B403D" w:rsidP="001B56F1">
            <w:pPr>
              <w:pStyle w:val="TableBodyText"/>
              <w:rPr>
                <w:sz w:val="18"/>
                <w:szCs w:val="18"/>
              </w:rPr>
            </w:pPr>
            <w:r>
              <w:rPr>
                <w:sz w:val="18"/>
                <w:szCs w:val="18"/>
              </w:rPr>
              <w:noBreakHyphen/>
            </w:r>
          </w:p>
        </w:tc>
        <w:tc>
          <w:tcPr>
            <w:tcW w:w="507" w:type="pct"/>
            <w:vAlign w:val="bottom"/>
          </w:tcPr>
          <w:p w:rsidR="006B403D" w:rsidRPr="00B81230" w:rsidRDefault="006B403D" w:rsidP="001B56F1">
            <w:pPr>
              <w:pStyle w:val="TableBodyText"/>
              <w:rPr>
                <w:sz w:val="18"/>
                <w:szCs w:val="18"/>
              </w:rPr>
            </w:pPr>
            <w:r>
              <w:rPr>
                <w:sz w:val="18"/>
                <w:szCs w:val="18"/>
              </w:rPr>
              <w:noBreakHyphen/>
            </w:r>
          </w:p>
        </w:tc>
        <w:tc>
          <w:tcPr>
            <w:tcW w:w="507" w:type="pct"/>
            <w:vAlign w:val="bottom"/>
          </w:tcPr>
          <w:p w:rsidR="006B403D" w:rsidRPr="00B81230" w:rsidRDefault="006B403D" w:rsidP="001B56F1">
            <w:pPr>
              <w:pStyle w:val="TableBodyText"/>
              <w:rPr>
                <w:sz w:val="18"/>
                <w:szCs w:val="18"/>
              </w:rPr>
            </w:pPr>
            <w:r>
              <w:rPr>
                <w:sz w:val="18"/>
                <w:szCs w:val="18"/>
              </w:rPr>
              <w:noBreakHyphen/>
            </w:r>
          </w:p>
        </w:tc>
        <w:tc>
          <w:tcPr>
            <w:tcW w:w="507" w:type="pct"/>
            <w:vAlign w:val="bottom"/>
          </w:tcPr>
          <w:p w:rsidR="006B403D" w:rsidRPr="00B81230" w:rsidRDefault="006B403D" w:rsidP="001B56F1">
            <w:pPr>
              <w:pStyle w:val="TableBodyText"/>
              <w:rPr>
                <w:sz w:val="18"/>
                <w:szCs w:val="18"/>
              </w:rPr>
            </w:pPr>
            <w:r>
              <w:rPr>
                <w:sz w:val="18"/>
                <w:szCs w:val="18"/>
              </w:rPr>
              <w:noBreakHyphen/>
            </w:r>
          </w:p>
        </w:tc>
        <w:tc>
          <w:tcPr>
            <w:tcW w:w="507" w:type="pct"/>
            <w:shd w:val="clear" w:color="auto" w:fill="auto"/>
            <w:vAlign w:val="bottom"/>
          </w:tcPr>
          <w:p w:rsidR="006B403D" w:rsidRPr="00B81230" w:rsidRDefault="006B403D" w:rsidP="001B56F1">
            <w:pPr>
              <w:pStyle w:val="TableBodyText"/>
              <w:rPr>
                <w:sz w:val="18"/>
                <w:szCs w:val="18"/>
              </w:rPr>
            </w:pPr>
            <w:r w:rsidRPr="00B81230">
              <w:rPr>
                <w:sz w:val="18"/>
                <w:szCs w:val="18"/>
              </w:rPr>
              <w:t>1.4</w:t>
            </w:r>
          </w:p>
        </w:tc>
        <w:tc>
          <w:tcPr>
            <w:tcW w:w="505" w:type="pct"/>
            <w:shd w:val="clear" w:color="auto" w:fill="auto"/>
            <w:vAlign w:val="bottom"/>
          </w:tcPr>
          <w:p w:rsidR="006B403D" w:rsidRPr="00B81230" w:rsidRDefault="006B403D" w:rsidP="001B56F1">
            <w:pPr>
              <w:pStyle w:val="TableBodyText"/>
              <w:rPr>
                <w:sz w:val="18"/>
                <w:szCs w:val="18"/>
              </w:rPr>
            </w:pPr>
            <w:r>
              <w:rPr>
                <w:sz w:val="18"/>
                <w:szCs w:val="18"/>
              </w:rPr>
              <w:noBreakHyphen/>
            </w:r>
          </w:p>
        </w:tc>
      </w:tr>
      <w:tr w:rsidR="006B403D" w:rsidRPr="006C5A80" w:rsidTr="001B56F1">
        <w:tc>
          <w:tcPr>
            <w:tcW w:w="1960" w:type="pct"/>
            <w:vAlign w:val="bottom"/>
          </w:tcPr>
          <w:p w:rsidR="006B403D" w:rsidRPr="00682BD4" w:rsidRDefault="006B403D" w:rsidP="001B56F1">
            <w:pPr>
              <w:pStyle w:val="TableBodyText"/>
              <w:jc w:val="left"/>
              <w:rPr>
                <w:sz w:val="18"/>
                <w:szCs w:val="18"/>
              </w:rPr>
            </w:pPr>
            <w:r w:rsidRPr="00682BD4">
              <w:rPr>
                <w:sz w:val="18"/>
                <w:szCs w:val="18"/>
              </w:rPr>
              <w:t>Metal and fabricated metal products</w:t>
            </w:r>
          </w:p>
        </w:tc>
        <w:tc>
          <w:tcPr>
            <w:tcW w:w="507" w:type="pct"/>
            <w:vAlign w:val="bottom"/>
          </w:tcPr>
          <w:p w:rsidR="006B403D" w:rsidRPr="00B81230" w:rsidRDefault="006B403D" w:rsidP="001B56F1">
            <w:pPr>
              <w:pStyle w:val="TableBodyText"/>
              <w:rPr>
                <w:sz w:val="18"/>
                <w:szCs w:val="18"/>
              </w:rPr>
            </w:pPr>
            <w:r>
              <w:rPr>
                <w:sz w:val="18"/>
                <w:szCs w:val="18"/>
              </w:rPr>
              <w:noBreakHyphen/>
            </w:r>
          </w:p>
        </w:tc>
        <w:tc>
          <w:tcPr>
            <w:tcW w:w="507" w:type="pct"/>
            <w:vAlign w:val="bottom"/>
          </w:tcPr>
          <w:p w:rsidR="006B403D" w:rsidRPr="00B81230" w:rsidRDefault="006B403D" w:rsidP="001B56F1">
            <w:pPr>
              <w:pStyle w:val="TableBodyText"/>
              <w:rPr>
                <w:sz w:val="18"/>
                <w:szCs w:val="18"/>
              </w:rPr>
            </w:pPr>
            <w:r>
              <w:rPr>
                <w:sz w:val="18"/>
                <w:szCs w:val="18"/>
              </w:rPr>
              <w:noBreakHyphen/>
            </w:r>
          </w:p>
        </w:tc>
        <w:tc>
          <w:tcPr>
            <w:tcW w:w="507" w:type="pct"/>
            <w:vAlign w:val="bottom"/>
          </w:tcPr>
          <w:p w:rsidR="006B403D" w:rsidRPr="00B81230" w:rsidRDefault="006B403D" w:rsidP="001B56F1">
            <w:pPr>
              <w:pStyle w:val="TableBodyText"/>
              <w:rPr>
                <w:sz w:val="18"/>
                <w:szCs w:val="18"/>
              </w:rPr>
            </w:pPr>
            <w:r w:rsidRPr="00B81230">
              <w:rPr>
                <w:sz w:val="18"/>
                <w:szCs w:val="18"/>
              </w:rPr>
              <w:t>1.6</w:t>
            </w:r>
          </w:p>
        </w:tc>
        <w:tc>
          <w:tcPr>
            <w:tcW w:w="507" w:type="pct"/>
            <w:vAlign w:val="bottom"/>
          </w:tcPr>
          <w:p w:rsidR="006B403D" w:rsidRPr="00B81230" w:rsidRDefault="006B403D" w:rsidP="001B56F1">
            <w:pPr>
              <w:pStyle w:val="TableBodyText"/>
              <w:rPr>
                <w:sz w:val="18"/>
                <w:szCs w:val="18"/>
              </w:rPr>
            </w:pPr>
            <w:r w:rsidRPr="00B81230">
              <w:rPr>
                <w:sz w:val="18"/>
                <w:szCs w:val="18"/>
              </w:rPr>
              <w:t>2.5</w:t>
            </w:r>
          </w:p>
        </w:tc>
        <w:tc>
          <w:tcPr>
            <w:tcW w:w="507" w:type="pct"/>
            <w:shd w:val="clear" w:color="auto" w:fill="auto"/>
            <w:vAlign w:val="bottom"/>
          </w:tcPr>
          <w:p w:rsidR="006B403D" w:rsidRPr="00B81230" w:rsidRDefault="006B403D" w:rsidP="001B56F1">
            <w:pPr>
              <w:pStyle w:val="TableBodyText"/>
              <w:rPr>
                <w:sz w:val="18"/>
                <w:szCs w:val="18"/>
              </w:rPr>
            </w:pPr>
            <w:r w:rsidRPr="00B81230">
              <w:rPr>
                <w:sz w:val="18"/>
                <w:szCs w:val="18"/>
              </w:rPr>
              <w:t>0.5</w:t>
            </w:r>
          </w:p>
        </w:tc>
        <w:tc>
          <w:tcPr>
            <w:tcW w:w="505" w:type="pct"/>
            <w:shd w:val="clear" w:color="auto" w:fill="auto"/>
            <w:vAlign w:val="bottom"/>
          </w:tcPr>
          <w:p w:rsidR="006B403D" w:rsidRPr="00B81230" w:rsidRDefault="006B403D" w:rsidP="001B56F1">
            <w:pPr>
              <w:pStyle w:val="TableBodyText"/>
              <w:rPr>
                <w:sz w:val="18"/>
                <w:szCs w:val="18"/>
              </w:rPr>
            </w:pPr>
            <w:r>
              <w:rPr>
                <w:sz w:val="18"/>
                <w:szCs w:val="18"/>
              </w:rPr>
              <w:noBreakHyphen/>
            </w:r>
          </w:p>
        </w:tc>
      </w:tr>
      <w:tr w:rsidR="006B403D" w:rsidRPr="006C5A80" w:rsidTr="001B56F1">
        <w:tc>
          <w:tcPr>
            <w:tcW w:w="1960" w:type="pct"/>
            <w:vAlign w:val="bottom"/>
          </w:tcPr>
          <w:p w:rsidR="006B403D" w:rsidRPr="00682BD4" w:rsidRDefault="006B403D" w:rsidP="001B56F1">
            <w:pPr>
              <w:pStyle w:val="TableBodyText"/>
              <w:jc w:val="left"/>
              <w:rPr>
                <w:sz w:val="18"/>
                <w:szCs w:val="18"/>
              </w:rPr>
            </w:pPr>
            <w:r w:rsidRPr="00682BD4">
              <w:rPr>
                <w:sz w:val="18"/>
                <w:szCs w:val="18"/>
              </w:rPr>
              <w:t>Motor vehicle and parts</w:t>
            </w:r>
          </w:p>
        </w:tc>
        <w:tc>
          <w:tcPr>
            <w:tcW w:w="507" w:type="pct"/>
            <w:vAlign w:val="bottom"/>
          </w:tcPr>
          <w:p w:rsidR="006B403D" w:rsidRPr="00B81230" w:rsidRDefault="006B403D" w:rsidP="001B56F1">
            <w:pPr>
              <w:pStyle w:val="TableBodyText"/>
              <w:rPr>
                <w:sz w:val="18"/>
                <w:szCs w:val="18"/>
              </w:rPr>
            </w:pPr>
            <w:r>
              <w:rPr>
                <w:sz w:val="18"/>
                <w:szCs w:val="18"/>
              </w:rPr>
              <w:noBreakHyphen/>
            </w:r>
          </w:p>
        </w:tc>
        <w:tc>
          <w:tcPr>
            <w:tcW w:w="507" w:type="pct"/>
            <w:vAlign w:val="bottom"/>
          </w:tcPr>
          <w:p w:rsidR="006B403D" w:rsidRPr="00B81230" w:rsidRDefault="006B403D" w:rsidP="001B56F1">
            <w:pPr>
              <w:pStyle w:val="TableBodyText"/>
              <w:rPr>
                <w:sz w:val="18"/>
                <w:szCs w:val="18"/>
              </w:rPr>
            </w:pPr>
            <w:r>
              <w:rPr>
                <w:sz w:val="18"/>
                <w:szCs w:val="18"/>
              </w:rPr>
              <w:noBreakHyphen/>
            </w:r>
          </w:p>
        </w:tc>
        <w:tc>
          <w:tcPr>
            <w:tcW w:w="507" w:type="pct"/>
            <w:vAlign w:val="bottom"/>
          </w:tcPr>
          <w:p w:rsidR="006B403D" w:rsidRPr="00B81230" w:rsidRDefault="006B403D" w:rsidP="001B56F1">
            <w:pPr>
              <w:pStyle w:val="TableBodyText"/>
              <w:rPr>
                <w:sz w:val="18"/>
                <w:szCs w:val="18"/>
              </w:rPr>
            </w:pPr>
            <w:r>
              <w:rPr>
                <w:sz w:val="18"/>
                <w:szCs w:val="18"/>
              </w:rPr>
              <w:noBreakHyphen/>
            </w:r>
          </w:p>
        </w:tc>
        <w:tc>
          <w:tcPr>
            <w:tcW w:w="507" w:type="pct"/>
            <w:vAlign w:val="bottom"/>
          </w:tcPr>
          <w:p w:rsidR="006B403D" w:rsidRPr="00B81230" w:rsidRDefault="006B403D" w:rsidP="001B56F1">
            <w:pPr>
              <w:pStyle w:val="TableBodyText"/>
              <w:rPr>
                <w:sz w:val="18"/>
                <w:szCs w:val="18"/>
              </w:rPr>
            </w:pPr>
            <w:r w:rsidRPr="00B81230">
              <w:rPr>
                <w:sz w:val="18"/>
                <w:szCs w:val="18"/>
              </w:rPr>
              <w:t>-</w:t>
            </w:r>
          </w:p>
        </w:tc>
        <w:tc>
          <w:tcPr>
            <w:tcW w:w="507" w:type="pct"/>
            <w:shd w:val="clear" w:color="auto" w:fill="auto"/>
            <w:vAlign w:val="bottom"/>
          </w:tcPr>
          <w:p w:rsidR="006B403D" w:rsidRPr="00B81230" w:rsidRDefault="006B403D" w:rsidP="001B56F1">
            <w:pPr>
              <w:pStyle w:val="TableBodyText"/>
              <w:rPr>
                <w:sz w:val="18"/>
                <w:szCs w:val="18"/>
              </w:rPr>
            </w:pPr>
            <w:r w:rsidRPr="00B81230">
              <w:rPr>
                <w:sz w:val="18"/>
                <w:szCs w:val="18"/>
              </w:rPr>
              <w:t>0.5</w:t>
            </w:r>
          </w:p>
        </w:tc>
        <w:tc>
          <w:tcPr>
            <w:tcW w:w="505" w:type="pct"/>
            <w:shd w:val="clear" w:color="auto" w:fill="auto"/>
            <w:vAlign w:val="bottom"/>
          </w:tcPr>
          <w:p w:rsidR="006B403D" w:rsidRPr="00B81230" w:rsidRDefault="006B403D" w:rsidP="001B56F1">
            <w:pPr>
              <w:pStyle w:val="TableBodyText"/>
              <w:rPr>
                <w:sz w:val="18"/>
                <w:szCs w:val="18"/>
              </w:rPr>
            </w:pPr>
            <w:r>
              <w:rPr>
                <w:sz w:val="18"/>
                <w:szCs w:val="18"/>
              </w:rPr>
              <w:noBreakHyphen/>
            </w:r>
          </w:p>
        </w:tc>
      </w:tr>
      <w:tr w:rsidR="006B403D" w:rsidRPr="006C5A80" w:rsidTr="001B56F1">
        <w:tc>
          <w:tcPr>
            <w:tcW w:w="1960" w:type="pct"/>
            <w:vAlign w:val="bottom"/>
          </w:tcPr>
          <w:p w:rsidR="006B403D" w:rsidRPr="00682BD4" w:rsidRDefault="006B403D" w:rsidP="001B56F1">
            <w:pPr>
              <w:pStyle w:val="TableBodyText"/>
              <w:jc w:val="left"/>
              <w:rPr>
                <w:sz w:val="18"/>
                <w:szCs w:val="18"/>
              </w:rPr>
            </w:pPr>
            <w:r w:rsidRPr="00682BD4">
              <w:rPr>
                <w:sz w:val="18"/>
                <w:szCs w:val="18"/>
              </w:rPr>
              <w:t>Other transport equipment</w:t>
            </w:r>
          </w:p>
        </w:tc>
        <w:tc>
          <w:tcPr>
            <w:tcW w:w="507" w:type="pct"/>
            <w:vAlign w:val="bottom"/>
          </w:tcPr>
          <w:p w:rsidR="006B403D" w:rsidRPr="00B81230" w:rsidRDefault="006B403D" w:rsidP="001B56F1">
            <w:pPr>
              <w:pStyle w:val="TableBodyText"/>
              <w:rPr>
                <w:sz w:val="18"/>
                <w:szCs w:val="18"/>
              </w:rPr>
            </w:pPr>
            <w:r>
              <w:rPr>
                <w:sz w:val="18"/>
                <w:szCs w:val="18"/>
              </w:rPr>
              <w:noBreakHyphen/>
            </w:r>
          </w:p>
        </w:tc>
        <w:tc>
          <w:tcPr>
            <w:tcW w:w="507" w:type="pct"/>
            <w:vAlign w:val="bottom"/>
          </w:tcPr>
          <w:p w:rsidR="006B403D" w:rsidRPr="00B81230" w:rsidRDefault="006B403D" w:rsidP="001B56F1">
            <w:pPr>
              <w:pStyle w:val="TableBodyText"/>
              <w:rPr>
                <w:sz w:val="18"/>
                <w:szCs w:val="18"/>
              </w:rPr>
            </w:pPr>
            <w:r>
              <w:rPr>
                <w:sz w:val="18"/>
                <w:szCs w:val="18"/>
              </w:rPr>
              <w:noBreakHyphen/>
            </w:r>
          </w:p>
        </w:tc>
        <w:tc>
          <w:tcPr>
            <w:tcW w:w="507" w:type="pct"/>
            <w:vAlign w:val="bottom"/>
          </w:tcPr>
          <w:p w:rsidR="006B403D" w:rsidRPr="00B81230" w:rsidRDefault="006B403D" w:rsidP="001B56F1">
            <w:pPr>
              <w:pStyle w:val="TableBodyText"/>
              <w:rPr>
                <w:sz w:val="18"/>
                <w:szCs w:val="18"/>
              </w:rPr>
            </w:pPr>
            <w:r w:rsidRPr="00B81230">
              <w:rPr>
                <w:sz w:val="18"/>
                <w:szCs w:val="18"/>
              </w:rPr>
              <w:t>0.9</w:t>
            </w:r>
          </w:p>
        </w:tc>
        <w:tc>
          <w:tcPr>
            <w:tcW w:w="507" w:type="pct"/>
            <w:vAlign w:val="bottom"/>
          </w:tcPr>
          <w:p w:rsidR="006B403D" w:rsidRPr="00B81230" w:rsidRDefault="006B403D" w:rsidP="001B56F1">
            <w:pPr>
              <w:pStyle w:val="TableBodyText"/>
              <w:rPr>
                <w:sz w:val="18"/>
                <w:szCs w:val="18"/>
              </w:rPr>
            </w:pPr>
            <w:r w:rsidRPr="00B81230">
              <w:rPr>
                <w:sz w:val="18"/>
                <w:szCs w:val="18"/>
              </w:rPr>
              <w:t>1.5</w:t>
            </w:r>
          </w:p>
        </w:tc>
        <w:tc>
          <w:tcPr>
            <w:tcW w:w="507" w:type="pct"/>
            <w:shd w:val="clear" w:color="auto" w:fill="auto"/>
            <w:vAlign w:val="bottom"/>
          </w:tcPr>
          <w:p w:rsidR="006B403D" w:rsidRPr="00B81230" w:rsidRDefault="006B403D" w:rsidP="001B56F1">
            <w:pPr>
              <w:pStyle w:val="TableBodyText"/>
              <w:rPr>
                <w:sz w:val="18"/>
                <w:szCs w:val="18"/>
              </w:rPr>
            </w:pPr>
            <w:r>
              <w:rPr>
                <w:sz w:val="18"/>
                <w:szCs w:val="18"/>
              </w:rPr>
              <w:noBreakHyphen/>
            </w:r>
          </w:p>
        </w:tc>
        <w:tc>
          <w:tcPr>
            <w:tcW w:w="505" w:type="pct"/>
            <w:shd w:val="clear" w:color="auto" w:fill="auto"/>
            <w:vAlign w:val="bottom"/>
          </w:tcPr>
          <w:p w:rsidR="006B403D" w:rsidRPr="00B81230" w:rsidRDefault="006B403D" w:rsidP="001B56F1">
            <w:pPr>
              <w:pStyle w:val="TableBodyText"/>
              <w:rPr>
                <w:sz w:val="18"/>
                <w:szCs w:val="18"/>
              </w:rPr>
            </w:pPr>
            <w:r>
              <w:rPr>
                <w:sz w:val="18"/>
                <w:szCs w:val="18"/>
              </w:rPr>
              <w:noBreakHyphen/>
            </w:r>
          </w:p>
        </w:tc>
      </w:tr>
      <w:tr w:rsidR="006B403D" w:rsidRPr="006C5A80" w:rsidTr="001B56F1">
        <w:tc>
          <w:tcPr>
            <w:tcW w:w="1960" w:type="pct"/>
            <w:vAlign w:val="bottom"/>
          </w:tcPr>
          <w:p w:rsidR="006B403D" w:rsidRPr="00682BD4" w:rsidRDefault="006B403D" w:rsidP="001B56F1">
            <w:pPr>
              <w:pStyle w:val="TableBodyText"/>
              <w:jc w:val="left"/>
              <w:rPr>
                <w:sz w:val="18"/>
                <w:szCs w:val="18"/>
              </w:rPr>
            </w:pPr>
            <w:r w:rsidRPr="00682BD4">
              <w:rPr>
                <w:sz w:val="18"/>
                <w:szCs w:val="18"/>
              </w:rPr>
              <w:t>Machinery and equipment manufacturing</w:t>
            </w:r>
          </w:p>
        </w:tc>
        <w:tc>
          <w:tcPr>
            <w:tcW w:w="507" w:type="pct"/>
            <w:vAlign w:val="bottom"/>
          </w:tcPr>
          <w:p w:rsidR="006B403D" w:rsidRPr="00B81230" w:rsidRDefault="006B403D" w:rsidP="001B56F1">
            <w:pPr>
              <w:pStyle w:val="TableBodyText"/>
              <w:rPr>
                <w:sz w:val="18"/>
                <w:szCs w:val="18"/>
              </w:rPr>
            </w:pPr>
            <w:r>
              <w:rPr>
                <w:sz w:val="18"/>
                <w:szCs w:val="18"/>
              </w:rPr>
              <w:noBreakHyphen/>
            </w:r>
          </w:p>
        </w:tc>
        <w:tc>
          <w:tcPr>
            <w:tcW w:w="507" w:type="pct"/>
            <w:vAlign w:val="bottom"/>
          </w:tcPr>
          <w:p w:rsidR="006B403D" w:rsidRPr="00B81230" w:rsidRDefault="006B403D" w:rsidP="001B56F1">
            <w:pPr>
              <w:pStyle w:val="TableBodyText"/>
              <w:rPr>
                <w:sz w:val="18"/>
                <w:szCs w:val="18"/>
              </w:rPr>
            </w:pPr>
            <w:r>
              <w:rPr>
                <w:sz w:val="18"/>
                <w:szCs w:val="18"/>
              </w:rPr>
              <w:noBreakHyphen/>
            </w:r>
          </w:p>
        </w:tc>
        <w:tc>
          <w:tcPr>
            <w:tcW w:w="507" w:type="pct"/>
            <w:vAlign w:val="bottom"/>
          </w:tcPr>
          <w:p w:rsidR="006B403D" w:rsidRPr="00B81230" w:rsidRDefault="006B403D" w:rsidP="001B56F1">
            <w:pPr>
              <w:pStyle w:val="TableBodyText"/>
              <w:rPr>
                <w:sz w:val="18"/>
                <w:szCs w:val="18"/>
              </w:rPr>
            </w:pPr>
            <w:r>
              <w:rPr>
                <w:sz w:val="18"/>
                <w:szCs w:val="18"/>
              </w:rPr>
              <w:noBreakHyphen/>
            </w:r>
          </w:p>
        </w:tc>
        <w:tc>
          <w:tcPr>
            <w:tcW w:w="507" w:type="pct"/>
            <w:vAlign w:val="bottom"/>
          </w:tcPr>
          <w:p w:rsidR="006B403D" w:rsidRPr="00B81230" w:rsidRDefault="006B403D" w:rsidP="001B56F1">
            <w:pPr>
              <w:pStyle w:val="TableBodyText"/>
              <w:rPr>
                <w:sz w:val="18"/>
                <w:szCs w:val="18"/>
              </w:rPr>
            </w:pPr>
            <w:r>
              <w:rPr>
                <w:sz w:val="18"/>
                <w:szCs w:val="18"/>
              </w:rPr>
              <w:noBreakHyphen/>
            </w:r>
          </w:p>
        </w:tc>
        <w:tc>
          <w:tcPr>
            <w:tcW w:w="507" w:type="pct"/>
            <w:shd w:val="clear" w:color="auto" w:fill="auto"/>
            <w:vAlign w:val="bottom"/>
          </w:tcPr>
          <w:p w:rsidR="006B403D" w:rsidRPr="00B81230" w:rsidRDefault="006B403D" w:rsidP="001B56F1">
            <w:pPr>
              <w:pStyle w:val="TableBodyText"/>
              <w:rPr>
                <w:sz w:val="18"/>
                <w:szCs w:val="18"/>
              </w:rPr>
            </w:pPr>
            <w:r w:rsidRPr="00B81230">
              <w:rPr>
                <w:sz w:val="18"/>
                <w:szCs w:val="18"/>
              </w:rPr>
              <w:t>1.5</w:t>
            </w:r>
          </w:p>
        </w:tc>
        <w:tc>
          <w:tcPr>
            <w:tcW w:w="505" w:type="pct"/>
            <w:shd w:val="clear" w:color="auto" w:fill="auto"/>
            <w:vAlign w:val="bottom"/>
          </w:tcPr>
          <w:p w:rsidR="006B403D" w:rsidRPr="00B81230" w:rsidRDefault="006B403D" w:rsidP="001B56F1">
            <w:pPr>
              <w:pStyle w:val="TableBodyText"/>
              <w:rPr>
                <w:sz w:val="18"/>
                <w:szCs w:val="18"/>
              </w:rPr>
            </w:pPr>
            <w:r>
              <w:rPr>
                <w:sz w:val="18"/>
                <w:szCs w:val="18"/>
              </w:rPr>
              <w:noBreakHyphen/>
            </w:r>
          </w:p>
        </w:tc>
      </w:tr>
      <w:tr w:rsidR="006B403D" w:rsidRPr="006C5A80" w:rsidTr="001B56F1">
        <w:tc>
          <w:tcPr>
            <w:tcW w:w="1960" w:type="pct"/>
            <w:vAlign w:val="bottom"/>
          </w:tcPr>
          <w:p w:rsidR="006B403D" w:rsidRPr="00682BD4" w:rsidRDefault="006B403D" w:rsidP="001B56F1">
            <w:pPr>
              <w:pStyle w:val="TableBodyText"/>
              <w:jc w:val="left"/>
              <w:rPr>
                <w:sz w:val="18"/>
                <w:szCs w:val="18"/>
              </w:rPr>
            </w:pPr>
            <w:r>
              <w:rPr>
                <w:sz w:val="18"/>
                <w:szCs w:val="18"/>
              </w:rPr>
              <w:t>Unallocated</w:t>
            </w:r>
            <w:r w:rsidRPr="00682BD4">
              <w:rPr>
                <w:sz w:val="18"/>
                <w:szCs w:val="18"/>
              </w:rPr>
              <w:t xml:space="preserve"> manufacturing</w:t>
            </w:r>
            <w:r w:rsidRPr="00682BD4">
              <w:rPr>
                <w:rStyle w:val="NoteLabel"/>
                <w:szCs w:val="18"/>
              </w:rPr>
              <w:t>a</w:t>
            </w:r>
          </w:p>
        </w:tc>
        <w:tc>
          <w:tcPr>
            <w:tcW w:w="507" w:type="pct"/>
            <w:vAlign w:val="bottom"/>
          </w:tcPr>
          <w:p w:rsidR="006B403D" w:rsidRPr="00B81230" w:rsidRDefault="006B403D" w:rsidP="001B56F1">
            <w:pPr>
              <w:pStyle w:val="TableBodyText"/>
              <w:rPr>
                <w:sz w:val="18"/>
                <w:szCs w:val="18"/>
              </w:rPr>
            </w:pPr>
            <w:r>
              <w:rPr>
                <w:sz w:val="18"/>
                <w:szCs w:val="18"/>
              </w:rPr>
              <w:noBreakHyphen/>
            </w:r>
          </w:p>
        </w:tc>
        <w:tc>
          <w:tcPr>
            <w:tcW w:w="507" w:type="pct"/>
            <w:vAlign w:val="bottom"/>
          </w:tcPr>
          <w:p w:rsidR="006B403D" w:rsidRPr="00B81230" w:rsidRDefault="006B403D" w:rsidP="001B56F1">
            <w:pPr>
              <w:pStyle w:val="TableBodyText"/>
              <w:rPr>
                <w:sz w:val="18"/>
                <w:szCs w:val="18"/>
              </w:rPr>
            </w:pPr>
            <w:r>
              <w:rPr>
                <w:sz w:val="18"/>
                <w:szCs w:val="18"/>
              </w:rPr>
              <w:noBreakHyphen/>
            </w:r>
          </w:p>
        </w:tc>
        <w:tc>
          <w:tcPr>
            <w:tcW w:w="507" w:type="pct"/>
            <w:vAlign w:val="bottom"/>
          </w:tcPr>
          <w:p w:rsidR="006B403D" w:rsidRPr="00B81230" w:rsidRDefault="006B403D" w:rsidP="001B56F1">
            <w:pPr>
              <w:pStyle w:val="TableBodyText"/>
              <w:rPr>
                <w:sz w:val="18"/>
                <w:szCs w:val="18"/>
              </w:rPr>
            </w:pPr>
            <w:r w:rsidRPr="00B81230">
              <w:rPr>
                <w:sz w:val="18"/>
                <w:szCs w:val="18"/>
              </w:rPr>
              <w:t>1.2</w:t>
            </w:r>
          </w:p>
        </w:tc>
        <w:tc>
          <w:tcPr>
            <w:tcW w:w="507" w:type="pct"/>
            <w:vAlign w:val="bottom"/>
          </w:tcPr>
          <w:p w:rsidR="006B403D" w:rsidRPr="00B81230" w:rsidRDefault="006B403D" w:rsidP="001B56F1">
            <w:pPr>
              <w:pStyle w:val="TableBodyText"/>
              <w:rPr>
                <w:sz w:val="18"/>
                <w:szCs w:val="18"/>
              </w:rPr>
            </w:pPr>
            <w:r w:rsidRPr="00B81230">
              <w:rPr>
                <w:sz w:val="18"/>
                <w:szCs w:val="18"/>
              </w:rPr>
              <w:t>2.0</w:t>
            </w:r>
          </w:p>
        </w:tc>
        <w:tc>
          <w:tcPr>
            <w:tcW w:w="507" w:type="pct"/>
            <w:shd w:val="clear" w:color="auto" w:fill="auto"/>
            <w:vAlign w:val="bottom"/>
          </w:tcPr>
          <w:p w:rsidR="006B403D" w:rsidRPr="00B81230" w:rsidRDefault="006B403D" w:rsidP="001B56F1">
            <w:pPr>
              <w:pStyle w:val="TableBodyText"/>
              <w:rPr>
                <w:sz w:val="18"/>
                <w:szCs w:val="18"/>
              </w:rPr>
            </w:pPr>
            <w:r>
              <w:rPr>
                <w:sz w:val="18"/>
                <w:szCs w:val="18"/>
              </w:rPr>
              <w:noBreakHyphen/>
            </w:r>
          </w:p>
        </w:tc>
        <w:tc>
          <w:tcPr>
            <w:tcW w:w="505" w:type="pct"/>
            <w:shd w:val="clear" w:color="auto" w:fill="auto"/>
            <w:vAlign w:val="bottom"/>
          </w:tcPr>
          <w:p w:rsidR="006B403D" w:rsidRPr="00B81230" w:rsidRDefault="006B403D" w:rsidP="001B56F1">
            <w:pPr>
              <w:pStyle w:val="TableBodyText"/>
              <w:rPr>
                <w:sz w:val="18"/>
                <w:szCs w:val="18"/>
              </w:rPr>
            </w:pPr>
            <w:r>
              <w:rPr>
                <w:sz w:val="18"/>
                <w:szCs w:val="18"/>
              </w:rPr>
              <w:noBreakHyphen/>
            </w:r>
          </w:p>
        </w:tc>
      </w:tr>
      <w:tr w:rsidR="006B403D" w:rsidRPr="006C5A80" w:rsidTr="001B56F1">
        <w:tc>
          <w:tcPr>
            <w:tcW w:w="1960" w:type="pct"/>
            <w:vAlign w:val="bottom"/>
          </w:tcPr>
          <w:p w:rsidR="006B403D" w:rsidRPr="00682BD4" w:rsidRDefault="006B403D" w:rsidP="001B56F1">
            <w:pPr>
              <w:pStyle w:val="TableBodyText"/>
              <w:jc w:val="left"/>
              <w:rPr>
                <w:b/>
                <w:sz w:val="18"/>
                <w:szCs w:val="18"/>
              </w:rPr>
            </w:pPr>
            <w:r w:rsidRPr="00682BD4">
              <w:rPr>
                <w:b/>
                <w:sz w:val="18"/>
                <w:szCs w:val="18"/>
              </w:rPr>
              <w:t>Services</w:t>
            </w:r>
          </w:p>
        </w:tc>
        <w:tc>
          <w:tcPr>
            <w:tcW w:w="507" w:type="pct"/>
            <w:vAlign w:val="bottom"/>
          </w:tcPr>
          <w:p w:rsidR="006B403D" w:rsidRPr="008B7CE2" w:rsidRDefault="006B403D" w:rsidP="001B56F1">
            <w:pPr>
              <w:pStyle w:val="TableBodyText"/>
              <w:rPr>
                <w:b/>
                <w:sz w:val="18"/>
                <w:szCs w:val="18"/>
              </w:rPr>
            </w:pPr>
            <w:r w:rsidRPr="008B7CE2">
              <w:rPr>
                <w:b/>
                <w:sz w:val="18"/>
                <w:szCs w:val="18"/>
              </w:rPr>
              <w:noBreakHyphen/>
            </w:r>
          </w:p>
        </w:tc>
        <w:tc>
          <w:tcPr>
            <w:tcW w:w="507" w:type="pct"/>
            <w:vAlign w:val="bottom"/>
          </w:tcPr>
          <w:p w:rsidR="006B403D" w:rsidRPr="008B7CE2" w:rsidRDefault="006B403D" w:rsidP="001B56F1">
            <w:pPr>
              <w:pStyle w:val="TableBodyText"/>
              <w:rPr>
                <w:b/>
                <w:sz w:val="18"/>
                <w:szCs w:val="18"/>
              </w:rPr>
            </w:pPr>
            <w:r w:rsidRPr="008B7CE2">
              <w:rPr>
                <w:b/>
                <w:sz w:val="18"/>
                <w:szCs w:val="18"/>
              </w:rPr>
              <w:noBreakHyphen/>
            </w:r>
          </w:p>
        </w:tc>
        <w:tc>
          <w:tcPr>
            <w:tcW w:w="507" w:type="pct"/>
            <w:vAlign w:val="bottom"/>
          </w:tcPr>
          <w:p w:rsidR="006B403D" w:rsidRPr="000104CB" w:rsidRDefault="006B403D" w:rsidP="001B56F1">
            <w:pPr>
              <w:pStyle w:val="TableBodyText"/>
              <w:rPr>
                <w:b/>
                <w:sz w:val="18"/>
                <w:szCs w:val="18"/>
              </w:rPr>
            </w:pPr>
            <w:r w:rsidRPr="000104CB">
              <w:rPr>
                <w:b/>
                <w:sz w:val="18"/>
                <w:szCs w:val="18"/>
              </w:rPr>
              <w:t>&lt;0.1</w:t>
            </w:r>
          </w:p>
        </w:tc>
        <w:tc>
          <w:tcPr>
            <w:tcW w:w="507" w:type="pct"/>
            <w:vAlign w:val="bottom"/>
          </w:tcPr>
          <w:p w:rsidR="006B403D" w:rsidRPr="000104CB" w:rsidRDefault="006B403D" w:rsidP="001B56F1">
            <w:pPr>
              <w:pStyle w:val="TableBodyText"/>
              <w:rPr>
                <w:b/>
                <w:sz w:val="18"/>
                <w:szCs w:val="18"/>
              </w:rPr>
            </w:pPr>
            <w:r w:rsidRPr="000104CB">
              <w:rPr>
                <w:b/>
                <w:sz w:val="18"/>
                <w:szCs w:val="18"/>
              </w:rPr>
              <w:t>&lt;0.1</w:t>
            </w:r>
          </w:p>
        </w:tc>
        <w:tc>
          <w:tcPr>
            <w:tcW w:w="507" w:type="pct"/>
            <w:shd w:val="clear" w:color="auto" w:fill="auto"/>
            <w:vAlign w:val="bottom"/>
          </w:tcPr>
          <w:p w:rsidR="006B403D" w:rsidRPr="008B7CE2" w:rsidRDefault="006B403D" w:rsidP="001B56F1">
            <w:pPr>
              <w:pStyle w:val="TableBodyText"/>
              <w:rPr>
                <w:b/>
                <w:sz w:val="18"/>
                <w:szCs w:val="18"/>
              </w:rPr>
            </w:pPr>
            <w:r w:rsidRPr="008B7CE2">
              <w:rPr>
                <w:b/>
                <w:sz w:val="18"/>
                <w:szCs w:val="18"/>
              </w:rPr>
              <w:t>1.6</w:t>
            </w:r>
          </w:p>
        </w:tc>
        <w:tc>
          <w:tcPr>
            <w:tcW w:w="505" w:type="pct"/>
            <w:shd w:val="clear" w:color="auto" w:fill="auto"/>
            <w:vAlign w:val="bottom"/>
          </w:tcPr>
          <w:p w:rsidR="006B403D" w:rsidRPr="008B7CE2" w:rsidRDefault="006B403D" w:rsidP="001B56F1">
            <w:pPr>
              <w:pStyle w:val="TableBodyText"/>
              <w:rPr>
                <w:b/>
                <w:sz w:val="18"/>
                <w:szCs w:val="18"/>
              </w:rPr>
            </w:pPr>
            <w:r w:rsidRPr="008B7CE2">
              <w:rPr>
                <w:b/>
                <w:sz w:val="18"/>
                <w:szCs w:val="18"/>
              </w:rPr>
              <w:noBreakHyphen/>
            </w:r>
          </w:p>
        </w:tc>
      </w:tr>
      <w:tr w:rsidR="006B403D" w:rsidRPr="006C5A80" w:rsidTr="001B56F1">
        <w:tc>
          <w:tcPr>
            <w:tcW w:w="1960" w:type="pct"/>
            <w:vAlign w:val="bottom"/>
          </w:tcPr>
          <w:p w:rsidR="006B403D" w:rsidRPr="00682BD4" w:rsidRDefault="006B403D" w:rsidP="001B56F1">
            <w:pPr>
              <w:pStyle w:val="TableBodyText"/>
              <w:jc w:val="left"/>
              <w:rPr>
                <w:sz w:val="18"/>
                <w:szCs w:val="18"/>
              </w:rPr>
            </w:pPr>
            <w:r w:rsidRPr="00682BD4">
              <w:rPr>
                <w:sz w:val="18"/>
                <w:szCs w:val="18"/>
              </w:rPr>
              <w:t>Construction</w:t>
            </w:r>
          </w:p>
        </w:tc>
        <w:tc>
          <w:tcPr>
            <w:tcW w:w="507" w:type="pct"/>
            <w:vAlign w:val="bottom"/>
          </w:tcPr>
          <w:p w:rsidR="006B403D" w:rsidRPr="00B81230" w:rsidRDefault="006B403D" w:rsidP="001B56F1">
            <w:pPr>
              <w:pStyle w:val="TableBodyText"/>
              <w:rPr>
                <w:sz w:val="18"/>
                <w:szCs w:val="18"/>
              </w:rPr>
            </w:pPr>
            <w:r>
              <w:rPr>
                <w:sz w:val="18"/>
                <w:szCs w:val="18"/>
              </w:rPr>
              <w:noBreakHyphen/>
            </w:r>
          </w:p>
        </w:tc>
        <w:tc>
          <w:tcPr>
            <w:tcW w:w="507" w:type="pct"/>
            <w:vAlign w:val="bottom"/>
          </w:tcPr>
          <w:p w:rsidR="006B403D" w:rsidRPr="00B81230" w:rsidRDefault="006B403D" w:rsidP="001B56F1">
            <w:pPr>
              <w:pStyle w:val="TableBodyText"/>
              <w:rPr>
                <w:sz w:val="18"/>
                <w:szCs w:val="18"/>
              </w:rPr>
            </w:pPr>
            <w:r>
              <w:rPr>
                <w:sz w:val="18"/>
                <w:szCs w:val="18"/>
              </w:rPr>
              <w:noBreakHyphen/>
            </w:r>
          </w:p>
        </w:tc>
        <w:tc>
          <w:tcPr>
            <w:tcW w:w="507" w:type="pct"/>
            <w:vAlign w:val="bottom"/>
          </w:tcPr>
          <w:p w:rsidR="006B403D" w:rsidRPr="00B81230" w:rsidRDefault="006B403D" w:rsidP="001B56F1">
            <w:pPr>
              <w:pStyle w:val="TableBodyText"/>
              <w:rPr>
                <w:sz w:val="18"/>
                <w:szCs w:val="18"/>
              </w:rPr>
            </w:pPr>
            <w:r>
              <w:rPr>
                <w:sz w:val="18"/>
                <w:szCs w:val="18"/>
              </w:rPr>
              <w:noBreakHyphen/>
            </w:r>
          </w:p>
        </w:tc>
        <w:tc>
          <w:tcPr>
            <w:tcW w:w="507" w:type="pct"/>
            <w:vAlign w:val="bottom"/>
          </w:tcPr>
          <w:p w:rsidR="006B403D" w:rsidRPr="00B81230" w:rsidRDefault="006B403D" w:rsidP="001B56F1">
            <w:pPr>
              <w:pStyle w:val="TableBodyText"/>
              <w:rPr>
                <w:sz w:val="18"/>
                <w:szCs w:val="18"/>
              </w:rPr>
            </w:pPr>
            <w:r>
              <w:rPr>
                <w:sz w:val="18"/>
                <w:szCs w:val="18"/>
              </w:rPr>
              <w:noBreakHyphen/>
            </w:r>
          </w:p>
        </w:tc>
        <w:tc>
          <w:tcPr>
            <w:tcW w:w="507" w:type="pct"/>
            <w:shd w:val="clear" w:color="auto" w:fill="auto"/>
            <w:vAlign w:val="bottom"/>
          </w:tcPr>
          <w:p w:rsidR="006B403D" w:rsidRPr="00B81230" w:rsidRDefault="006B403D" w:rsidP="001B56F1">
            <w:pPr>
              <w:pStyle w:val="TableBodyText"/>
              <w:rPr>
                <w:sz w:val="18"/>
                <w:szCs w:val="18"/>
              </w:rPr>
            </w:pPr>
            <w:r>
              <w:rPr>
                <w:sz w:val="18"/>
                <w:szCs w:val="18"/>
              </w:rPr>
              <w:t>&lt;</w:t>
            </w:r>
            <w:r w:rsidRPr="00E17EEF">
              <w:rPr>
                <w:sz w:val="18"/>
                <w:szCs w:val="18"/>
              </w:rPr>
              <w:t>0.</w:t>
            </w:r>
            <w:r>
              <w:rPr>
                <w:sz w:val="18"/>
                <w:szCs w:val="18"/>
              </w:rPr>
              <w:t>1</w:t>
            </w:r>
          </w:p>
        </w:tc>
        <w:tc>
          <w:tcPr>
            <w:tcW w:w="505" w:type="pct"/>
            <w:shd w:val="clear" w:color="auto" w:fill="auto"/>
            <w:vAlign w:val="bottom"/>
          </w:tcPr>
          <w:p w:rsidR="006B403D" w:rsidRPr="00B81230" w:rsidRDefault="006B403D" w:rsidP="001B56F1">
            <w:pPr>
              <w:pStyle w:val="TableBodyText"/>
              <w:rPr>
                <w:sz w:val="18"/>
                <w:szCs w:val="18"/>
              </w:rPr>
            </w:pPr>
            <w:r>
              <w:rPr>
                <w:sz w:val="18"/>
                <w:szCs w:val="18"/>
              </w:rPr>
              <w:noBreakHyphen/>
            </w:r>
          </w:p>
        </w:tc>
      </w:tr>
      <w:tr w:rsidR="006B403D" w:rsidRPr="006C5A80" w:rsidTr="001B56F1">
        <w:tc>
          <w:tcPr>
            <w:tcW w:w="1960" w:type="pct"/>
            <w:vAlign w:val="bottom"/>
          </w:tcPr>
          <w:p w:rsidR="006B403D" w:rsidRPr="00682BD4" w:rsidRDefault="006B403D" w:rsidP="001B56F1">
            <w:pPr>
              <w:pStyle w:val="TableBodyText"/>
              <w:jc w:val="left"/>
              <w:rPr>
                <w:sz w:val="18"/>
                <w:szCs w:val="18"/>
              </w:rPr>
            </w:pPr>
            <w:r w:rsidRPr="00682BD4">
              <w:rPr>
                <w:sz w:val="18"/>
                <w:szCs w:val="18"/>
              </w:rPr>
              <w:t>Wholesale trade</w:t>
            </w:r>
          </w:p>
        </w:tc>
        <w:tc>
          <w:tcPr>
            <w:tcW w:w="507" w:type="pct"/>
            <w:vAlign w:val="bottom"/>
          </w:tcPr>
          <w:p w:rsidR="006B403D" w:rsidRPr="00B81230" w:rsidRDefault="006B403D" w:rsidP="001B56F1">
            <w:pPr>
              <w:pStyle w:val="TableBodyText"/>
              <w:rPr>
                <w:sz w:val="18"/>
                <w:szCs w:val="18"/>
              </w:rPr>
            </w:pPr>
            <w:r>
              <w:rPr>
                <w:sz w:val="18"/>
                <w:szCs w:val="18"/>
              </w:rPr>
              <w:noBreakHyphen/>
            </w:r>
          </w:p>
        </w:tc>
        <w:tc>
          <w:tcPr>
            <w:tcW w:w="507" w:type="pct"/>
            <w:vAlign w:val="bottom"/>
          </w:tcPr>
          <w:p w:rsidR="006B403D" w:rsidRPr="00B81230" w:rsidRDefault="006B403D" w:rsidP="001B56F1">
            <w:pPr>
              <w:pStyle w:val="TableBodyText"/>
              <w:rPr>
                <w:sz w:val="18"/>
                <w:szCs w:val="18"/>
              </w:rPr>
            </w:pPr>
            <w:r>
              <w:rPr>
                <w:sz w:val="18"/>
                <w:szCs w:val="18"/>
              </w:rPr>
              <w:noBreakHyphen/>
            </w:r>
          </w:p>
        </w:tc>
        <w:tc>
          <w:tcPr>
            <w:tcW w:w="507" w:type="pct"/>
            <w:vAlign w:val="bottom"/>
          </w:tcPr>
          <w:p w:rsidR="006B403D" w:rsidRPr="00B81230" w:rsidRDefault="006B403D" w:rsidP="001B56F1">
            <w:pPr>
              <w:pStyle w:val="TableBodyText"/>
              <w:rPr>
                <w:sz w:val="18"/>
                <w:szCs w:val="18"/>
              </w:rPr>
            </w:pPr>
            <w:r>
              <w:rPr>
                <w:sz w:val="18"/>
                <w:szCs w:val="18"/>
              </w:rPr>
              <w:noBreakHyphen/>
            </w:r>
          </w:p>
        </w:tc>
        <w:tc>
          <w:tcPr>
            <w:tcW w:w="507" w:type="pct"/>
            <w:vAlign w:val="bottom"/>
          </w:tcPr>
          <w:p w:rsidR="006B403D" w:rsidRPr="00B81230" w:rsidRDefault="006B403D" w:rsidP="001B56F1">
            <w:pPr>
              <w:pStyle w:val="TableBodyText"/>
              <w:rPr>
                <w:sz w:val="18"/>
                <w:szCs w:val="18"/>
              </w:rPr>
            </w:pPr>
            <w:r>
              <w:rPr>
                <w:sz w:val="18"/>
                <w:szCs w:val="18"/>
              </w:rPr>
              <w:noBreakHyphen/>
            </w:r>
          </w:p>
        </w:tc>
        <w:tc>
          <w:tcPr>
            <w:tcW w:w="507" w:type="pct"/>
            <w:shd w:val="clear" w:color="auto" w:fill="auto"/>
            <w:vAlign w:val="bottom"/>
          </w:tcPr>
          <w:p w:rsidR="006B403D" w:rsidRPr="00B81230" w:rsidRDefault="006B403D" w:rsidP="001B56F1">
            <w:pPr>
              <w:pStyle w:val="TableBodyText"/>
              <w:rPr>
                <w:sz w:val="18"/>
                <w:szCs w:val="18"/>
              </w:rPr>
            </w:pPr>
            <w:r>
              <w:rPr>
                <w:sz w:val="18"/>
                <w:szCs w:val="18"/>
              </w:rPr>
              <w:t>&lt;</w:t>
            </w:r>
            <w:r w:rsidRPr="00B81230">
              <w:rPr>
                <w:sz w:val="18"/>
                <w:szCs w:val="18"/>
              </w:rPr>
              <w:t>0.1</w:t>
            </w:r>
          </w:p>
        </w:tc>
        <w:tc>
          <w:tcPr>
            <w:tcW w:w="505" w:type="pct"/>
            <w:shd w:val="clear" w:color="auto" w:fill="auto"/>
            <w:vAlign w:val="bottom"/>
          </w:tcPr>
          <w:p w:rsidR="006B403D" w:rsidRPr="00B81230" w:rsidRDefault="006B403D" w:rsidP="001B56F1">
            <w:pPr>
              <w:pStyle w:val="TableBodyText"/>
              <w:rPr>
                <w:sz w:val="18"/>
                <w:szCs w:val="18"/>
              </w:rPr>
            </w:pPr>
            <w:r>
              <w:rPr>
                <w:sz w:val="18"/>
                <w:szCs w:val="18"/>
              </w:rPr>
              <w:noBreakHyphen/>
            </w:r>
          </w:p>
        </w:tc>
      </w:tr>
      <w:tr w:rsidR="006B403D" w:rsidRPr="006C5A80" w:rsidTr="001B56F1">
        <w:tc>
          <w:tcPr>
            <w:tcW w:w="1960" w:type="pct"/>
            <w:vAlign w:val="bottom"/>
          </w:tcPr>
          <w:p w:rsidR="006B403D" w:rsidRPr="00682BD4" w:rsidRDefault="006B403D" w:rsidP="001B56F1">
            <w:pPr>
              <w:pStyle w:val="TableBodyText"/>
              <w:jc w:val="left"/>
              <w:rPr>
                <w:sz w:val="18"/>
                <w:szCs w:val="18"/>
              </w:rPr>
            </w:pPr>
            <w:r w:rsidRPr="00682BD4">
              <w:rPr>
                <w:sz w:val="18"/>
                <w:szCs w:val="18"/>
              </w:rPr>
              <w:t>Property, professional and administrative services</w:t>
            </w:r>
          </w:p>
        </w:tc>
        <w:tc>
          <w:tcPr>
            <w:tcW w:w="507" w:type="pct"/>
            <w:vAlign w:val="bottom"/>
          </w:tcPr>
          <w:p w:rsidR="006B403D" w:rsidRPr="00B81230" w:rsidRDefault="006B403D" w:rsidP="001B56F1">
            <w:pPr>
              <w:pStyle w:val="TableBodyText"/>
              <w:rPr>
                <w:sz w:val="18"/>
                <w:szCs w:val="18"/>
              </w:rPr>
            </w:pPr>
            <w:r>
              <w:rPr>
                <w:sz w:val="18"/>
                <w:szCs w:val="18"/>
              </w:rPr>
              <w:noBreakHyphen/>
            </w:r>
          </w:p>
        </w:tc>
        <w:tc>
          <w:tcPr>
            <w:tcW w:w="507" w:type="pct"/>
            <w:vAlign w:val="bottom"/>
          </w:tcPr>
          <w:p w:rsidR="006B403D" w:rsidRPr="00B81230" w:rsidRDefault="006B403D" w:rsidP="001B56F1">
            <w:pPr>
              <w:pStyle w:val="TableBodyText"/>
              <w:rPr>
                <w:sz w:val="18"/>
                <w:szCs w:val="18"/>
              </w:rPr>
            </w:pPr>
            <w:r>
              <w:rPr>
                <w:sz w:val="18"/>
                <w:szCs w:val="18"/>
              </w:rPr>
              <w:noBreakHyphen/>
            </w:r>
          </w:p>
        </w:tc>
        <w:tc>
          <w:tcPr>
            <w:tcW w:w="507" w:type="pct"/>
            <w:vAlign w:val="bottom"/>
          </w:tcPr>
          <w:p w:rsidR="006B403D" w:rsidRPr="00B81230" w:rsidRDefault="006B403D" w:rsidP="001B56F1">
            <w:pPr>
              <w:pStyle w:val="TableBodyText"/>
              <w:rPr>
                <w:sz w:val="18"/>
                <w:szCs w:val="18"/>
              </w:rPr>
            </w:pPr>
            <w:r>
              <w:rPr>
                <w:sz w:val="18"/>
                <w:szCs w:val="18"/>
              </w:rPr>
              <w:noBreakHyphen/>
            </w:r>
          </w:p>
        </w:tc>
        <w:tc>
          <w:tcPr>
            <w:tcW w:w="507" w:type="pct"/>
            <w:vAlign w:val="bottom"/>
          </w:tcPr>
          <w:p w:rsidR="006B403D" w:rsidRPr="00B81230" w:rsidRDefault="006B403D" w:rsidP="001B56F1">
            <w:pPr>
              <w:pStyle w:val="TableBodyText"/>
              <w:rPr>
                <w:sz w:val="18"/>
                <w:szCs w:val="18"/>
              </w:rPr>
            </w:pPr>
            <w:r>
              <w:rPr>
                <w:sz w:val="18"/>
                <w:szCs w:val="18"/>
              </w:rPr>
              <w:noBreakHyphen/>
            </w:r>
          </w:p>
        </w:tc>
        <w:tc>
          <w:tcPr>
            <w:tcW w:w="507" w:type="pct"/>
            <w:shd w:val="clear" w:color="auto" w:fill="auto"/>
            <w:vAlign w:val="bottom"/>
          </w:tcPr>
          <w:p w:rsidR="006B403D" w:rsidRPr="00B81230" w:rsidRDefault="006B403D" w:rsidP="001B56F1">
            <w:pPr>
              <w:pStyle w:val="TableBodyText"/>
              <w:rPr>
                <w:sz w:val="18"/>
                <w:szCs w:val="18"/>
              </w:rPr>
            </w:pPr>
            <w:r w:rsidRPr="00B81230">
              <w:rPr>
                <w:sz w:val="18"/>
                <w:szCs w:val="18"/>
              </w:rPr>
              <w:t>1.5</w:t>
            </w:r>
          </w:p>
        </w:tc>
        <w:tc>
          <w:tcPr>
            <w:tcW w:w="505" w:type="pct"/>
            <w:shd w:val="clear" w:color="auto" w:fill="auto"/>
            <w:vAlign w:val="bottom"/>
          </w:tcPr>
          <w:p w:rsidR="006B403D" w:rsidRPr="00B81230" w:rsidRDefault="006B403D" w:rsidP="001B56F1">
            <w:pPr>
              <w:pStyle w:val="TableBodyText"/>
              <w:rPr>
                <w:sz w:val="18"/>
                <w:szCs w:val="18"/>
              </w:rPr>
            </w:pPr>
            <w:r>
              <w:rPr>
                <w:sz w:val="18"/>
                <w:szCs w:val="18"/>
              </w:rPr>
              <w:noBreakHyphen/>
            </w:r>
          </w:p>
        </w:tc>
      </w:tr>
      <w:tr w:rsidR="006B403D" w:rsidRPr="006C5A80" w:rsidTr="001B56F1">
        <w:tc>
          <w:tcPr>
            <w:tcW w:w="1960" w:type="pct"/>
            <w:tcBorders>
              <w:bottom w:val="single" w:sz="4" w:space="0" w:color="auto"/>
            </w:tcBorders>
            <w:vAlign w:val="bottom"/>
          </w:tcPr>
          <w:p w:rsidR="006B403D" w:rsidRPr="00682BD4" w:rsidRDefault="006B403D" w:rsidP="001B56F1">
            <w:pPr>
              <w:pStyle w:val="TableBodyText"/>
              <w:jc w:val="left"/>
              <w:rPr>
                <w:b/>
                <w:bCs/>
                <w:sz w:val="18"/>
                <w:szCs w:val="18"/>
              </w:rPr>
            </w:pPr>
            <w:r w:rsidRPr="00682BD4">
              <w:rPr>
                <w:b/>
                <w:bCs/>
                <w:sz w:val="18"/>
                <w:szCs w:val="18"/>
              </w:rPr>
              <w:t>Total</w:t>
            </w:r>
          </w:p>
        </w:tc>
        <w:tc>
          <w:tcPr>
            <w:tcW w:w="507" w:type="pct"/>
            <w:tcBorders>
              <w:bottom w:val="single" w:sz="4" w:space="0" w:color="auto"/>
            </w:tcBorders>
            <w:vAlign w:val="bottom"/>
          </w:tcPr>
          <w:p w:rsidR="006B403D" w:rsidRPr="008B7CE2" w:rsidRDefault="006B403D" w:rsidP="001B56F1">
            <w:pPr>
              <w:pStyle w:val="TableBodyText"/>
              <w:rPr>
                <w:b/>
                <w:sz w:val="18"/>
                <w:szCs w:val="18"/>
              </w:rPr>
            </w:pPr>
            <w:r w:rsidRPr="008B7CE2">
              <w:rPr>
                <w:b/>
                <w:sz w:val="18"/>
                <w:szCs w:val="18"/>
              </w:rPr>
              <w:noBreakHyphen/>
            </w:r>
          </w:p>
        </w:tc>
        <w:tc>
          <w:tcPr>
            <w:tcW w:w="507" w:type="pct"/>
            <w:tcBorders>
              <w:bottom w:val="single" w:sz="4" w:space="0" w:color="auto"/>
            </w:tcBorders>
            <w:vAlign w:val="bottom"/>
          </w:tcPr>
          <w:p w:rsidR="006B403D" w:rsidRPr="008B7CE2" w:rsidRDefault="006B403D" w:rsidP="001B56F1">
            <w:pPr>
              <w:pStyle w:val="TableBodyText"/>
              <w:rPr>
                <w:b/>
                <w:sz w:val="18"/>
                <w:szCs w:val="18"/>
              </w:rPr>
            </w:pPr>
            <w:r w:rsidRPr="008B7CE2">
              <w:rPr>
                <w:b/>
                <w:sz w:val="18"/>
                <w:szCs w:val="18"/>
              </w:rPr>
              <w:noBreakHyphen/>
            </w:r>
          </w:p>
        </w:tc>
        <w:tc>
          <w:tcPr>
            <w:tcW w:w="507" w:type="pct"/>
            <w:tcBorders>
              <w:bottom w:val="single" w:sz="4" w:space="0" w:color="auto"/>
            </w:tcBorders>
            <w:vAlign w:val="bottom"/>
          </w:tcPr>
          <w:p w:rsidR="006B403D" w:rsidRPr="008B7CE2" w:rsidRDefault="006B403D" w:rsidP="001B56F1">
            <w:pPr>
              <w:pStyle w:val="TableBodyText"/>
              <w:rPr>
                <w:b/>
                <w:sz w:val="18"/>
                <w:szCs w:val="18"/>
              </w:rPr>
            </w:pPr>
            <w:r w:rsidRPr="008B7CE2">
              <w:rPr>
                <w:b/>
                <w:sz w:val="18"/>
                <w:szCs w:val="18"/>
              </w:rPr>
              <w:t>4.1</w:t>
            </w:r>
          </w:p>
        </w:tc>
        <w:tc>
          <w:tcPr>
            <w:tcW w:w="507" w:type="pct"/>
            <w:tcBorders>
              <w:bottom w:val="single" w:sz="4" w:space="0" w:color="auto"/>
            </w:tcBorders>
            <w:vAlign w:val="bottom"/>
          </w:tcPr>
          <w:p w:rsidR="006B403D" w:rsidRPr="008B7CE2" w:rsidRDefault="006B403D" w:rsidP="001B56F1">
            <w:pPr>
              <w:pStyle w:val="TableBodyText"/>
              <w:rPr>
                <w:b/>
                <w:sz w:val="18"/>
                <w:szCs w:val="18"/>
              </w:rPr>
            </w:pPr>
            <w:r w:rsidRPr="008B7CE2">
              <w:rPr>
                <w:b/>
                <w:sz w:val="18"/>
                <w:szCs w:val="18"/>
              </w:rPr>
              <w:t>6.4</w:t>
            </w:r>
          </w:p>
        </w:tc>
        <w:tc>
          <w:tcPr>
            <w:tcW w:w="507" w:type="pct"/>
            <w:tcBorders>
              <w:bottom w:val="single" w:sz="4" w:space="0" w:color="auto"/>
            </w:tcBorders>
            <w:shd w:val="clear" w:color="auto" w:fill="auto"/>
            <w:vAlign w:val="bottom"/>
          </w:tcPr>
          <w:p w:rsidR="006B403D" w:rsidRPr="008B7CE2" w:rsidRDefault="006B403D" w:rsidP="001B56F1">
            <w:pPr>
              <w:pStyle w:val="TableBodyText"/>
              <w:rPr>
                <w:b/>
                <w:sz w:val="18"/>
                <w:szCs w:val="18"/>
              </w:rPr>
            </w:pPr>
            <w:r w:rsidRPr="008B7CE2">
              <w:rPr>
                <w:b/>
                <w:sz w:val="18"/>
                <w:szCs w:val="18"/>
              </w:rPr>
              <w:t>5.5</w:t>
            </w:r>
          </w:p>
        </w:tc>
        <w:tc>
          <w:tcPr>
            <w:tcW w:w="505" w:type="pct"/>
            <w:tcBorders>
              <w:bottom w:val="single" w:sz="4" w:space="0" w:color="auto"/>
            </w:tcBorders>
            <w:shd w:val="clear" w:color="auto" w:fill="auto"/>
            <w:vAlign w:val="bottom"/>
          </w:tcPr>
          <w:p w:rsidR="006B403D" w:rsidRPr="008B7CE2" w:rsidRDefault="006B403D" w:rsidP="001B56F1">
            <w:pPr>
              <w:pStyle w:val="TableBodyText"/>
              <w:rPr>
                <w:b/>
                <w:sz w:val="18"/>
                <w:szCs w:val="18"/>
              </w:rPr>
            </w:pPr>
            <w:r w:rsidRPr="008B7CE2">
              <w:rPr>
                <w:b/>
                <w:sz w:val="18"/>
                <w:szCs w:val="18"/>
              </w:rPr>
              <w:noBreakHyphen/>
            </w:r>
          </w:p>
        </w:tc>
      </w:tr>
    </w:tbl>
    <w:p w:rsidR="006B403D" w:rsidRDefault="006B403D" w:rsidP="006B403D">
      <w:pPr>
        <w:pStyle w:val="Note"/>
      </w:pPr>
      <w:r>
        <w:t xml:space="preserve">– Nil. </w:t>
      </w:r>
      <w:r w:rsidRPr="008E77FE">
        <w:rPr>
          <w:rStyle w:val="NoteLabel"/>
        </w:rPr>
        <w:t>a</w:t>
      </w:r>
      <w:r>
        <w:t xml:space="preserve"> Unallocated includes general programs where details of beneficiaries are unknown.</w:t>
      </w:r>
    </w:p>
    <w:p w:rsidR="006B403D" w:rsidRPr="008E77FE" w:rsidRDefault="006B403D" w:rsidP="006B403D">
      <w:pPr>
        <w:pStyle w:val="Source"/>
      </w:pPr>
      <w:r>
        <w:rPr>
          <w:i/>
        </w:rPr>
        <w:t>Source</w:t>
      </w:r>
      <w:r w:rsidR="0046010B">
        <w:rPr>
          <w:i/>
        </w:rPr>
        <w:t>s</w:t>
      </w:r>
      <w:r>
        <w:t xml:space="preserve">: </w:t>
      </w:r>
      <w:r w:rsidRPr="003E67DD">
        <w:t>Commis</w:t>
      </w:r>
      <w:r>
        <w:t>sion estimates based on DIISR Annual Report 2010</w:t>
      </w:r>
      <w:r>
        <w:noBreakHyphen/>
        <w:t>11 (and earlier years); and detailed DIISR data by ANZSIC industry.</w:t>
      </w:r>
    </w:p>
    <w:p w:rsidR="00242DCA" w:rsidRDefault="00FA09C3" w:rsidP="00242DCA">
      <w:pPr>
        <w:pStyle w:val="Heading2"/>
      </w:pPr>
      <w:r>
        <w:t>A.</w:t>
      </w:r>
      <w:r>
        <w:rPr>
          <w:noProof/>
        </w:rPr>
        <w:t>137</w:t>
      </w:r>
      <w:r w:rsidR="00242DCA">
        <w:tab/>
        <w:t>National Stem Cell Centre</w:t>
      </w:r>
    </w:p>
    <w:p w:rsidR="00242DCA" w:rsidRDefault="00242DCA" w:rsidP="00242DCA">
      <w:pPr>
        <w:pStyle w:val="BodyText"/>
      </w:pPr>
      <w:r>
        <w:t xml:space="preserve">In 2002, the Australian Stem Cell Centre was selected as Australia’s Biotechnology Centre of Excellence (BCE) </w:t>
      </w:r>
      <w:r w:rsidRPr="00053192">
        <w:t>(Howard 2002)</w:t>
      </w:r>
      <w:r>
        <w:t xml:space="preserve">. The Centre </w:t>
      </w:r>
      <w:r w:rsidR="009C1EB9">
        <w:t xml:space="preserve">aimed </w:t>
      </w:r>
      <w:r>
        <w:t xml:space="preserve">to unite Australia’s academics with industry in the field of stem cell and related research to deliver therapeutic benefits and foster the growth of the Australian biotechnology industry </w:t>
      </w:r>
      <w:r w:rsidRPr="00053192">
        <w:t xml:space="preserve">(Monash </w:t>
      </w:r>
      <w:r w:rsidRPr="00C305B5">
        <w:t>University 2003</w:t>
      </w:r>
      <w:r w:rsidRPr="00053192">
        <w:t>)</w:t>
      </w:r>
      <w:r>
        <w:t>.</w:t>
      </w:r>
      <w:r w:rsidR="009C1EB9">
        <w:t xml:space="preserve"> The Centre closed in 2011.</w:t>
      </w:r>
    </w:p>
    <w:p w:rsidR="00242DCA" w:rsidRDefault="00242DCA" w:rsidP="00242DCA">
      <w:pPr>
        <w:pStyle w:val="BodyText"/>
      </w:pPr>
      <w:r>
        <w:t xml:space="preserve">The NSCC selectively assisted activities engaged in biotechnology, and has been classified to the </w:t>
      </w:r>
      <w:r w:rsidRPr="00C305B5">
        <w:rPr>
          <w:i/>
        </w:rPr>
        <w:t>Petroleum, coal, chemical and rubber products</w:t>
      </w:r>
      <w:r>
        <w:t xml:space="preserve"> industry grouping in the Commission’s ANZSIC-based classification (table A.13</w:t>
      </w:r>
      <w:r w:rsidR="00C065C1">
        <w:t>7</w:t>
      </w:r>
      <w:r>
        <w:t>).</w:t>
      </w:r>
    </w:p>
    <w:p w:rsidR="00242DCA" w:rsidRDefault="00242DCA" w:rsidP="00242DCA">
      <w:pPr>
        <w:pStyle w:val="TableTitle"/>
      </w:pPr>
      <w:r>
        <w:rPr>
          <w:b w:val="0"/>
        </w:rPr>
        <w:t xml:space="preserve">Table </w:t>
      </w:r>
      <w:r w:rsidR="00FA09C3">
        <w:rPr>
          <w:b w:val="0"/>
        </w:rPr>
        <w:t>A.</w:t>
      </w:r>
      <w:r w:rsidR="00FA09C3">
        <w:rPr>
          <w:b w:val="0"/>
          <w:noProof/>
        </w:rPr>
        <w:t>137</w:t>
      </w:r>
      <w:r>
        <w:tab/>
        <w:t>Allocation of National Stem Cell Centre funding</w:t>
      </w:r>
      <w:r w:rsidR="00B6795B" w:rsidRPr="00B6795B">
        <w:t xml:space="preserve"> to industry</w:t>
      </w:r>
      <w:r>
        <w:t>, 2006</w:t>
      </w:r>
      <w:r>
        <w:noBreakHyphen/>
        <w:t>07 to 2011</w:t>
      </w:r>
      <w:r>
        <w:noBreakHyphen/>
        <w:t>12</w:t>
      </w:r>
    </w:p>
    <w:p w:rsidR="00242DCA" w:rsidRDefault="00242DCA" w:rsidP="00242DCA">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242DCA" w:rsidRPr="00AF699A" w:rsidTr="001B56F1">
        <w:tc>
          <w:tcPr>
            <w:tcW w:w="1960" w:type="pct"/>
            <w:tcBorders>
              <w:top w:val="single" w:sz="6" w:space="0" w:color="auto"/>
              <w:bottom w:val="single" w:sz="6" w:space="0" w:color="auto"/>
            </w:tcBorders>
          </w:tcPr>
          <w:p w:rsidR="00242DCA" w:rsidRPr="00AF699A" w:rsidRDefault="00242DCA"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242DCA" w:rsidRPr="00AF699A" w:rsidRDefault="00242DCA"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242DCA" w:rsidRPr="00AF699A" w:rsidRDefault="00242DCA"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242DCA" w:rsidRPr="00AF699A" w:rsidRDefault="00242DCA"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242DCA" w:rsidRPr="00AF699A" w:rsidRDefault="00242DCA"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242DCA" w:rsidRPr="00AF699A" w:rsidRDefault="00242DCA"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242DCA" w:rsidRPr="00AF699A" w:rsidRDefault="00242DCA" w:rsidP="001B56F1">
            <w:pPr>
              <w:pStyle w:val="TableColumnHeading"/>
              <w:ind w:right="28"/>
              <w:rPr>
                <w:rFonts w:cs="Arial"/>
                <w:sz w:val="18"/>
                <w:szCs w:val="18"/>
              </w:rPr>
            </w:pPr>
            <w:r w:rsidRPr="00AF699A">
              <w:rPr>
                <w:rFonts w:cs="Arial"/>
                <w:sz w:val="18"/>
                <w:szCs w:val="18"/>
              </w:rPr>
              <w:t>2011-12</w:t>
            </w:r>
          </w:p>
        </w:tc>
      </w:tr>
      <w:tr w:rsidR="00242DCA" w:rsidRPr="006C5A80" w:rsidTr="001B56F1">
        <w:tc>
          <w:tcPr>
            <w:tcW w:w="1960" w:type="pct"/>
            <w:tcBorders>
              <w:bottom w:val="single" w:sz="4" w:space="0" w:color="auto"/>
            </w:tcBorders>
            <w:vAlign w:val="bottom"/>
          </w:tcPr>
          <w:p w:rsidR="00242DCA" w:rsidRPr="00C944BA" w:rsidRDefault="00242DCA" w:rsidP="001B56F1">
            <w:pPr>
              <w:pStyle w:val="TableBodyText"/>
              <w:jc w:val="left"/>
            </w:pPr>
            <w:r>
              <w:t>Petroleum, coal, chemical and rubber products</w:t>
            </w:r>
          </w:p>
        </w:tc>
        <w:tc>
          <w:tcPr>
            <w:tcW w:w="507" w:type="pct"/>
            <w:tcBorders>
              <w:bottom w:val="single" w:sz="4" w:space="0" w:color="auto"/>
            </w:tcBorders>
            <w:vAlign w:val="bottom"/>
          </w:tcPr>
          <w:p w:rsidR="00242DCA" w:rsidRPr="00956031" w:rsidRDefault="00242DCA" w:rsidP="001B56F1">
            <w:pPr>
              <w:pStyle w:val="TableBodyText"/>
            </w:pPr>
            <w:r w:rsidRPr="00956031">
              <w:t>6.5</w:t>
            </w:r>
          </w:p>
        </w:tc>
        <w:tc>
          <w:tcPr>
            <w:tcW w:w="507" w:type="pct"/>
            <w:tcBorders>
              <w:bottom w:val="single" w:sz="4" w:space="0" w:color="auto"/>
            </w:tcBorders>
            <w:vAlign w:val="bottom"/>
          </w:tcPr>
          <w:p w:rsidR="00242DCA" w:rsidRPr="00956031" w:rsidRDefault="00242DCA" w:rsidP="001B56F1">
            <w:pPr>
              <w:pStyle w:val="TableBodyText"/>
            </w:pPr>
            <w:r w:rsidRPr="00956031">
              <w:t>6.0</w:t>
            </w:r>
          </w:p>
        </w:tc>
        <w:tc>
          <w:tcPr>
            <w:tcW w:w="507" w:type="pct"/>
            <w:tcBorders>
              <w:bottom w:val="single" w:sz="4" w:space="0" w:color="auto"/>
            </w:tcBorders>
            <w:vAlign w:val="bottom"/>
          </w:tcPr>
          <w:p w:rsidR="00242DCA" w:rsidRPr="00956031" w:rsidRDefault="00242DCA" w:rsidP="001B56F1">
            <w:pPr>
              <w:pStyle w:val="TableBodyText"/>
            </w:pPr>
            <w:r w:rsidRPr="00956031">
              <w:t>5.5</w:t>
            </w:r>
          </w:p>
        </w:tc>
        <w:tc>
          <w:tcPr>
            <w:tcW w:w="507" w:type="pct"/>
            <w:tcBorders>
              <w:bottom w:val="single" w:sz="4" w:space="0" w:color="auto"/>
            </w:tcBorders>
            <w:vAlign w:val="bottom"/>
          </w:tcPr>
          <w:p w:rsidR="00242DCA" w:rsidRPr="00956031" w:rsidRDefault="00242DCA" w:rsidP="001B56F1">
            <w:pPr>
              <w:pStyle w:val="TableBodyText"/>
            </w:pPr>
            <w:r w:rsidRPr="00956031">
              <w:t>5.0</w:t>
            </w:r>
          </w:p>
        </w:tc>
        <w:tc>
          <w:tcPr>
            <w:tcW w:w="507" w:type="pct"/>
            <w:tcBorders>
              <w:bottom w:val="single" w:sz="4" w:space="0" w:color="auto"/>
            </w:tcBorders>
            <w:shd w:val="clear" w:color="auto" w:fill="auto"/>
            <w:vAlign w:val="bottom"/>
          </w:tcPr>
          <w:p w:rsidR="00242DCA" w:rsidRPr="00956031" w:rsidRDefault="00242DCA" w:rsidP="001B56F1">
            <w:pPr>
              <w:pStyle w:val="TableBodyText"/>
            </w:pPr>
            <w:r w:rsidRPr="00956031">
              <w:t>4.5</w:t>
            </w:r>
          </w:p>
        </w:tc>
        <w:tc>
          <w:tcPr>
            <w:tcW w:w="505" w:type="pct"/>
            <w:tcBorders>
              <w:bottom w:val="single" w:sz="4" w:space="0" w:color="auto"/>
            </w:tcBorders>
            <w:shd w:val="clear" w:color="auto" w:fill="auto"/>
            <w:vAlign w:val="bottom"/>
          </w:tcPr>
          <w:p w:rsidR="00242DCA" w:rsidRPr="00956031" w:rsidRDefault="00242DCA" w:rsidP="001B56F1">
            <w:pPr>
              <w:pStyle w:val="TableBodyText"/>
            </w:pPr>
            <w:r>
              <w:noBreakHyphen/>
            </w:r>
          </w:p>
        </w:tc>
      </w:tr>
    </w:tbl>
    <w:p w:rsidR="00242DCA" w:rsidRPr="00F60026" w:rsidRDefault="00242DCA" w:rsidP="00242DCA">
      <w:pPr>
        <w:pStyle w:val="Source"/>
        <w:spacing w:after="0"/>
        <w:rPr>
          <w:i/>
        </w:rPr>
      </w:pPr>
      <w:r w:rsidRPr="00A2379F">
        <w:noBreakHyphen/>
        <w:t xml:space="preserve"> </w:t>
      </w:r>
      <w:r>
        <w:t>Nil</w:t>
      </w:r>
      <w:r w:rsidRPr="00A2379F">
        <w:t>.</w:t>
      </w:r>
    </w:p>
    <w:p w:rsidR="00242DCA" w:rsidRDefault="00242DCA" w:rsidP="00242DCA">
      <w:pPr>
        <w:pStyle w:val="Source"/>
      </w:pPr>
      <w:r>
        <w:rPr>
          <w:i/>
        </w:rPr>
        <w:t>Sources</w:t>
      </w:r>
      <w:r>
        <w:t>: Commission estimates based on DIISR Annual Report 2009</w:t>
      </w:r>
      <w:r w:rsidR="004D3F48">
        <w:noBreakHyphen/>
      </w:r>
      <w:r>
        <w:t>10 (and earlier years); Department of Industry, Tourism and Resources Annual Report 2006</w:t>
      </w:r>
      <w:r>
        <w:noBreakHyphen/>
        <w:t>07; and detailed DIISR data by ANZSIC industry.</w:t>
      </w:r>
    </w:p>
    <w:p w:rsidR="00981899" w:rsidRDefault="00FA09C3" w:rsidP="00981899">
      <w:pPr>
        <w:pStyle w:val="Heading2"/>
      </w:pPr>
      <w:r>
        <w:t>A.</w:t>
      </w:r>
      <w:r>
        <w:rPr>
          <w:noProof/>
        </w:rPr>
        <w:t>138</w:t>
      </w:r>
      <w:r w:rsidR="00981899">
        <w:tab/>
      </w:r>
      <w:r w:rsidR="00C705B7">
        <w:t xml:space="preserve">Textile, Clothing and Footwear </w:t>
      </w:r>
      <w:r w:rsidR="00981899">
        <w:t>Product Diversification Scheme</w:t>
      </w:r>
    </w:p>
    <w:p w:rsidR="00981899" w:rsidRDefault="00981899" w:rsidP="00981899">
      <w:pPr>
        <w:pStyle w:val="BodyText"/>
      </w:pPr>
      <w:r>
        <w:t xml:space="preserve">The Textiles, Clothing and Footwear (TCF) Product Diversification Scheme was an entitlement scheme intended to assist clothing and finished textile entities located in Australia to internationalise their sourcing arrangements and complement their product range. Assistance under the scheme was provided in the form of duty credits that could be used to offset duty payable on qualifying finished clothing or relevant finished textile articles. </w:t>
      </w:r>
      <w:r w:rsidRPr="009820B6">
        <w:t xml:space="preserve">Duty credit of </w:t>
      </w:r>
      <w:r w:rsidR="004D3F48">
        <w:t xml:space="preserve">approximately </w:t>
      </w:r>
      <w:r w:rsidRPr="009820B6">
        <w:t>$5</w:t>
      </w:r>
      <w:r>
        <w:t> </w:t>
      </w:r>
      <w:r w:rsidRPr="009820B6">
        <w:t>million per annum was issued for five years from 2006</w:t>
      </w:r>
      <w:r>
        <w:noBreakHyphen/>
      </w:r>
      <w:r w:rsidRPr="009820B6">
        <w:t>07</w:t>
      </w:r>
      <w:r>
        <w:t xml:space="preserve">. </w:t>
      </w:r>
      <w:r w:rsidRPr="009820B6">
        <w:t>The scheme closed on 30</w:t>
      </w:r>
      <w:r>
        <w:t> </w:t>
      </w:r>
      <w:r w:rsidRPr="009820B6">
        <w:t>June</w:t>
      </w:r>
      <w:r>
        <w:t> </w:t>
      </w:r>
      <w:r w:rsidRPr="009820B6">
        <w:t>2011</w:t>
      </w:r>
      <w:r>
        <w:t xml:space="preserve"> (</w:t>
      </w:r>
      <w:r w:rsidRPr="00C305B5">
        <w:t>DIISR 2011</w:t>
      </w:r>
      <w:r>
        <w:t>).</w:t>
      </w:r>
    </w:p>
    <w:p w:rsidR="00981899" w:rsidRDefault="00981899" w:rsidP="00981899">
      <w:pPr>
        <w:pStyle w:val="BodyText"/>
      </w:pPr>
      <w:r>
        <w:t xml:space="preserve">The program selectively benefited textile, clothing and footwear activities and has been classified to the </w:t>
      </w:r>
      <w:r w:rsidRPr="000A7DC0">
        <w:rPr>
          <w:i/>
        </w:rPr>
        <w:t>Textile, leather, clothing and footwear</w:t>
      </w:r>
      <w:r>
        <w:t xml:space="preserve"> industry grouping in the Commission’s ANZSIC-based classification (table A.13</w:t>
      </w:r>
      <w:r w:rsidR="00C065C1">
        <w:t>8</w:t>
      </w:r>
      <w:r>
        <w:t>).</w:t>
      </w:r>
    </w:p>
    <w:p w:rsidR="00981899" w:rsidRDefault="00981899" w:rsidP="00981899">
      <w:pPr>
        <w:pStyle w:val="TableTitle"/>
      </w:pPr>
      <w:r>
        <w:rPr>
          <w:b w:val="0"/>
        </w:rPr>
        <w:t xml:space="preserve">Table </w:t>
      </w:r>
      <w:r w:rsidR="00FA09C3">
        <w:rPr>
          <w:b w:val="0"/>
        </w:rPr>
        <w:t>A.</w:t>
      </w:r>
      <w:r w:rsidR="00FA09C3">
        <w:rPr>
          <w:b w:val="0"/>
          <w:noProof/>
        </w:rPr>
        <w:t>138</w:t>
      </w:r>
      <w:r>
        <w:tab/>
        <w:t xml:space="preserve">Allocation of </w:t>
      </w:r>
      <w:r w:rsidR="00C705B7">
        <w:t xml:space="preserve">Textile, Clothing and Footwear </w:t>
      </w:r>
      <w:r>
        <w:t>Product Diversification Scheme</w:t>
      </w:r>
      <w:r w:rsidR="00B6795B" w:rsidRPr="00B6795B">
        <w:t xml:space="preserve"> to industry</w:t>
      </w:r>
      <w:r>
        <w:t>, 2006</w:t>
      </w:r>
      <w:r>
        <w:noBreakHyphen/>
        <w:t>07 to 2011</w:t>
      </w:r>
      <w:r>
        <w:noBreakHyphen/>
        <w:t>12</w:t>
      </w:r>
    </w:p>
    <w:p w:rsidR="00981899" w:rsidRDefault="00981899" w:rsidP="00981899">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981899" w:rsidRPr="00AF699A" w:rsidTr="001B56F1">
        <w:tc>
          <w:tcPr>
            <w:tcW w:w="1960" w:type="pct"/>
            <w:tcBorders>
              <w:top w:val="single" w:sz="6" w:space="0" w:color="auto"/>
              <w:bottom w:val="single" w:sz="6" w:space="0" w:color="auto"/>
            </w:tcBorders>
          </w:tcPr>
          <w:p w:rsidR="00981899" w:rsidRPr="00AF699A" w:rsidRDefault="00981899"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981899" w:rsidRPr="00AF699A" w:rsidRDefault="00981899"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981899" w:rsidRPr="00AF699A" w:rsidRDefault="00981899"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981899" w:rsidRPr="00AF699A" w:rsidRDefault="00981899"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981899" w:rsidRPr="00AF699A" w:rsidRDefault="00981899"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981899" w:rsidRPr="00AF699A" w:rsidRDefault="00981899"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981899" w:rsidRPr="00AF699A" w:rsidRDefault="00981899" w:rsidP="001B56F1">
            <w:pPr>
              <w:pStyle w:val="TableColumnHeading"/>
              <w:ind w:right="28"/>
              <w:rPr>
                <w:rFonts w:cs="Arial"/>
                <w:sz w:val="18"/>
                <w:szCs w:val="18"/>
              </w:rPr>
            </w:pPr>
            <w:r w:rsidRPr="00AF699A">
              <w:rPr>
                <w:rFonts w:cs="Arial"/>
                <w:sz w:val="18"/>
                <w:szCs w:val="18"/>
              </w:rPr>
              <w:t>2011-12</w:t>
            </w:r>
          </w:p>
        </w:tc>
      </w:tr>
      <w:tr w:rsidR="00981899" w:rsidRPr="006C5A80" w:rsidTr="001B56F1">
        <w:tc>
          <w:tcPr>
            <w:tcW w:w="1960" w:type="pct"/>
            <w:tcBorders>
              <w:bottom w:val="single" w:sz="4" w:space="0" w:color="auto"/>
            </w:tcBorders>
            <w:vAlign w:val="bottom"/>
          </w:tcPr>
          <w:p w:rsidR="00981899" w:rsidRPr="00C944BA" w:rsidRDefault="00981899" w:rsidP="001B56F1">
            <w:pPr>
              <w:pStyle w:val="TableBodyText"/>
              <w:jc w:val="left"/>
            </w:pPr>
            <w:r>
              <w:t>Textile, leather, clothing and footwear</w:t>
            </w:r>
          </w:p>
        </w:tc>
        <w:tc>
          <w:tcPr>
            <w:tcW w:w="507" w:type="pct"/>
            <w:tcBorders>
              <w:bottom w:val="single" w:sz="4" w:space="0" w:color="auto"/>
            </w:tcBorders>
            <w:vAlign w:val="bottom"/>
          </w:tcPr>
          <w:p w:rsidR="00981899" w:rsidRDefault="00981899" w:rsidP="001B56F1">
            <w:pPr>
              <w:pStyle w:val="TableBodyText"/>
            </w:pPr>
            <w:r>
              <w:t>5.0</w:t>
            </w:r>
          </w:p>
        </w:tc>
        <w:tc>
          <w:tcPr>
            <w:tcW w:w="507" w:type="pct"/>
            <w:tcBorders>
              <w:bottom w:val="single" w:sz="4" w:space="0" w:color="auto"/>
            </w:tcBorders>
            <w:vAlign w:val="bottom"/>
          </w:tcPr>
          <w:p w:rsidR="00981899" w:rsidRDefault="00981899" w:rsidP="001B56F1">
            <w:pPr>
              <w:pStyle w:val="TableBodyText"/>
            </w:pPr>
            <w:r>
              <w:t>5.0</w:t>
            </w:r>
          </w:p>
        </w:tc>
        <w:tc>
          <w:tcPr>
            <w:tcW w:w="507" w:type="pct"/>
            <w:tcBorders>
              <w:bottom w:val="single" w:sz="4" w:space="0" w:color="auto"/>
            </w:tcBorders>
            <w:vAlign w:val="bottom"/>
          </w:tcPr>
          <w:p w:rsidR="00981899" w:rsidRDefault="00981899" w:rsidP="001B56F1">
            <w:pPr>
              <w:pStyle w:val="TableBodyText"/>
            </w:pPr>
            <w:r>
              <w:t>4.5</w:t>
            </w:r>
          </w:p>
        </w:tc>
        <w:tc>
          <w:tcPr>
            <w:tcW w:w="507" w:type="pct"/>
            <w:tcBorders>
              <w:bottom w:val="single" w:sz="4" w:space="0" w:color="auto"/>
            </w:tcBorders>
            <w:vAlign w:val="bottom"/>
          </w:tcPr>
          <w:p w:rsidR="00981899" w:rsidRDefault="00981899" w:rsidP="001B56F1">
            <w:pPr>
              <w:pStyle w:val="TableBodyText"/>
            </w:pPr>
            <w:r>
              <w:t>4.6</w:t>
            </w:r>
          </w:p>
        </w:tc>
        <w:tc>
          <w:tcPr>
            <w:tcW w:w="507" w:type="pct"/>
            <w:tcBorders>
              <w:bottom w:val="single" w:sz="4" w:space="0" w:color="auto"/>
            </w:tcBorders>
            <w:shd w:val="clear" w:color="auto" w:fill="auto"/>
            <w:vAlign w:val="bottom"/>
          </w:tcPr>
          <w:p w:rsidR="00981899" w:rsidRDefault="00981899" w:rsidP="001B56F1">
            <w:pPr>
              <w:pStyle w:val="TableBodyText"/>
            </w:pPr>
            <w:r>
              <w:t>4.2</w:t>
            </w:r>
          </w:p>
        </w:tc>
        <w:tc>
          <w:tcPr>
            <w:tcW w:w="505" w:type="pct"/>
            <w:tcBorders>
              <w:bottom w:val="single" w:sz="4" w:space="0" w:color="auto"/>
            </w:tcBorders>
            <w:shd w:val="clear" w:color="auto" w:fill="auto"/>
            <w:vAlign w:val="bottom"/>
          </w:tcPr>
          <w:p w:rsidR="00981899" w:rsidRDefault="00981899" w:rsidP="001B56F1">
            <w:pPr>
              <w:pStyle w:val="TableBodyText"/>
            </w:pPr>
            <w:r>
              <w:noBreakHyphen/>
            </w:r>
          </w:p>
        </w:tc>
      </w:tr>
    </w:tbl>
    <w:p w:rsidR="00981899" w:rsidRPr="00F60026" w:rsidRDefault="00981899" w:rsidP="00981899">
      <w:pPr>
        <w:pStyle w:val="Source"/>
        <w:spacing w:after="0"/>
        <w:rPr>
          <w:i/>
        </w:rPr>
      </w:pPr>
      <w:r w:rsidRPr="00A2379F">
        <w:noBreakHyphen/>
        <w:t xml:space="preserve"> </w:t>
      </w:r>
      <w:r>
        <w:t>Nil</w:t>
      </w:r>
      <w:r w:rsidRPr="00A2379F">
        <w:t>.</w:t>
      </w:r>
    </w:p>
    <w:p w:rsidR="00981899" w:rsidRDefault="00981899" w:rsidP="00981899">
      <w:pPr>
        <w:pStyle w:val="Source"/>
      </w:pPr>
      <w:r>
        <w:rPr>
          <w:i/>
        </w:rPr>
        <w:t>Source</w:t>
      </w:r>
      <w:r>
        <w:t>: Commission estimates based on DIISR Annual Report 2010</w:t>
      </w:r>
      <w:r>
        <w:noBreakHyphen/>
        <w:t>11 (and earlier years).</w:t>
      </w:r>
    </w:p>
    <w:p w:rsidR="00216629" w:rsidRPr="00216629" w:rsidRDefault="00216629" w:rsidP="00216629">
      <w:r>
        <w:br w:type="page"/>
      </w:r>
    </w:p>
    <w:p w:rsidR="00DE48FE" w:rsidRDefault="00FA09C3" w:rsidP="00DE48FE">
      <w:pPr>
        <w:pStyle w:val="Heading2"/>
      </w:pPr>
      <w:r>
        <w:t>A.</w:t>
      </w:r>
      <w:r>
        <w:rPr>
          <w:noProof/>
        </w:rPr>
        <w:t>139</w:t>
      </w:r>
      <w:r w:rsidR="00DE48FE">
        <w:tab/>
        <w:t>Promoting Australian Produce Program</w:t>
      </w:r>
    </w:p>
    <w:p w:rsidR="00DE48FE" w:rsidRDefault="00DE48FE" w:rsidP="00DE48FE">
      <w:pPr>
        <w:pStyle w:val="BodyText"/>
      </w:pPr>
      <w:r>
        <w:t>Established by the Australian Government in December 2008, the Promoting Australian Produce Program aimed to</w:t>
      </w:r>
      <w:r w:rsidRPr="00672E65">
        <w:t xml:space="preserve"> </w:t>
      </w:r>
      <w:r>
        <w:t>build the capacity of</w:t>
      </w:r>
      <w:r w:rsidRPr="00672E65">
        <w:t xml:space="preserve"> </w:t>
      </w:r>
      <w:r>
        <w:t xml:space="preserve">Australian </w:t>
      </w:r>
      <w:r w:rsidRPr="00672E65">
        <w:t xml:space="preserve">food </w:t>
      </w:r>
      <w:r>
        <w:t xml:space="preserve">producers </w:t>
      </w:r>
      <w:r w:rsidRPr="00672E65">
        <w:t xml:space="preserve">to </w:t>
      </w:r>
      <w:r>
        <w:t>promote and</w:t>
      </w:r>
      <w:r w:rsidRPr="00672E65">
        <w:t xml:space="preserve"> market their produce to domestic and export markets</w:t>
      </w:r>
      <w:r>
        <w:t xml:space="preserve"> </w:t>
      </w:r>
      <w:r w:rsidRPr="00EC76CA">
        <w:t>(</w:t>
      </w:r>
      <w:r w:rsidRPr="00C305B5">
        <w:t>Burke 2008c; DAFF 2011</w:t>
      </w:r>
      <w:r w:rsidRPr="00EC76CA">
        <w:t>)</w:t>
      </w:r>
      <w:r w:rsidRPr="00B024BB">
        <w:t>.</w:t>
      </w:r>
      <w:r>
        <w:t xml:space="preserve"> Under the program, matched-funding grants of between $50 000 and $750 000 were available to agricultural industry organisations to undertake projects based around one or more of the following activities: enhancing industry marketing and promotional capabilities; developing new strategies for industry marketing; gaining consumer insights; and strengthening links with domestic and international markets </w:t>
      </w:r>
      <w:r w:rsidRPr="00EC76CA">
        <w:t>(</w:t>
      </w:r>
      <w:r w:rsidRPr="00C305B5">
        <w:t>DAFF 2013c</w:t>
      </w:r>
      <w:r w:rsidRPr="00EC76CA">
        <w:t>)</w:t>
      </w:r>
      <w:r>
        <w:t>.</w:t>
      </w:r>
    </w:p>
    <w:p w:rsidR="00DE48FE" w:rsidRDefault="00DE48FE" w:rsidP="00DE48FE">
      <w:pPr>
        <w:pStyle w:val="BodyText"/>
      </w:pPr>
      <w:r>
        <w:t>The Promoting Australian Produce Program closed on 13 June 2011.</w:t>
      </w:r>
    </w:p>
    <w:p w:rsidR="00DE48FE" w:rsidRDefault="00DE48FE" w:rsidP="00DE48FE">
      <w:pPr>
        <w:pStyle w:val="BodyText"/>
      </w:pPr>
      <w:r>
        <w:t xml:space="preserve">The program targeted the primary production sector. However, information on the specific industry incidence of the program has not been readily available.  Accordingly, the budget outlay has been classified to the </w:t>
      </w:r>
      <w:r w:rsidRPr="009571D8">
        <w:rPr>
          <w:i/>
        </w:rPr>
        <w:t>Unallocated primary production</w:t>
      </w:r>
      <w:r>
        <w:t xml:space="preserve"> industry grouping in the Commission’s ANZSIC-based classification (table A.13</w:t>
      </w:r>
      <w:r w:rsidR="00C065C1">
        <w:t>9</w:t>
      </w:r>
      <w:r>
        <w:t>).</w:t>
      </w:r>
    </w:p>
    <w:p w:rsidR="00DE48FE" w:rsidRDefault="00DE48FE" w:rsidP="00DE48FE">
      <w:pPr>
        <w:pStyle w:val="TableTitle"/>
      </w:pPr>
      <w:r>
        <w:rPr>
          <w:b w:val="0"/>
        </w:rPr>
        <w:t xml:space="preserve">Table </w:t>
      </w:r>
      <w:r w:rsidR="00FA09C3">
        <w:rPr>
          <w:b w:val="0"/>
        </w:rPr>
        <w:t>A.</w:t>
      </w:r>
      <w:r w:rsidR="00FA09C3">
        <w:rPr>
          <w:b w:val="0"/>
          <w:noProof/>
        </w:rPr>
        <w:t>139</w:t>
      </w:r>
      <w:r>
        <w:tab/>
        <w:t>Allocation of Promoting Australian Produce Program</w:t>
      </w:r>
      <w:r w:rsidR="00B6795B" w:rsidRPr="00B6795B">
        <w:t xml:space="preserve"> to industry</w:t>
      </w:r>
      <w:r>
        <w:t>, 2006</w:t>
      </w:r>
      <w:r>
        <w:noBreakHyphen/>
        <w:t>07 to 2011</w:t>
      </w:r>
      <w:r>
        <w:noBreakHyphen/>
        <w:t>12</w:t>
      </w:r>
    </w:p>
    <w:p w:rsidR="00DE48FE" w:rsidRDefault="00DE48FE" w:rsidP="00DE48FE">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DE48FE" w:rsidRPr="00AF699A" w:rsidTr="001B56F1">
        <w:tc>
          <w:tcPr>
            <w:tcW w:w="1960" w:type="pct"/>
            <w:tcBorders>
              <w:top w:val="single" w:sz="6" w:space="0" w:color="auto"/>
              <w:bottom w:val="single" w:sz="6" w:space="0" w:color="auto"/>
            </w:tcBorders>
          </w:tcPr>
          <w:p w:rsidR="00DE48FE" w:rsidRPr="00AF699A" w:rsidRDefault="00DE48FE"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DE48FE" w:rsidRPr="00AF699A" w:rsidRDefault="00DE48FE"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DE48FE" w:rsidRPr="00AF699A" w:rsidRDefault="00DE48FE"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DE48FE" w:rsidRPr="00AF699A" w:rsidRDefault="00DE48FE"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DE48FE" w:rsidRPr="00AF699A" w:rsidRDefault="00DE48FE"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DE48FE" w:rsidRPr="00AF699A" w:rsidRDefault="00DE48FE"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DE48FE" w:rsidRPr="00AF699A" w:rsidRDefault="00DE48FE" w:rsidP="001B56F1">
            <w:pPr>
              <w:pStyle w:val="TableColumnHeading"/>
              <w:ind w:right="28"/>
              <w:rPr>
                <w:rFonts w:cs="Arial"/>
                <w:sz w:val="18"/>
                <w:szCs w:val="18"/>
              </w:rPr>
            </w:pPr>
            <w:r w:rsidRPr="00AF699A">
              <w:rPr>
                <w:rFonts w:cs="Arial"/>
                <w:sz w:val="18"/>
                <w:szCs w:val="18"/>
              </w:rPr>
              <w:t>2011-12</w:t>
            </w:r>
          </w:p>
        </w:tc>
      </w:tr>
      <w:tr w:rsidR="00DE48FE" w:rsidRPr="006C5A80" w:rsidTr="001B56F1">
        <w:tc>
          <w:tcPr>
            <w:tcW w:w="1960" w:type="pct"/>
            <w:tcBorders>
              <w:bottom w:val="single" w:sz="4" w:space="0" w:color="auto"/>
            </w:tcBorders>
            <w:vAlign w:val="bottom"/>
          </w:tcPr>
          <w:p w:rsidR="00DE48FE" w:rsidRPr="00C944BA" w:rsidRDefault="00DE48FE" w:rsidP="001B56F1">
            <w:pPr>
              <w:pStyle w:val="TableBodyText"/>
              <w:jc w:val="left"/>
            </w:pPr>
            <w:r>
              <w:t>Unallocated primary production</w:t>
            </w:r>
            <w:r w:rsidRPr="00BD3CDA">
              <w:rPr>
                <w:rStyle w:val="NoteLabel"/>
                <w:szCs w:val="18"/>
              </w:rPr>
              <w:t>a</w:t>
            </w:r>
          </w:p>
        </w:tc>
        <w:tc>
          <w:tcPr>
            <w:tcW w:w="507" w:type="pct"/>
            <w:tcBorders>
              <w:bottom w:val="single" w:sz="4" w:space="0" w:color="auto"/>
            </w:tcBorders>
            <w:vAlign w:val="bottom"/>
          </w:tcPr>
          <w:p w:rsidR="00DE48FE" w:rsidRPr="00B024BB" w:rsidRDefault="00DE48FE" w:rsidP="001B56F1">
            <w:pPr>
              <w:pStyle w:val="TableBodyText"/>
            </w:pPr>
            <w:r>
              <w:noBreakHyphen/>
            </w:r>
          </w:p>
        </w:tc>
        <w:tc>
          <w:tcPr>
            <w:tcW w:w="507" w:type="pct"/>
            <w:tcBorders>
              <w:bottom w:val="single" w:sz="4" w:space="0" w:color="auto"/>
            </w:tcBorders>
            <w:vAlign w:val="bottom"/>
          </w:tcPr>
          <w:p w:rsidR="00DE48FE" w:rsidRPr="00B024BB" w:rsidRDefault="00DE48FE" w:rsidP="001B56F1">
            <w:pPr>
              <w:pStyle w:val="TableBodyText"/>
            </w:pPr>
            <w:r>
              <w:noBreakHyphen/>
            </w:r>
          </w:p>
        </w:tc>
        <w:tc>
          <w:tcPr>
            <w:tcW w:w="507" w:type="pct"/>
            <w:tcBorders>
              <w:bottom w:val="single" w:sz="4" w:space="0" w:color="auto"/>
            </w:tcBorders>
            <w:vAlign w:val="bottom"/>
          </w:tcPr>
          <w:p w:rsidR="00DE48FE" w:rsidRPr="00B024BB" w:rsidRDefault="00DE48FE" w:rsidP="001B56F1">
            <w:pPr>
              <w:pStyle w:val="TableBodyText"/>
            </w:pPr>
            <w:r>
              <w:t>3.0</w:t>
            </w:r>
          </w:p>
        </w:tc>
        <w:tc>
          <w:tcPr>
            <w:tcW w:w="507" w:type="pct"/>
            <w:tcBorders>
              <w:bottom w:val="single" w:sz="4" w:space="0" w:color="auto"/>
            </w:tcBorders>
            <w:vAlign w:val="bottom"/>
          </w:tcPr>
          <w:p w:rsidR="00DE48FE" w:rsidRPr="00B024BB" w:rsidRDefault="00DE48FE" w:rsidP="001B56F1">
            <w:pPr>
              <w:pStyle w:val="TableBodyText"/>
            </w:pPr>
            <w:r>
              <w:t>1.3</w:t>
            </w:r>
          </w:p>
        </w:tc>
        <w:tc>
          <w:tcPr>
            <w:tcW w:w="507" w:type="pct"/>
            <w:tcBorders>
              <w:bottom w:val="single" w:sz="4" w:space="0" w:color="auto"/>
            </w:tcBorders>
            <w:shd w:val="clear" w:color="auto" w:fill="auto"/>
            <w:vAlign w:val="bottom"/>
          </w:tcPr>
          <w:p w:rsidR="00DE48FE" w:rsidRPr="00B024BB" w:rsidRDefault="00DE48FE" w:rsidP="001B56F1">
            <w:pPr>
              <w:pStyle w:val="TableBodyText"/>
            </w:pPr>
            <w:r>
              <w:t>3.8</w:t>
            </w:r>
          </w:p>
        </w:tc>
        <w:tc>
          <w:tcPr>
            <w:tcW w:w="505" w:type="pct"/>
            <w:tcBorders>
              <w:bottom w:val="single" w:sz="4" w:space="0" w:color="auto"/>
            </w:tcBorders>
            <w:shd w:val="clear" w:color="auto" w:fill="auto"/>
            <w:vAlign w:val="bottom"/>
          </w:tcPr>
          <w:p w:rsidR="00DE48FE" w:rsidRPr="00B024BB" w:rsidRDefault="00DE48FE" w:rsidP="001B56F1">
            <w:pPr>
              <w:pStyle w:val="TableBodyText"/>
            </w:pPr>
            <w:r>
              <w:noBreakHyphen/>
            </w:r>
          </w:p>
        </w:tc>
      </w:tr>
    </w:tbl>
    <w:p w:rsidR="00DE48FE" w:rsidRPr="00F60026" w:rsidRDefault="00DE48FE" w:rsidP="00DE48FE">
      <w:pPr>
        <w:pStyle w:val="Source"/>
        <w:spacing w:after="0"/>
        <w:rPr>
          <w:i/>
        </w:rPr>
      </w:pPr>
      <w:r w:rsidRPr="00A2379F">
        <w:noBreakHyphen/>
        <w:t xml:space="preserve"> </w:t>
      </w:r>
      <w:r>
        <w:t>Nil</w:t>
      </w:r>
      <w:r w:rsidRPr="00A2379F">
        <w:t>.</w:t>
      </w:r>
      <w:r w:rsidRPr="00B1392F">
        <w:t xml:space="preserve"> </w:t>
      </w:r>
      <w:r w:rsidRPr="009B56F1">
        <w:rPr>
          <w:rStyle w:val="NoteLabel"/>
        </w:rPr>
        <w:t>a</w:t>
      </w:r>
      <w:r w:rsidRPr="009B56F1">
        <w:t xml:space="preserve"> Unallocated includes general programs where detai</w:t>
      </w:r>
      <w:r>
        <w:t>ls of beneficiaries are unknown.</w:t>
      </w:r>
    </w:p>
    <w:p w:rsidR="00DE48FE" w:rsidRDefault="00DE48FE" w:rsidP="00DE48FE">
      <w:pPr>
        <w:pStyle w:val="Source"/>
      </w:pPr>
      <w:r>
        <w:rPr>
          <w:i/>
        </w:rPr>
        <w:t>Source</w:t>
      </w:r>
      <w:r>
        <w:t>: Commission estimates based on DAFF Annual Report 2010</w:t>
      </w:r>
      <w:r>
        <w:noBreakHyphen/>
        <w:t>11 (and earlier years).</w:t>
      </w:r>
    </w:p>
    <w:p w:rsidR="00BA728D" w:rsidRDefault="00FA09C3" w:rsidP="00BA728D">
      <w:pPr>
        <w:pStyle w:val="Heading2"/>
      </w:pPr>
      <w:r>
        <w:t>A.</w:t>
      </w:r>
      <w:r>
        <w:rPr>
          <w:noProof/>
        </w:rPr>
        <w:t>140</w:t>
      </w:r>
      <w:r w:rsidR="00BA728D">
        <w:tab/>
        <w:t>Australia’s Forest Industry – Preparing for the Future</w:t>
      </w:r>
    </w:p>
    <w:p w:rsidR="00BA728D" w:rsidRDefault="00BA728D" w:rsidP="00BA728D">
      <w:pPr>
        <w:pStyle w:val="BodyText"/>
      </w:pPr>
      <w:r>
        <w:t>In May 2008, the Australian Government announced a Preparing Australia’s Forestry Industry for the Future package. The package was intended to help Australia’s forest industries deal with issues including climate change and skills shortages.</w:t>
      </w:r>
    </w:p>
    <w:p w:rsidR="00BA728D" w:rsidRDefault="00BA728D" w:rsidP="00BA728D">
      <w:pPr>
        <w:pStyle w:val="BodyText"/>
      </w:pPr>
      <w:r>
        <w:t>The main elements of the announced package included:</w:t>
      </w:r>
    </w:p>
    <w:p w:rsidR="00BA728D" w:rsidRDefault="00BA728D" w:rsidP="00BA728D">
      <w:pPr>
        <w:pStyle w:val="ListBullet"/>
      </w:pPr>
      <w:r>
        <w:t>the Forest Industries Development Fund — to encourage investment in value-adding activities and increase the international competitiveness of Australia’s forest industry;</w:t>
      </w:r>
    </w:p>
    <w:p w:rsidR="00BA728D" w:rsidRDefault="00BA728D" w:rsidP="00BA728D">
      <w:pPr>
        <w:pStyle w:val="ListBullet"/>
      </w:pPr>
      <w:r>
        <w:t>research into the impact of climate change on forest systems and industries;</w:t>
      </w:r>
    </w:p>
    <w:p w:rsidR="00BA728D" w:rsidRDefault="00BA728D" w:rsidP="00BA728D">
      <w:pPr>
        <w:pStyle w:val="ListBullet"/>
      </w:pPr>
      <w:r>
        <w:t>the ForestWorks program — to support the establishment of the Forest and Forest Products Industry Skills Council to address skill shortages in the industry;</w:t>
      </w:r>
    </w:p>
    <w:p w:rsidR="00BA728D" w:rsidRDefault="00BA728D" w:rsidP="00BA728D">
      <w:pPr>
        <w:pStyle w:val="ListBullet"/>
      </w:pPr>
      <w:r>
        <w:t>the Forest and Wood Products Industry Workforce and Industry Data Collection research project; and</w:t>
      </w:r>
    </w:p>
    <w:p w:rsidR="00BA728D" w:rsidRDefault="00BA728D" w:rsidP="00BA728D">
      <w:pPr>
        <w:pStyle w:val="ListBullet"/>
      </w:pPr>
      <w:r>
        <w:t xml:space="preserve">measures intended to support work with industry, regional governments and overseas countries to restrict the sale of illegally-logged timber </w:t>
      </w:r>
      <w:r w:rsidRPr="00C305B5">
        <w:rPr>
          <w:rStyle w:val="BodyTextChar"/>
        </w:rPr>
        <w:t>(Burke 2008b)</w:t>
      </w:r>
      <w:r>
        <w:t>.</w:t>
      </w:r>
    </w:p>
    <w:p w:rsidR="00BA728D" w:rsidRDefault="00BA728D" w:rsidP="00BA728D">
      <w:pPr>
        <w:pStyle w:val="BodyText"/>
      </w:pPr>
      <w:r>
        <w:t xml:space="preserve">The majority of expenditure related to activities undertaken by the wood processing manufacturing industry. Accordingly, the budget outlay has been classified to the </w:t>
      </w:r>
      <w:r w:rsidRPr="002E6606">
        <w:rPr>
          <w:i/>
        </w:rPr>
        <w:t xml:space="preserve">Wood </w:t>
      </w:r>
      <w:r>
        <w:rPr>
          <w:i/>
        </w:rPr>
        <w:t xml:space="preserve">and paper </w:t>
      </w:r>
      <w:r w:rsidRPr="002E6606">
        <w:rPr>
          <w:i/>
        </w:rPr>
        <w:t>products</w:t>
      </w:r>
      <w:r>
        <w:t xml:space="preserve"> industry grouping in the Commission’s ANZSIC-based classification (table A.1</w:t>
      </w:r>
      <w:r w:rsidR="00C065C1">
        <w:t>40</w:t>
      </w:r>
      <w:r>
        <w:t>).</w:t>
      </w:r>
    </w:p>
    <w:p w:rsidR="00BA728D" w:rsidRDefault="00BA728D" w:rsidP="00BA728D">
      <w:pPr>
        <w:pStyle w:val="TableTitle"/>
      </w:pPr>
      <w:r>
        <w:rPr>
          <w:b w:val="0"/>
        </w:rPr>
        <w:t xml:space="preserve">Table </w:t>
      </w:r>
      <w:r w:rsidR="00FA09C3">
        <w:rPr>
          <w:b w:val="0"/>
        </w:rPr>
        <w:t>A.</w:t>
      </w:r>
      <w:r w:rsidR="00FA09C3">
        <w:rPr>
          <w:b w:val="0"/>
          <w:noProof/>
        </w:rPr>
        <w:t>140</w:t>
      </w:r>
      <w:r>
        <w:tab/>
        <w:t>Allocation of Australia’s Forest Industry – Preparing for the Future</w:t>
      </w:r>
      <w:r w:rsidR="00E471E2" w:rsidRPr="00E471E2">
        <w:t xml:space="preserve"> to industry</w:t>
      </w:r>
      <w:r>
        <w:t>, 2006</w:t>
      </w:r>
      <w:r>
        <w:noBreakHyphen/>
        <w:t>07 to 2011</w:t>
      </w:r>
      <w:r>
        <w:noBreakHyphen/>
        <w:t>12</w:t>
      </w:r>
    </w:p>
    <w:p w:rsidR="00BA728D" w:rsidRDefault="00BA728D" w:rsidP="00BA728D">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BA728D" w:rsidRPr="00AF699A" w:rsidTr="001B56F1">
        <w:tc>
          <w:tcPr>
            <w:tcW w:w="1960" w:type="pct"/>
            <w:tcBorders>
              <w:top w:val="single" w:sz="6" w:space="0" w:color="auto"/>
              <w:bottom w:val="single" w:sz="6" w:space="0" w:color="auto"/>
            </w:tcBorders>
          </w:tcPr>
          <w:p w:rsidR="00BA728D" w:rsidRPr="00AF699A" w:rsidRDefault="00BA728D"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BA728D" w:rsidRPr="00AF699A" w:rsidRDefault="00BA728D"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BA728D" w:rsidRPr="00AF699A" w:rsidRDefault="00BA728D"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BA728D" w:rsidRPr="00AF699A" w:rsidRDefault="00BA728D"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BA728D" w:rsidRPr="00AF699A" w:rsidRDefault="00BA728D"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BA728D" w:rsidRPr="00AF699A" w:rsidRDefault="00BA728D"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BA728D" w:rsidRPr="00AF699A" w:rsidRDefault="00BA728D" w:rsidP="001B56F1">
            <w:pPr>
              <w:pStyle w:val="TableColumnHeading"/>
              <w:ind w:right="28"/>
              <w:rPr>
                <w:rFonts w:cs="Arial"/>
                <w:sz w:val="18"/>
                <w:szCs w:val="18"/>
              </w:rPr>
            </w:pPr>
            <w:r w:rsidRPr="00AF699A">
              <w:rPr>
                <w:rFonts w:cs="Arial"/>
                <w:sz w:val="18"/>
                <w:szCs w:val="18"/>
              </w:rPr>
              <w:t>2011-12</w:t>
            </w:r>
          </w:p>
        </w:tc>
      </w:tr>
      <w:tr w:rsidR="00BA728D" w:rsidRPr="006C5A80" w:rsidTr="001B56F1">
        <w:tc>
          <w:tcPr>
            <w:tcW w:w="1960" w:type="pct"/>
            <w:tcBorders>
              <w:bottom w:val="single" w:sz="4" w:space="0" w:color="auto"/>
            </w:tcBorders>
            <w:vAlign w:val="bottom"/>
          </w:tcPr>
          <w:p w:rsidR="00BA728D" w:rsidRPr="00C944BA" w:rsidRDefault="00BA728D" w:rsidP="001B56F1">
            <w:pPr>
              <w:pStyle w:val="TableBodyText"/>
              <w:jc w:val="left"/>
            </w:pPr>
            <w:r>
              <w:t>Wood and paper products</w:t>
            </w:r>
          </w:p>
        </w:tc>
        <w:tc>
          <w:tcPr>
            <w:tcW w:w="507" w:type="pct"/>
            <w:tcBorders>
              <w:bottom w:val="single" w:sz="4" w:space="0" w:color="auto"/>
            </w:tcBorders>
            <w:vAlign w:val="bottom"/>
          </w:tcPr>
          <w:p w:rsidR="00BA728D" w:rsidRPr="004E0682" w:rsidRDefault="00BA728D" w:rsidP="001B56F1">
            <w:pPr>
              <w:pStyle w:val="TableBodyText"/>
            </w:pPr>
            <w:r>
              <w:noBreakHyphen/>
            </w:r>
          </w:p>
        </w:tc>
        <w:tc>
          <w:tcPr>
            <w:tcW w:w="507" w:type="pct"/>
            <w:tcBorders>
              <w:bottom w:val="single" w:sz="4" w:space="0" w:color="auto"/>
            </w:tcBorders>
            <w:vAlign w:val="bottom"/>
          </w:tcPr>
          <w:p w:rsidR="00BA728D" w:rsidRPr="004E0682" w:rsidRDefault="00BA728D" w:rsidP="001B56F1">
            <w:pPr>
              <w:pStyle w:val="TableBodyText"/>
            </w:pPr>
            <w:r>
              <w:noBreakHyphen/>
            </w:r>
          </w:p>
        </w:tc>
        <w:tc>
          <w:tcPr>
            <w:tcW w:w="507" w:type="pct"/>
            <w:tcBorders>
              <w:bottom w:val="single" w:sz="4" w:space="0" w:color="auto"/>
            </w:tcBorders>
            <w:vAlign w:val="bottom"/>
          </w:tcPr>
          <w:p w:rsidR="00BA728D" w:rsidRPr="004E0682" w:rsidRDefault="00BA728D" w:rsidP="001B56F1">
            <w:pPr>
              <w:pStyle w:val="TableBodyText"/>
            </w:pPr>
            <w:r w:rsidRPr="004E0682">
              <w:t>3.3</w:t>
            </w:r>
          </w:p>
        </w:tc>
        <w:tc>
          <w:tcPr>
            <w:tcW w:w="507" w:type="pct"/>
            <w:tcBorders>
              <w:bottom w:val="single" w:sz="4" w:space="0" w:color="auto"/>
            </w:tcBorders>
            <w:vAlign w:val="bottom"/>
          </w:tcPr>
          <w:p w:rsidR="00BA728D" w:rsidRPr="004E0682" w:rsidRDefault="00BA728D" w:rsidP="001B56F1">
            <w:pPr>
              <w:pStyle w:val="TableBodyText"/>
            </w:pPr>
            <w:r w:rsidRPr="004E0682">
              <w:t>6.9</w:t>
            </w:r>
          </w:p>
        </w:tc>
        <w:tc>
          <w:tcPr>
            <w:tcW w:w="507" w:type="pct"/>
            <w:tcBorders>
              <w:bottom w:val="single" w:sz="4" w:space="0" w:color="auto"/>
            </w:tcBorders>
            <w:shd w:val="clear" w:color="auto" w:fill="auto"/>
            <w:vAlign w:val="bottom"/>
          </w:tcPr>
          <w:p w:rsidR="00BA728D" w:rsidRPr="004E0682" w:rsidRDefault="00BA728D" w:rsidP="001B56F1">
            <w:pPr>
              <w:pStyle w:val="TableBodyText"/>
            </w:pPr>
            <w:r w:rsidRPr="004E0682">
              <w:t>3.5</w:t>
            </w:r>
          </w:p>
        </w:tc>
        <w:tc>
          <w:tcPr>
            <w:tcW w:w="505" w:type="pct"/>
            <w:tcBorders>
              <w:bottom w:val="single" w:sz="4" w:space="0" w:color="auto"/>
            </w:tcBorders>
            <w:shd w:val="clear" w:color="auto" w:fill="auto"/>
            <w:vAlign w:val="bottom"/>
          </w:tcPr>
          <w:p w:rsidR="00BA728D" w:rsidRPr="004E0682" w:rsidRDefault="00BA728D" w:rsidP="001B56F1">
            <w:pPr>
              <w:pStyle w:val="TableBodyText"/>
            </w:pPr>
            <w:r>
              <w:noBreakHyphen/>
            </w:r>
          </w:p>
        </w:tc>
      </w:tr>
    </w:tbl>
    <w:p w:rsidR="00BA728D" w:rsidRPr="00F60026" w:rsidRDefault="00BA728D" w:rsidP="00BA728D">
      <w:pPr>
        <w:pStyle w:val="Source"/>
        <w:spacing w:after="0"/>
        <w:rPr>
          <w:i/>
        </w:rPr>
      </w:pPr>
      <w:r w:rsidRPr="00A2379F">
        <w:noBreakHyphen/>
        <w:t xml:space="preserve"> </w:t>
      </w:r>
      <w:r>
        <w:t>Nil</w:t>
      </w:r>
      <w:r w:rsidRPr="00A2379F">
        <w:t>.</w:t>
      </w:r>
    </w:p>
    <w:p w:rsidR="00BA728D" w:rsidRDefault="00BA728D" w:rsidP="00BA728D">
      <w:pPr>
        <w:pStyle w:val="Source"/>
      </w:pPr>
      <w:r>
        <w:rPr>
          <w:i/>
        </w:rPr>
        <w:t>Source</w:t>
      </w:r>
      <w:r>
        <w:t>: Commission estimates based on DAFF Annual Report 2010</w:t>
      </w:r>
      <w:r>
        <w:noBreakHyphen/>
        <w:t>11 (and earlier years).</w:t>
      </w:r>
    </w:p>
    <w:p w:rsidR="00C42F7E" w:rsidRDefault="00FA09C3" w:rsidP="00C42F7E">
      <w:pPr>
        <w:pStyle w:val="Heading2"/>
      </w:pPr>
      <w:r>
        <w:t>A.</w:t>
      </w:r>
      <w:r>
        <w:rPr>
          <w:noProof/>
        </w:rPr>
        <w:t>141</w:t>
      </w:r>
      <w:r w:rsidR="00C42F7E">
        <w:tab/>
        <w:t>Tasmanian Forest Tourism Initiative</w:t>
      </w:r>
    </w:p>
    <w:p w:rsidR="00C42F7E" w:rsidRDefault="00C42F7E" w:rsidP="00C42F7E">
      <w:pPr>
        <w:pStyle w:val="BodyText"/>
      </w:pPr>
      <w:r>
        <w:t>The Tasmanian Forest Tourism (TFT) initiative provided funding for the development of environmentally sensitive tourism infrastructure in Tasmania. The principal aims of the initiative were to:</w:t>
      </w:r>
    </w:p>
    <w:p w:rsidR="00C42F7E" w:rsidRDefault="00C42F7E" w:rsidP="00C42F7E">
      <w:pPr>
        <w:pStyle w:val="ListBullet"/>
      </w:pPr>
      <w:r>
        <w:t>protect and promote conservation values;</w:t>
      </w:r>
    </w:p>
    <w:p w:rsidR="00C42F7E" w:rsidRDefault="00C42F7E" w:rsidP="00C42F7E">
      <w:pPr>
        <w:pStyle w:val="ListBullet"/>
      </w:pPr>
      <w:r>
        <w:t>develop environmentally sensitive tourism infrastructure;</w:t>
      </w:r>
    </w:p>
    <w:p w:rsidR="00C42F7E" w:rsidRDefault="00C42F7E" w:rsidP="00C42F7E">
      <w:pPr>
        <w:pStyle w:val="ListBullet"/>
      </w:pPr>
      <w:r>
        <w:t>provide experiences that appeal to a broad range of visitors; and</w:t>
      </w:r>
    </w:p>
    <w:p w:rsidR="00C42F7E" w:rsidRDefault="00C42F7E" w:rsidP="00C42F7E">
      <w:pPr>
        <w:pStyle w:val="ListBullet"/>
      </w:pPr>
      <w:r>
        <w:t>promote long-term economic benefits from tourism (</w:t>
      </w:r>
      <w:r w:rsidRPr="00C305B5">
        <w:rPr>
          <w:rStyle w:val="BodyTextChar"/>
        </w:rPr>
        <w:t>Department of the Environment 2013c</w:t>
      </w:r>
      <w:r>
        <w:t>).</w:t>
      </w:r>
    </w:p>
    <w:p w:rsidR="00C42F7E" w:rsidRDefault="00C42F7E" w:rsidP="00C305B5">
      <w:pPr>
        <w:pStyle w:val="BodyText"/>
      </w:pPr>
      <w:r>
        <w:t>The initiative ended in 2010</w:t>
      </w:r>
      <w:r>
        <w:noBreakHyphen/>
        <w:t>11.</w:t>
      </w:r>
    </w:p>
    <w:p w:rsidR="00C42F7E" w:rsidRPr="00C305B5" w:rsidRDefault="00C42F7E" w:rsidP="00C305B5">
      <w:pPr>
        <w:pStyle w:val="BodyText"/>
      </w:pPr>
      <w:r w:rsidRPr="00C305B5">
        <w:t xml:space="preserve">The TFT initiative selectively benefited activities providing tourism services. However, information on the industry incidence of the program has not been readily available. Accordingly, the budget outlay has been classified to the </w:t>
      </w:r>
      <w:r w:rsidRPr="00C305B5">
        <w:rPr>
          <w:i/>
        </w:rPr>
        <w:t>Unallocated services</w:t>
      </w:r>
      <w:r w:rsidRPr="00C305B5">
        <w:t xml:space="preserve"> industry grouping in the Commission’s ANZSIC-based classification (table A.14</w:t>
      </w:r>
      <w:r w:rsidR="00C065C1" w:rsidRPr="00C305B5">
        <w:t>1</w:t>
      </w:r>
      <w:r w:rsidRPr="00C305B5">
        <w:t xml:space="preserve">). </w:t>
      </w:r>
    </w:p>
    <w:p w:rsidR="00C42F7E" w:rsidRDefault="00C42F7E" w:rsidP="00C42F7E">
      <w:pPr>
        <w:pStyle w:val="TableTitle"/>
      </w:pPr>
      <w:r>
        <w:rPr>
          <w:b w:val="0"/>
        </w:rPr>
        <w:t xml:space="preserve">Table </w:t>
      </w:r>
      <w:r w:rsidR="00FA09C3">
        <w:rPr>
          <w:b w:val="0"/>
        </w:rPr>
        <w:t>A.</w:t>
      </w:r>
      <w:r w:rsidR="00FA09C3">
        <w:rPr>
          <w:b w:val="0"/>
          <w:noProof/>
        </w:rPr>
        <w:t>141</w:t>
      </w:r>
      <w:r>
        <w:tab/>
        <w:t>Allocation of Tasmanian Forest Tourism Initiative</w:t>
      </w:r>
      <w:r w:rsidR="00E471E2" w:rsidRPr="00E471E2">
        <w:t xml:space="preserve"> to industry</w:t>
      </w:r>
      <w:r>
        <w:t>, 2006</w:t>
      </w:r>
      <w:r>
        <w:noBreakHyphen/>
        <w:t>07 to 2011</w:t>
      </w:r>
      <w:r>
        <w:noBreakHyphen/>
        <w:t>12</w:t>
      </w:r>
    </w:p>
    <w:p w:rsidR="00C42F7E" w:rsidRDefault="00C42F7E" w:rsidP="00C42F7E">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C42F7E" w:rsidRPr="00AF699A" w:rsidTr="001B56F1">
        <w:tc>
          <w:tcPr>
            <w:tcW w:w="1960" w:type="pct"/>
            <w:tcBorders>
              <w:top w:val="single" w:sz="6" w:space="0" w:color="auto"/>
              <w:bottom w:val="single" w:sz="6" w:space="0" w:color="auto"/>
            </w:tcBorders>
          </w:tcPr>
          <w:p w:rsidR="00C42F7E" w:rsidRPr="00AF699A" w:rsidRDefault="00C42F7E"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C42F7E" w:rsidRPr="00AF699A" w:rsidRDefault="00C42F7E"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C42F7E" w:rsidRPr="00AF699A" w:rsidRDefault="00C42F7E"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C42F7E" w:rsidRPr="00AF699A" w:rsidRDefault="00C42F7E"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C42F7E" w:rsidRPr="00AF699A" w:rsidRDefault="00C42F7E"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C42F7E" w:rsidRPr="00AF699A" w:rsidRDefault="00C42F7E"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C42F7E" w:rsidRPr="00AF699A" w:rsidRDefault="00C42F7E" w:rsidP="001B56F1">
            <w:pPr>
              <w:pStyle w:val="TableColumnHeading"/>
              <w:ind w:right="28"/>
              <w:rPr>
                <w:rFonts w:cs="Arial"/>
                <w:sz w:val="18"/>
                <w:szCs w:val="18"/>
              </w:rPr>
            </w:pPr>
            <w:r w:rsidRPr="00AF699A">
              <w:rPr>
                <w:rFonts w:cs="Arial"/>
                <w:sz w:val="18"/>
                <w:szCs w:val="18"/>
              </w:rPr>
              <w:t>2011-12</w:t>
            </w:r>
          </w:p>
        </w:tc>
      </w:tr>
      <w:tr w:rsidR="00C42F7E" w:rsidRPr="006C5A80" w:rsidTr="001B56F1">
        <w:tc>
          <w:tcPr>
            <w:tcW w:w="1960" w:type="pct"/>
            <w:tcBorders>
              <w:bottom w:val="single" w:sz="4" w:space="0" w:color="auto"/>
            </w:tcBorders>
            <w:vAlign w:val="bottom"/>
          </w:tcPr>
          <w:p w:rsidR="00C42F7E" w:rsidRPr="00C944BA" w:rsidRDefault="00C42F7E" w:rsidP="001B56F1">
            <w:pPr>
              <w:pStyle w:val="TableBodyText"/>
              <w:jc w:val="left"/>
            </w:pPr>
            <w:r>
              <w:t>Unallocated services</w:t>
            </w:r>
            <w:r w:rsidRPr="00BD3CDA">
              <w:rPr>
                <w:rStyle w:val="NoteLabel"/>
                <w:szCs w:val="18"/>
              </w:rPr>
              <w:t>a</w:t>
            </w:r>
          </w:p>
        </w:tc>
        <w:tc>
          <w:tcPr>
            <w:tcW w:w="507" w:type="pct"/>
            <w:tcBorders>
              <w:bottom w:val="single" w:sz="4" w:space="0" w:color="auto"/>
            </w:tcBorders>
            <w:vAlign w:val="bottom"/>
          </w:tcPr>
          <w:p w:rsidR="00C42F7E" w:rsidRDefault="00C42F7E" w:rsidP="001B56F1">
            <w:pPr>
              <w:pStyle w:val="TableBodyText"/>
            </w:pPr>
            <w:r>
              <w:noBreakHyphen/>
            </w:r>
          </w:p>
        </w:tc>
        <w:tc>
          <w:tcPr>
            <w:tcW w:w="507" w:type="pct"/>
            <w:tcBorders>
              <w:bottom w:val="single" w:sz="4" w:space="0" w:color="auto"/>
            </w:tcBorders>
            <w:vAlign w:val="bottom"/>
          </w:tcPr>
          <w:p w:rsidR="00C42F7E" w:rsidRDefault="00C42F7E" w:rsidP="001B56F1">
            <w:pPr>
              <w:pStyle w:val="TableBodyText"/>
            </w:pPr>
            <w:r>
              <w:noBreakHyphen/>
            </w:r>
          </w:p>
        </w:tc>
        <w:tc>
          <w:tcPr>
            <w:tcW w:w="507" w:type="pct"/>
            <w:tcBorders>
              <w:bottom w:val="single" w:sz="4" w:space="0" w:color="auto"/>
            </w:tcBorders>
            <w:vAlign w:val="bottom"/>
          </w:tcPr>
          <w:p w:rsidR="00C42F7E" w:rsidRDefault="00C42F7E" w:rsidP="001B56F1">
            <w:pPr>
              <w:pStyle w:val="TableBodyText"/>
            </w:pPr>
            <w:r>
              <w:t>15.2</w:t>
            </w:r>
          </w:p>
        </w:tc>
        <w:tc>
          <w:tcPr>
            <w:tcW w:w="507" w:type="pct"/>
            <w:tcBorders>
              <w:bottom w:val="single" w:sz="4" w:space="0" w:color="auto"/>
            </w:tcBorders>
            <w:vAlign w:val="bottom"/>
          </w:tcPr>
          <w:p w:rsidR="00C42F7E" w:rsidRDefault="00C42F7E" w:rsidP="001B56F1">
            <w:pPr>
              <w:pStyle w:val="TableBodyText"/>
            </w:pPr>
            <w:r>
              <w:t>18.1</w:t>
            </w:r>
          </w:p>
        </w:tc>
        <w:tc>
          <w:tcPr>
            <w:tcW w:w="507" w:type="pct"/>
            <w:tcBorders>
              <w:bottom w:val="single" w:sz="4" w:space="0" w:color="auto"/>
            </w:tcBorders>
            <w:shd w:val="clear" w:color="auto" w:fill="auto"/>
            <w:vAlign w:val="bottom"/>
          </w:tcPr>
          <w:p w:rsidR="00C42F7E" w:rsidRDefault="00C42F7E" w:rsidP="001B56F1">
            <w:pPr>
              <w:pStyle w:val="TableBodyText"/>
            </w:pPr>
            <w:r>
              <w:t>3.3</w:t>
            </w:r>
          </w:p>
        </w:tc>
        <w:tc>
          <w:tcPr>
            <w:tcW w:w="505" w:type="pct"/>
            <w:tcBorders>
              <w:bottom w:val="single" w:sz="4" w:space="0" w:color="auto"/>
            </w:tcBorders>
            <w:shd w:val="clear" w:color="auto" w:fill="auto"/>
            <w:vAlign w:val="bottom"/>
          </w:tcPr>
          <w:p w:rsidR="00C42F7E" w:rsidRDefault="00C42F7E" w:rsidP="001B56F1">
            <w:pPr>
              <w:pStyle w:val="TableBodyText"/>
            </w:pPr>
            <w:r>
              <w:noBreakHyphen/>
            </w:r>
          </w:p>
        </w:tc>
      </w:tr>
    </w:tbl>
    <w:p w:rsidR="00C42F7E" w:rsidRPr="00F60026" w:rsidRDefault="00C42F7E" w:rsidP="00C42F7E">
      <w:pPr>
        <w:pStyle w:val="Source"/>
        <w:spacing w:after="0"/>
        <w:rPr>
          <w:i/>
        </w:rPr>
      </w:pPr>
      <w:r w:rsidRPr="00A2379F">
        <w:noBreakHyphen/>
        <w:t xml:space="preserve"> </w:t>
      </w:r>
      <w:r>
        <w:t>Nil</w:t>
      </w:r>
      <w:r w:rsidRPr="00A2379F">
        <w:t>.</w:t>
      </w:r>
      <w:r w:rsidRPr="00B1392F">
        <w:t xml:space="preserve"> </w:t>
      </w:r>
      <w:r w:rsidRPr="009B56F1">
        <w:rPr>
          <w:rStyle w:val="NoteLabel"/>
        </w:rPr>
        <w:t>a</w:t>
      </w:r>
      <w:r w:rsidRPr="009B56F1">
        <w:t xml:space="preserve"> Unallocated includes general programs where detai</w:t>
      </w:r>
      <w:r>
        <w:t>ls of beneficiaries are unknown.</w:t>
      </w:r>
    </w:p>
    <w:p w:rsidR="00C42F7E" w:rsidRPr="008E77FE" w:rsidRDefault="00C42F7E" w:rsidP="00C42F7E">
      <w:pPr>
        <w:pStyle w:val="Source"/>
      </w:pPr>
      <w:r>
        <w:rPr>
          <w:i/>
        </w:rPr>
        <w:t>Source</w:t>
      </w:r>
      <w:r w:rsidR="004B103A">
        <w:rPr>
          <w:i/>
        </w:rPr>
        <w:t>s</w:t>
      </w:r>
      <w:r>
        <w:t>: Commission estimates based on Department of Sustainability, Environment, Water, Population and Communities Annual Report 2011</w:t>
      </w:r>
      <w:r>
        <w:noBreakHyphen/>
        <w:t>12 (and earlier years); and Department of the Environment, Water, Heritage and the Arts Annual Report 2009</w:t>
      </w:r>
      <w:r>
        <w:noBreakHyphen/>
        <w:t>10 (and earlier years).</w:t>
      </w:r>
    </w:p>
    <w:p w:rsidR="000D0ADF" w:rsidRDefault="00FA09C3" w:rsidP="000D0ADF">
      <w:pPr>
        <w:pStyle w:val="Heading2"/>
      </w:pPr>
      <w:r>
        <w:t>A.</w:t>
      </w:r>
      <w:r>
        <w:rPr>
          <w:noProof/>
        </w:rPr>
        <w:t>142</w:t>
      </w:r>
      <w:r w:rsidR="000D0ADF">
        <w:tab/>
        <w:t>Fisheries Structural Adjustment Package</w:t>
      </w:r>
    </w:p>
    <w:p w:rsidR="000D0ADF" w:rsidRDefault="000D0ADF" w:rsidP="000D0ADF">
      <w:pPr>
        <w:pStyle w:val="BodyText"/>
      </w:pPr>
      <w:r>
        <w:t xml:space="preserve">In 2005, the Australian Government announced the Securing Our Fishing Future package, which contained three sets of measures intended to ensure the ongoing profitability and sustainability of the Australian fishing industry. One of these </w:t>
      </w:r>
      <w:r w:rsidR="004B103A">
        <w:t xml:space="preserve">sets of </w:t>
      </w:r>
      <w:r>
        <w:t>measures, the Fisheries Structural Adjustment (FSA) package, comprised funding of $220 million to provide assistance through the following programs.</w:t>
      </w:r>
    </w:p>
    <w:p w:rsidR="000D0ADF" w:rsidRDefault="000D0ADF" w:rsidP="000D0ADF">
      <w:pPr>
        <w:pStyle w:val="ListBullet"/>
      </w:pPr>
      <w:r w:rsidRPr="005F24A4">
        <w:rPr>
          <w:i/>
        </w:rPr>
        <w:t>Business Exit Assistance</w:t>
      </w:r>
      <w:r>
        <w:t xml:space="preserve"> — $149 million to provide a one-off opportunity for operators to exit the industry.</w:t>
      </w:r>
    </w:p>
    <w:p w:rsidR="000D0ADF" w:rsidRDefault="000D0ADF" w:rsidP="000D0ADF">
      <w:pPr>
        <w:pStyle w:val="ListBullet"/>
      </w:pPr>
      <w:r>
        <w:t>Funding of up to $30 million for:</w:t>
      </w:r>
    </w:p>
    <w:p w:rsidR="000D0ADF" w:rsidRDefault="000D0ADF" w:rsidP="000D0ADF">
      <w:pPr>
        <w:pStyle w:val="ListBullet2"/>
      </w:pPr>
      <w:r w:rsidRPr="005F24A4">
        <w:rPr>
          <w:i/>
        </w:rPr>
        <w:t>Business Restructuring Assistance</w:t>
      </w:r>
      <w:r>
        <w:t xml:space="preserve"> — Assistance for businesses which are directly related to the fishing industry, such as fish processors and marine engineers, to restructure their business operations.</w:t>
      </w:r>
    </w:p>
    <w:p w:rsidR="000D0ADF" w:rsidRDefault="000D0ADF" w:rsidP="000D0ADF">
      <w:pPr>
        <w:pStyle w:val="ListBullet2"/>
      </w:pPr>
      <w:r w:rsidRPr="005F24A4">
        <w:rPr>
          <w:i/>
        </w:rPr>
        <w:t>Business Planning Assistance</w:t>
      </w:r>
      <w:r>
        <w:t xml:space="preserve"> — Up to $1500 each for fishing businesses and directly affected onshore businesses to offset the costs of obtaining professional business advice on their options under the package.</w:t>
      </w:r>
    </w:p>
    <w:p w:rsidR="000D0ADF" w:rsidRDefault="000D0ADF" w:rsidP="000D0ADF">
      <w:pPr>
        <w:pStyle w:val="ListBullet2"/>
      </w:pPr>
      <w:r w:rsidRPr="005F24A4">
        <w:rPr>
          <w:i/>
        </w:rPr>
        <w:t>Worker Assistance</w:t>
      </w:r>
      <w:r>
        <w:t xml:space="preserve"> — Payments of $5000 and $3000 available to skippers and crew, respectively, who lose employment due to the fishing reductions.</w:t>
      </w:r>
    </w:p>
    <w:p w:rsidR="000D0ADF" w:rsidRDefault="000D0ADF" w:rsidP="000D0ADF">
      <w:pPr>
        <w:pStyle w:val="ListBullet"/>
      </w:pPr>
      <w:r w:rsidRPr="005F24A4">
        <w:rPr>
          <w:i/>
        </w:rPr>
        <w:t>Fishing Community Assistance</w:t>
      </w:r>
      <w:r>
        <w:t xml:space="preserve"> — Funding of up to $20 million for projects that generate local economic activity and opportunities in affected communities.</w:t>
      </w:r>
    </w:p>
    <w:p w:rsidR="000D0ADF" w:rsidRDefault="000D0ADF" w:rsidP="000D0ADF">
      <w:pPr>
        <w:pStyle w:val="ListBullet"/>
      </w:pPr>
      <w:r w:rsidRPr="005F24A4">
        <w:rPr>
          <w:i/>
        </w:rPr>
        <w:t>AFMA Levy Subsidy</w:t>
      </w:r>
      <w:r>
        <w:t xml:space="preserve"> — $15 million to subsidise AFMA fisheries management fees paid by those fishers remaining in the industry.</w:t>
      </w:r>
    </w:p>
    <w:p w:rsidR="000D0ADF" w:rsidRDefault="000D0ADF" w:rsidP="000D0ADF">
      <w:pPr>
        <w:pStyle w:val="ListBullet"/>
      </w:pPr>
      <w:r w:rsidRPr="005F24A4">
        <w:rPr>
          <w:i/>
        </w:rPr>
        <w:t>Improved Science, Compliance and Data Collection</w:t>
      </w:r>
      <w:r>
        <w:t xml:space="preserve"> — $6 million towards science, compliance and data collection to improve management outcomes (</w:t>
      </w:r>
      <w:r w:rsidRPr="00C305B5">
        <w:rPr>
          <w:rStyle w:val="BodyTextChar"/>
        </w:rPr>
        <w:t>Macdonald 2005a, 2005b</w:t>
      </w:r>
      <w:r>
        <w:t>).</w:t>
      </w:r>
    </w:p>
    <w:p w:rsidR="000D0ADF" w:rsidRDefault="000D0ADF" w:rsidP="000D0ADF">
      <w:pPr>
        <w:pStyle w:val="BodyText"/>
      </w:pPr>
      <w:r>
        <w:t xml:space="preserve">Funding for the package predominantly benefits the fishing industry and is allocated to the </w:t>
      </w:r>
      <w:r>
        <w:rPr>
          <w:i/>
        </w:rPr>
        <w:t>Aquac</w:t>
      </w:r>
      <w:r w:rsidRPr="005F24A4">
        <w:rPr>
          <w:i/>
        </w:rPr>
        <w:t>ulture</w:t>
      </w:r>
      <w:r>
        <w:t xml:space="preserve"> </w:t>
      </w:r>
      <w:r w:rsidRPr="00CA7ED3">
        <w:rPr>
          <w:i/>
        </w:rPr>
        <w:t xml:space="preserve">and </w:t>
      </w:r>
      <w:r>
        <w:rPr>
          <w:i/>
        </w:rPr>
        <w:t>f</w:t>
      </w:r>
      <w:r w:rsidRPr="005F24A4">
        <w:rPr>
          <w:i/>
        </w:rPr>
        <w:t>ishing</w:t>
      </w:r>
      <w:r>
        <w:t xml:space="preserve"> industry grouping in the Commission’s ANZSIC-based industry classification (table A.14</w:t>
      </w:r>
      <w:r w:rsidR="00C065C1">
        <w:t>2</w:t>
      </w:r>
      <w:r>
        <w:t>).</w:t>
      </w:r>
    </w:p>
    <w:p w:rsidR="000D0ADF" w:rsidRDefault="000D0ADF" w:rsidP="000D0ADF">
      <w:pPr>
        <w:pStyle w:val="TableTitle"/>
      </w:pPr>
      <w:r>
        <w:rPr>
          <w:b w:val="0"/>
        </w:rPr>
        <w:t xml:space="preserve">Table </w:t>
      </w:r>
      <w:r w:rsidR="00FA09C3">
        <w:rPr>
          <w:b w:val="0"/>
        </w:rPr>
        <w:t>A.</w:t>
      </w:r>
      <w:r w:rsidR="00FA09C3">
        <w:rPr>
          <w:b w:val="0"/>
          <w:noProof/>
        </w:rPr>
        <w:t>142</w:t>
      </w:r>
      <w:r>
        <w:tab/>
        <w:t>Allocation of Fisheries Structural Adjustment Package</w:t>
      </w:r>
      <w:r w:rsidR="00E471E2" w:rsidRPr="00E471E2">
        <w:t xml:space="preserve"> to industry</w:t>
      </w:r>
      <w:r>
        <w:t>, 2006</w:t>
      </w:r>
      <w:r>
        <w:noBreakHyphen/>
        <w:t>07 to 2011</w:t>
      </w:r>
      <w:r>
        <w:noBreakHyphen/>
        <w:t>12</w:t>
      </w:r>
    </w:p>
    <w:p w:rsidR="000D0ADF" w:rsidRDefault="000D0ADF" w:rsidP="000D0ADF">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0D0ADF" w:rsidRPr="00AF699A" w:rsidTr="001B56F1">
        <w:tc>
          <w:tcPr>
            <w:tcW w:w="1960" w:type="pct"/>
            <w:tcBorders>
              <w:top w:val="single" w:sz="6" w:space="0" w:color="auto"/>
              <w:bottom w:val="single" w:sz="6" w:space="0" w:color="auto"/>
            </w:tcBorders>
          </w:tcPr>
          <w:p w:rsidR="000D0ADF" w:rsidRPr="00AF699A" w:rsidRDefault="000D0ADF"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0D0ADF" w:rsidRPr="00AF699A" w:rsidRDefault="000D0ADF"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0D0ADF" w:rsidRPr="00AF699A" w:rsidRDefault="000D0ADF"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0D0ADF" w:rsidRPr="00AF699A" w:rsidRDefault="000D0ADF"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0D0ADF" w:rsidRPr="00AF699A" w:rsidRDefault="000D0ADF"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0D0ADF" w:rsidRPr="00AF699A" w:rsidRDefault="000D0ADF"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0D0ADF" w:rsidRPr="00AF699A" w:rsidRDefault="000D0ADF" w:rsidP="001B56F1">
            <w:pPr>
              <w:pStyle w:val="TableColumnHeading"/>
              <w:ind w:right="28"/>
              <w:rPr>
                <w:rFonts w:cs="Arial"/>
                <w:sz w:val="18"/>
                <w:szCs w:val="18"/>
              </w:rPr>
            </w:pPr>
            <w:r w:rsidRPr="00AF699A">
              <w:rPr>
                <w:rFonts w:cs="Arial"/>
                <w:sz w:val="18"/>
                <w:szCs w:val="18"/>
              </w:rPr>
              <w:t>2011-12</w:t>
            </w:r>
          </w:p>
        </w:tc>
      </w:tr>
      <w:tr w:rsidR="000D0ADF" w:rsidRPr="006C5A80" w:rsidTr="001B56F1">
        <w:tc>
          <w:tcPr>
            <w:tcW w:w="1960" w:type="pct"/>
            <w:tcBorders>
              <w:bottom w:val="single" w:sz="4" w:space="0" w:color="auto"/>
            </w:tcBorders>
            <w:vAlign w:val="bottom"/>
          </w:tcPr>
          <w:p w:rsidR="000D0ADF" w:rsidRPr="00C944BA" w:rsidRDefault="000D0ADF" w:rsidP="001B56F1">
            <w:pPr>
              <w:pStyle w:val="TableBodyText"/>
              <w:jc w:val="left"/>
            </w:pPr>
            <w:r>
              <w:t>Aquaculture and fishing</w:t>
            </w:r>
          </w:p>
        </w:tc>
        <w:tc>
          <w:tcPr>
            <w:tcW w:w="507" w:type="pct"/>
            <w:tcBorders>
              <w:bottom w:val="single" w:sz="4" w:space="0" w:color="auto"/>
            </w:tcBorders>
            <w:vAlign w:val="bottom"/>
          </w:tcPr>
          <w:p w:rsidR="000D0ADF" w:rsidRDefault="000D0ADF" w:rsidP="001B56F1">
            <w:pPr>
              <w:pStyle w:val="TableBodyText"/>
            </w:pPr>
            <w:r>
              <w:t>159.9</w:t>
            </w:r>
          </w:p>
        </w:tc>
        <w:tc>
          <w:tcPr>
            <w:tcW w:w="507" w:type="pct"/>
            <w:tcBorders>
              <w:bottom w:val="single" w:sz="4" w:space="0" w:color="auto"/>
            </w:tcBorders>
            <w:vAlign w:val="bottom"/>
          </w:tcPr>
          <w:p w:rsidR="000D0ADF" w:rsidRDefault="000D0ADF" w:rsidP="001B56F1">
            <w:pPr>
              <w:pStyle w:val="TableBodyText"/>
            </w:pPr>
            <w:r>
              <w:t>25.3</w:t>
            </w:r>
          </w:p>
        </w:tc>
        <w:tc>
          <w:tcPr>
            <w:tcW w:w="507" w:type="pct"/>
            <w:tcBorders>
              <w:bottom w:val="single" w:sz="4" w:space="0" w:color="auto"/>
            </w:tcBorders>
            <w:vAlign w:val="bottom"/>
          </w:tcPr>
          <w:p w:rsidR="000D0ADF" w:rsidRDefault="000D0ADF" w:rsidP="001B56F1">
            <w:pPr>
              <w:pStyle w:val="TableBodyText"/>
            </w:pPr>
            <w:r>
              <w:t>16.7</w:t>
            </w:r>
          </w:p>
        </w:tc>
        <w:tc>
          <w:tcPr>
            <w:tcW w:w="507" w:type="pct"/>
            <w:tcBorders>
              <w:bottom w:val="single" w:sz="4" w:space="0" w:color="auto"/>
            </w:tcBorders>
            <w:vAlign w:val="bottom"/>
          </w:tcPr>
          <w:p w:rsidR="000D0ADF" w:rsidRDefault="000D0ADF" w:rsidP="001B56F1">
            <w:pPr>
              <w:pStyle w:val="TableBodyText"/>
            </w:pPr>
            <w:r>
              <w:t>9.6</w:t>
            </w:r>
          </w:p>
        </w:tc>
        <w:tc>
          <w:tcPr>
            <w:tcW w:w="507" w:type="pct"/>
            <w:tcBorders>
              <w:bottom w:val="single" w:sz="4" w:space="0" w:color="auto"/>
            </w:tcBorders>
            <w:shd w:val="clear" w:color="auto" w:fill="auto"/>
            <w:vAlign w:val="bottom"/>
          </w:tcPr>
          <w:p w:rsidR="000D0ADF" w:rsidRDefault="000D0ADF" w:rsidP="001B56F1">
            <w:pPr>
              <w:pStyle w:val="TableBodyText"/>
            </w:pPr>
            <w:r>
              <w:t>1.8</w:t>
            </w:r>
          </w:p>
        </w:tc>
        <w:tc>
          <w:tcPr>
            <w:tcW w:w="505" w:type="pct"/>
            <w:tcBorders>
              <w:bottom w:val="single" w:sz="4" w:space="0" w:color="auto"/>
            </w:tcBorders>
            <w:shd w:val="clear" w:color="auto" w:fill="auto"/>
            <w:vAlign w:val="bottom"/>
          </w:tcPr>
          <w:p w:rsidR="000D0ADF" w:rsidRDefault="000D0ADF" w:rsidP="001B56F1">
            <w:pPr>
              <w:pStyle w:val="TableBodyText"/>
            </w:pPr>
            <w:r>
              <w:noBreakHyphen/>
            </w:r>
          </w:p>
        </w:tc>
      </w:tr>
    </w:tbl>
    <w:p w:rsidR="000D0ADF" w:rsidRPr="00F60026" w:rsidRDefault="000D0ADF" w:rsidP="000D0ADF">
      <w:pPr>
        <w:pStyle w:val="Source"/>
        <w:spacing w:after="0"/>
        <w:rPr>
          <w:i/>
        </w:rPr>
      </w:pPr>
      <w:r w:rsidRPr="00A2379F">
        <w:noBreakHyphen/>
        <w:t xml:space="preserve"> </w:t>
      </w:r>
      <w:r>
        <w:t>Nil</w:t>
      </w:r>
      <w:r w:rsidRPr="00A2379F">
        <w:t>.</w:t>
      </w:r>
    </w:p>
    <w:p w:rsidR="000D0ADF" w:rsidRPr="008E77FE" w:rsidRDefault="000D0ADF" w:rsidP="000D0ADF">
      <w:pPr>
        <w:pStyle w:val="Source"/>
      </w:pPr>
      <w:r>
        <w:rPr>
          <w:i/>
        </w:rPr>
        <w:t>Source</w:t>
      </w:r>
      <w:r>
        <w:t>: Commission estimates based on DAFF Annual Report 2010</w:t>
      </w:r>
      <w:r>
        <w:noBreakHyphen/>
        <w:t>11 (and earlier years).</w:t>
      </w:r>
    </w:p>
    <w:p w:rsidR="00D1575C" w:rsidRDefault="00FA09C3" w:rsidP="00D1575C">
      <w:pPr>
        <w:pStyle w:val="Heading2"/>
      </w:pPr>
      <w:r>
        <w:t>A.</w:t>
      </w:r>
      <w:r>
        <w:rPr>
          <w:noProof/>
        </w:rPr>
        <w:t>143</w:t>
      </w:r>
      <w:r w:rsidR="00D1575C">
        <w:tab/>
        <w:t>Geelong Innovation and Investment Fund</w:t>
      </w:r>
    </w:p>
    <w:p w:rsidR="00D1575C" w:rsidRDefault="00D1575C" w:rsidP="00D1575C">
      <w:pPr>
        <w:pStyle w:val="BodyText"/>
      </w:pPr>
      <w:r>
        <w:t>The Geelong Investment and Innovation Fund (GIIF) was established by the Australian and Victorian Governments, together with Ford Motor Company of Australia Ltd</w:t>
      </w:r>
      <w:r w:rsidR="004B103A">
        <w:t>,</w:t>
      </w:r>
      <w:r>
        <w:t xml:space="preserve"> following Ford’s restructure of its manufacturing operations in Geelong. The package supported new investment that was intended to create sustainable job opportunities in the Geelong region. Eligible investment created new or additional business capacity designed to enhance employment, business and economic opportunities with a focus on innovative manufacturing and/or technology projects </w:t>
      </w:r>
      <w:r w:rsidRPr="002D2157">
        <w:t>(</w:t>
      </w:r>
      <w:r w:rsidRPr="00C305B5">
        <w:t>DIISR 2011</w:t>
      </w:r>
      <w:r w:rsidRPr="002D2157">
        <w:t>)</w:t>
      </w:r>
      <w:r>
        <w:t>.</w:t>
      </w:r>
    </w:p>
    <w:p w:rsidR="00D1575C" w:rsidRDefault="00D1575C" w:rsidP="00D1575C">
      <w:pPr>
        <w:pStyle w:val="BodyText"/>
      </w:pPr>
      <w:r>
        <w:t>The GIIF closed on 30 June 2011.</w:t>
      </w:r>
    </w:p>
    <w:p w:rsidR="00D1575C" w:rsidRDefault="00D1575C" w:rsidP="00D1575C">
      <w:pPr>
        <w:pStyle w:val="BodyText"/>
      </w:pPr>
      <w:r w:rsidRPr="00140F5D">
        <w:t>Funding from the program has been allocated across the Commission’s ANZSIC-based industry groupings based on information received annually from the Department of Innovation, Industry, Science and Research</w:t>
      </w:r>
      <w:r>
        <w:t xml:space="preserve"> (table A.14</w:t>
      </w:r>
      <w:r w:rsidR="00C065C1">
        <w:t>3</w:t>
      </w:r>
      <w:r>
        <w:t>).</w:t>
      </w:r>
    </w:p>
    <w:p w:rsidR="00D1575C" w:rsidRDefault="00D1575C" w:rsidP="00D1575C">
      <w:pPr>
        <w:pStyle w:val="TableTitle"/>
      </w:pPr>
      <w:r>
        <w:rPr>
          <w:b w:val="0"/>
        </w:rPr>
        <w:t xml:space="preserve">Table </w:t>
      </w:r>
      <w:r w:rsidR="00FA09C3">
        <w:rPr>
          <w:b w:val="0"/>
        </w:rPr>
        <w:t>A.</w:t>
      </w:r>
      <w:r w:rsidR="00FA09C3">
        <w:rPr>
          <w:b w:val="0"/>
          <w:noProof/>
        </w:rPr>
        <w:t>143</w:t>
      </w:r>
      <w:r>
        <w:tab/>
        <w:t xml:space="preserve">Allocation of Geelong Innovation and Investment Fund </w:t>
      </w:r>
      <w:r w:rsidR="00E471E2" w:rsidRPr="00E471E2">
        <w:t>to industry</w:t>
      </w:r>
      <w:r>
        <w:t>, 2006</w:t>
      </w:r>
      <w:r>
        <w:noBreakHyphen/>
        <w:t>07 to 2011</w:t>
      </w:r>
      <w:r>
        <w:noBreakHyphen/>
        <w:t>12</w:t>
      </w:r>
    </w:p>
    <w:p w:rsidR="00D1575C" w:rsidRDefault="00D1575C" w:rsidP="00D1575C">
      <w:pPr>
        <w:pStyle w:val="Subtitle"/>
      </w:pPr>
      <w:r>
        <w:t>$ million (nominal)</w:t>
      </w:r>
    </w:p>
    <w:tbl>
      <w:tblPr>
        <w:tblW w:w="5000" w:type="pct"/>
        <w:tblCellMar>
          <w:left w:w="0" w:type="dxa"/>
          <w:right w:w="0" w:type="dxa"/>
        </w:tblCellMar>
        <w:tblLook w:val="0000" w:firstRow="0" w:lastRow="0" w:firstColumn="0" w:lastColumn="0" w:noHBand="0" w:noVBand="0"/>
      </w:tblPr>
      <w:tblGrid>
        <w:gridCol w:w="3421"/>
        <w:gridCol w:w="1030"/>
        <w:gridCol w:w="870"/>
        <w:gridCol w:w="870"/>
        <w:gridCol w:w="870"/>
        <w:gridCol w:w="870"/>
        <w:gridCol w:w="858"/>
      </w:tblGrid>
      <w:tr w:rsidR="00D1575C" w:rsidRPr="007546E2" w:rsidTr="001B56F1">
        <w:trPr>
          <w:trHeight w:val="227"/>
        </w:trPr>
        <w:tc>
          <w:tcPr>
            <w:tcW w:w="1946" w:type="pct"/>
            <w:tcBorders>
              <w:top w:val="single" w:sz="6" w:space="0" w:color="auto"/>
              <w:bottom w:val="single" w:sz="6" w:space="0" w:color="auto"/>
            </w:tcBorders>
          </w:tcPr>
          <w:p w:rsidR="00D1575C" w:rsidRPr="007546E2" w:rsidRDefault="00D1575C" w:rsidP="001B56F1">
            <w:pPr>
              <w:pStyle w:val="TableColumnHeading"/>
              <w:jc w:val="left"/>
              <w:rPr>
                <w:sz w:val="18"/>
                <w:szCs w:val="18"/>
              </w:rPr>
            </w:pPr>
            <w:r w:rsidRPr="007546E2">
              <w:rPr>
                <w:sz w:val="18"/>
                <w:szCs w:val="18"/>
              </w:rPr>
              <w:t>Industry grouping</w:t>
            </w:r>
          </w:p>
        </w:tc>
        <w:tc>
          <w:tcPr>
            <w:tcW w:w="586" w:type="pct"/>
            <w:tcBorders>
              <w:top w:val="single" w:sz="6" w:space="0" w:color="auto"/>
              <w:bottom w:val="single" w:sz="6" w:space="0" w:color="auto"/>
            </w:tcBorders>
          </w:tcPr>
          <w:p w:rsidR="00D1575C" w:rsidRPr="007546E2" w:rsidRDefault="00D1575C" w:rsidP="001B56F1">
            <w:pPr>
              <w:pStyle w:val="TableColumnHeading"/>
              <w:ind w:right="28"/>
              <w:rPr>
                <w:sz w:val="18"/>
                <w:szCs w:val="18"/>
              </w:rPr>
            </w:pPr>
            <w:r w:rsidRPr="007546E2">
              <w:rPr>
                <w:sz w:val="18"/>
                <w:szCs w:val="18"/>
              </w:rPr>
              <w:t>2006-07</w:t>
            </w:r>
          </w:p>
        </w:tc>
        <w:tc>
          <w:tcPr>
            <w:tcW w:w="495" w:type="pct"/>
            <w:tcBorders>
              <w:top w:val="single" w:sz="6" w:space="0" w:color="auto"/>
              <w:bottom w:val="single" w:sz="6" w:space="0" w:color="auto"/>
            </w:tcBorders>
          </w:tcPr>
          <w:p w:rsidR="00D1575C" w:rsidRPr="007546E2" w:rsidRDefault="00D1575C" w:rsidP="001B56F1">
            <w:pPr>
              <w:pStyle w:val="TableColumnHeading"/>
              <w:ind w:right="28"/>
              <w:rPr>
                <w:sz w:val="18"/>
                <w:szCs w:val="18"/>
              </w:rPr>
            </w:pPr>
            <w:r w:rsidRPr="007546E2">
              <w:rPr>
                <w:sz w:val="18"/>
                <w:szCs w:val="18"/>
              </w:rPr>
              <w:t>2007-08</w:t>
            </w:r>
          </w:p>
        </w:tc>
        <w:tc>
          <w:tcPr>
            <w:tcW w:w="495" w:type="pct"/>
            <w:tcBorders>
              <w:top w:val="single" w:sz="6" w:space="0" w:color="auto"/>
              <w:bottom w:val="single" w:sz="6" w:space="0" w:color="auto"/>
            </w:tcBorders>
          </w:tcPr>
          <w:p w:rsidR="00D1575C" w:rsidRPr="007546E2" w:rsidRDefault="00D1575C" w:rsidP="001B56F1">
            <w:pPr>
              <w:pStyle w:val="TableColumnHeading"/>
              <w:ind w:right="28"/>
              <w:rPr>
                <w:sz w:val="18"/>
                <w:szCs w:val="18"/>
              </w:rPr>
            </w:pPr>
            <w:r w:rsidRPr="007546E2">
              <w:rPr>
                <w:sz w:val="18"/>
                <w:szCs w:val="18"/>
              </w:rPr>
              <w:t>2008-09</w:t>
            </w:r>
          </w:p>
        </w:tc>
        <w:tc>
          <w:tcPr>
            <w:tcW w:w="495" w:type="pct"/>
            <w:tcBorders>
              <w:top w:val="single" w:sz="6" w:space="0" w:color="auto"/>
              <w:bottom w:val="single" w:sz="6" w:space="0" w:color="auto"/>
            </w:tcBorders>
            <w:shd w:val="clear" w:color="auto" w:fill="auto"/>
          </w:tcPr>
          <w:p w:rsidR="00D1575C" w:rsidRPr="007546E2" w:rsidRDefault="00D1575C" w:rsidP="001B56F1">
            <w:pPr>
              <w:pStyle w:val="TableColumnHeading"/>
              <w:ind w:right="28"/>
              <w:rPr>
                <w:sz w:val="18"/>
                <w:szCs w:val="18"/>
              </w:rPr>
            </w:pPr>
            <w:r w:rsidRPr="007546E2">
              <w:rPr>
                <w:sz w:val="18"/>
                <w:szCs w:val="18"/>
              </w:rPr>
              <w:t>2009-10</w:t>
            </w:r>
          </w:p>
        </w:tc>
        <w:tc>
          <w:tcPr>
            <w:tcW w:w="495" w:type="pct"/>
            <w:tcBorders>
              <w:top w:val="single" w:sz="6" w:space="0" w:color="auto"/>
              <w:bottom w:val="single" w:sz="6" w:space="0" w:color="auto"/>
            </w:tcBorders>
            <w:shd w:val="clear" w:color="auto" w:fill="auto"/>
          </w:tcPr>
          <w:p w:rsidR="00D1575C" w:rsidRPr="007546E2" w:rsidRDefault="00D1575C" w:rsidP="001B56F1">
            <w:pPr>
              <w:pStyle w:val="TableColumnHeading"/>
              <w:ind w:right="28"/>
              <w:rPr>
                <w:sz w:val="18"/>
                <w:szCs w:val="18"/>
              </w:rPr>
            </w:pPr>
            <w:r w:rsidRPr="007546E2">
              <w:rPr>
                <w:sz w:val="18"/>
                <w:szCs w:val="18"/>
              </w:rPr>
              <w:t>2010-11</w:t>
            </w:r>
          </w:p>
        </w:tc>
        <w:tc>
          <w:tcPr>
            <w:tcW w:w="488" w:type="pct"/>
            <w:tcBorders>
              <w:top w:val="single" w:sz="6" w:space="0" w:color="auto"/>
              <w:bottom w:val="single" w:sz="6" w:space="0" w:color="auto"/>
            </w:tcBorders>
            <w:shd w:val="clear" w:color="auto" w:fill="auto"/>
          </w:tcPr>
          <w:p w:rsidR="00D1575C" w:rsidRPr="007546E2" w:rsidRDefault="00D1575C" w:rsidP="001B56F1">
            <w:pPr>
              <w:pStyle w:val="TableColumnHeading"/>
              <w:ind w:right="28"/>
              <w:rPr>
                <w:sz w:val="18"/>
                <w:szCs w:val="18"/>
              </w:rPr>
            </w:pPr>
            <w:r w:rsidRPr="007546E2">
              <w:rPr>
                <w:sz w:val="18"/>
                <w:szCs w:val="18"/>
              </w:rPr>
              <w:t>2011-12</w:t>
            </w:r>
          </w:p>
        </w:tc>
      </w:tr>
      <w:tr w:rsidR="00D1575C" w:rsidTr="001B56F1">
        <w:trPr>
          <w:trHeight w:val="227"/>
        </w:trPr>
        <w:tc>
          <w:tcPr>
            <w:tcW w:w="1946" w:type="pct"/>
            <w:tcBorders>
              <w:top w:val="single" w:sz="6" w:space="0" w:color="auto"/>
            </w:tcBorders>
            <w:vAlign w:val="bottom"/>
          </w:tcPr>
          <w:p w:rsidR="00D1575C" w:rsidRPr="00DC145C" w:rsidRDefault="00D1575C" w:rsidP="001B56F1">
            <w:pPr>
              <w:pStyle w:val="TableBodyText"/>
              <w:jc w:val="left"/>
              <w:rPr>
                <w:b/>
                <w:sz w:val="18"/>
                <w:szCs w:val="18"/>
              </w:rPr>
            </w:pPr>
            <w:r>
              <w:rPr>
                <w:b/>
                <w:sz w:val="18"/>
                <w:szCs w:val="18"/>
              </w:rPr>
              <w:t>Manufacturing</w:t>
            </w:r>
          </w:p>
        </w:tc>
        <w:tc>
          <w:tcPr>
            <w:tcW w:w="586" w:type="pct"/>
            <w:tcBorders>
              <w:top w:val="single" w:sz="6" w:space="0" w:color="auto"/>
            </w:tcBorders>
            <w:vAlign w:val="bottom"/>
          </w:tcPr>
          <w:p w:rsidR="00D1575C" w:rsidRPr="00D61137" w:rsidRDefault="00D1575C" w:rsidP="001B56F1">
            <w:pPr>
              <w:pStyle w:val="TableBodyText"/>
              <w:rPr>
                <w:b/>
                <w:sz w:val="18"/>
                <w:szCs w:val="18"/>
              </w:rPr>
            </w:pPr>
            <w:r w:rsidRPr="00D61137">
              <w:rPr>
                <w:b/>
                <w:sz w:val="18"/>
                <w:szCs w:val="18"/>
              </w:rPr>
              <w:noBreakHyphen/>
            </w:r>
          </w:p>
        </w:tc>
        <w:tc>
          <w:tcPr>
            <w:tcW w:w="495" w:type="pct"/>
            <w:tcBorders>
              <w:top w:val="single" w:sz="6" w:space="0" w:color="auto"/>
            </w:tcBorders>
            <w:vAlign w:val="bottom"/>
          </w:tcPr>
          <w:p w:rsidR="00D1575C" w:rsidRPr="00D61137" w:rsidRDefault="00D1575C" w:rsidP="001B56F1">
            <w:pPr>
              <w:pStyle w:val="TableBodyText"/>
              <w:rPr>
                <w:b/>
                <w:sz w:val="18"/>
                <w:szCs w:val="18"/>
              </w:rPr>
            </w:pPr>
            <w:r w:rsidRPr="00D61137">
              <w:rPr>
                <w:b/>
                <w:sz w:val="18"/>
                <w:szCs w:val="18"/>
              </w:rPr>
              <w:noBreakHyphen/>
            </w:r>
          </w:p>
        </w:tc>
        <w:tc>
          <w:tcPr>
            <w:tcW w:w="495" w:type="pct"/>
            <w:tcBorders>
              <w:top w:val="single" w:sz="6" w:space="0" w:color="auto"/>
            </w:tcBorders>
            <w:vAlign w:val="bottom"/>
          </w:tcPr>
          <w:p w:rsidR="00D1575C" w:rsidRPr="00D61137" w:rsidRDefault="00D1575C" w:rsidP="001B56F1">
            <w:pPr>
              <w:pStyle w:val="TableBodyText"/>
              <w:rPr>
                <w:b/>
                <w:sz w:val="18"/>
                <w:szCs w:val="18"/>
              </w:rPr>
            </w:pPr>
            <w:r w:rsidRPr="00D61137">
              <w:rPr>
                <w:b/>
                <w:sz w:val="18"/>
                <w:szCs w:val="18"/>
              </w:rPr>
              <w:t>2.0</w:t>
            </w:r>
          </w:p>
        </w:tc>
        <w:tc>
          <w:tcPr>
            <w:tcW w:w="495" w:type="pct"/>
            <w:tcBorders>
              <w:top w:val="single" w:sz="6" w:space="0" w:color="auto"/>
            </w:tcBorders>
            <w:vAlign w:val="bottom"/>
          </w:tcPr>
          <w:p w:rsidR="00D1575C" w:rsidRPr="00D61137" w:rsidRDefault="00D1575C" w:rsidP="001B56F1">
            <w:pPr>
              <w:pStyle w:val="TableBodyText"/>
              <w:rPr>
                <w:b/>
                <w:sz w:val="18"/>
                <w:szCs w:val="18"/>
              </w:rPr>
            </w:pPr>
            <w:r w:rsidRPr="00D61137">
              <w:rPr>
                <w:b/>
                <w:sz w:val="18"/>
                <w:szCs w:val="18"/>
              </w:rPr>
              <w:noBreakHyphen/>
            </w:r>
          </w:p>
        </w:tc>
        <w:tc>
          <w:tcPr>
            <w:tcW w:w="495" w:type="pct"/>
            <w:tcBorders>
              <w:top w:val="single" w:sz="6" w:space="0" w:color="auto"/>
            </w:tcBorders>
            <w:vAlign w:val="bottom"/>
          </w:tcPr>
          <w:p w:rsidR="00D1575C" w:rsidRPr="00D61137" w:rsidRDefault="00D1575C" w:rsidP="001B56F1">
            <w:pPr>
              <w:pStyle w:val="TableBodyText"/>
              <w:rPr>
                <w:b/>
                <w:sz w:val="18"/>
                <w:szCs w:val="18"/>
              </w:rPr>
            </w:pPr>
            <w:r w:rsidRPr="00D61137">
              <w:rPr>
                <w:b/>
                <w:sz w:val="18"/>
                <w:szCs w:val="18"/>
              </w:rPr>
              <w:t>1.5</w:t>
            </w:r>
          </w:p>
        </w:tc>
        <w:tc>
          <w:tcPr>
            <w:tcW w:w="488" w:type="pct"/>
            <w:tcBorders>
              <w:top w:val="single" w:sz="6" w:space="0" w:color="auto"/>
            </w:tcBorders>
            <w:vAlign w:val="bottom"/>
          </w:tcPr>
          <w:p w:rsidR="00D1575C" w:rsidRPr="00D61137" w:rsidRDefault="00D1575C" w:rsidP="001B56F1">
            <w:pPr>
              <w:pStyle w:val="TableBodyText"/>
              <w:rPr>
                <w:b/>
                <w:sz w:val="18"/>
                <w:szCs w:val="18"/>
              </w:rPr>
            </w:pPr>
            <w:r w:rsidRPr="00D61137">
              <w:rPr>
                <w:b/>
                <w:sz w:val="18"/>
                <w:szCs w:val="18"/>
              </w:rPr>
              <w:noBreakHyphen/>
            </w:r>
          </w:p>
        </w:tc>
      </w:tr>
      <w:tr w:rsidR="00D1575C" w:rsidTr="001B56F1">
        <w:trPr>
          <w:trHeight w:val="227"/>
        </w:trPr>
        <w:tc>
          <w:tcPr>
            <w:tcW w:w="1946" w:type="pct"/>
            <w:vAlign w:val="bottom"/>
          </w:tcPr>
          <w:p w:rsidR="00D1575C" w:rsidRPr="007758AB" w:rsidRDefault="00D1575C" w:rsidP="001B56F1">
            <w:pPr>
              <w:pStyle w:val="TableBodyText"/>
              <w:jc w:val="left"/>
              <w:rPr>
                <w:sz w:val="18"/>
                <w:szCs w:val="18"/>
              </w:rPr>
            </w:pPr>
            <w:r w:rsidRPr="007758AB">
              <w:rPr>
                <w:sz w:val="18"/>
                <w:szCs w:val="18"/>
              </w:rPr>
              <w:t>Food, beverages and tobacco</w:t>
            </w:r>
          </w:p>
        </w:tc>
        <w:tc>
          <w:tcPr>
            <w:tcW w:w="586" w:type="pct"/>
            <w:vAlign w:val="bottom"/>
          </w:tcPr>
          <w:p w:rsidR="00D1575C" w:rsidRPr="00D61137" w:rsidRDefault="00D1575C" w:rsidP="001B56F1">
            <w:pPr>
              <w:pStyle w:val="TableBodyText"/>
              <w:rPr>
                <w:sz w:val="18"/>
                <w:szCs w:val="18"/>
              </w:rPr>
            </w:pPr>
            <w:r w:rsidRPr="00D61137">
              <w:rPr>
                <w:sz w:val="18"/>
                <w:szCs w:val="18"/>
              </w:rPr>
              <w:noBreakHyphen/>
            </w:r>
          </w:p>
        </w:tc>
        <w:tc>
          <w:tcPr>
            <w:tcW w:w="495" w:type="pct"/>
            <w:vAlign w:val="bottom"/>
          </w:tcPr>
          <w:p w:rsidR="00D1575C" w:rsidRPr="00D61137" w:rsidRDefault="00D1575C" w:rsidP="001B56F1">
            <w:pPr>
              <w:pStyle w:val="TableBodyText"/>
              <w:rPr>
                <w:sz w:val="18"/>
                <w:szCs w:val="18"/>
              </w:rPr>
            </w:pPr>
            <w:r w:rsidRPr="00D61137">
              <w:rPr>
                <w:sz w:val="18"/>
                <w:szCs w:val="18"/>
              </w:rPr>
              <w:noBreakHyphen/>
            </w:r>
          </w:p>
        </w:tc>
        <w:tc>
          <w:tcPr>
            <w:tcW w:w="495" w:type="pct"/>
            <w:vAlign w:val="bottom"/>
          </w:tcPr>
          <w:p w:rsidR="00D1575C" w:rsidRPr="00D61137" w:rsidRDefault="00D1575C" w:rsidP="001B56F1">
            <w:pPr>
              <w:pStyle w:val="TableBodyText"/>
              <w:rPr>
                <w:sz w:val="18"/>
                <w:szCs w:val="18"/>
              </w:rPr>
            </w:pPr>
            <w:r w:rsidRPr="00D61137">
              <w:rPr>
                <w:sz w:val="18"/>
                <w:szCs w:val="18"/>
              </w:rPr>
              <w:t>1.0</w:t>
            </w:r>
          </w:p>
        </w:tc>
        <w:tc>
          <w:tcPr>
            <w:tcW w:w="495" w:type="pct"/>
            <w:shd w:val="clear" w:color="auto" w:fill="auto"/>
            <w:vAlign w:val="bottom"/>
          </w:tcPr>
          <w:p w:rsidR="00D1575C" w:rsidRPr="00D61137" w:rsidRDefault="00D1575C" w:rsidP="001B56F1">
            <w:pPr>
              <w:pStyle w:val="TableBodyText"/>
              <w:rPr>
                <w:sz w:val="18"/>
                <w:szCs w:val="18"/>
              </w:rPr>
            </w:pPr>
            <w:r w:rsidRPr="00D61137">
              <w:rPr>
                <w:sz w:val="18"/>
                <w:szCs w:val="18"/>
              </w:rPr>
              <w:noBreakHyphen/>
            </w:r>
          </w:p>
        </w:tc>
        <w:tc>
          <w:tcPr>
            <w:tcW w:w="495" w:type="pct"/>
            <w:shd w:val="clear" w:color="auto" w:fill="auto"/>
            <w:vAlign w:val="bottom"/>
          </w:tcPr>
          <w:p w:rsidR="00D1575C" w:rsidRPr="00D61137" w:rsidRDefault="00D1575C" w:rsidP="001B56F1">
            <w:pPr>
              <w:pStyle w:val="TableBodyText"/>
              <w:rPr>
                <w:sz w:val="18"/>
                <w:szCs w:val="18"/>
              </w:rPr>
            </w:pPr>
            <w:r w:rsidRPr="00D61137">
              <w:rPr>
                <w:sz w:val="18"/>
                <w:szCs w:val="18"/>
              </w:rPr>
              <w:t>0.2</w:t>
            </w:r>
          </w:p>
        </w:tc>
        <w:tc>
          <w:tcPr>
            <w:tcW w:w="488" w:type="pct"/>
            <w:shd w:val="clear" w:color="auto" w:fill="auto"/>
            <w:vAlign w:val="bottom"/>
          </w:tcPr>
          <w:p w:rsidR="00D1575C" w:rsidRPr="00D61137" w:rsidRDefault="00D1575C" w:rsidP="001B56F1">
            <w:pPr>
              <w:pStyle w:val="TableBodyText"/>
              <w:rPr>
                <w:sz w:val="18"/>
                <w:szCs w:val="18"/>
              </w:rPr>
            </w:pPr>
            <w:r w:rsidRPr="00D61137">
              <w:rPr>
                <w:sz w:val="18"/>
                <w:szCs w:val="18"/>
              </w:rPr>
              <w:noBreakHyphen/>
            </w:r>
          </w:p>
        </w:tc>
      </w:tr>
      <w:tr w:rsidR="00D1575C" w:rsidTr="001B56F1">
        <w:trPr>
          <w:trHeight w:val="227"/>
        </w:trPr>
        <w:tc>
          <w:tcPr>
            <w:tcW w:w="1946" w:type="pct"/>
            <w:vAlign w:val="bottom"/>
          </w:tcPr>
          <w:p w:rsidR="00D1575C" w:rsidRPr="007758AB" w:rsidRDefault="00D1575C" w:rsidP="001B56F1">
            <w:pPr>
              <w:pStyle w:val="TableBodyText"/>
              <w:jc w:val="left"/>
              <w:rPr>
                <w:sz w:val="18"/>
                <w:szCs w:val="18"/>
              </w:rPr>
            </w:pPr>
            <w:r>
              <w:rPr>
                <w:sz w:val="18"/>
                <w:szCs w:val="18"/>
              </w:rPr>
              <w:t>Textile, leather, clothing and footwear</w:t>
            </w:r>
          </w:p>
        </w:tc>
        <w:tc>
          <w:tcPr>
            <w:tcW w:w="586" w:type="pct"/>
            <w:vAlign w:val="bottom"/>
          </w:tcPr>
          <w:p w:rsidR="00D1575C" w:rsidRPr="00D61137" w:rsidRDefault="00D1575C" w:rsidP="001B56F1">
            <w:pPr>
              <w:pStyle w:val="TableBodyText"/>
              <w:rPr>
                <w:sz w:val="18"/>
                <w:szCs w:val="18"/>
              </w:rPr>
            </w:pPr>
            <w:r w:rsidRPr="00D61137">
              <w:rPr>
                <w:sz w:val="18"/>
                <w:szCs w:val="18"/>
              </w:rPr>
              <w:noBreakHyphen/>
            </w:r>
          </w:p>
        </w:tc>
        <w:tc>
          <w:tcPr>
            <w:tcW w:w="495" w:type="pct"/>
            <w:vAlign w:val="bottom"/>
          </w:tcPr>
          <w:p w:rsidR="00D1575C" w:rsidRPr="00D61137" w:rsidRDefault="00D1575C" w:rsidP="001B56F1">
            <w:pPr>
              <w:pStyle w:val="TableBodyText"/>
              <w:rPr>
                <w:sz w:val="18"/>
                <w:szCs w:val="18"/>
              </w:rPr>
            </w:pPr>
            <w:r w:rsidRPr="00D61137">
              <w:rPr>
                <w:sz w:val="18"/>
                <w:szCs w:val="18"/>
              </w:rPr>
              <w:noBreakHyphen/>
            </w:r>
          </w:p>
        </w:tc>
        <w:tc>
          <w:tcPr>
            <w:tcW w:w="495" w:type="pct"/>
            <w:vAlign w:val="bottom"/>
          </w:tcPr>
          <w:p w:rsidR="00D1575C" w:rsidRPr="00D61137" w:rsidRDefault="00D1575C" w:rsidP="001B56F1">
            <w:pPr>
              <w:pStyle w:val="TableBodyText"/>
              <w:rPr>
                <w:sz w:val="18"/>
                <w:szCs w:val="18"/>
              </w:rPr>
            </w:pPr>
            <w:r w:rsidRPr="00D61137">
              <w:rPr>
                <w:sz w:val="18"/>
                <w:szCs w:val="18"/>
              </w:rPr>
              <w:noBreakHyphen/>
            </w:r>
          </w:p>
        </w:tc>
        <w:tc>
          <w:tcPr>
            <w:tcW w:w="495" w:type="pct"/>
            <w:shd w:val="clear" w:color="auto" w:fill="auto"/>
            <w:vAlign w:val="bottom"/>
          </w:tcPr>
          <w:p w:rsidR="00D1575C" w:rsidRPr="00D61137" w:rsidRDefault="00D1575C" w:rsidP="001B56F1">
            <w:pPr>
              <w:pStyle w:val="TableBodyText"/>
              <w:rPr>
                <w:sz w:val="18"/>
                <w:szCs w:val="18"/>
              </w:rPr>
            </w:pPr>
            <w:r w:rsidRPr="00D61137">
              <w:rPr>
                <w:sz w:val="18"/>
                <w:szCs w:val="18"/>
              </w:rPr>
              <w:noBreakHyphen/>
            </w:r>
          </w:p>
        </w:tc>
        <w:tc>
          <w:tcPr>
            <w:tcW w:w="495" w:type="pct"/>
            <w:shd w:val="clear" w:color="auto" w:fill="auto"/>
            <w:vAlign w:val="bottom"/>
          </w:tcPr>
          <w:p w:rsidR="00D1575C" w:rsidRPr="00D61137" w:rsidRDefault="00D1575C" w:rsidP="001B56F1">
            <w:pPr>
              <w:pStyle w:val="TableBodyText"/>
              <w:rPr>
                <w:sz w:val="18"/>
                <w:szCs w:val="18"/>
              </w:rPr>
            </w:pPr>
            <w:r w:rsidRPr="00D61137">
              <w:rPr>
                <w:sz w:val="18"/>
                <w:szCs w:val="18"/>
              </w:rPr>
              <w:t>0.2</w:t>
            </w:r>
          </w:p>
        </w:tc>
        <w:tc>
          <w:tcPr>
            <w:tcW w:w="488" w:type="pct"/>
            <w:shd w:val="clear" w:color="auto" w:fill="auto"/>
            <w:vAlign w:val="bottom"/>
          </w:tcPr>
          <w:p w:rsidR="00D1575C" w:rsidRPr="00D61137" w:rsidRDefault="00D1575C" w:rsidP="001B56F1">
            <w:pPr>
              <w:pStyle w:val="TableBodyText"/>
              <w:rPr>
                <w:sz w:val="18"/>
                <w:szCs w:val="18"/>
              </w:rPr>
            </w:pPr>
            <w:r w:rsidRPr="00D61137">
              <w:rPr>
                <w:sz w:val="18"/>
                <w:szCs w:val="18"/>
              </w:rPr>
              <w:noBreakHyphen/>
            </w:r>
          </w:p>
        </w:tc>
      </w:tr>
      <w:tr w:rsidR="00D1575C" w:rsidTr="001B56F1">
        <w:trPr>
          <w:trHeight w:val="227"/>
        </w:trPr>
        <w:tc>
          <w:tcPr>
            <w:tcW w:w="1946" w:type="pct"/>
            <w:vAlign w:val="bottom"/>
          </w:tcPr>
          <w:p w:rsidR="00D1575C" w:rsidRPr="007758AB" w:rsidRDefault="00D1575C" w:rsidP="001B56F1">
            <w:pPr>
              <w:pStyle w:val="TableBodyText"/>
              <w:jc w:val="left"/>
              <w:rPr>
                <w:sz w:val="18"/>
                <w:szCs w:val="18"/>
              </w:rPr>
            </w:pPr>
            <w:r w:rsidRPr="007758AB">
              <w:rPr>
                <w:sz w:val="18"/>
                <w:szCs w:val="18"/>
              </w:rPr>
              <w:t>Petroleum, coal, chemical and rubber products</w:t>
            </w:r>
          </w:p>
        </w:tc>
        <w:tc>
          <w:tcPr>
            <w:tcW w:w="586" w:type="pct"/>
            <w:vAlign w:val="bottom"/>
          </w:tcPr>
          <w:p w:rsidR="00D1575C" w:rsidRPr="00D61137" w:rsidRDefault="00D1575C" w:rsidP="001B56F1">
            <w:pPr>
              <w:pStyle w:val="TableBodyText"/>
              <w:rPr>
                <w:sz w:val="18"/>
                <w:szCs w:val="18"/>
              </w:rPr>
            </w:pPr>
            <w:r w:rsidRPr="00D61137">
              <w:rPr>
                <w:sz w:val="18"/>
                <w:szCs w:val="18"/>
              </w:rPr>
              <w:noBreakHyphen/>
            </w:r>
          </w:p>
        </w:tc>
        <w:tc>
          <w:tcPr>
            <w:tcW w:w="495" w:type="pct"/>
            <w:vAlign w:val="bottom"/>
          </w:tcPr>
          <w:p w:rsidR="00D1575C" w:rsidRPr="00D61137" w:rsidRDefault="00D1575C" w:rsidP="001B56F1">
            <w:pPr>
              <w:pStyle w:val="TableBodyText"/>
              <w:rPr>
                <w:sz w:val="18"/>
                <w:szCs w:val="18"/>
              </w:rPr>
            </w:pPr>
            <w:r w:rsidRPr="00D61137">
              <w:rPr>
                <w:sz w:val="18"/>
                <w:szCs w:val="18"/>
              </w:rPr>
              <w:noBreakHyphen/>
            </w:r>
          </w:p>
        </w:tc>
        <w:tc>
          <w:tcPr>
            <w:tcW w:w="495" w:type="pct"/>
            <w:vAlign w:val="bottom"/>
          </w:tcPr>
          <w:p w:rsidR="00D1575C" w:rsidRPr="00D61137" w:rsidRDefault="00D1575C" w:rsidP="001B56F1">
            <w:pPr>
              <w:pStyle w:val="TableBodyText"/>
              <w:rPr>
                <w:sz w:val="18"/>
                <w:szCs w:val="18"/>
              </w:rPr>
            </w:pPr>
            <w:r w:rsidRPr="00D61137">
              <w:rPr>
                <w:sz w:val="18"/>
                <w:szCs w:val="18"/>
              </w:rPr>
              <w:noBreakHyphen/>
            </w:r>
          </w:p>
        </w:tc>
        <w:tc>
          <w:tcPr>
            <w:tcW w:w="495" w:type="pct"/>
            <w:shd w:val="clear" w:color="auto" w:fill="auto"/>
            <w:vAlign w:val="bottom"/>
          </w:tcPr>
          <w:p w:rsidR="00D1575C" w:rsidRPr="00D61137" w:rsidRDefault="00D1575C" w:rsidP="001B56F1">
            <w:pPr>
              <w:pStyle w:val="TableBodyText"/>
              <w:rPr>
                <w:sz w:val="18"/>
                <w:szCs w:val="18"/>
              </w:rPr>
            </w:pPr>
            <w:r w:rsidRPr="00D61137">
              <w:rPr>
                <w:sz w:val="18"/>
                <w:szCs w:val="18"/>
              </w:rPr>
              <w:noBreakHyphen/>
            </w:r>
          </w:p>
        </w:tc>
        <w:tc>
          <w:tcPr>
            <w:tcW w:w="495" w:type="pct"/>
            <w:shd w:val="clear" w:color="auto" w:fill="auto"/>
            <w:vAlign w:val="bottom"/>
          </w:tcPr>
          <w:p w:rsidR="00D1575C" w:rsidRPr="00D61137" w:rsidRDefault="00D1575C" w:rsidP="001B56F1">
            <w:pPr>
              <w:pStyle w:val="TableBodyText"/>
              <w:rPr>
                <w:sz w:val="18"/>
                <w:szCs w:val="18"/>
              </w:rPr>
            </w:pPr>
            <w:r w:rsidRPr="00D61137">
              <w:rPr>
                <w:sz w:val="18"/>
                <w:szCs w:val="18"/>
              </w:rPr>
              <w:t>0.2</w:t>
            </w:r>
          </w:p>
        </w:tc>
        <w:tc>
          <w:tcPr>
            <w:tcW w:w="488" w:type="pct"/>
            <w:shd w:val="clear" w:color="auto" w:fill="auto"/>
            <w:vAlign w:val="bottom"/>
          </w:tcPr>
          <w:p w:rsidR="00D1575C" w:rsidRPr="00D61137" w:rsidRDefault="00D1575C" w:rsidP="001B56F1">
            <w:pPr>
              <w:pStyle w:val="TableBodyText"/>
              <w:rPr>
                <w:sz w:val="18"/>
                <w:szCs w:val="18"/>
              </w:rPr>
            </w:pPr>
            <w:r w:rsidRPr="00D61137">
              <w:rPr>
                <w:sz w:val="18"/>
                <w:szCs w:val="18"/>
              </w:rPr>
              <w:noBreakHyphen/>
            </w:r>
          </w:p>
        </w:tc>
      </w:tr>
      <w:tr w:rsidR="00D1575C" w:rsidTr="001B56F1">
        <w:trPr>
          <w:trHeight w:val="227"/>
        </w:trPr>
        <w:tc>
          <w:tcPr>
            <w:tcW w:w="1946" w:type="pct"/>
            <w:vAlign w:val="bottom"/>
          </w:tcPr>
          <w:p w:rsidR="00D1575C" w:rsidRPr="007758AB" w:rsidRDefault="00D1575C" w:rsidP="001B56F1">
            <w:pPr>
              <w:pStyle w:val="TableBodyText"/>
              <w:jc w:val="left"/>
              <w:rPr>
                <w:sz w:val="18"/>
                <w:szCs w:val="18"/>
              </w:rPr>
            </w:pPr>
            <w:r>
              <w:rPr>
                <w:sz w:val="18"/>
                <w:szCs w:val="18"/>
              </w:rPr>
              <w:t>Non-metallic mineral products</w:t>
            </w:r>
          </w:p>
        </w:tc>
        <w:tc>
          <w:tcPr>
            <w:tcW w:w="586" w:type="pct"/>
            <w:vAlign w:val="bottom"/>
          </w:tcPr>
          <w:p w:rsidR="00D1575C" w:rsidRPr="00D61137" w:rsidRDefault="00D1575C" w:rsidP="001B56F1">
            <w:pPr>
              <w:pStyle w:val="TableBodyText"/>
              <w:rPr>
                <w:sz w:val="18"/>
                <w:szCs w:val="18"/>
              </w:rPr>
            </w:pPr>
            <w:r w:rsidRPr="00D61137">
              <w:rPr>
                <w:sz w:val="18"/>
                <w:szCs w:val="18"/>
              </w:rPr>
              <w:noBreakHyphen/>
            </w:r>
          </w:p>
        </w:tc>
        <w:tc>
          <w:tcPr>
            <w:tcW w:w="495" w:type="pct"/>
            <w:vAlign w:val="bottom"/>
          </w:tcPr>
          <w:p w:rsidR="00D1575C" w:rsidRPr="00D61137" w:rsidRDefault="00D1575C" w:rsidP="001B56F1">
            <w:pPr>
              <w:pStyle w:val="TableBodyText"/>
              <w:rPr>
                <w:sz w:val="18"/>
                <w:szCs w:val="18"/>
              </w:rPr>
            </w:pPr>
            <w:r w:rsidRPr="00D61137">
              <w:rPr>
                <w:sz w:val="18"/>
                <w:szCs w:val="18"/>
              </w:rPr>
              <w:noBreakHyphen/>
            </w:r>
          </w:p>
        </w:tc>
        <w:tc>
          <w:tcPr>
            <w:tcW w:w="495" w:type="pct"/>
            <w:vAlign w:val="bottom"/>
          </w:tcPr>
          <w:p w:rsidR="00D1575C" w:rsidRPr="00D61137" w:rsidRDefault="00D1575C" w:rsidP="001B56F1">
            <w:pPr>
              <w:pStyle w:val="TableBodyText"/>
              <w:rPr>
                <w:sz w:val="18"/>
                <w:szCs w:val="18"/>
              </w:rPr>
            </w:pPr>
            <w:r w:rsidRPr="00D61137">
              <w:rPr>
                <w:sz w:val="18"/>
                <w:szCs w:val="18"/>
              </w:rPr>
              <w:noBreakHyphen/>
            </w:r>
          </w:p>
        </w:tc>
        <w:tc>
          <w:tcPr>
            <w:tcW w:w="495" w:type="pct"/>
            <w:shd w:val="clear" w:color="auto" w:fill="auto"/>
            <w:vAlign w:val="bottom"/>
          </w:tcPr>
          <w:p w:rsidR="00D1575C" w:rsidRPr="00D61137" w:rsidRDefault="00D1575C" w:rsidP="001B56F1">
            <w:pPr>
              <w:pStyle w:val="TableBodyText"/>
              <w:rPr>
                <w:sz w:val="18"/>
                <w:szCs w:val="18"/>
              </w:rPr>
            </w:pPr>
            <w:r w:rsidRPr="00D61137">
              <w:rPr>
                <w:sz w:val="18"/>
                <w:szCs w:val="18"/>
              </w:rPr>
              <w:noBreakHyphen/>
            </w:r>
          </w:p>
        </w:tc>
        <w:tc>
          <w:tcPr>
            <w:tcW w:w="495" w:type="pct"/>
            <w:shd w:val="clear" w:color="auto" w:fill="auto"/>
            <w:vAlign w:val="bottom"/>
          </w:tcPr>
          <w:p w:rsidR="00D1575C" w:rsidRPr="00D61137" w:rsidRDefault="00D1575C" w:rsidP="001B56F1">
            <w:pPr>
              <w:pStyle w:val="TableBodyText"/>
              <w:rPr>
                <w:sz w:val="18"/>
                <w:szCs w:val="18"/>
              </w:rPr>
            </w:pPr>
            <w:r w:rsidRPr="00D61137">
              <w:rPr>
                <w:sz w:val="18"/>
                <w:szCs w:val="18"/>
              </w:rPr>
              <w:t>0.7</w:t>
            </w:r>
          </w:p>
        </w:tc>
        <w:tc>
          <w:tcPr>
            <w:tcW w:w="488" w:type="pct"/>
            <w:shd w:val="clear" w:color="auto" w:fill="auto"/>
            <w:vAlign w:val="bottom"/>
          </w:tcPr>
          <w:p w:rsidR="00D1575C" w:rsidRPr="00D61137" w:rsidRDefault="00D1575C" w:rsidP="001B56F1">
            <w:pPr>
              <w:pStyle w:val="TableBodyText"/>
              <w:rPr>
                <w:sz w:val="18"/>
                <w:szCs w:val="18"/>
              </w:rPr>
            </w:pPr>
            <w:r w:rsidRPr="00D61137">
              <w:rPr>
                <w:sz w:val="18"/>
                <w:szCs w:val="18"/>
              </w:rPr>
              <w:noBreakHyphen/>
            </w:r>
          </w:p>
        </w:tc>
      </w:tr>
      <w:tr w:rsidR="00D1575C" w:rsidTr="001B56F1">
        <w:trPr>
          <w:trHeight w:val="227"/>
        </w:trPr>
        <w:tc>
          <w:tcPr>
            <w:tcW w:w="1946" w:type="pct"/>
            <w:vAlign w:val="bottom"/>
          </w:tcPr>
          <w:p w:rsidR="00D1575C" w:rsidRPr="007758AB" w:rsidRDefault="00D1575C" w:rsidP="001B56F1">
            <w:pPr>
              <w:pStyle w:val="TableBodyText"/>
              <w:jc w:val="left"/>
              <w:rPr>
                <w:sz w:val="18"/>
                <w:szCs w:val="18"/>
              </w:rPr>
            </w:pPr>
            <w:r w:rsidRPr="007758AB">
              <w:rPr>
                <w:sz w:val="18"/>
                <w:szCs w:val="18"/>
              </w:rPr>
              <w:t>Metal and fabricated metal products</w:t>
            </w:r>
          </w:p>
        </w:tc>
        <w:tc>
          <w:tcPr>
            <w:tcW w:w="586" w:type="pct"/>
            <w:vAlign w:val="bottom"/>
          </w:tcPr>
          <w:p w:rsidR="00D1575C" w:rsidRPr="00D61137" w:rsidRDefault="00D1575C" w:rsidP="001B56F1">
            <w:pPr>
              <w:pStyle w:val="TableBodyText"/>
              <w:rPr>
                <w:sz w:val="18"/>
                <w:szCs w:val="18"/>
              </w:rPr>
            </w:pPr>
            <w:r w:rsidRPr="00D61137">
              <w:rPr>
                <w:sz w:val="18"/>
                <w:szCs w:val="18"/>
              </w:rPr>
              <w:noBreakHyphen/>
            </w:r>
          </w:p>
        </w:tc>
        <w:tc>
          <w:tcPr>
            <w:tcW w:w="495" w:type="pct"/>
            <w:vAlign w:val="bottom"/>
          </w:tcPr>
          <w:p w:rsidR="00D1575C" w:rsidRPr="00D61137" w:rsidRDefault="00D1575C" w:rsidP="001B56F1">
            <w:pPr>
              <w:pStyle w:val="TableBodyText"/>
              <w:rPr>
                <w:sz w:val="18"/>
                <w:szCs w:val="18"/>
              </w:rPr>
            </w:pPr>
            <w:r w:rsidRPr="00D61137">
              <w:rPr>
                <w:sz w:val="18"/>
                <w:szCs w:val="18"/>
              </w:rPr>
              <w:noBreakHyphen/>
            </w:r>
          </w:p>
        </w:tc>
        <w:tc>
          <w:tcPr>
            <w:tcW w:w="495" w:type="pct"/>
            <w:vAlign w:val="bottom"/>
          </w:tcPr>
          <w:p w:rsidR="00D1575C" w:rsidRPr="00D61137" w:rsidRDefault="00D1575C" w:rsidP="001B56F1">
            <w:pPr>
              <w:pStyle w:val="TableBodyText"/>
              <w:rPr>
                <w:sz w:val="18"/>
                <w:szCs w:val="18"/>
              </w:rPr>
            </w:pPr>
            <w:r w:rsidRPr="00D61137">
              <w:rPr>
                <w:sz w:val="18"/>
                <w:szCs w:val="18"/>
              </w:rPr>
              <w:noBreakHyphen/>
            </w:r>
          </w:p>
        </w:tc>
        <w:tc>
          <w:tcPr>
            <w:tcW w:w="495" w:type="pct"/>
            <w:shd w:val="clear" w:color="auto" w:fill="auto"/>
            <w:vAlign w:val="bottom"/>
          </w:tcPr>
          <w:p w:rsidR="00D1575C" w:rsidRPr="00D61137" w:rsidRDefault="00D1575C" w:rsidP="001B56F1">
            <w:pPr>
              <w:pStyle w:val="TableBodyText"/>
              <w:rPr>
                <w:sz w:val="18"/>
                <w:szCs w:val="18"/>
              </w:rPr>
            </w:pPr>
            <w:r w:rsidRPr="00D61137">
              <w:rPr>
                <w:sz w:val="18"/>
                <w:szCs w:val="18"/>
              </w:rPr>
              <w:noBreakHyphen/>
            </w:r>
          </w:p>
        </w:tc>
        <w:tc>
          <w:tcPr>
            <w:tcW w:w="495" w:type="pct"/>
            <w:shd w:val="clear" w:color="auto" w:fill="auto"/>
            <w:vAlign w:val="bottom"/>
          </w:tcPr>
          <w:p w:rsidR="00D1575C" w:rsidRPr="00D61137" w:rsidRDefault="00D1575C" w:rsidP="001B56F1">
            <w:pPr>
              <w:pStyle w:val="TableBodyText"/>
              <w:rPr>
                <w:sz w:val="18"/>
                <w:szCs w:val="18"/>
              </w:rPr>
            </w:pPr>
            <w:r>
              <w:rPr>
                <w:sz w:val="18"/>
                <w:szCs w:val="18"/>
              </w:rPr>
              <w:t>&lt;</w:t>
            </w:r>
            <w:r w:rsidRPr="00E17EEF">
              <w:rPr>
                <w:sz w:val="18"/>
                <w:szCs w:val="18"/>
              </w:rPr>
              <w:t>0.</w:t>
            </w:r>
            <w:r>
              <w:rPr>
                <w:sz w:val="18"/>
                <w:szCs w:val="18"/>
              </w:rPr>
              <w:t>1</w:t>
            </w:r>
          </w:p>
        </w:tc>
        <w:tc>
          <w:tcPr>
            <w:tcW w:w="488" w:type="pct"/>
            <w:shd w:val="clear" w:color="auto" w:fill="auto"/>
            <w:vAlign w:val="bottom"/>
          </w:tcPr>
          <w:p w:rsidR="00D1575C" w:rsidRPr="00D61137" w:rsidRDefault="00D1575C" w:rsidP="001B56F1">
            <w:pPr>
              <w:pStyle w:val="TableBodyText"/>
              <w:rPr>
                <w:sz w:val="18"/>
                <w:szCs w:val="18"/>
              </w:rPr>
            </w:pPr>
            <w:r w:rsidRPr="00D61137">
              <w:rPr>
                <w:sz w:val="18"/>
                <w:szCs w:val="18"/>
              </w:rPr>
              <w:noBreakHyphen/>
            </w:r>
          </w:p>
        </w:tc>
      </w:tr>
      <w:tr w:rsidR="00D1575C" w:rsidTr="001B56F1">
        <w:trPr>
          <w:trHeight w:val="227"/>
        </w:trPr>
        <w:tc>
          <w:tcPr>
            <w:tcW w:w="1946" w:type="pct"/>
            <w:vAlign w:val="bottom"/>
          </w:tcPr>
          <w:p w:rsidR="00D1575C" w:rsidRPr="007758AB" w:rsidRDefault="00D1575C" w:rsidP="001B56F1">
            <w:pPr>
              <w:pStyle w:val="TableBodyText"/>
              <w:jc w:val="left"/>
              <w:rPr>
                <w:sz w:val="18"/>
                <w:szCs w:val="18"/>
              </w:rPr>
            </w:pPr>
            <w:r w:rsidRPr="007758AB">
              <w:rPr>
                <w:sz w:val="18"/>
                <w:szCs w:val="18"/>
              </w:rPr>
              <w:t>Other transport equipment</w:t>
            </w:r>
          </w:p>
        </w:tc>
        <w:tc>
          <w:tcPr>
            <w:tcW w:w="586" w:type="pct"/>
            <w:vAlign w:val="bottom"/>
          </w:tcPr>
          <w:p w:rsidR="00D1575C" w:rsidRPr="00D61137" w:rsidRDefault="00D1575C" w:rsidP="001B56F1">
            <w:pPr>
              <w:pStyle w:val="TableBodyText"/>
              <w:rPr>
                <w:sz w:val="18"/>
                <w:szCs w:val="18"/>
              </w:rPr>
            </w:pPr>
            <w:r w:rsidRPr="00D61137">
              <w:rPr>
                <w:sz w:val="18"/>
                <w:szCs w:val="18"/>
              </w:rPr>
              <w:noBreakHyphen/>
            </w:r>
          </w:p>
        </w:tc>
        <w:tc>
          <w:tcPr>
            <w:tcW w:w="495" w:type="pct"/>
            <w:vAlign w:val="bottom"/>
          </w:tcPr>
          <w:p w:rsidR="00D1575C" w:rsidRPr="00D61137" w:rsidRDefault="00D1575C" w:rsidP="001B56F1">
            <w:pPr>
              <w:pStyle w:val="TableBodyText"/>
              <w:rPr>
                <w:sz w:val="18"/>
                <w:szCs w:val="18"/>
              </w:rPr>
            </w:pPr>
            <w:r w:rsidRPr="00D61137">
              <w:rPr>
                <w:sz w:val="18"/>
                <w:szCs w:val="18"/>
              </w:rPr>
              <w:noBreakHyphen/>
            </w:r>
          </w:p>
        </w:tc>
        <w:tc>
          <w:tcPr>
            <w:tcW w:w="495" w:type="pct"/>
            <w:vAlign w:val="bottom"/>
          </w:tcPr>
          <w:p w:rsidR="00D1575C" w:rsidRPr="00D61137" w:rsidRDefault="00D1575C" w:rsidP="001B56F1">
            <w:pPr>
              <w:pStyle w:val="TableBodyText"/>
              <w:rPr>
                <w:sz w:val="18"/>
                <w:szCs w:val="18"/>
              </w:rPr>
            </w:pPr>
            <w:r>
              <w:rPr>
                <w:sz w:val="18"/>
                <w:szCs w:val="18"/>
              </w:rPr>
              <w:t>&lt;</w:t>
            </w:r>
            <w:r w:rsidRPr="00D61137">
              <w:rPr>
                <w:sz w:val="18"/>
                <w:szCs w:val="18"/>
              </w:rPr>
              <w:t>0.1</w:t>
            </w:r>
          </w:p>
        </w:tc>
        <w:tc>
          <w:tcPr>
            <w:tcW w:w="495" w:type="pct"/>
            <w:shd w:val="clear" w:color="auto" w:fill="auto"/>
            <w:vAlign w:val="bottom"/>
          </w:tcPr>
          <w:p w:rsidR="00D1575C" w:rsidRPr="00D61137" w:rsidRDefault="00D1575C" w:rsidP="001B56F1">
            <w:pPr>
              <w:pStyle w:val="TableBodyText"/>
              <w:rPr>
                <w:sz w:val="18"/>
                <w:szCs w:val="18"/>
              </w:rPr>
            </w:pPr>
            <w:r w:rsidRPr="00D61137">
              <w:rPr>
                <w:sz w:val="18"/>
                <w:szCs w:val="18"/>
              </w:rPr>
              <w:noBreakHyphen/>
            </w:r>
          </w:p>
        </w:tc>
        <w:tc>
          <w:tcPr>
            <w:tcW w:w="495" w:type="pct"/>
            <w:shd w:val="clear" w:color="auto" w:fill="auto"/>
            <w:vAlign w:val="bottom"/>
          </w:tcPr>
          <w:p w:rsidR="00D1575C" w:rsidRPr="00D61137" w:rsidRDefault="00D1575C" w:rsidP="001B56F1">
            <w:pPr>
              <w:pStyle w:val="TableBodyText"/>
              <w:rPr>
                <w:sz w:val="18"/>
                <w:szCs w:val="18"/>
              </w:rPr>
            </w:pPr>
            <w:r w:rsidRPr="00D61137">
              <w:rPr>
                <w:sz w:val="18"/>
                <w:szCs w:val="18"/>
              </w:rPr>
              <w:noBreakHyphen/>
            </w:r>
          </w:p>
        </w:tc>
        <w:tc>
          <w:tcPr>
            <w:tcW w:w="488" w:type="pct"/>
            <w:shd w:val="clear" w:color="auto" w:fill="auto"/>
            <w:vAlign w:val="bottom"/>
          </w:tcPr>
          <w:p w:rsidR="00D1575C" w:rsidRPr="00D61137" w:rsidRDefault="00D1575C" w:rsidP="001B56F1">
            <w:pPr>
              <w:pStyle w:val="TableBodyText"/>
              <w:rPr>
                <w:sz w:val="18"/>
                <w:szCs w:val="18"/>
              </w:rPr>
            </w:pPr>
            <w:r w:rsidRPr="00D61137">
              <w:rPr>
                <w:sz w:val="18"/>
                <w:szCs w:val="18"/>
              </w:rPr>
              <w:noBreakHyphen/>
            </w:r>
          </w:p>
        </w:tc>
      </w:tr>
      <w:tr w:rsidR="00D1575C" w:rsidTr="001B56F1">
        <w:trPr>
          <w:trHeight w:val="227"/>
        </w:trPr>
        <w:tc>
          <w:tcPr>
            <w:tcW w:w="1946" w:type="pct"/>
            <w:vAlign w:val="bottom"/>
          </w:tcPr>
          <w:p w:rsidR="00D1575C" w:rsidRPr="007758AB" w:rsidRDefault="00D1575C" w:rsidP="001B56F1">
            <w:pPr>
              <w:pStyle w:val="TableBodyText"/>
              <w:jc w:val="left"/>
              <w:rPr>
                <w:sz w:val="18"/>
                <w:szCs w:val="18"/>
              </w:rPr>
            </w:pPr>
            <w:r w:rsidRPr="007758AB">
              <w:rPr>
                <w:sz w:val="18"/>
                <w:szCs w:val="18"/>
              </w:rPr>
              <w:t>Machinery and equipment manufacturing</w:t>
            </w:r>
          </w:p>
        </w:tc>
        <w:tc>
          <w:tcPr>
            <w:tcW w:w="586" w:type="pct"/>
            <w:vAlign w:val="bottom"/>
          </w:tcPr>
          <w:p w:rsidR="00D1575C" w:rsidRPr="00D61137" w:rsidRDefault="00D1575C" w:rsidP="001B56F1">
            <w:pPr>
              <w:pStyle w:val="TableBodyText"/>
              <w:rPr>
                <w:sz w:val="18"/>
                <w:szCs w:val="18"/>
              </w:rPr>
            </w:pPr>
            <w:r w:rsidRPr="00D61137">
              <w:rPr>
                <w:sz w:val="18"/>
                <w:szCs w:val="18"/>
              </w:rPr>
              <w:noBreakHyphen/>
            </w:r>
          </w:p>
        </w:tc>
        <w:tc>
          <w:tcPr>
            <w:tcW w:w="495" w:type="pct"/>
            <w:vAlign w:val="bottom"/>
          </w:tcPr>
          <w:p w:rsidR="00D1575C" w:rsidRPr="00D61137" w:rsidRDefault="00D1575C" w:rsidP="001B56F1">
            <w:pPr>
              <w:pStyle w:val="TableBodyText"/>
              <w:rPr>
                <w:sz w:val="18"/>
                <w:szCs w:val="18"/>
              </w:rPr>
            </w:pPr>
            <w:r w:rsidRPr="00D61137">
              <w:rPr>
                <w:sz w:val="18"/>
                <w:szCs w:val="18"/>
              </w:rPr>
              <w:noBreakHyphen/>
            </w:r>
          </w:p>
        </w:tc>
        <w:tc>
          <w:tcPr>
            <w:tcW w:w="495" w:type="pct"/>
            <w:vAlign w:val="bottom"/>
          </w:tcPr>
          <w:p w:rsidR="00D1575C" w:rsidRPr="00D61137" w:rsidRDefault="00D1575C" w:rsidP="001B56F1">
            <w:pPr>
              <w:pStyle w:val="TableBodyText"/>
              <w:rPr>
                <w:sz w:val="18"/>
                <w:szCs w:val="18"/>
              </w:rPr>
            </w:pPr>
            <w:r w:rsidRPr="00D61137">
              <w:rPr>
                <w:sz w:val="18"/>
                <w:szCs w:val="18"/>
              </w:rPr>
              <w:t>1.0</w:t>
            </w:r>
          </w:p>
        </w:tc>
        <w:tc>
          <w:tcPr>
            <w:tcW w:w="495" w:type="pct"/>
            <w:shd w:val="clear" w:color="auto" w:fill="auto"/>
            <w:vAlign w:val="bottom"/>
          </w:tcPr>
          <w:p w:rsidR="00D1575C" w:rsidRPr="00D61137" w:rsidRDefault="00D1575C" w:rsidP="001B56F1">
            <w:pPr>
              <w:pStyle w:val="TableBodyText"/>
              <w:rPr>
                <w:sz w:val="18"/>
                <w:szCs w:val="18"/>
              </w:rPr>
            </w:pPr>
            <w:r w:rsidRPr="00D61137">
              <w:rPr>
                <w:sz w:val="18"/>
                <w:szCs w:val="18"/>
              </w:rPr>
              <w:noBreakHyphen/>
            </w:r>
          </w:p>
        </w:tc>
        <w:tc>
          <w:tcPr>
            <w:tcW w:w="495" w:type="pct"/>
            <w:shd w:val="clear" w:color="auto" w:fill="auto"/>
            <w:vAlign w:val="bottom"/>
          </w:tcPr>
          <w:p w:rsidR="00D1575C" w:rsidRPr="00D61137" w:rsidRDefault="00D1575C" w:rsidP="001B56F1">
            <w:pPr>
              <w:pStyle w:val="TableBodyText"/>
              <w:rPr>
                <w:sz w:val="18"/>
                <w:szCs w:val="18"/>
              </w:rPr>
            </w:pPr>
            <w:r w:rsidRPr="00D61137">
              <w:rPr>
                <w:sz w:val="18"/>
                <w:szCs w:val="18"/>
              </w:rPr>
              <w:t>0.1</w:t>
            </w:r>
          </w:p>
        </w:tc>
        <w:tc>
          <w:tcPr>
            <w:tcW w:w="488" w:type="pct"/>
            <w:shd w:val="clear" w:color="auto" w:fill="auto"/>
            <w:vAlign w:val="bottom"/>
          </w:tcPr>
          <w:p w:rsidR="00D1575C" w:rsidRPr="00D61137" w:rsidRDefault="00D1575C" w:rsidP="001B56F1">
            <w:pPr>
              <w:pStyle w:val="TableBodyText"/>
              <w:rPr>
                <w:sz w:val="18"/>
                <w:szCs w:val="18"/>
              </w:rPr>
            </w:pPr>
            <w:r w:rsidRPr="00D61137">
              <w:rPr>
                <w:sz w:val="18"/>
                <w:szCs w:val="18"/>
              </w:rPr>
              <w:noBreakHyphen/>
            </w:r>
          </w:p>
        </w:tc>
      </w:tr>
      <w:tr w:rsidR="00D1575C" w:rsidTr="001B56F1">
        <w:trPr>
          <w:trHeight w:val="227"/>
        </w:trPr>
        <w:tc>
          <w:tcPr>
            <w:tcW w:w="1946" w:type="pct"/>
            <w:vAlign w:val="bottom"/>
          </w:tcPr>
          <w:p w:rsidR="00D1575C" w:rsidRPr="007758AB" w:rsidRDefault="00D1575C" w:rsidP="001B56F1">
            <w:pPr>
              <w:pStyle w:val="TableBodyText"/>
              <w:jc w:val="left"/>
              <w:rPr>
                <w:sz w:val="18"/>
                <w:szCs w:val="18"/>
              </w:rPr>
            </w:pPr>
            <w:r>
              <w:rPr>
                <w:sz w:val="18"/>
                <w:szCs w:val="18"/>
              </w:rPr>
              <w:t>Unallocated other</w:t>
            </w:r>
            <w:r w:rsidRPr="00682BD4">
              <w:rPr>
                <w:rStyle w:val="NoteLabel"/>
                <w:szCs w:val="18"/>
              </w:rPr>
              <w:t>a</w:t>
            </w:r>
          </w:p>
        </w:tc>
        <w:tc>
          <w:tcPr>
            <w:tcW w:w="586" w:type="pct"/>
            <w:vAlign w:val="bottom"/>
          </w:tcPr>
          <w:p w:rsidR="00D1575C" w:rsidRPr="00D61137" w:rsidRDefault="00D1575C" w:rsidP="001B56F1">
            <w:pPr>
              <w:pStyle w:val="TableBodyText"/>
              <w:rPr>
                <w:sz w:val="18"/>
                <w:szCs w:val="18"/>
              </w:rPr>
            </w:pPr>
            <w:r w:rsidRPr="00D61137">
              <w:rPr>
                <w:sz w:val="18"/>
                <w:szCs w:val="18"/>
              </w:rPr>
              <w:noBreakHyphen/>
            </w:r>
          </w:p>
        </w:tc>
        <w:tc>
          <w:tcPr>
            <w:tcW w:w="495" w:type="pct"/>
            <w:vAlign w:val="bottom"/>
          </w:tcPr>
          <w:p w:rsidR="00D1575C" w:rsidRPr="00D61137" w:rsidRDefault="00D1575C" w:rsidP="001B56F1">
            <w:pPr>
              <w:pStyle w:val="TableBodyText"/>
              <w:rPr>
                <w:sz w:val="18"/>
                <w:szCs w:val="18"/>
              </w:rPr>
            </w:pPr>
            <w:r w:rsidRPr="00D61137">
              <w:rPr>
                <w:sz w:val="18"/>
                <w:szCs w:val="18"/>
              </w:rPr>
              <w:noBreakHyphen/>
            </w:r>
          </w:p>
        </w:tc>
        <w:tc>
          <w:tcPr>
            <w:tcW w:w="495" w:type="pct"/>
            <w:vAlign w:val="bottom"/>
          </w:tcPr>
          <w:p w:rsidR="00D1575C" w:rsidRPr="00D61137" w:rsidRDefault="00D1575C" w:rsidP="001B56F1">
            <w:pPr>
              <w:pStyle w:val="TableBodyText"/>
              <w:rPr>
                <w:sz w:val="18"/>
                <w:szCs w:val="18"/>
              </w:rPr>
            </w:pPr>
            <w:r w:rsidRPr="00D61137">
              <w:rPr>
                <w:sz w:val="18"/>
                <w:szCs w:val="18"/>
              </w:rPr>
              <w:noBreakHyphen/>
            </w:r>
          </w:p>
        </w:tc>
        <w:tc>
          <w:tcPr>
            <w:tcW w:w="495" w:type="pct"/>
            <w:shd w:val="clear" w:color="auto" w:fill="auto"/>
            <w:vAlign w:val="bottom"/>
          </w:tcPr>
          <w:p w:rsidR="00D1575C" w:rsidRPr="00D61137" w:rsidRDefault="00D1575C" w:rsidP="001B56F1">
            <w:pPr>
              <w:pStyle w:val="TableBodyText"/>
              <w:rPr>
                <w:sz w:val="18"/>
                <w:szCs w:val="18"/>
              </w:rPr>
            </w:pPr>
            <w:r w:rsidRPr="00D61137">
              <w:rPr>
                <w:sz w:val="18"/>
                <w:szCs w:val="18"/>
              </w:rPr>
              <w:t>7.0</w:t>
            </w:r>
          </w:p>
        </w:tc>
        <w:tc>
          <w:tcPr>
            <w:tcW w:w="495" w:type="pct"/>
            <w:shd w:val="clear" w:color="auto" w:fill="auto"/>
            <w:vAlign w:val="bottom"/>
          </w:tcPr>
          <w:p w:rsidR="00D1575C" w:rsidRPr="00D61137" w:rsidRDefault="00D1575C" w:rsidP="001B56F1">
            <w:pPr>
              <w:pStyle w:val="TableBodyText"/>
              <w:rPr>
                <w:sz w:val="18"/>
                <w:szCs w:val="18"/>
              </w:rPr>
            </w:pPr>
            <w:r w:rsidRPr="00D61137">
              <w:rPr>
                <w:sz w:val="18"/>
                <w:szCs w:val="18"/>
              </w:rPr>
              <w:t>-</w:t>
            </w:r>
          </w:p>
        </w:tc>
        <w:tc>
          <w:tcPr>
            <w:tcW w:w="488" w:type="pct"/>
            <w:shd w:val="clear" w:color="auto" w:fill="auto"/>
            <w:vAlign w:val="bottom"/>
          </w:tcPr>
          <w:p w:rsidR="00D1575C" w:rsidRPr="00D61137" w:rsidRDefault="00D1575C" w:rsidP="001B56F1">
            <w:pPr>
              <w:pStyle w:val="TableBodyText"/>
              <w:rPr>
                <w:sz w:val="18"/>
                <w:szCs w:val="18"/>
              </w:rPr>
            </w:pPr>
            <w:r w:rsidRPr="00D61137">
              <w:rPr>
                <w:sz w:val="18"/>
                <w:szCs w:val="18"/>
              </w:rPr>
              <w:noBreakHyphen/>
            </w:r>
          </w:p>
        </w:tc>
      </w:tr>
      <w:tr w:rsidR="00D1575C" w:rsidTr="001B56F1">
        <w:trPr>
          <w:trHeight w:val="227"/>
        </w:trPr>
        <w:tc>
          <w:tcPr>
            <w:tcW w:w="1946" w:type="pct"/>
            <w:tcBorders>
              <w:bottom w:val="single" w:sz="4" w:space="0" w:color="auto"/>
            </w:tcBorders>
            <w:vAlign w:val="bottom"/>
          </w:tcPr>
          <w:p w:rsidR="00D1575C" w:rsidRPr="007758AB" w:rsidRDefault="00D1575C" w:rsidP="001B56F1">
            <w:pPr>
              <w:pStyle w:val="TableBodyText"/>
              <w:jc w:val="left"/>
              <w:rPr>
                <w:b/>
                <w:bCs/>
                <w:sz w:val="18"/>
                <w:szCs w:val="18"/>
              </w:rPr>
            </w:pPr>
            <w:r w:rsidRPr="007758AB">
              <w:rPr>
                <w:b/>
                <w:bCs/>
                <w:sz w:val="18"/>
                <w:szCs w:val="18"/>
              </w:rPr>
              <w:t>Total</w:t>
            </w:r>
          </w:p>
        </w:tc>
        <w:tc>
          <w:tcPr>
            <w:tcW w:w="586" w:type="pct"/>
            <w:tcBorders>
              <w:bottom w:val="single" w:sz="4" w:space="0" w:color="auto"/>
            </w:tcBorders>
            <w:vAlign w:val="bottom"/>
          </w:tcPr>
          <w:p w:rsidR="00D1575C" w:rsidRPr="00D61137" w:rsidRDefault="00D1575C" w:rsidP="001B56F1">
            <w:pPr>
              <w:pStyle w:val="TableBodyText"/>
              <w:rPr>
                <w:b/>
                <w:sz w:val="18"/>
                <w:szCs w:val="18"/>
              </w:rPr>
            </w:pPr>
            <w:r w:rsidRPr="00D61137">
              <w:rPr>
                <w:b/>
                <w:sz w:val="18"/>
                <w:szCs w:val="18"/>
              </w:rPr>
              <w:noBreakHyphen/>
            </w:r>
          </w:p>
        </w:tc>
        <w:tc>
          <w:tcPr>
            <w:tcW w:w="495" w:type="pct"/>
            <w:tcBorders>
              <w:bottom w:val="single" w:sz="4" w:space="0" w:color="auto"/>
            </w:tcBorders>
            <w:vAlign w:val="bottom"/>
          </w:tcPr>
          <w:p w:rsidR="00D1575C" w:rsidRPr="00D61137" w:rsidRDefault="00D1575C" w:rsidP="001B56F1">
            <w:pPr>
              <w:pStyle w:val="TableBodyText"/>
              <w:rPr>
                <w:b/>
                <w:sz w:val="18"/>
                <w:szCs w:val="18"/>
              </w:rPr>
            </w:pPr>
            <w:r w:rsidRPr="00D61137">
              <w:rPr>
                <w:b/>
                <w:sz w:val="18"/>
                <w:szCs w:val="18"/>
              </w:rPr>
              <w:noBreakHyphen/>
            </w:r>
          </w:p>
        </w:tc>
        <w:tc>
          <w:tcPr>
            <w:tcW w:w="495" w:type="pct"/>
            <w:tcBorders>
              <w:bottom w:val="single" w:sz="4" w:space="0" w:color="auto"/>
            </w:tcBorders>
            <w:vAlign w:val="bottom"/>
          </w:tcPr>
          <w:p w:rsidR="00D1575C" w:rsidRPr="00D61137" w:rsidRDefault="00D1575C" w:rsidP="001B56F1">
            <w:pPr>
              <w:pStyle w:val="TableBodyText"/>
              <w:rPr>
                <w:b/>
                <w:sz w:val="18"/>
                <w:szCs w:val="18"/>
              </w:rPr>
            </w:pPr>
            <w:r w:rsidRPr="00D61137">
              <w:rPr>
                <w:b/>
                <w:sz w:val="18"/>
                <w:szCs w:val="18"/>
              </w:rPr>
              <w:t>2.0</w:t>
            </w:r>
          </w:p>
        </w:tc>
        <w:tc>
          <w:tcPr>
            <w:tcW w:w="495" w:type="pct"/>
            <w:tcBorders>
              <w:bottom w:val="single" w:sz="4" w:space="0" w:color="auto"/>
            </w:tcBorders>
            <w:shd w:val="clear" w:color="auto" w:fill="auto"/>
            <w:vAlign w:val="bottom"/>
          </w:tcPr>
          <w:p w:rsidR="00D1575C" w:rsidRPr="00D61137" w:rsidRDefault="00D1575C" w:rsidP="001B56F1">
            <w:pPr>
              <w:pStyle w:val="TableBodyText"/>
              <w:rPr>
                <w:b/>
                <w:sz w:val="18"/>
                <w:szCs w:val="18"/>
              </w:rPr>
            </w:pPr>
            <w:r w:rsidRPr="00D61137">
              <w:rPr>
                <w:b/>
                <w:sz w:val="18"/>
                <w:szCs w:val="18"/>
              </w:rPr>
              <w:t>7.0</w:t>
            </w:r>
          </w:p>
        </w:tc>
        <w:tc>
          <w:tcPr>
            <w:tcW w:w="495" w:type="pct"/>
            <w:tcBorders>
              <w:bottom w:val="single" w:sz="4" w:space="0" w:color="auto"/>
            </w:tcBorders>
            <w:shd w:val="clear" w:color="auto" w:fill="auto"/>
            <w:vAlign w:val="bottom"/>
          </w:tcPr>
          <w:p w:rsidR="00D1575C" w:rsidRPr="00D61137" w:rsidRDefault="00D1575C" w:rsidP="001B56F1">
            <w:pPr>
              <w:pStyle w:val="TableBodyText"/>
              <w:rPr>
                <w:b/>
                <w:sz w:val="18"/>
                <w:szCs w:val="18"/>
              </w:rPr>
            </w:pPr>
            <w:r w:rsidRPr="00D61137">
              <w:rPr>
                <w:b/>
                <w:sz w:val="18"/>
                <w:szCs w:val="18"/>
              </w:rPr>
              <w:t>1.5</w:t>
            </w:r>
          </w:p>
        </w:tc>
        <w:tc>
          <w:tcPr>
            <w:tcW w:w="488" w:type="pct"/>
            <w:tcBorders>
              <w:bottom w:val="single" w:sz="4" w:space="0" w:color="auto"/>
            </w:tcBorders>
            <w:shd w:val="clear" w:color="auto" w:fill="auto"/>
            <w:vAlign w:val="bottom"/>
          </w:tcPr>
          <w:p w:rsidR="00D1575C" w:rsidRPr="00D61137" w:rsidRDefault="00D1575C" w:rsidP="001B56F1">
            <w:pPr>
              <w:pStyle w:val="TableBodyText"/>
              <w:rPr>
                <w:b/>
                <w:sz w:val="18"/>
                <w:szCs w:val="18"/>
              </w:rPr>
            </w:pPr>
            <w:r w:rsidRPr="00D61137">
              <w:rPr>
                <w:b/>
                <w:sz w:val="18"/>
                <w:szCs w:val="18"/>
              </w:rPr>
              <w:noBreakHyphen/>
            </w:r>
          </w:p>
        </w:tc>
      </w:tr>
    </w:tbl>
    <w:p w:rsidR="00D1575C" w:rsidRDefault="00D1575C" w:rsidP="00D1575C">
      <w:pPr>
        <w:pStyle w:val="Source"/>
        <w:spacing w:after="0"/>
        <w:rPr>
          <w:i/>
        </w:rPr>
      </w:pPr>
      <w:r>
        <w:t xml:space="preserve">– Nil. </w:t>
      </w:r>
      <w:r w:rsidRPr="008E77FE">
        <w:rPr>
          <w:rStyle w:val="NoteLabel"/>
        </w:rPr>
        <w:t>a</w:t>
      </w:r>
      <w:r>
        <w:t xml:space="preserve"> </w:t>
      </w:r>
      <w:r w:rsidRPr="00B81ACC">
        <w:t>Unallocated includes general programs where details of beneficiaries are unknown</w:t>
      </w:r>
      <w:r>
        <w:t>.</w:t>
      </w:r>
    </w:p>
    <w:p w:rsidR="00D1575C" w:rsidRPr="008E77FE" w:rsidRDefault="00D1575C" w:rsidP="00D1575C">
      <w:pPr>
        <w:pStyle w:val="Source"/>
      </w:pPr>
      <w:r>
        <w:rPr>
          <w:i/>
        </w:rPr>
        <w:t>Source</w:t>
      </w:r>
      <w:r w:rsidR="00C07120">
        <w:rPr>
          <w:i/>
        </w:rPr>
        <w:t>s</w:t>
      </w:r>
      <w:r>
        <w:t>: Commission estimates based on DIISR Annual Report 2010</w:t>
      </w:r>
      <w:r>
        <w:noBreakHyphen/>
        <w:t>11 (and earlier years); and detailed DIISR data by ANZSIC industry.</w:t>
      </w:r>
    </w:p>
    <w:p w:rsidR="00F90FA9" w:rsidRDefault="00FA09C3" w:rsidP="00F90FA9">
      <w:pPr>
        <w:pStyle w:val="Heading2"/>
      </w:pPr>
      <w:r>
        <w:t>A.</w:t>
      </w:r>
      <w:r>
        <w:rPr>
          <w:noProof/>
        </w:rPr>
        <w:t>144</w:t>
      </w:r>
      <w:r w:rsidR="00F90FA9">
        <w:tab/>
        <w:t>Industry Cooperative Innovation Program</w:t>
      </w:r>
    </w:p>
    <w:p w:rsidR="00F90FA9" w:rsidRDefault="00F90FA9" w:rsidP="00F90FA9">
      <w:pPr>
        <w:pStyle w:val="BodyText"/>
      </w:pPr>
      <w:r>
        <w:t>The Industry Cooperative Innovation Program was a merit-based grants program that was intended to encourage business-to-business cooperation on innovation projects both within Australia and internationally. The program focused on projects that enhanced productivity, growth and international competitiveness in Australian industries. The Industry Cooperative Innovation Program closed on 30 </w:t>
      </w:r>
      <w:r w:rsidRPr="00951327">
        <w:t>June</w:t>
      </w:r>
      <w:r>
        <w:t> 2011 (</w:t>
      </w:r>
      <w:r w:rsidRPr="00C305B5">
        <w:t>Innovation Australia 2012</w:t>
      </w:r>
      <w:r w:rsidRPr="00347892">
        <w:t>).</w:t>
      </w:r>
    </w:p>
    <w:p w:rsidR="00F90FA9" w:rsidRDefault="00F90FA9" w:rsidP="00F90FA9">
      <w:pPr>
        <w:pStyle w:val="BodyText"/>
      </w:pPr>
      <w:r>
        <w:t xml:space="preserve">The Commission has obtained information from the Department of Innovation, Industry, Science and Research detailing program funding according to ANZSIC industry. This information has been used to classify the Department’s estimate of total program expenditure, as published in </w:t>
      </w:r>
      <w:r w:rsidR="00C07120">
        <w:t xml:space="preserve">its </w:t>
      </w:r>
      <w:r>
        <w:t>annual report, to the Commission’s ANZSIC-based industry groupings (table A.14</w:t>
      </w:r>
      <w:r w:rsidR="00C065C1">
        <w:t>4</w:t>
      </w:r>
      <w:r>
        <w:t>).</w:t>
      </w:r>
    </w:p>
    <w:p w:rsidR="00F90FA9" w:rsidRDefault="00F90FA9" w:rsidP="00F90FA9">
      <w:pPr>
        <w:pStyle w:val="TableTitle"/>
      </w:pPr>
      <w:r>
        <w:rPr>
          <w:b w:val="0"/>
        </w:rPr>
        <w:t xml:space="preserve">Table </w:t>
      </w:r>
      <w:r w:rsidR="00FA09C3">
        <w:rPr>
          <w:b w:val="0"/>
        </w:rPr>
        <w:t>A.</w:t>
      </w:r>
      <w:r w:rsidR="00FA09C3">
        <w:rPr>
          <w:b w:val="0"/>
          <w:noProof/>
        </w:rPr>
        <w:t>144</w:t>
      </w:r>
      <w:r>
        <w:tab/>
        <w:t xml:space="preserve">Allocation of Industry Cooperative Innovation Program </w:t>
      </w:r>
      <w:r w:rsidR="00E471E2" w:rsidRPr="00E471E2">
        <w:t>to industry</w:t>
      </w:r>
      <w:r>
        <w:t>, 2006</w:t>
      </w:r>
      <w:r>
        <w:noBreakHyphen/>
        <w:t>07 to 2011</w:t>
      </w:r>
      <w:r>
        <w:noBreakHyphen/>
        <w:t>12</w:t>
      </w:r>
    </w:p>
    <w:p w:rsidR="00F90FA9" w:rsidRDefault="00F90FA9" w:rsidP="00F90FA9">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F90FA9" w:rsidRPr="00AF699A" w:rsidTr="001B56F1">
        <w:tc>
          <w:tcPr>
            <w:tcW w:w="1960" w:type="pct"/>
            <w:tcBorders>
              <w:top w:val="single" w:sz="6" w:space="0" w:color="auto"/>
              <w:bottom w:val="single" w:sz="6" w:space="0" w:color="auto"/>
            </w:tcBorders>
          </w:tcPr>
          <w:p w:rsidR="00F90FA9" w:rsidRPr="00AF699A" w:rsidRDefault="00F90FA9"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F90FA9" w:rsidRPr="00AF699A" w:rsidRDefault="00F90FA9"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F90FA9" w:rsidRPr="00AF699A" w:rsidRDefault="00F90FA9"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F90FA9" w:rsidRPr="00AF699A" w:rsidRDefault="00F90FA9"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F90FA9" w:rsidRPr="00AF699A" w:rsidRDefault="00F90FA9"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F90FA9" w:rsidRPr="00AF699A" w:rsidRDefault="00F90FA9"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F90FA9" w:rsidRPr="00AF699A" w:rsidRDefault="00F90FA9" w:rsidP="001B56F1">
            <w:pPr>
              <w:pStyle w:val="TableColumnHeading"/>
              <w:ind w:right="28"/>
              <w:rPr>
                <w:rFonts w:cs="Arial"/>
                <w:sz w:val="18"/>
                <w:szCs w:val="18"/>
              </w:rPr>
            </w:pPr>
            <w:r w:rsidRPr="00AF699A">
              <w:rPr>
                <w:rFonts w:cs="Arial"/>
                <w:sz w:val="18"/>
                <w:szCs w:val="18"/>
              </w:rPr>
              <w:t>2011-12</w:t>
            </w:r>
          </w:p>
        </w:tc>
      </w:tr>
      <w:tr w:rsidR="00F90FA9" w:rsidRPr="006C5A80" w:rsidTr="001B56F1">
        <w:tc>
          <w:tcPr>
            <w:tcW w:w="1960" w:type="pct"/>
            <w:tcBorders>
              <w:top w:val="single" w:sz="6" w:space="0" w:color="auto"/>
            </w:tcBorders>
            <w:vAlign w:val="bottom"/>
          </w:tcPr>
          <w:p w:rsidR="00F90FA9" w:rsidRPr="00682BD4" w:rsidRDefault="00F90FA9" w:rsidP="001B56F1">
            <w:pPr>
              <w:pStyle w:val="TableBodyText"/>
              <w:jc w:val="left"/>
              <w:rPr>
                <w:b/>
                <w:sz w:val="18"/>
                <w:szCs w:val="18"/>
              </w:rPr>
            </w:pPr>
            <w:r w:rsidRPr="00682BD4">
              <w:rPr>
                <w:b/>
                <w:sz w:val="18"/>
                <w:szCs w:val="18"/>
              </w:rPr>
              <w:t>Primary production</w:t>
            </w:r>
          </w:p>
        </w:tc>
        <w:tc>
          <w:tcPr>
            <w:tcW w:w="507" w:type="pct"/>
            <w:tcBorders>
              <w:top w:val="single" w:sz="6" w:space="0" w:color="auto"/>
            </w:tcBorders>
            <w:vAlign w:val="bottom"/>
          </w:tcPr>
          <w:p w:rsidR="00F90FA9" w:rsidRPr="00C607B9" w:rsidRDefault="00F90FA9" w:rsidP="001B56F1">
            <w:pPr>
              <w:pStyle w:val="TableBodyText"/>
              <w:rPr>
                <w:b/>
                <w:sz w:val="18"/>
                <w:szCs w:val="18"/>
              </w:rPr>
            </w:pPr>
            <w:r w:rsidRPr="00C607B9">
              <w:rPr>
                <w:b/>
                <w:sz w:val="18"/>
                <w:szCs w:val="18"/>
              </w:rPr>
              <w:t>0.5</w:t>
            </w:r>
          </w:p>
        </w:tc>
        <w:tc>
          <w:tcPr>
            <w:tcW w:w="507" w:type="pct"/>
            <w:tcBorders>
              <w:top w:val="single" w:sz="6" w:space="0" w:color="auto"/>
            </w:tcBorders>
            <w:vAlign w:val="bottom"/>
          </w:tcPr>
          <w:p w:rsidR="00F90FA9" w:rsidRPr="00C607B9" w:rsidRDefault="00F90FA9" w:rsidP="001B56F1">
            <w:pPr>
              <w:pStyle w:val="TableBodyText"/>
              <w:rPr>
                <w:b/>
                <w:sz w:val="18"/>
                <w:szCs w:val="18"/>
              </w:rPr>
            </w:pPr>
            <w:r w:rsidRPr="00C607B9">
              <w:rPr>
                <w:b/>
                <w:sz w:val="18"/>
                <w:szCs w:val="18"/>
              </w:rPr>
              <w:t>0.3</w:t>
            </w:r>
          </w:p>
        </w:tc>
        <w:tc>
          <w:tcPr>
            <w:tcW w:w="507" w:type="pct"/>
            <w:tcBorders>
              <w:top w:val="single" w:sz="6" w:space="0" w:color="auto"/>
            </w:tcBorders>
            <w:vAlign w:val="bottom"/>
          </w:tcPr>
          <w:p w:rsidR="00F90FA9" w:rsidRPr="00C607B9" w:rsidRDefault="00F90FA9" w:rsidP="001B56F1">
            <w:pPr>
              <w:pStyle w:val="TableBodyText"/>
              <w:rPr>
                <w:b/>
                <w:sz w:val="18"/>
                <w:szCs w:val="18"/>
              </w:rPr>
            </w:pPr>
            <w:r w:rsidRPr="00C607B9">
              <w:rPr>
                <w:b/>
                <w:sz w:val="18"/>
                <w:szCs w:val="18"/>
              </w:rPr>
              <w:t>0.3</w:t>
            </w:r>
          </w:p>
        </w:tc>
        <w:tc>
          <w:tcPr>
            <w:tcW w:w="507" w:type="pct"/>
            <w:tcBorders>
              <w:top w:val="single" w:sz="6" w:space="0" w:color="auto"/>
            </w:tcBorders>
            <w:vAlign w:val="bottom"/>
          </w:tcPr>
          <w:p w:rsidR="00F90FA9" w:rsidRPr="00C607B9" w:rsidRDefault="00F90FA9" w:rsidP="001B56F1">
            <w:pPr>
              <w:pStyle w:val="TableBodyText"/>
              <w:rPr>
                <w:b/>
                <w:sz w:val="18"/>
                <w:szCs w:val="18"/>
              </w:rPr>
            </w:pPr>
            <w:r w:rsidRPr="00C607B9">
              <w:rPr>
                <w:b/>
                <w:sz w:val="18"/>
                <w:szCs w:val="18"/>
              </w:rPr>
              <w:noBreakHyphen/>
            </w:r>
          </w:p>
        </w:tc>
        <w:tc>
          <w:tcPr>
            <w:tcW w:w="507" w:type="pct"/>
            <w:tcBorders>
              <w:top w:val="single" w:sz="6" w:space="0" w:color="auto"/>
            </w:tcBorders>
            <w:vAlign w:val="bottom"/>
          </w:tcPr>
          <w:p w:rsidR="00F90FA9" w:rsidRPr="00C607B9" w:rsidRDefault="00F90FA9" w:rsidP="001B56F1">
            <w:pPr>
              <w:pStyle w:val="TableBodyText"/>
              <w:rPr>
                <w:b/>
                <w:sz w:val="18"/>
                <w:szCs w:val="18"/>
              </w:rPr>
            </w:pPr>
            <w:r>
              <w:rPr>
                <w:b/>
                <w:sz w:val="18"/>
                <w:szCs w:val="18"/>
              </w:rPr>
              <w:t>&lt;</w:t>
            </w:r>
            <w:r w:rsidRPr="00C607B9">
              <w:rPr>
                <w:b/>
                <w:sz w:val="18"/>
                <w:szCs w:val="18"/>
              </w:rPr>
              <w:t>0.1</w:t>
            </w:r>
          </w:p>
        </w:tc>
        <w:tc>
          <w:tcPr>
            <w:tcW w:w="505" w:type="pct"/>
            <w:tcBorders>
              <w:top w:val="single" w:sz="6" w:space="0" w:color="auto"/>
            </w:tcBorders>
            <w:vAlign w:val="bottom"/>
          </w:tcPr>
          <w:p w:rsidR="00F90FA9" w:rsidRPr="00C607B9" w:rsidRDefault="00F90FA9" w:rsidP="001B56F1">
            <w:pPr>
              <w:pStyle w:val="TableBodyText"/>
              <w:rPr>
                <w:b/>
                <w:sz w:val="18"/>
                <w:szCs w:val="18"/>
              </w:rPr>
            </w:pPr>
            <w:r w:rsidRPr="00C607B9">
              <w:rPr>
                <w:b/>
                <w:sz w:val="18"/>
                <w:szCs w:val="18"/>
              </w:rPr>
              <w:noBreakHyphen/>
            </w:r>
          </w:p>
        </w:tc>
      </w:tr>
      <w:tr w:rsidR="00F90FA9" w:rsidRPr="006C5A80" w:rsidTr="001B56F1">
        <w:tc>
          <w:tcPr>
            <w:tcW w:w="1960" w:type="pct"/>
            <w:vAlign w:val="bottom"/>
          </w:tcPr>
          <w:p w:rsidR="00F90FA9" w:rsidRPr="00682BD4" w:rsidRDefault="00F90FA9" w:rsidP="001B56F1">
            <w:pPr>
              <w:pStyle w:val="TableBodyText"/>
              <w:jc w:val="left"/>
              <w:rPr>
                <w:sz w:val="18"/>
                <w:szCs w:val="18"/>
              </w:rPr>
            </w:pPr>
            <w:r w:rsidRPr="00682BD4">
              <w:rPr>
                <w:sz w:val="18"/>
                <w:szCs w:val="18"/>
              </w:rPr>
              <w:t>Aquaculture and fishing</w:t>
            </w:r>
          </w:p>
        </w:tc>
        <w:tc>
          <w:tcPr>
            <w:tcW w:w="507" w:type="pct"/>
            <w:vAlign w:val="bottom"/>
          </w:tcPr>
          <w:p w:rsidR="00F90FA9" w:rsidRPr="004218F5" w:rsidRDefault="00F90FA9" w:rsidP="001B56F1">
            <w:pPr>
              <w:pStyle w:val="TableBodyText"/>
              <w:rPr>
                <w:sz w:val="18"/>
                <w:szCs w:val="18"/>
              </w:rPr>
            </w:pPr>
            <w:r w:rsidRPr="004218F5">
              <w:rPr>
                <w:sz w:val="18"/>
                <w:szCs w:val="18"/>
              </w:rPr>
              <w:t>0.2</w:t>
            </w:r>
          </w:p>
        </w:tc>
        <w:tc>
          <w:tcPr>
            <w:tcW w:w="507" w:type="pct"/>
            <w:vAlign w:val="bottom"/>
          </w:tcPr>
          <w:p w:rsidR="00F90FA9" w:rsidRPr="004218F5" w:rsidRDefault="00F90FA9" w:rsidP="001B56F1">
            <w:pPr>
              <w:pStyle w:val="TableBodyText"/>
              <w:rPr>
                <w:sz w:val="18"/>
                <w:szCs w:val="18"/>
              </w:rPr>
            </w:pPr>
            <w:r w:rsidRPr="004218F5">
              <w:rPr>
                <w:sz w:val="18"/>
                <w:szCs w:val="18"/>
              </w:rPr>
              <w:t>0.2</w:t>
            </w:r>
          </w:p>
        </w:tc>
        <w:tc>
          <w:tcPr>
            <w:tcW w:w="507" w:type="pct"/>
            <w:vAlign w:val="bottom"/>
          </w:tcPr>
          <w:p w:rsidR="00F90FA9" w:rsidRPr="004218F5" w:rsidRDefault="00F90FA9" w:rsidP="001B56F1">
            <w:pPr>
              <w:pStyle w:val="TableBodyText"/>
              <w:rPr>
                <w:sz w:val="18"/>
                <w:szCs w:val="18"/>
              </w:rPr>
            </w:pPr>
            <w:r w:rsidRPr="004218F5">
              <w:rPr>
                <w:sz w:val="18"/>
                <w:szCs w:val="18"/>
              </w:rPr>
              <w:t>0.3</w:t>
            </w:r>
          </w:p>
        </w:tc>
        <w:tc>
          <w:tcPr>
            <w:tcW w:w="507" w:type="pct"/>
            <w:vAlign w:val="bottom"/>
          </w:tcPr>
          <w:p w:rsidR="00F90FA9" w:rsidRPr="004218F5" w:rsidRDefault="00F90FA9" w:rsidP="001B56F1">
            <w:pPr>
              <w:pStyle w:val="TableBodyText"/>
              <w:rPr>
                <w:sz w:val="18"/>
                <w:szCs w:val="18"/>
              </w:rPr>
            </w:pPr>
            <w:r>
              <w:rPr>
                <w:sz w:val="18"/>
                <w:szCs w:val="18"/>
              </w:rPr>
              <w:noBreakHyphen/>
            </w:r>
          </w:p>
        </w:tc>
        <w:tc>
          <w:tcPr>
            <w:tcW w:w="507" w:type="pct"/>
            <w:vAlign w:val="bottom"/>
          </w:tcPr>
          <w:p w:rsidR="00F90FA9" w:rsidRPr="004218F5" w:rsidRDefault="00F90FA9" w:rsidP="001B56F1">
            <w:pPr>
              <w:pStyle w:val="TableBodyText"/>
              <w:rPr>
                <w:sz w:val="18"/>
                <w:szCs w:val="18"/>
              </w:rPr>
            </w:pPr>
            <w:r>
              <w:rPr>
                <w:sz w:val="18"/>
                <w:szCs w:val="18"/>
              </w:rPr>
              <w:t>&lt;</w:t>
            </w:r>
            <w:r w:rsidRPr="004218F5">
              <w:rPr>
                <w:sz w:val="18"/>
                <w:szCs w:val="18"/>
              </w:rPr>
              <w:t>0.1</w:t>
            </w:r>
          </w:p>
        </w:tc>
        <w:tc>
          <w:tcPr>
            <w:tcW w:w="505" w:type="pct"/>
            <w:vAlign w:val="bottom"/>
          </w:tcPr>
          <w:p w:rsidR="00F90FA9" w:rsidRPr="004218F5" w:rsidRDefault="00F90FA9" w:rsidP="001B56F1">
            <w:pPr>
              <w:pStyle w:val="TableBodyText"/>
              <w:rPr>
                <w:sz w:val="18"/>
                <w:szCs w:val="18"/>
              </w:rPr>
            </w:pPr>
            <w:r>
              <w:rPr>
                <w:sz w:val="18"/>
                <w:szCs w:val="18"/>
              </w:rPr>
              <w:noBreakHyphen/>
            </w:r>
          </w:p>
        </w:tc>
      </w:tr>
      <w:tr w:rsidR="00F90FA9" w:rsidRPr="006C5A80" w:rsidTr="001B56F1">
        <w:tc>
          <w:tcPr>
            <w:tcW w:w="1960" w:type="pct"/>
            <w:vAlign w:val="bottom"/>
          </w:tcPr>
          <w:p w:rsidR="00F90FA9" w:rsidRPr="00682BD4" w:rsidRDefault="00F90FA9" w:rsidP="001B56F1">
            <w:pPr>
              <w:pStyle w:val="TableBodyText"/>
              <w:jc w:val="left"/>
              <w:rPr>
                <w:sz w:val="18"/>
                <w:szCs w:val="18"/>
              </w:rPr>
            </w:pPr>
            <w:r>
              <w:rPr>
                <w:sz w:val="18"/>
                <w:szCs w:val="18"/>
              </w:rPr>
              <w:t>Primary production support services</w:t>
            </w:r>
          </w:p>
        </w:tc>
        <w:tc>
          <w:tcPr>
            <w:tcW w:w="507" w:type="pct"/>
            <w:vAlign w:val="bottom"/>
          </w:tcPr>
          <w:p w:rsidR="00F90FA9" w:rsidRPr="004218F5" w:rsidRDefault="00F90FA9" w:rsidP="001B56F1">
            <w:pPr>
              <w:pStyle w:val="TableBodyText"/>
              <w:rPr>
                <w:sz w:val="18"/>
                <w:szCs w:val="18"/>
              </w:rPr>
            </w:pPr>
            <w:r w:rsidRPr="004218F5">
              <w:rPr>
                <w:sz w:val="18"/>
                <w:szCs w:val="18"/>
              </w:rPr>
              <w:t>0.3</w:t>
            </w:r>
          </w:p>
        </w:tc>
        <w:tc>
          <w:tcPr>
            <w:tcW w:w="507" w:type="pct"/>
            <w:vAlign w:val="bottom"/>
          </w:tcPr>
          <w:p w:rsidR="00F90FA9" w:rsidRPr="004218F5" w:rsidRDefault="00F90FA9"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F90FA9" w:rsidRPr="004218F5" w:rsidRDefault="00F90FA9" w:rsidP="001B56F1">
            <w:pPr>
              <w:pStyle w:val="TableBodyText"/>
              <w:rPr>
                <w:sz w:val="18"/>
                <w:szCs w:val="18"/>
              </w:rPr>
            </w:pPr>
            <w:r>
              <w:rPr>
                <w:sz w:val="18"/>
                <w:szCs w:val="18"/>
              </w:rPr>
              <w:noBreakHyphen/>
            </w:r>
          </w:p>
        </w:tc>
        <w:tc>
          <w:tcPr>
            <w:tcW w:w="507" w:type="pct"/>
            <w:vAlign w:val="bottom"/>
          </w:tcPr>
          <w:p w:rsidR="00F90FA9" w:rsidRPr="004218F5" w:rsidRDefault="00F90FA9" w:rsidP="001B56F1">
            <w:pPr>
              <w:pStyle w:val="TableBodyText"/>
              <w:rPr>
                <w:sz w:val="18"/>
                <w:szCs w:val="18"/>
              </w:rPr>
            </w:pPr>
            <w:r>
              <w:rPr>
                <w:sz w:val="18"/>
                <w:szCs w:val="18"/>
              </w:rPr>
              <w:noBreakHyphen/>
            </w:r>
          </w:p>
        </w:tc>
        <w:tc>
          <w:tcPr>
            <w:tcW w:w="507" w:type="pct"/>
            <w:vAlign w:val="bottom"/>
          </w:tcPr>
          <w:p w:rsidR="00F90FA9" w:rsidRPr="004218F5" w:rsidRDefault="00F90FA9" w:rsidP="001B56F1">
            <w:pPr>
              <w:pStyle w:val="TableBodyText"/>
              <w:rPr>
                <w:sz w:val="18"/>
                <w:szCs w:val="18"/>
              </w:rPr>
            </w:pPr>
            <w:r>
              <w:rPr>
                <w:sz w:val="18"/>
                <w:szCs w:val="18"/>
              </w:rPr>
              <w:noBreakHyphen/>
            </w:r>
          </w:p>
        </w:tc>
        <w:tc>
          <w:tcPr>
            <w:tcW w:w="505" w:type="pct"/>
            <w:vAlign w:val="bottom"/>
          </w:tcPr>
          <w:p w:rsidR="00F90FA9" w:rsidRPr="004218F5" w:rsidRDefault="00F90FA9" w:rsidP="001B56F1">
            <w:pPr>
              <w:pStyle w:val="TableBodyText"/>
              <w:rPr>
                <w:sz w:val="18"/>
                <w:szCs w:val="18"/>
              </w:rPr>
            </w:pPr>
            <w:r>
              <w:rPr>
                <w:sz w:val="18"/>
                <w:szCs w:val="18"/>
              </w:rPr>
              <w:noBreakHyphen/>
            </w:r>
          </w:p>
        </w:tc>
      </w:tr>
      <w:tr w:rsidR="00F90FA9" w:rsidRPr="006C5A80" w:rsidTr="001B56F1">
        <w:tc>
          <w:tcPr>
            <w:tcW w:w="1960" w:type="pct"/>
            <w:vAlign w:val="bottom"/>
          </w:tcPr>
          <w:p w:rsidR="00F90FA9" w:rsidRPr="00682BD4" w:rsidRDefault="00F90FA9" w:rsidP="001B56F1">
            <w:pPr>
              <w:pStyle w:val="TableBodyText"/>
              <w:jc w:val="left"/>
              <w:rPr>
                <w:b/>
                <w:sz w:val="18"/>
                <w:szCs w:val="18"/>
              </w:rPr>
            </w:pPr>
            <w:r w:rsidRPr="00682BD4">
              <w:rPr>
                <w:b/>
                <w:sz w:val="18"/>
                <w:szCs w:val="18"/>
              </w:rPr>
              <w:t>Manufacturing</w:t>
            </w:r>
          </w:p>
        </w:tc>
        <w:tc>
          <w:tcPr>
            <w:tcW w:w="507" w:type="pct"/>
            <w:vAlign w:val="bottom"/>
          </w:tcPr>
          <w:p w:rsidR="00F90FA9" w:rsidRPr="00C607B9" w:rsidRDefault="00F90FA9" w:rsidP="001B56F1">
            <w:pPr>
              <w:pStyle w:val="TableBodyText"/>
              <w:rPr>
                <w:b/>
                <w:sz w:val="18"/>
                <w:szCs w:val="18"/>
              </w:rPr>
            </w:pPr>
            <w:r w:rsidRPr="00C607B9">
              <w:rPr>
                <w:b/>
                <w:sz w:val="18"/>
                <w:szCs w:val="18"/>
              </w:rPr>
              <w:t>1.2</w:t>
            </w:r>
          </w:p>
        </w:tc>
        <w:tc>
          <w:tcPr>
            <w:tcW w:w="507" w:type="pct"/>
            <w:vAlign w:val="bottom"/>
          </w:tcPr>
          <w:p w:rsidR="00F90FA9" w:rsidRPr="00C607B9" w:rsidRDefault="00F90FA9" w:rsidP="001B56F1">
            <w:pPr>
              <w:pStyle w:val="TableBodyText"/>
              <w:rPr>
                <w:b/>
                <w:sz w:val="18"/>
                <w:szCs w:val="18"/>
              </w:rPr>
            </w:pPr>
            <w:r w:rsidRPr="00C607B9">
              <w:rPr>
                <w:b/>
                <w:sz w:val="18"/>
                <w:szCs w:val="18"/>
              </w:rPr>
              <w:t>0.3</w:t>
            </w:r>
          </w:p>
        </w:tc>
        <w:tc>
          <w:tcPr>
            <w:tcW w:w="507" w:type="pct"/>
            <w:vAlign w:val="bottom"/>
          </w:tcPr>
          <w:p w:rsidR="00F90FA9" w:rsidRPr="00C607B9" w:rsidRDefault="00F90FA9" w:rsidP="001B56F1">
            <w:pPr>
              <w:pStyle w:val="TableBodyText"/>
              <w:rPr>
                <w:b/>
                <w:sz w:val="18"/>
                <w:szCs w:val="18"/>
              </w:rPr>
            </w:pPr>
            <w:r w:rsidRPr="00C607B9">
              <w:rPr>
                <w:b/>
                <w:sz w:val="18"/>
                <w:szCs w:val="18"/>
              </w:rPr>
              <w:t>0.3</w:t>
            </w:r>
          </w:p>
        </w:tc>
        <w:tc>
          <w:tcPr>
            <w:tcW w:w="507" w:type="pct"/>
            <w:vAlign w:val="bottom"/>
          </w:tcPr>
          <w:p w:rsidR="00F90FA9" w:rsidRPr="00C607B9" w:rsidRDefault="00F90FA9" w:rsidP="001B56F1">
            <w:pPr>
              <w:pStyle w:val="TableBodyText"/>
              <w:rPr>
                <w:b/>
                <w:sz w:val="18"/>
                <w:szCs w:val="18"/>
              </w:rPr>
            </w:pPr>
            <w:r w:rsidRPr="00C607B9">
              <w:rPr>
                <w:b/>
                <w:sz w:val="18"/>
                <w:szCs w:val="18"/>
              </w:rPr>
              <w:t>0.3</w:t>
            </w:r>
          </w:p>
        </w:tc>
        <w:tc>
          <w:tcPr>
            <w:tcW w:w="507" w:type="pct"/>
            <w:shd w:val="clear" w:color="auto" w:fill="auto"/>
            <w:vAlign w:val="bottom"/>
          </w:tcPr>
          <w:p w:rsidR="00F90FA9" w:rsidRPr="00C607B9" w:rsidRDefault="00F90FA9" w:rsidP="001B56F1">
            <w:pPr>
              <w:pStyle w:val="TableBodyText"/>
              <w:rPr>
                <w:b/>
                <w:sz w:val="18"/>
                <w:szCs w:val="18"/>
              </w:rPr>
            </w:pPr>
            <w:r w:rsidRPr="00C607B9">
              <w:rPr>
                <w:b/>
                <w:sz w:val="18"/>
                <w:szCs w:val="18"/>
              </w:rPr>
              <w:t>0.1</w:t>
            </w:r>
          </w:p>
        </w:tc>
        <w:tc>
          <w:tcPr>
            <w:tcW w:w="505" w:type="pct"/>
            <w:shd w:val="clear" w:color="auto" w:fill="auto"/>
            <w:vAlign w:val="bottom"/>
          </w:tcPr>
          <w:p w:rsidR="00F90FA9" w:rsidRPr="00C607B9" w:rsidRDefault="00F90FA9" w:rsidP="001B56F1">
            <w:pPr>
              <w:pStyle w:val="TableBodyText"/>
              <w:rPr>
                <w:b/>
                <w:sz w:val="18"/>
                <w:szCs w:val="18"/>
              </w:rPr>
            </w:pPr>
            <w:r w:rsidRPr="00C607B9">
              <w:rPr>
                <w:b/>
                <w:sz w:val="18"/>
                <w:szCs w:val="18"/>
              </w:rPr>
              <w:noBreakHyphen/>
            </w:r>
          </w:p>
        </w:tc>
      </w:tr>
      <w:tr w:rsidR="00F90FA9" w:rsidRPr="006C5A80" w:rsidTr="001B56F1">
        <w:tc>
          <w:tcPr>
            <w:tcW w:w="1960" w:type="pct"/>
            <w:vAlign w:val="bottom"/>
          </w:tcPr>
          <w:p w:rsidR="00F90FA9" w:rsidRPr="00682BD4" w:rsidRDefault="00F90FA9" w:rsidP="001B56F1">
            <w:pPr>
              <w:pStyle w:val="TableBodyText"/>
              <w:jc w:val="left"/>
              <w:rPr>
                <w:sz w:val="18"/>
                <w:szCs w:val="18"/>
              </w:rPr>
            </w:pPr>
            <w:r w:rsidRPr="00682BD4">
              <w:rPr>
                <w:sz w:val="18"/>
                <w:szCs w:val="18"/>
              </w:rPr>
              <w:t>Petroleum, coal, chemical and rubber products</w:t>
            </w:r>
          </w:p>
        </w:tc>
        <w:tc>
          <w:tcPr>
            <w:tcW w:w="507" w:type="pct"/>
            <w:vAlign w:val="bottom"/>
          </w:tcPr>
          <w:p w:rsidR="00F90FA9" w:rsidRPr="004218F5" w:rsidRDefault="00F90FA9" w:rsidP="001B56F1">
            <w:pPr>
              <w:pStyle w:val="TableBodyText"/>
              <w:rPr>
                <w:sz w:val="18"/>
                <w:szCs w:val="18"/>
              </w:rPr>
            </w:pPr>
            <w:r w:rsidRPr="004218F5">
              <w:rPr>
                <w:sz w:val="18"/>
                <w:szCs w:val="18"/>
              </w:rPr>
              <w:t>0.6</w:t>
            </w:r>
          </w:p>
        </w:tc>
        <w:tc>
          <w:tcPr>
            <w:tcW w:w="507" w:type="pct"/>
            <w:vAlign w:val="bottom"/>
          </w:tcPr>
          <w:p w:rsidR="00F90FA9" w:rsidRPr="004218F5" w:rsidRDefault="00F90FA9" w:rsidP="001B56F1">
            <w:pPr>
              <w:pStyle w:val="TableBodyText"/>
              <w:rPr>
                <w:sz w:val="18"/>
                <w:szCs w:val="18"/>
              </w:rPr>
            </w:pPr>
            <w:r>
              <w:rPr>
                <w:sz w:val="18"/>
                <w:szCs w:val="18"/>
              </w:rPr>
              <w:noBreakHyphen/>
            </w:r>
          </w:p>
        </w:tc>
        <w:tc>
          <w:tcPr>
            <w:tcW w:w="507" w:type="pct"/>
            <w:vAlign w:val="bottom"/>
          </w:tcPr>
          <w:p w:rsidR="00F90FA9" w:rsidRPr="004218F5" w:rsidRDefault="00F90FA9" w:rsidP="001B56F1">
            <w:pPr>
              <w:pStyle w:val="TableBodyText"/>
              <w:rPr>
                <w:sz w:val="18"/>
                <w:szCs w:val="18"/>
              </w:rPr>
            </w:pPr>
            <w:r>
              <w:rPr>
                <w:sz w:val="18"/>
                <w:szCs w:val="18"/>
              </w:rPr>
              <w:noBreakHyphen/>
            </w:r>
          </w:p>
        </w:tc>
        <w:tc>
          <w:tcPr>
            <w:tcW w:w="507" w:type="pct"/>
            <w:vAlign w:val="bottom"/>
          </w:tcPr>
          <w:p w:rsidR="00F90FA9" w:rsidRPr="004218F5" w:rsidRDefault="00F90FA9" w:rsidP="001B56F1">
            <w:pPr>
              <w:pStyle w:val="TableBodyText"/>
              <w:rPr>
                <w:sz w:val="18"/>
                <w:szCs w:val="18"/>
              </w:rPr>
            </w:pPr>
            <w:r>
              <w:rPr>
                <w:sz w:val="18"/>
                <w:szCs w:val="18"/>
              </w:rPr>
              <w:noBreakHyphen/>
            </w:r>
          </w:p>
        </w:tc>
        <w:tc>
          <w:tcPr>
            <w:tcW w:w="507" w:type="pct"/>
            <w:shd w:val="clear" w:color="auto" w:fill="auto"/>
            <w:vAlign w:val="bottom"/>
          </w:tcPr>
          <w:p w:rsidR="00F90FA9" w:rsidRPr="004218F5" w:rsidRDefault="00F90FA9" w:rsidP="001B56F1">
            <w:pPr>
              <w:pStyle w:val="TableBodyText"/>
              <w:rPr>
                <w:sz w:val="18"/>
                <w:szCs w:val="18"/>
              </w:rPr>
            </w:pPr>
            <w:r>
              <w:rPr>
                <w:sz w:val="18"/>
                <w:szCs w:val="18"/>
              </w:rPr>
              <w:noBreakHyphen/>
            </w:r>
          </w:p>
        </w:tc>
        <w:tc>
          <w:tcPr>
            <w:tcW w:w="505" w:type="pct"/>
            <w:shd w:val="clear" w:color="auto" w:fill="auto"/>
            <w:vAlign w:val="bottom"/>
          </w:tcPr>
          <w:p w:rsidR="00F90FA9" w:rsidRPr="004218F5" w:rsidRDefault="00F90FA9" w:rsidP="001B56F1">
            <w:pPr>
              <w:pStyle w:val="TableBodyText"/>
              <w:rPr>
                <w:sz w:val="18"/>
                <w:szCs w:val="18"/>
              </w:rPr>
            </w:pPr>
            <w:r>
              <w:rPr>
                <w:sz w:val="18"/>
                <w:szCs w:val="18"/>
              </w:rPr>
              <w:noBreakHyphen/>
            </w:r>
          </w:p>
        </w:tc>
      </w:tr>
      <w:tr w:rsidR="00F90FA9" w:rsidRPr="006C5A80" w:rsidTr="001B56F1">
        <w:tc>
          <w:tcPr>
            <w:tcW w:w="1960" w:type="pct"/>
            <w:vAlign w:val="bottom"/>
          </w:tcPr>
          <w:p w:rsidR="00F90FA9" w:rsidRPr="00682BD4" w:rsidRDefault="00F90FA9" w:rsidP="001B56F1">
            <w:pPr>
              <w:pStyle w:val="TableBodyText"/>
              <w:jc w:val="left"/>
              <w:rPr>
                <w:sz w:val="18"/>
                <w:szCs w:val="18"/>
              </w:rPr>
            </w:pPr>
            <w:r w:rsidRPr="00682BD4">
              <w:rPr>
                <w:sz w:val="18"/>
                <w:szCs w:val="18"/>
              </w:rPr>
              <w:t>Metal and fabricated metal products</w:t>
            </w:r>
          </w:p>
        </w:tc>
        <w:tc>
          <w:tcPr>
            <w:tcW w:w="507" w:type="pct"/>
            <w:vAlign w:val="bottom"/>
          </w:tcPr>
          <w:p w:rsidR="00F90FA9" w:rsidRPr="004218F5" w:rsidRDefault="00F90FA9"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F90FA9" w:rsidRPr="004218F5" w:rsidRDefault="00F90FA9" w:rsidP="001B56F1">
            <w:pPr>
              <w:pStyle w:val="TableBodyText"/>
              <w:rPr>
                <w:sz w:val="18"/>
                <w:szCs w:val="18"/>
              </w:rPr>
            </w:pPr>
            <w:r>
              <w:rPr>
                <w:sz w:val="18"/>
                <w:szCs w:val="18"/>
              </w:rPr>
              <w:t>&lt;</w:t>
            </w:r>
            <w:r w:rsidRPr="004218F5">
              <w:rPr>
                <w:sz w:val="18"/>
                <w:szCs w:val="18"/>
              </w:rPr>
              <w:t>0.1</w:t>
            </w:r>
          </w:p>
        </w:tc>
        <w:tc>
          <w:tcPr>
            <w:tcW w:w="507" w:type="pct"/>
            <w:vAlign w:val="bottom"/>
          </w:tcPr>
          <w:p w:rsidR="00F90FA9" w:rsidRPr="004218F5" w:rsidRDefault="00F90FA9" w:rsidP="001B56F1">
            <w:pPr>
              <w:pStyle w:val="TableBodyText"/>
              <w:rPr>
                <w:sz w:val="18"/>
                <w:szCs w:val="18"/>
              </w:rPr>
            </w:pPr>
            <w:r>
              <w:rPr>
                <w:sz w:val="18"/>
                <w:szCs w:val="18"/>
              </w:rPr>
              <w:noBreakHyphen/>
            </w:r>
          </w:p>
        </w:tc>
        <w:tc>
          <w:tcPr>
            <w:tcW w:w="507" w:type="pct"/>
            <w:vAlign w:val="bottom"/>
          </w:tcPr>
          <w:p w:rsidR="00F90FA9" w:rsidRPr="004218F5" w:rsidRDefault="00F90FA9" w:rsidP="001B56F1">
            <w:pPr>
              <w:pStyle w:val="TableBodyText"/>
              <w:rPr>
                <w:sz w:val="18"/>
                <w:szCs w:val="18"/>
              </w:rPr>
            </w:pPr>
            <w:r>
              <w:rPr>
                <w:sz w:val="18"/>
                <w:szCs w:val="18"/>
              </w:rPr>
              <w:noBreakHyphen/>
            </w:r>
          </w:p>
        </w:tc>
        <w:tc>
          <w:tcPr>
            <w:tcW w:w="507" w:type="pct"/>
            <w:shd w:val="clear" w:color="auto" w:fill="auto"/>
            <w:vAlign w:val="bottom"/>
          </w:tcPr>
          <w:p w:rsidR="00F90FA9" w:rsidRPr="004218F5" w:rsidRDefault="00F90FA9" w:rsidP="001B56F1">
            <w:pPr>
              <w:pStyle w:val="TableBodyText"/>
              <w:rPr>
                <w:sz w:val="18"/>
                <w:szCs w:val="18"/>
              </w:rPr>
            </w:pPr>
            <w:r>
              <w:rPr>
                <w:sz w:val="18"/>
                <w:szCs w:val="18"/>
              </w:rPr>
              <w:noBreakHyphen/>
            </w:r>
          </w:p>
        </w:tc>
        <w:tc>
          <w:tcPr>
            <w:tcW w:w="505" w:type="pct"/>
            <w:shd w:val="clear" w:color="auto" w:fill="auto"/>
            <w:vAlign w:val="bottom"/>
          </w:tcPr>
          <w:p w:rsidR="00F90FA9" w:rsidRPr="004218F5" w:rsidRDefault="00F90FA9" w:rsidP="001B56F1">
            <w:pPr>
              <w:pStyle w:val="TableBodyText"/>
              <w:rPr>
                <w:sz w:val="18"/>
                <w:szCs w:val="18"/>
              </w:rPr>
            </w:pPr>
            <w:r>
              <w:rPr>
                <w:sz w:val="18"/>
                <w:szCs w:val="18"/>
              </w:rPr>
              <w:noBreakHyphen/>
            </w:r>
          </w:p>
        </w:tc>
      </w:tr>
      <w:tr w:rsidR="00F90FA9" w:rsidRPr="006C5A80" w:rsidTr="001B56F1">
        <w:tc>
          <w:tcPr>
            <w:tcW w:w="1960" w:type="pct"/>
            <w:vAlign w:val="bottom"/>
          </w:tcPr>
          <w:p w:rsidR="00F90FA9" w:rsidRPr="00682BD4" w:rsidRDefault="00F90FA9" w:rsidP="001B56F1">
            <w:pPr>
              <w:pStyle w:val="TableBodyText"/>
              <w:jc w:val="left"/>
              <w:rPr>
                <w:sz w:val="18"/>
                <w:szCs w:val="18"/>
              </w:rPr>
            </w:pPr>
            <w:r w:rsidRPr="00682BD4">
              <w:rPr>
                <w:sz w:val="18"/>
                <w:szCs w:val="18"/>
              </w:rPr>
              <w:t>Motor vehicle and parts</w:t>
            </w:r>
          </w:p>
        </w:tc>
        <w:tc>
          <w:tcPr>
            <w:tcW w:w="507" w:type="pct"/>
            <w:vAlign w:val="bottom"/>
          </w:tcPr>
          <w:p w:rsidR="00F90FA9" w:rsidRPr="004218F5" w:rsidRDefault="00F90FA9" w:rsidP="001B56F1">
            <w:pPr>
              <w:pStyle w:val="TableBodyText"/>
              <w:rPr>
                <w:sz w:val="18"/>
                <w:szCs w:val="18"/>
              </w:rPr>
            </w:pPr>
            <w:r>
              <w:rPr>
                <w:sz w:val="18"/>
                <w:szCs w:val="18"/>
              </w:rPr>
              <w:t>&lt;</w:t>
            </w:r>
            <w:r w:rsidRPr="004218F5">
              <w:rPr>
                <w:sz w:val="18"/>
                <w:szCs w:val="18"/>
              </w:rPr>
              <w:t>0.1</w:t>
            </w:r>
          </w:p>
        </w:tc>
        <w:tc>
          <w:tcPr>
            <w:tcW w:w="507" w:type="pct"/>
            <w:vAlign w:val="bottom"/>
          </w:tcPr>
          <w:p w:rsidR="00F90FA9" w:rsidRPr="004218F5" w:rsidRDefault="00F90FA9"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F90FA9" w:rsidRPr="004218F5" w:rsidRDefault="00F90FA9" w:rsidP="001B56F1">
            <w:pPr>
              <w:pStyle w:val="TableBodyText"/>
              <w:rPr>
                <w:sz w:val="18"/>
                <w:szCs w:val="18"/>
              </w:rPr>
            </w:pPr>
            <w:r>
              <w:rPr>
                <w:sz w:val="18"/>
                <w:szCs w:val="18"/>
              </w:rPr>
              <w:noBreakHyphen/>
            </w:r>
          </w:p>
        </w:tc>
        <w:tc>
          <w:tcPr>
            <w:tcW w:w="507" w:type="pct"/>
            <w:vAlign w:val="bottom"/>
          </w:tcPr>
          <w:p w:rsidR="00F90FA9" w:rsidRPr="004218F5" w:rsidRDefault="00F90FA9" w:rsidP="001B56F1">
            <w:pPr>
              <w:pStyle w:val="TableBodyText"/>
              <w:rPr>
                <w:sz w:val="18"/>
                <w:szCs w:val="18"/>
              </w:rPr>
            </w:pPr>
            <w:r>
              <w:rPr>
                <w:sz w:val="18"/>
                <w:szCs w:val="18"/>
              </w:rPr>
              <w:noBreakHyphen/>
            </w:r>
          </w:p>
        </w:tc>
        <w:tc>
          <w:tcPr>
            <w:tcW w:w="507" w:type="pct"/>
            <w:shd w:val="clear" w:color="auto" w:fill="auto"/>
            <w:vAlign w:val="bottom"/>
          </w:tcPr>
          <w:p w:rsidR="00F90FA9" w:rsidRPr="004218F5" w:rsidRDefault="00F90FA9" w:rsidP="001B56F1">
            <w:pPr>
              <w:pStyle w:val="TableBodyText"/>
              <w:rPr>
                <w:sz w:val="18"/>
                <w:szCs w:val="18"/>
              </w:rPr>
            </w:pPr>
            <w:r>
              <w:rPr>
                <w:sz w:val="18"/>
                <w:szCs w:val="18"/>
              </w:rPr>
              <w:noBreakHyphen/>
            </w:r>
          </w:p>
        </w:tc>
        <w:tc>
          <w:tcPr>
            <w:tcW w:w="505" w:type="pct"/>
            <w:shd w:val="clear" w:color="auto" w:fill="auto"/>
            <w:vAlign w:val="bottom"/>
          </w:tcPr>
          <w:p w:rsidR="00F90FA9" w:rsidRPr="004218F5" w:rsidRDefault="00F90FA9" w:rsidP="001B56F1">
            <w:pPr>
              <w:pStyle w:val="TableBodyText"/>
              <w:rPr>
                <w:sz w:val="18"/>
                <w:szCs w:val="18"/>
              </w:rPr>
            </w:pPr>
            <w:r>
              <w:rPr>
                <w:sz w:val="18"/>
                <w:szCs w:val="18"/>
              </w:rPr>
              <w:noBreakHyphen/>
            </w:r>
          </w:p>
        </w:tc>
      </w:tr>
      <w:tr w:rsidR="00F90FA9" w:rsidRPr="006C5A80" w:rsidTr="001B56F1">
        <w:tc>
          <w:tcPr>
            <w:tcW w:w="1960" w:type="pct"/>
            <w:vAlign w:val="bottom"/>
          </w:tcPr>
          <w:p w:rsidR="00F90FA9" w:rsidRPr="00682BD4" w:rsidRDefault="00F90FA9" w:rsidP="001B56F1">
            <w:pPr>
              <w:pStyle w:val="TableBodyText"/>
              <w:jc w:val="left"/>
              <w:rPr>
                <w:sz w:val="18"/>
                <w:szCs w:val="18"/>
              </w:rPr>
            </w:pPr>
            <w:r w:rsidRPr="00682BD4">
              <w:rPr>
                <w:sz w:val="18"/>
                <w:szCs w:val="18"/>
              </w:rPr>
              <w:t>Other transport equipment</w:t>
            </w:r>
          </w:p>
        </w:tc>
        <w:tc>
          <w:tcPr>
            <w:tcW w:w="507" w:type="pct"/>
            <w:vAlign w:val="bottom"/>
          </w:tcPr>
          <w:p w:rsidR="00F90FA9" w:rsidRPr="004218F5" w:rsidRDefault="00F90FA9" w:rsidP="001B56F1">
            <w:pPr>
              <w:pStyle w:val="TableBodyText"/>
              <w:rPr>
                <w:sz w:val="18"/>
                <w:szCs w:val="18"/>
              </w:rPr>
            </w:pPr>
            <w:r>
              <w:rPr>
                <w:sz w:val="18"/>
                <w:szCs w:val="18"/>
              </w:rPr>
              <w:noBreakHyphen/>
            </w:r>
          </w:p>
        </w:tc>
        <w:tc>
          <w:tcPr>
            <w:tcW w:w="507" w:type="pct"/>
            <w:vAlign w:val="bottom"/>
          </w:tcPr>
          <w:p w:rsidR="00F90FA9" w:rsidRPr="004218F5" w:rsidRDefault="00F90FA9" w:rsidP="001B56F1">
            <w:pPr>
              <w:pStyle w:val="TableBodyText"/>
              <w:rPr>
                <w:sz w:val="18"/>
                <w:szCs w:val="18"/>
              </w:rPr>
            </w:pPr>
            <w:r>
              <w:rPr>
                <w:sz w:val="18"/>
                <w:szCs w:val="18"/>
              </w:rPr>
              <w:noBreakHyphen/>
            </w:r>
          </w:p>
        </w:tc>
        <w:tc>
          <w:tcPr>
            <w:tcW w:w="507" w:type="pct"/>
            <w:vAlign w:val="bottom"/>
          </w:tcPr>
          <w:p w:rsidR="00F90FA9" w:rsidRPr="004218F5" w:rsidRDefault="00F90FA9" w:rsidP="001B56F1">
            <w:pPr>
              <w:pStyle w:val="TableBodyText"/>
              <w:rPr>
                <w:sz w:val="18"/>
                <w:szCs w:val="18"/>
              </w:rPr>
            </w:pPr>
            <w:r w:rsidRPr="004218F5">
              <w:rPr>
                <w:sz w:val="18"/>
                <w:szCs w:val="18"/>
              </w:rPr>
              <w:t>0.3</w:t>
            </w:r>
          </w:p>
        </w:tc>
        <w:tc>
          <w:tcPr>
            <w:tcW w:w="507" w:type="pct"/>
            <w:vAlign w:val="bottom"/>
          </w:tcPr>
          <w:p w:rsidR="00F90FA9" w:rsidRPr="004218F5" w:rsidRDefault="00F90FA9" w:rsidP="001B56F1">
            <w:pPr>
              <w:pStyle w:val="TableBodyText"/>
              <w:rPr>
                <w:sz w:val="18"/>
                <w:szCs w:val="18"/>
              </w:rPr>
            </w:pPr>
            <w:r w:rsidRPr="004218F5">
              <w:rPr>
                <w:sz w:val="18"/>
                <w:szCs w:val="18"/>
              </w:rPr>
              <w:t>0.3</w:t>
            </w:r>
          </w:p>
        </w:tc>
        <w:tc>
          <w:tcPr>
            <w:tcW w:w="507" w:type="pct"/>
            <w:shd w:val="clear" w:color="auto" w:fill="auto"/>
            <w:vAlign w:val="bottom"/>
          </w:tcPr>
          <w:p w:rsidR="00F90FA9" w:rsidRPr="004218F5" w:rsidRDefault="00F90FA9" w:rsidP="001B56F1">
            <w:pPr>
              <w:pStyle w:val="TableBodyText"/>
              <w:rPr>
                <w:sz w:val="18"/>
                <w:szCs w:val="18"/>
              </w:rPr>
            </w:pPr>
            <w:r w:rsidRPr="004218F5">
              <w:rPr>
                <w:sz w:val="18"/>
                <w:szCs w:val="18"/>
              </w:rPr>
              <w:t>0.1</w:t>
            </w:r>
          </w:p>
        </w:tc>
        <w:tc>
          <w:tcPr>
            <w:tcW w:w="505" w:type="pct"/>
            <w:shd w:val="clear" w:color="auto" w:fill="auto"/>
            <w:vAlign w:val="bottom"/>
          </w:tcPr>
          <w:p w:rsidR="00F90FA9" w:rsidRPr="004218F5" w:rsidRDefault="00F90FA9" w:rsidP="001B56F1">
            <w:pPr>
              <w:pStyle w:val="TableBodyText"/>
              <w:rPr>
                <w:sz w:val="18"/>
                <w:szCs w:val="18"/>
              </w:rPr>
            </w:pPr>
            <w:r>
              <w:rPr>
                <w:sz w:val="18"/>
                <w:szCs w:val="18"/>
              </w:rPr>
              <w:noBreakHyphen/>
            </w:r>
          </w:p>
        </w:tc>
      </w:tr>
      <w:tr w:rsidR="00F90FA9" w:rsidRPr="006C5A80" w:rsidTr="001B56F1">
        <w:tc>
          <w:tcPr>
            <w:tcW w:w="1960" w:type="pct"/>
            <w:vAlign w:val="bottom"/>
          </w:tcPr>
          <w:p w:rsidR="00F90FA9" w:rsidRPr="00682BD4" w:rsidRDefault="00F90FA9" w:rsidP="001B56F1">
            <w:pPr>
              <w:pStyle w:val="TableBodyText"/>
              <w:jc w:val="left"/>
              <w:rPr>
                <w:sz w:val="18"/>
                <w:szCs w:val="18"/>
              </w:rPr>
            </w:pPr>
            <w:r w:rsidRPr="00682BD4">
              <w:rPr>
                <w:sz w:val="18"/>
                <w:szCs w:val="18"/>
              </w:rPr>
              <w:t>Machinery and equipment manufacturing</w:t>
            </w:r>
          </w:p>
        </w:tc>
        <w:tc>
          <w:tcPr>
            <w:tcW w:w="507" w:type="pct"/>
            <w:vAlign w:val="bottom"/>
          </w:tcPr>
          <w:p w:rsidR="00F90FA9" w:rsidRPr="004218F5" w:rsidRDefault="00F90FA9" w:rsidP="001B56F1">
            <w:pPr>
              <w:pStyle w:val="TableBodyText"/>
              <w:rPr>
                <w:sz w:val="18"/>
                <w:szCs w:val="18"/>
              </w:rPr>
            </w:pPr>
            <w:r w:rsidRPr="004218F5">
              <w:rPr>
                <w:sz w:val="18"/>
                <w:szCs w:val="18"/>
              </w:rPr>
              <w:t>0.3</w:t>
            </w:r>
          </w:p>
        </w:tc>
        <w:tc>
          <w:tcPr>
            <w:tcW w:w="507" w:type="pct"/>
            <w:vAlign w:val="bottom"/>
          </w:tcPr>
          <w:p w:rsidR="00F90FA9" w:rsidRPr="004218F5" w:rsidRDefault="00F90FA9"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F90FA9" w:rsidRPr="004218F5" w:rsidRDefault="00F90FA9" w:rsidP="001B56F1">
            <w:pPr>
              <w:pStyle w:val="TableBodyText"/>
              <w:rPr>
                <w:sz w:val="18"/>
                <w:szCs w:val="18"/>
              </w:rPr>
            </w:pPr>
            <w:r>
              <w:rPr>
                <w:sz w:val="18"/>
                <w:szCs w:val="18"/>
              </w:rPr>
              <w:noBreakHyphen/>
            </w:r>
          </w:p>
        </w:tc>
        <w:tc>
          <w:tcPr>
            <w:tcW w:w="507" w:type="pct"/>
            <w:vAlign w:val="bottom"/>
          </w:tcPr>
          <w:p w:rsidR="00F90FA9" w:rsidRPr="004218F5" w:rsidRDefault="00F90FA9" w:rsidP="001B56F1">
            <w:pPr>
              <w:pStyle w:val="TableBodyText"/>
              <w:rPr>
                <w:sz w:val="18"/>
                <w:szCs w:val="18"/>
              </w:rPr>
            </w:pPr>
            <w:r>
              <w:rPr>
                <w:sz w:val="18"/>
                <w:szCs w:val="18"/>
              </w:rPr>
              <w:noBreakHyphen/>
            </w:r>
          </w:p>
        </w:tc>
        <w:tc>
          <w:tcPr>
            <w:tcW w:w="507" w:type="pct"/>
            <w:shd w:val="clear" w:color="auto" w:fill="auto"/>
            <w:vAlign w:val="bottom"/>
          </w:tcPr>
          <w:p w:rsidR="00F90FA9" w:rsidRPr="004218F5" w:rsidRDefault="00F90FA9" w:rsidP="001B56F1">
            <w:pPr>
              <w:pStyle w:val="TableBodyText"/>
              <w:rPr>
                <w:sz w:val="18"/>
                <w:szCs w:val="18"/>
              </w:rPr>
            </w:pPr>
            <w:r>
              <w:rPr>
                <w:sz w:val="18"/>
                <w:szCs w:val="18"/>
              </w:rPr>
              <w:noBreakHyphen/>
            </w:r>
          </w:p>
        </w:tc>
        <w:tc>
          <w:tcPr>
            <w:tcW w:w="505" w:type="pct"/>
            <w:shd w:val="clear" w:color="auto" w:fill="auto"/>
            <w:vAlign w:val="bottom"/>
          </w:tcPr>
          <w:p w:rsidR="00F90FA9" w:rsidRPr="004218F5" w:rsidRDefault="00F90FA9" w:rsidP="001B56F1">
            <w:pPr>
              <w:pStyle w:val="TableBodyText"/>
              <w:rPr>
                <w:sz w:val="18"/>
                <w:szCs w:val="18"/>
              </w:rPr>
            </w:pPr>
            <w:r>
              <w:rPr>
                <w:sz w:val="18"/>
                <w:szCs w:val="18"/>
              </w:rPr>
              <w:noBreakHyphen/>
            </w:r>
          </w:p>
        </w:tc>
      </w:tr>
      <w:tr w:rsidR="00F90FA9" w:rsidRPr="006C5A80" w:rsidTr="001B56F1">
        <w:tc>
          <w:tcPr>
            <w:tcW w:w="1960" w:type="pct"/>
            <w:vAlign w:val="bottom"/>
          </w:tcPr>
          <w:p w:rsidR="00F90FA9" w:rsidRPr="00682BD4" w:rsidRDefault="00F90FA9" w:rsidP="001B56F1">
            <w:pPr>
              <w:pStyle w:val="TableBodyText"/>
              <w:jc w:val="left"/>
              <w:rPr>
                <w:sz w:val="18"/>
                <w:szCs w:val="18"/>
              </w:rPr>
            </w:pPr>
            <w:r w:rsidRPr="00682BD4">
              <w:rPr>
                <w:sz w:val="18"/>
                <w:szCs w:val="18"/>
              </w:rPr>
              <w:t>Furniture and other manufacturing</w:t>
            </w:r>
          </w:p>
        </w:tc>
        <w:tc>
          <w:tcPr>
            <w:tcW w:w="507" w:type="pct"/>
            <w:vAlign w:val="bottom"/>
          </w:tcPr>
          <w:p w:rsidR="00F90FA9" w:rsidRPr="004218F5" w:rsidRDefault="00F90FA9" w:rsidP="001B56F1">
            <w:pPr>
              <w:pStyle w:val="TableBodyText"/>
              <w:rPr>
                <w:sz w:val="18"/>
                <w:szCs w:val="18"/>
              </w:rPr>
            </w:pPr>
            <w:r w:rsidRPr="004218F5">
              <w:rPr>
                <w:sz w:val="18"/>
                <w:szCs w:val="18"/>
              </w:rPr>
              <w:t>0.2</w:t>
            </w:r>
          </w:p>
        </w:tc>
        <w:tc>
          <w:tcPr>
            <w:tcW w:w="507" w:type="pct"/>
            <w:vAlign w:val="bottom"/>
          </w:tcPr>
          <w:p w:rsidR="00F90FA9" w:rsidRPr="004218F5" w:rsidRDefault="00F90FA9" w:rsidP="001B56F1">
            <w:pPr>
              <w:pStyle w:val="TableBodyText"/>
              <w:rPr>
                <w:sz w:val="18"/>
                <w:szCs w:val="18"/>
              </w:rPr>
            </w:pPr>
            <w:r w:rsidRPr="004218F5">
              <w:rPr>
                <w:sz w:val="18"/>
                <w:szCs w:val="18"/>
              </w:rPr>
              <w:t>0.2</w:t>
            </w:r>
          </w:p>
        </w:tc>
        <w:tc>
          <w:tcPr>
            <w:tcW w:w="507" w:type="pct"/>
            <w:vAlign w:val="bottom"/>
          </w:tcPr>
          <w:p w:rsidR="00F90FA9" w:rsidRPr="004218F5" w:rsidRDefault="00F90FA9" w:rsidP="001B56F1">
            <w:pPr>
              <w:pStyle w:val="TableBodyText"/>
              <w:rPr>
                <w:sz w:val="18"/>
                <w:szCs w:val="18"/>
              </w:rPr>
            </w:pPr>
            <w:r>
              <w:rPr>
                <w:sz w:val="18"/>
                <w:szCs w:val="18"/>
              </w:rPr>
              <w:noBreakHyphen/>
            </w:r>
          </w:p>
        </w:tc>
        <w:tc>
          <w:tcPr>
            <w:tcW w:w="507" w:type="pct"/>
            <w:vAlign w:val="bottom"/>
          </w:tcPr>
          <w:p w:rsidR="00F90FA9" w:rsidRPr="004218F5" w:rsidRDefault="00F90FA9" w:rsidP="001B56F1">
            <w:pPr>
              <w:pStyle w:val="TableBodyText"/>
              <w:rPr>
                <w:sz w:val="18"/>
                <w:szCs w:val="18"/>
              </w:rPr>
            </w:pPr>
            <w:r>
              <w:rPr>
                <w:sz w:val="18"/>
                <w:szCs w:val="18"/>
              </w:rPr>
              <w:noBreakHyphen/>
            </w:r>
          </w:p>
        </w:tc>
        <w:tc>
          <w:tcPr>
            <w:tcW w:w="507" w:type="pct"/>
            <w:shd w:val="clear" w:color="auto" w:fill="auto"/>
            <w:vAlign w:val="bottom"/>
          </w:tcPr>
          <w:p w:rsidR="00F90FA9" w:rsidRPr="004218F5" w:rsidRDefault="00F90FA9" w:rsidP="001B56F1">
            <w:pPr>
              <w:pStyle w:val="TableBodyText"/>
              <w:rPr>
                <w:sz w:val="18"/>
                <w:szCs w:val="18"/>
              </w:rPr>
            </w:pPr>
            <w:r>
              <w:rPr>
                <w:sz w:val="18"/>
                <w:szCs w:val="18"/>
              </w:rPr>
              <w:noBreakHyphen/>
            </w:r>
          </w:p>
        </w:tc>
        <w:tc>
          <w:tcPr>
            <w:tcW w:w="505" w:type="pct"/>
            <w:shd w:val="clear" w:color="auto" w:fill="auto"/>
            <w:vAlign w:val="bottom"/>
          </w:tcPr>
          <w:p w:rsidR="00F90FA9" w:rsidRPr="004218F5" w:rsidRDefault="00F90FA9" w:rsidP="001B56F1">
            <w:pPr>
              <w:pStyle w:val="TableBodyText"/>
              <w:rPr>
                <w:sz w:val="18"/>
                <w:szCs w:val="18"/>
              </w:rPr>
            </w:pPr>
            <w:r>
              <w:rPr>
                <w:sz w:val="18"/>
                <w:szCs w:val="18"/>
              </w:rPr>
              <w:noBreakHyphen/>
            </w:r>
          </w:p>
        </w:tc>
      </w:tr>
      <w:tr w:rsidR="00F90FA9" w:rsidRPr="006C5A80" w:rsidTr="001B56F1">
        <w:tc>
          <w:tcPr>
            <w:tcW w:w="1960" w:type="pct"/>
            <w:vAlign w:val="bottom"/>
          </w:tcPr>
          <w:p w:rsidR="00F90FA9" w:rsidRPr="00682BD4" w:rsidRDefault="00F90FA9" w:rsidP="001B56F1">
            <w:pPr>
              <w:pStyle w:val="TableBodyText"/>
              <w:jc w:val="left"/>
              <w:rPr>
                <w:b/>
                <w:sz w:val="18"/>
                <w:szCs w:val="18"/>
              </w:rPr>
            </w:pPr>
            <w:r w:rsidRPr="00682BD4">
              <w:rPr>
                <w:b/>
                <w:sz w:val="18"/>
                <w:szCs w:val="18"/>
              </w:rPr>
              <w:t>Services</w:t>
            </w:r>
          </w:p>
        </w:tc>
        <w:tc>
          <w:tcPr>
            <w:tcW w:w="507" w:type="pct"/>
            <w:vAlign w:val="bottom"/>
          </w:tcPr>
          <w:p w:rsidR="00F90FA9" w:rsidRPr="00C607B9" w:rsidRDefault="00F90FA9" w:rsidP="001B56F1">
            <w:pPr>
              <w:pStyle w:val="TableBodyText"/>
              <w:rPr>
                <w:b/>
                <w:sz w:val="18"/>
                <w:szCs w:val="18"/>
              </w:rPr>
            </w:pPr>
            <w:r w:rsidRPr="00C607B9">
              <w:rPr>
                <w:b/>
                <w:sz w:val="18"/>
                <w:szCs w:val="18"/>
              </w:rPr>
              <w:t>2.1</w:t>
            </w:r>
          </w:p>
        </w:tc>
        <w:tc>
          <w:tcPr>
            <w:tcW w:w="507" w:type="pct"/>
            <w:vAlign w:val="bottom"/>
          </w:tcPr>
          <w:p w:rsidR="00F90FA9" w:rsidRPr="00C607B9" w:rsidRDefault="00F90FA9" w:rsidP="001B56F1">
            <w:pPr>
              <w:pStyle w:val="TableBodyText"/>
              <w:rPr>
                <w:b/>
                <w:sz w:val="18"/>
                <w:szCs w:val="18"/>
              </w:rPr>
            </w:pPr>
            <w:r w:rsidRPr="00C607B9">
              <w:rPr>
                <w:b/>
                <w:sz w:val="18"/>
                <w:szCs w:val="18"/>
              </w:rPr>
              <w:t>1.2</w:t>
            </w:r>
          </w:p>
        </w:tc>
        <w:tc>
          <w:tcPr>
            <w:tcW w:w="507" w:type="pct"/>
            <w:vAlign w:val="bottom"/>
          </w:tcPr>
          <w:p w:rsidR="00F90FA9" w:rsidRPr="00C607B9" w:rsidRDefault="00F90FA9" w:rsidP="001B56F1">
            <w:pPr>
              <w:pStyle w:val="TableBodyText"/>
              <w:rPr>
                <w:b/>
                <w:sz w:val="18"/>
                <w:szCs w:val="18"/>
              </w:rPr>
            </w:pPr>
            <w:r w:rsidRPr="00C607B9">
              <w:rPr>
                <w:b/>
                <w:sz w:val="18"/>
                <w:szCs w:val="18"/>
              </w:rPr>
              <w:t>4.3</w:t>
            </w:r>
          </w:p>
        </w:tc>
        <w:tc>
          <w:tcPr>
            <w:tcW w:w="507" w:type="pct"/>
            <w:vAlign w:val="bottom"/>
          </w:tcPr>
          <w:p w:rsidR="00F90FA9" w:rsidRPr="00C607B9" w:rsidRDefault="00F90FA9" w:rsidP="001B56F1">
            <w:pPr>
              <w:pStyle w:val="TableBodyText"/>
              <w:rPr>
                <w:b/>
                <w:sz w:val="18"/>
                <w:szCs w:val="18"/>
              </w:rPr>
            </w:pPr>
            <w:r w:rsidRPr="00C607B9">
              <w:rPr>
                <w:b/>
                <w:sz w:val="18"/>
                <w:szCs w:val="18"/>
              </w:rPr>
              <w:t>3.5</w:t>
            </w:r>
          </w:p>
        </w:tc>
        <w:tc>
          <w:tcPr>
            <w:tcW w:w="507" w:type="pct"/>
            <w:shd w:val="clear" w:color="auto" w:fill="auto"/>
            <w:vAlign w:val="bottom"/>
          </w:tcPr>
          <w:p w:rsidR="00F90FA9" w:rsidRPr="00C607B9" w:rsidRDefault="00F90FA9" w:rsidP="001B56F1">
            <w:pPr>
              <w:pStyle w:val="TableBodyText"/>
              <w:rPr>
                <w:b/>
                <w:sz w:val="18"/>
                <w:szCs w:val="18"/>
              </w:rPr>
            </w:pPr>
            <w:r w:rsidRPr="00C607B9">
              <w:rPr>
                <w:b/>
                <w:sz w:val="18"/>
                <w:szCs w:val="18"/>
              </w:rPr>
              <w:t>1.2</w:t>
            </w:r>
          </w:p>
        </w:tc>
        <w:tc>
          <w:tcPr>
            <w:tcW w:w="505" w:type="pct"/>
            <w:shd w:val="clear" w:color="auto" w:fill="auto"/>
            <w:vAlign w:val="bottom"/>
          </w:tcPr>
          <w:p w:rsidR="00F90FA9" w:rsidRPr="00C607B9" w:rsidRDefault="00F90FA9" w:rsidP="001B56F1">
            <w:pPr>
              <w:pStyle w:val="TableBodyText"/>
              <w:rPr>
                <w:b/>
                <w:sz w:val="18"/>
                <w:szCs w:val="18"/>
              </w:rPr>
            </w:pPr>
            <w:r w:rsidRPr="00C607B9">
              <w:rPr>
                <w:b/>
                <w:sz w:val="18"/>
                <w:szCs w:val="18"/>
              </w:rPr>
              <w:noBreakHyphen/>
            </w:r>
          </w:p>
        </w:tc>
      </w:tr>
      <w:tr w:rsidR="00F90FA9" w:rsidRPr="006C5A80" w:rsidTr="001B56F1">
        <w:tc>
          <w:tcPr>
            <w:tcW w:w="1960" w:type="pct"/>
            <w:vAlign w:val="bottom"/>
          </w:tcPr>
          <w:p w:rsidR="00F90FA9" w:rsidRPr="00682BD4" w:rsidRDefault="00F90FA9" w:rsidP="001B56F1">
            <w:pPr>
              <w:pStyle w:val="TableBodyText"/>
              <w:jc w:val="left"/>
              <w:rPr>
                <w:sz w:val="18"/>
                <w:szCs w:val="18"/>
              </w:rPr>
            </w:pPr>
            <w:r w:rsidRPr="00682BD4">
              <w:rPr>
                <w:sz w:val="18"/>
                <w:szCs w:val="18"/>
              </w:rPr>
              <w:t>Electricity, gas, water and waste services</w:t>
            </w:r>
          </w:p>
        </w:tc>
        <w:tc>
          <w:tcPr>
            <w:tcW w:w="507" w:type="pct"/>
            <w:vAlign w:val="bottom"/>
          </w:tcPr>
          <w:p w:rsidR="00F90FA9" w:rsidRPr="004218F5" w:rsidRDefault="00F90FA9" w:rsidP="001B56F1">
            <w:pPr>
              <w:pStyle w:val="TableBodyText"/>
              <w:rPr>
                <w:sz w:val="18"/>
                <w:szCs w:val="18"/>
              </w:rPr>
            </w:pPr>
            <w:r w:rsidRPr="004218F5">
              <w:rPr>
                <w:sz w:val="18"/>
                <w:szCs w:val="18"/>
              </w:rPr>
              <w:t>0.1</w:t>
            </w:r>
          </w:p>
        </w:tc>
        <w:tc>
          <w:tcPr>
            <w:tcW w:w="507" w:type="pct"/>
            <w:vAlign w:val="bottom"/>
          </w:tcPr>
          <w:p w:rsidR="00F90FA9" w:rsidRPr="004218F5" w:rsidRDefault="00F90FA9"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F90FA9" w:rsidRPr="004218F5" w:rsidRDefault="00F90FA9" w:rsidP="001B56F1">
            <w:pPr>
              <w:pStyle w:val="TableBodyText"/>
              <w:rPr>
                <w:sz w:val="18"/>
                <w:szCs w:val="18"/>
              </w:rPr>
            </w:pPr>
            <w:r w:rsidRPr="004218F5">
              <w:rPr>
                <w:sz w:val="18"/>
                <w:szCs w:val="18"/>
              </w:rPr>
              <w:t>0.1</w:t>
            </w:r>
          </w:p>
        </w:tc>
        <w:tc>
          <w:tcPr>
            <w:tcW w:w="507" w:type="pct"/>
            <w:vAlign w:val="bottom"/>
          </w:tcPr>
          <w:p w:rsidR="00F90FA9" w:rsidRPr="004218F5" w:rsidRDefault="00F90FA9"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shd w:val="clear" w:color="auto" w:fill="auto"/>
            <w:vAlign w:val="bottom"/>
          </w:tcPr>
          <w:p w:rsidR="00F90FA9" w:rsidRPr="004218F5" w:rsidRDefault="00F90FA9" w:rsidP="001B56F1">
            <w:pPr>
              <w:pStyle w:val="TableBodyText"/>
              <w:rPr>
                <w:sz w:val="18"/>
                <w:szCs w:val="18"/>
              </w:rPr>
            </w:pPr>
            <w:r>
              <w:rPr>
                <w:sz w:val="18"/>
                <w:szCs w:val="18"/>
              </w:rPr>
              <w:t>&lt;</w:t>
            </w:r>
            <w:r w:rsidRPr="00E17EEF">
              <w:rPr>
                <w:sz w:val="18"/>
                <w:szCs w:val="18"/>
              </w:rPr>
              <w:t>0.</w:t>
            </w:r>
            <w:r>
              <w:rPr>
                <w:sz w:val="18"/>
                <w:szCs w:val="18"/>
              </w:rPr>
              <w:t>1</w:t>
            </w:r>
          </w:p>
        </w:tc>
        <w:tc>
          <w:tcPr>
            <w:tcW w:w="505" w:type="pct"/>
            <w:shd w:val="clear" w:color="auto" w:fill="auto"/>
            <w:vAlign w:val="bottom"/>
          </w:tcPr>
          <w:p w:rsidR="00F90FA9" w:rsidRPr="004218F5" w:rsidRDefault="00F90FA9" w:rsidP="001B56F1">
            <w:pPr>
              <w:pStyle w:val="TableBodyText"/>
              <w:rPr>
                <w:sz w:val="18"/>
                <w:szCs w:val="18"/>
              </w:rPr>
            </w:pPr>
            <w:r>
              <w:rPr>
                <w:sz w:val="18"/>
                <w:szCs w:val="18"/>
              </w:rPr>
              <w:noBreakHyphen/>
            </w:r>
          </w:p>
        </w:tc>
      </w:tr>
      <w:tr w:rsidR="00F90FA9" w:rsidRPr="006C5A80" w:rsidTr="001B56F1">
        <w:tc>
          <w:tcPr>
            <w:tcW w:w="1960" w:type="pct"/>
            <w:vAlign w:val="bottom"/>
          </w:tcPr>
          <w:p w:rsidR="00F90FA9" w:rsidRPr="00682BD4" w:rsidRDefault="00F90FA9" w:rsidP="001B56F1">
            <w:pPr>
              <w:pStyle w:val="TableBodyText"/>
              <w:jc w:val="left"/>
              <w:rPr>
                <w:sz w:val="18"/>
                <w:szCs w:val="18"/>
              </w:rPr>
            </w:pPr>
            <w:r w:rsidRPr="00682BD4">
              <w:rPr>
                <w:sz w:val="18"/>
                <w:szCs w:val="18"/>
              </w:rPr>
              <w:t>Construction</w:t>
            </w:r>
          </w:p>
        </w:tc>
        <w:tc>
          <w:tcPr>
            <w:tcW w:w="507" w:type="pct"/>
            <w:vAlign w:val="bottom"/>
          </w:tcPr>
          <w:p w:rsidR="00F90FA9" w:rsidRPr="004218F5" w:rsidRDefault="00F90FA9" w:rsidP="001B56F1">
            <w:pPr>
              <w:pStyle w:val="TableBodyText"/>
              <w:rPr>
                <w:sz w:val="18"/>
                <w:szCs w:val="18"/>
              </w:rPr>
            </w:pPr>
            <w:r w:rsidRPr="004218F5">
              <w:rPr>
                <w:sz w:val="18"/>
                <w:szCs w:val="18"/>
              </w:rPr>
              <w:t>0.2</w:t>
            </w:r>
          </w:p>
        </w:tc>
        <w:tc>
          <w:tcPr>
            <w:tcW w:w="507" w:type="pct"/>
            <w:vAlign w:val="bottom"/>
          </w:tcPr>
          <w:p w:rsidR="00F90FA9" w:rsidRPr="004218F5" w:rsidRDefault="00F90FA9" w:rsidP="001B56F1">
            <w:pPr>
              <w:pStyle w:val="TableBodyText"/>
              <w:rPr>
                <w:sz w:val="18"/>
                <w:szCs w:val="18"/>
              </w:rPr>
            </w:pPr>
            <w:r w:rsidRPr="004218F5">
              <w:rPr>
                <w:sz w:val="18"/>
                <w:szCs w:val="18"/>
              </w:rPr>
              <w:t>0.2</w:t>
            </w:r>
          </w:p>
        </w:tc>
        <w:tc>
          <w:tcPr>
            <w:tcW w:w="507" w:type="pct"/>
            <w:vAlign w:val="bottom"/>
          </w:tcPr>
          <w:p w:rsidR="00F90FA9" w:rsidRPr="004218F5" w:rsidRDefault="00F90FA9" w:rsidP="001B56F1">
            <w:pPr>
              <w:pStyle w:val="TableBodyText"/>
              <w:rPr>
                <w:sz w:val="18"/>
                <w:szCs w:val="18"/>
              </w:rPr>
            </w:pPr>
            <w:r>
              <w:rPr>
                <w:sz w:val="18"/>
                <w:szCs w:val="18"/>
              </w:rPr>
              <w:noBreakHyphen/>
            </w:r>
          </w:p>
        </w:tc>
        <w:tc>
          <w:tcPr>
            <w:tcW w:w="507" w:type="pct"/>
            <w:vAlign w:val="bottom"/>
          </w:tcPr>
          <w:p w:rsidR="00F90FA9" w:rsidRPr="004218F5" w:rsidRDefault="00F90FA9" w:rsidP="001B56F1">
            <w:pPr>
              <w:pStyle w:val="TableBodyText"/>
              <w:rPr>
                <w:sz w:val="18"/>
                <w:szCs w:val="18"/>
              </w:rPr>
            </w:pPr>
            <w:r>
              <w:rPr>
                <w:sz w:val="18"/>
                <w:szCs w:val="18"/>
              </w:rPr>
              <w:noBreakHyphen/>
            </w:r>
          </w:p>
        </w:tc>
        <w:tc>
          <w:tcPr>
            <w:tcW w:w="507" w:type="pct"/>
            <w:shd w:val="clear" w:color="auto" w:fill="auto"/>
            <w:vAlign w:val="bottom"/>
          </w:tcPr>
          <w:p w:rsidR="00F90FA9" w:rsidRPr="004218F5" w:rsidRDefault="00F90FA9" w:rsidP="001B56F1">
            <w:pPr>
              <w:pStyle w:val="TableBodyText"/>
              <w:rPr>
                <w:sz w:val="18"/>
                <w:szCs w:val="18"/>
              </w:rPr>
            </w:pPr>
            <w:r>
              <w:rPr>
                <w:sz w:val="18"/>
                <w:szCs w:val="18"/>
              </w:rPr>
              <w:noBreakHyphen/>
            </w:r>
          </w:p>
        </w:tc>
        <w:tc>
          <w:tcPr>
            <w:tcW w:w="505" w:type="pct"/>
            <w:shd w:val="clear" w:color="auto" w:fill="auto"/>
            <w:vAlign w:val="bottom"/>
          </w:tcPr>
          <w:p w:rsidR="00F90FA9" w:rsidRPr="004218F5" w:rsidRDefault="00F90FA9" w:rsidP="001B56F1">
            <w:pPr>
              <w:pStyle w:val="TableBodyText"/>
              <w:rPr>
                <w:sz w:val="18"/>
                <w:szCs w:val="18"/>
              </w:rPr>
            </w:pPr>
            <w:r>
              <w:rPr>
                <w:sz w:val="18"/>
                <w:szCs w:val="18"/>
              </w:rPr>
              <w:noBreakHyphen/>
            </w:r>
          </w:p>
        </w:tc>
      </w:tr>
      <w:tr w:rsidR="00F90FA9" w:rsidRPr="006C5A80" w:rsidTr="001B56F1">
        <w:tc>
          <w:tcPr>
            <w:tcW w:w="1960" w:type="pct"/>
            <w:vAlign w:val="bottom"/>
          </w:tcPr>
          <w:p w:rsidR="00F90FA9" w:rsidRPr="00682BD4" w:rsidRDefault="00F90FA9" w:rsidP="001B56F1">
            <w:pPr>
              <w:pStyle w:val="TableBodyText"/>
              <w:jc w:val="left"/>
              <w:rPr>
                <w:sz w:val="18"/>
                <w:szCs w:val="18"/>
              </w:rPr>
            </w:pPr>
            <w:r w:rsidRPr="00682BD4">
              <w:rPr>
                <w:sz w:val="18"/>
                <w:szCs w:val="18"/>
              </w:rPr>
              <w:t>Wholesale trade</w:t>
            </w:r>
          </w:p>
        </w:tc>
        <w:tc>
          <w:tcPr>
            <w:tcW w:w="507" w:type="pct"/>
            <w:vAlign w:val="bottom"/>
          </w:tcPr>
          <w:p w:rsidR="00F90FA9" w:rsidRPr="004218F5" w:rsidRDefault="00F90FA9" w:rsidP="001B56F1">
            <w:pPr>
              <w:pStyle w:val="TableBodyText"/>
              <w:rPr>
                <w:sz w:val="18"/>
                <w:szCs w:val="18"/>
              </w:rPr>
            </w:pPr>
            <w:r w:rsidRPr="004218F5">
              <w:rPr>
                <w:sz w:val="18"/>
                <w:szCs w:val="18"/>
              </w:rPr>
              <w:t>0.1</w:t>
            </w:r>
          </w:p>
        </w:tc>
        <w:tc>
          <w:tcPr>
            <w:tcW w:w="507" w:type="pct"/>
            <w:vAlign w:val="bottom"/>
          </w:tcPr>
          <w:p w:rsidR="00F90FA9" w:rsidRPr="004218F5" w:rsidRDefault="00F90FA9" w:rsidP="001B56F1">
            <w:pPr>
              <w:pStyle w:val="TableBodyText"/>
              <w:rPr>
                <w:sz w:val="18"/>
                <w:szCs w:val="18"/>
              </w:rPr>
            </w:pPr>
            <w:r>
              <w:rPr>
                <w:sz w:val="18"/>
                <w:szCs w:val="18"/>
              </w:rPr>
              <w:noBreakHyphen/>
            </w:r>
          </w:p>
        </w:tc>
        <w:tc>
          <w:tcPr>
            <w:tcW w:w="507" w:type="pct"/>
            <w:vAlign w:val="bottom"/>
          </w:tcPr>
          <w:p w:rsidR="00F90FA9" w:rsidRPr="004218F5" w:rsidRDefault="00F90FA9" w:rsidP="001B56F1">
            <w:pPr>
              <w:pStyle w:val="TableBodyText"/>
              <w:rPr>
                <w:sz w:val="18"/>
                <w:szCs w:val="18"/>
              </w:rPr>
            </w:pPr>
            <w:r>
              <w:rPr>
                <w:sz w:val="18"/>
                <w:szCs w:val="18"/>
              </w:rPr>
              <w:noBreakHyphen/>
            </w:r>
          </w:p>
        </w:tc>
        <w:tc>
          <w:tcPr>
            <w:tcW w:w="507" w:type="pct"/>
            <w:vAlign w:val="bottom"/>
          </w:tcPr>
          <w:p w:rsidR="00F90FA9" w:rsidRPr="004218F5" w:rsidRDefault="00F90FA9" w:rsidP="001B56F1">
            <w:pPr>
              <w:pStyle w:val="TableBodyText"/>
              <w:rPr>
                <w:sz w:val="18"/>
                <w:szCs w:val="18"/>
              </w:rPr>
            </w:pPr>
            <w:r>
              <w:rPr>
                <w:sz w:val="18"/>
                <w:szCs w:val="18"/>
              </w:rPr>
              <w:noBreakHyphen/>
            </w:r>
          </w:p>
        </w:tc>
        <w:tc>
          <w:tcPr>
            <w:tcW w:w="507" w:type="pct"/>
            <w:shd w:val="clear" w:color="auto" w:fill="auto"/>
            <w:vAlign w:val="bottom"/>
          </w:tcPr>
          <w:p w:rsidR="00F90FA9" w:rsidRPr="004218F5" w:rsidRDefault="00F90FA9" w:rsidP="001B56F1">
            <w:pPr>
              <w:pStyle w:val="TableBodyText"/>
              <w:rPr>
                <w:sz w:val="18"/>
                <w:szCs w:val="18"/>
              </w:rPr>
            </w:pPr>
            <w:r>
              <w:rPr>
                <w:sz w:val="18"/>
                <w:szCs w:val="18"/>
              </w:rPr>
              <w:noBreakHyphen/>
            </w:r>
          </w:p>
        </w:tc>
        <w:tc>
          <w:tcPr>
            <w:tcW w:w="505" w:type="pct"/>
            <w:shd w:val="clear" w:color="auto" w:fill="auto"/>
            <w:vAlign w:val="bottom"/>
          </w:tcPr>
          <w:p w:rsidR="00F90FA9" w:rsidRPr="004218F5" w:rsidRDefault="00F90FA9" w:rsidP="001B56F1">
            <w:pPr>
              <w:pStyle w:val="TableBodyText"/>
              <w:rPr>
                <w:sz w:val="18"/>
                <w:szCs w:val="18"/>
              </w:rPr>
            </w:pPr>
            <w:r>
              <w:rPr>
                <w:sz w:val="18"/>
                <w:szCs w:val="18"/>
              </w:rPr>
              <w:noBreakHyphen/>
            </w:r>
          </w:p>
        </w:tc>
      </w:tr>
      <w:tr w:rsidR="00F90FA9" w:rsidRPr="006C5A80" w:rsidTr="001B56F1">
        <w:tc>
          <w:tcPr>
            <w:tcW w:w="1960" w:type="pct"/>
            <w:vAlign w:val="bottom"/>
          </w:tcPr>
          <w:p w:rsidR="00F90FA9" w:rsidRPr="00682BD4" w:rsidRDefault="00F90FA9" w:rsidP="001B56F1">
            <w:pPr>
              <w:pStyle w:val="TableBodyText"/>
              <w:jc w:val="left"/>
              <w:rPr>
                <w:sz w:val="18"/>
                <w:szCs w:val="18"/>
              </w:rPr>
            </w:pPr>
            <w:r w:rsidRPr="00682BD4">
              <w:rPr>
                <w:sz w:val="18"/>
                <w:szCs w:val="18"/>
              </w:rPr>
              <w:t>Transport, postal and warehousing</w:t>
            </w:r>
          </w:p>
        </w:tc>
        <w:tc>
          <w:tcPr>
            <w:tcW w:w="507" w:type="pct"/>
            <w:vAlign w:val="bottom"/>
          </w:tcPr>
          <w:p w:rsidR="00F90FA9" w:rsidRPr="004218F5" w:rsidRDefault="00F90FA9" w:rsidP="001B56F1">
            <w:pPr>
              <w:pStyle w:val="TableBodyText"/>
              <w:rPr>
                <w:sz w:val="18"/>
                <w:szCs w:val="18"/>
              </w:rPr>
            </w:pPr>
            <w:r>
              <w:rPr>
                <w:sz w:val="18"/>
                <w:szCs w:val="18"/>
              </w:rPr>
              <w:noBreakHyphen/>
            </w:r>
          </w:p>
        </w:tc>
        <w:tc>
          <w:tcPr>
            <w:tcW w:w="507" w:type="pct"/>
            <w:vAlign w:val="bottom"/>
          </w:tcPr>
          <w:p w:rsidR="00F90FA9" w:rsidRPr="004218F5" w:rsidRDefault="00F90FA9" w:rsidP="001B56F1">
            <w:pPr>
              <w:pStyle w:val="TableBodyText"/>
              <w:rPr>
                <w:sz w:val="18"/>
                <w:szCs w:val="18"/>
              </w:rPr>
            </w:pPr>
            <w:r>
              <w:rPr>
                <w:sz w:val="18"/>
                <w:szCs w:val="18"/>
              </w:rPr>
              <w:noBreakHyphen/>
            </w:r>
          </w:p>
        </w:tc>
        <w:tc>
          <w:tcPr>
            <w:tcW w:w="507" w:type="pct"/>
            <w:vAlign w:val="bottom"/>
          </w:tcPr>
          <w:p w:rsidR="00F90FA9" w:rsidRPr="004218F5" w:rsidRDefault="00F90FA9" w:rsidP="001B56F1">
            <w:pPr>
              <w:pStyle w:val="TableBodyText"/>
              <w:rPr>
                <w:sz w:val="18"/>
                <w:szCs w:val="18"/>
              </w:rPr>
            </w:pPr>
            <w:r w:rsidRPr="004218F5">
              <w:rPr>
                <w:sz w:val="18"/>
                <w:szCs w:val="18"/>
              </w:rPr>
              <w:t>0.2</w:t>
            </w:r>
          </w:p>
        </w:tc>
        <w:tc>
          <w:tcPr>
            <w:tcW w:w="507" w:type="pct"/>
            <w:vAlign w:val="bottom"/>
          </w:tcPr>
          <w:p w:rsidR="00F90FA9" w:rsidRPr="004218F5" w:rsidRDefault="00F90FA9" w:rsidP="001B56F1">
            <w:pPr>
              <w:pStyle w:val="TableBodyText"/>
              <w:rPr>
                <w:sz w:val="18"/>
                <w:szCs w:val="18"/>
              </w:rPr>
            </w:pPr>
            <w:r w:rsidRPr="004218F5">
              <w:rPr>
                <w:sz w:val="18"/>
                <w:szCs w:val="18"/>
              </w:rPr>
              <w:t>0.2</w:t>
            </w:r>
          </w:p>
        </w:tc>
        <w:tc>
          <w:tcPr>
            <w:tcW w:w="507" w:type="pct"/>
            <w:shd w:val="clear" w:color="auto" w:fill="auto"/>
            <w:vAlign w:val="bottom"/>
          </w:tcPr>
          <w:p w:rsidR="00F90FA9" w:rsidRPr="004218F5" w:rsidRDefault="00F90FA9" w:rsidP="001B56F1">
            <w:pPr>
              <w:pStyle w:val="TableBodyText"/>
              <w:rPr>
                <w:sz w:val="18"/>
                <w:szCs w:val="18"/>
              </w:rPr>
            </w:pPr>
            <w:r>
              <w:rPr>
                <w:sz w:val="18"/>
                <w:szCs w:val="18"/>
              </w:rPr>
              <w:noBreakHyphen/>
            </w:r>
          </w:p>
        </w:tc>
        <w:tc>
          <w:tcPr>
            <w:tcW w:w="505" w:type="pct"/>
            <w:shd w:val="clear" w:color="auto" w:fill="auto"/>
            <w:vAlign w:val="bottom"/>
          </w:tcPr>
          <w:p w:rsidR="00F90FA9" w:rsidRPr="004218F5" w:rsidRDefault="00F90FA9" w:rsidP="001B56F1">
            <w:pPr>
              <w:pStyle w:val="TableBodyText"/>
              <w:rPr>
                <w:sz w:val="18"/>
                <w:szCs w:val="18"/>
              </w:rPr>
            </w:pPr>
            <w:r>
              <w:rPr>
                <w:sz w:val="18"/>
                <w:szCs w:val="18"/>
              </w:rPr>
              <w:noBreakHyphen/>
            </w:r>
          </w:p>
        </w:tc>
      </w:tr>
      <w:tr w:rsidR="00F90FA9" w:rsidRPr="006C5A80" w:rsidTr="001B56F1">
        <w:tc>
          <w:tcPr>
            <w:tcW w:w="1960" w:type="pct"/>
            <w:vAlign w:val="bottom"/>
          </w:tcPr>
          <w:p w:rsidR="00F90FA9" w:rsidRPr="00682BD4" w:rsidRDefault="00F90FA9" w:rsidP="001B56F1">
            <w:pPr>
              <w:pStyle w:val="TableBodyText"/>
              <w:jc w:val="left"/>
              <w:rPr>
                <w:sz w:val="18"/>
                <w:szCs w:val="18"/>
              </w:rPr>
            </w:pPr>
            <w:r w:rsidRPr="00682BD4">
              <w:rPr>
                <w:sz w:val="18"/>
                <w:szCs w:val="18"/>
              </w:rPr>
              <w:t>Information, media and telecommunications</w:t>
            </w:r>
          </w:p>
        </w:tc>
        <w:tc>
          <w:tcPr>
            <w:tcW w:w="507" w:type="pct"/>
            <w:vAlign w:val="bottom"/>
          </w:tcPr>
          <w:p w:rsidR="00F90FA9" w:rsidRPr="004218F5" w:rsidRDefault="00F90FA9" w:rsidP="001B56F1">
            <w:pPr>
              <w:pStyle w:val="TableBodyText"/>
              <w:rPr>
                <w:sz w:val="18"/>
                <w:szCs w:val="18"/>
              </w:rPr>
            </w:pPr>
            <w:r w:rsidRPr="004218F5">
              <w:rPr>
                <w:sz w:val="18"/>
                <w:szCs w:val="18"/>
              </w:rPr>
              <w:t>0.4</w:t>
            </w:r>
          </w:p>
        </w:tc>
        <w:tc>
          <w:tcPr>
            <w:tcW w:w="507" w:type="pct"/>
            <w:vAlign w:val="bottom"/>
          </w:tcPr>
          <w:p w:rsidR="00F90FA9" w:rsidRPr="004218F5" w:rsidRDefault="00F90FA9" w:rsidP="001B56F1">
            <w:pPr>
              <w:pStyle w:val="TableBodyText"/>
              <w:rPr>
                <w:sz w:val="18"/>
                <w:szCs w:val="18"/>
              </w:rPr>
            </w:pPr>
            <w:r w:rsidRPr="004218F5">
              <w:rPr>
                <w:sz w:val="18"/>
                <w:szCs w:val="18"/>
              </w:rPr>
              <w:t>0.2</w:t>
            </w:r>
          </w:p>
        </w:tc>
        <w:tc>
          <w:tcPr>
            <w:tcW w:w="507" w:type="pct"/>
            <w:vAlign w:val="bottom"/>
          </w:tcPr>
          <w:p w:rsidR="00F90FA9" w:rsidRPr="004218F5" w:rsidRDefault="00F90FA9" w:rsidP="001B56F1">
            <w:pPr>
              <w:pStyle w:val="TableBodyText"/>
              <w:rPr>
                <w:sz w:val="18"/>
                <w:szCs w:val="18"/>
              </w:rPr>
            </w:pPr>
            <w:r w:rsidRPr="004218F5">
              <w:rPr>
                <w:sz w:val="18"/>
                <w:szCs w:val="18"/>
              </w:rPr>
              <w:t>0.5</w:t>
            </w:r>
          </w:p>
        </w:tc>
        <w:tc>
          <w:tcPr>
            <w:tcW w:w="507" w:type="pct"/>
            <w:vAlign w:val="bottom"/>
          </w:tcPr>
          <w:p w:rsidR="00F90FA9" w:rsidRPr="004218F5" w:rsidRDefault="00F90FA9" w:rsidP="001B56F1">
            <w:pPr>
              <w:pStyle w:val="TableBodyText"/>
              <w:rPr>
                <w:sz w:val="18"/>
                <w:szCs w:val="18"/>
              </w:rPr>
            </w:pPr>
            <w:r w:rsidRPr="004218F5">
              <w:rPr>
                <w:sz w:val="18"/>
                <w:szCs w:val="18"/>
              </w:rPr>
              <w:t>0.3</w:t>
            </w:r>
          </w:p>
        </w:tc>
        <w:tc>
          <w:tcPr>
            <w:tcW w:w="507" w:type="pct"/>
            <w:shd w:val="clear" w:color="auto" w:fill="auto"/>
            <w:vAlign w:val="bottom"/>
          </w:tcPr>
          <w:p w:rsidR="00F90FA9" w:rsidRPr="004218F5" w:rsidRDefault="00F90FA9" w:rsidP="001B56F1">
            <w:pPr>
              <w:pStyle w:val="TableBodyText"/>
              <w:rPr>
                <w:sz w:val="18"/>
                <w:szCs w:val="18"/>
              </w:rPr>
            </w:pPr>
            <w:r w:rsidRPr="004218F5">
              <w:rPr>
                <w:sz w:val="18"/>
                <w:szCs w:val="18"/>
              </w:rPr>
              <w:t>0.3</w:t>
            </w:r>
          </w:p>
        </w:tc>
        <w:tc>
          <w:tcPr>
            <w:tcW w:w="505" w:type="pct"/>
            <w:shd w:val="clear" w:color="auto" w:fill="auto"/>
            <w:vAlign w:val="bottom"/>
          </w:tcPr>
          <w:p w:rsidR="00F90FA9" w:rsidRPr="004218F5" w:rsidRDefault="00F90FA9" w:rsidP="001B56F1">
            <w:pPr>
              <w:pStyle w:val="TableBodyText"/>
              <w:rPr>
                <w:sz w:val="18"/>
                <w:szCs w:val="18"/>
              </w:rPr>
            </w:pPr>
            <w:r>
              <w:rPr>
                <w:sz w:val="18"/>
                <w:szCs w:val="18"/>
              </w:rPr>
              <w:noBreakHyphen/>
            </w:r>
          </w:p>
        </w:tc>
      </w:tr>
      <w:tr w:rsidR="00F90FA9" w:rsidRPr="006C5A80" w:rsidTr="001B56F1">
        <w:tc>
          <w:tcPr>
            <w:tcW w:w="1960" w:type="pct"/>
            <w:vAlign w:val="bottom"/>
          </w:tcPr>
          <w:p w:rsidR="00F90FA9" w:rsidRPr="00682BD4" w:rsidRDefault="00F90FA9" w:rsidP="001B56F1">
            <w:pPr>
              <w:pStyle w:val="TableBodyText"/>
              <w:jc w:val="left"/>
              <w:rPr>
                <w:sz w:val="18"/>
                <w:szCs w:val="18"/>
              </w:rPr>
            </w:pPr>
            <w:r w:rsidRPr="00682BD4">
              <w:rPr>
                <w:sz w:val="18"/>
                <w:szCs w:val="18"/>
              </w:rPr>
              <w:t>Financial and insurance services</w:t>
            </w:r>
          </w:p>
        </w:tc>
        <w:tc>
          <w:tcPr>
            <w:tcW w:w="507" w:type="pct"/>
            <w:vAlign w:val="bottom"/>
          </w:tcPr>
          <w:p w:rsidR="00F90FA9" w:rsidRPr="004218F5" w:rsidRDefault="00F90FA9" w:rsidP="001B56F1">
            <w:pPr>
              <w:pStyle w:val="TableBodyText"/>
              <w:rPr>
                <w:sz w:val="18"/>
                <w:szCs w:val="18"/>
              </w:rPr>
            </w:pPr>
            <w:r>
              <w:rPr>
                <w:sz w:val="18"/>
                <w:szCs w:val="18"/>
              </w:rPr>
              <w:noBreakHyphen/>
            </w:r>
          </w:p>
        </w:tc>
        <w:tc>
          <w:tcPr>
            <w:tcW w:w="507" w:type="pct"/>
            <w:vAlign w:val="bottom"/>
          </w:tcPr>
          <w:p w:rsidR="00F90FA9" w:rsidRPr="004218F5" w:rsidRDefault="00F90FA9" w:rsidP="001B56F1">
            <w:pPr>
              <w:pStyle w:val="TableBodyText"/>
              <w:rPr>
                <w:sz w:val="18"/>
                <w:szCs w:val="18"/>
              </w:rPr>
            </w:pPr>
            <w:r>
              <w:rPr>
                <w:sz w:val="18"/>
                <w:szCs w:val="18"/>
              </w:rPr>
              <w:noBreakHyphen/>
            </w:r>
          </w:p>
        </w:tc>
        <w:tc>
          <w:tcPr>
            <w:tcW w:w="507" w:type="pct"/>
            <w:vAlign w:val="bottom"/>
          </w:tcPr>
          <w:p w:rsidR="00F90FA9" w:rsidRPr="004218F5" w:rsidRDefault="00F90FA9" w:rsidP="001B56F1">
            <w:pPr>
              <w:pStyle w:val="TableBodyText"/>
              <w:rPr>
                <w:sz w:val="18"/>
                <w:szCs w:val="18"/>
              </w:rPr>
            </w:pPr>
            <w:r w:rsidRPr="004218F5">
              <w:rPr>
                <w:sz w:val="18"/>
                <w:szCs w:val="18"/>
              </w:rPr>
              <w:t>0.3</w:t>
            </w:r>
          </w:p>
        </w:tc>
        <w:tc>
          <w:tcPr>
            <w:tcW w:w="507" w:type="pct"/>
            <w:vAlign w:val="bottom"/>
          </w:tcPr>
          <w:p w:rsidR="00F90FA9" w:rsidRPr="004218F5" w:rsidRDefault="00F90FA9" w:rsidP="001B56F1">
            <w:pPr>
              <w:pStyle w:val="TableBodyText"/>
              <w:rPr>
                <w:sz w:val="18"/>
                <w:szCs w:val="18"/>
              </w:rPr>
            </w:pPr>
            <w:r>
              <w:rPr>
                <w:sz w:val="18"/>
                <w:szCs w:val="18"/>
              </w:rPr>
              <w:noBreakHyphen/>
            </w:r>
          </w:p>
        </w:tc>
        <w:tc>
          <w:tcPr>
            <w:tcW w:w="507" w:type="pct"/>
            <w:shd w:val="clear" w:color="auto" w:fill="auto"/>
            <w:vAlign w:val="bottom"/>
          </w:tcPr>
          <w:p w:rsidR="00F90FA9" w:rsidRPr="004218F5" w:rsidRDefault="00F90FA9" w:rsidP="001B56F1">
            <w:pPr>
              <w:pStyle w:val="TableBodyText"/>
              <w:rPr>
                <w:sz w:val="18"/>
                <w:szCs w:val="18"/>
              </w:rPr>
            </w:pPr>
            <w:r>
              <w:rPr>
                <w:sz w:val="18"/>
                <w:szCs w:val="18"/>
              </w:rPr>
              <w:noBreakHyphen/>
            </w:r>
          </w:p>
        </w:tc>
        <w:tc>
          <w:tcPr>
            <w:tcW w:w="505" w:type="pct"/>
            <w:shd w:val="clear" w:color="auto" w:fill="auto"/>
            <w:vAlign w:val="bottom"/>
          </w:tcPr>
          <w:p w:rsidR="00F90FA9" w:rsidRPr="004218F5" w:rsidRDefault="00F90FA9" w:rsidP="001B56F1">
            <w:pPr>
              <w:pStyle w:val="TableBodyText"/>
              <w:rPr>
                <w:sz w:val="18"/>
                <w:szCs w:val="18"/>
              </w:rPr>
            </w:pPr>
            <w:r>
              <w:rPr>
                <w:sz w:val="18"/>
                <w:szCs w:val="18"/>
              </w:rPr>
              <w:noBreakHyphen/>
            </w:r>
          </w:p>
        </w:tc>
      </w:tr>
      <w:tr w:rsidR="00F90FA9" w:rsidRPr="006C5A80" w:rsidTr="001B56F1">
        <w:tc>
          <w:tcPr>
            <w:tcW w:w="1960" w:type="pct"/>
            <w:vAlign w:val="bottom"/>
          </w:tcPr>
          <w:p w:rsidR="00F90FA9" w:rsidRPr="00682BD4" w:rsidRDefault="00F90FA9" w:rsidP="001B56F1">
            <w:pPr>
              <w:pStyle w:val="TableBodyText"/>
              <w:jc w:val="left"/>
              <w:rPr>
                <w:sz w:val="18"/>
                <w:szCs w:val="18"/>
              </w:rPr>
            </w:pPr>
            <w:r w:rsidRPr="00682BD4">
              <w:rPr>
                <w:sz w:val="18"/>
                <w:szCs w:val="18"/>
              </w:rPr>
              <w:t>Property, professional and administrative services</w:t>
            </w:r>
          </w:p>
        </w:tc>
        <w:tc>
          <w:tcPr>
            <w:tcW w:w="507" w:type="pct"/>
            <w:vAlign w:val="bottom"/>
          </w:tcPr>
          <w:p w:rsidR="00F90FA9" w:rsidRPr="004218F5" w:rsidRDefault="00F90FA9" w:rsidP="001B56F1">
            <w:pPr>
              <w:pStyle w:val="TableBodyText"/>
              <w:rPr>
                <w:sz w:val="18"/>
                <w:szCs w:val="18"/>
              </w:rPr>
            </w:pPr>
            <w:r w:rsidRPr="004218F5">
              <w:rPr>
                <w:sz w:val="18"/>
                <w:szCs w:val="18"/>
              </w:rPr>
              <w:t>0.2</w:t>
            </w:r>
          </w:p>
        </w:tc>
        <w:tc>
          <w:tcPr>
            <w:tcW w:w="507" w:type="pct"/>
            <w:vAlign w:val="bottom"/>
          </w:tcPr>
          <w:p w:rsidR="00F90FA9" w:rsidRPr="004218F5" w:rsidRDefault="00F90FA9" w:rsidP="001B56F1">
            <w:pPr>
              <w:pStyle w:val="TableBodyText"/>
              <w:rPr>
                <w:sz w:val="18"/>
                <w:szCs w:val="18"/>
              </w:rPr>
            </w:pPr>
            <w:r w:rsidRPr="004218F5">
              <w:rPr>
                <w:sz w:val="18"/>
                <w:szCs w:val="18"/>
              </w:rPr>
              <w:t>0.7</w:t>
            </w:r>
          </w:p>
        </w:tc>
        <w:tc>
          <w:tcPr>
            <w:tcW w:w="507" w:type="pct"/>
            <w:vAlign w:val="bottom"/>
          </w:tcPr>
          <w:p w:rsidR="00F90FA9" w:rsidRPr="004218F5" w:rsidRDefault="00F90FA9" w:rsidP="001B56F1">
            <w:pPr>
              <w:pStyle w:val="TableBodyText"/>
              <w:rPr>
                <w:sz w:val="18"/>
                <w:szCs w:val="18"/>
              </w:rPr>
            </w:pPr>
            <w:r w:rsidRPr="004218F5">
              <w:rPr>
                <w:sz w:val="18"/>
                <w:szCs w:val="18"/>
              </w:rPr>
              <w:t>0.6</w:t>
            </w:r>
          </w:p>
        </w:tc>
        <w:tc>
          <w:tcPr>
            <w:tcW w:w="507" w:type="pct"/>
            <w:vAlign w:val="bottom"/>
          </w:tcPr>
          <w:p w:rsidR="00F90FA9" w:rsidRPr="004218F5" w:rsidRDefault="00F90FA9" w:rsidP="001B56F1">
            <w:pPr>
              <w:pStyle w:val="TableBodyText"/>
              <w:rPr>
                <w:sz w:val="18"/>
                <w:szCs w:val="18"/>
              </w:rPr>
            </w:pPr>
            <w:r>
              <w:rPr>
                <w:sz w:val="18"/>
                <w:szCs w:val="18"/>
              </w:rPr>
              <w:t>&lt;</w:t>
            </w:r>
            <w:r w:rsidRPr="004218F5">
              <w:rPr>
                <w:sz w:val="18"/>
                <w:szCs w:val="18"/>
              </w:rPr>
              <w:t>0.1</w:t>
            </w:r>
          </w:p>
        </w:tc>
        <w:tc>
          <w:tcPr>
            <w:tcW w:w="507" w:type="pct"/>
            <w:shd w:val="clear" w:color="auto" w:fill="auto"/>
            <w:vAlign w:val="bottom"/>
          </w:tcPr>
          <w:p w:rsidR="00F90FA9" w:rsidRPr="004218F5" w:rsidRDefault="00F90FA9" w:rsidP="001B56F1">
            <w:pPr>
              <w:pStyle w:val="TableBodyText"/>
              <w:rPr>
                <w:sz w:val="18"/>
                <w:szCs w:val="18"/>
              </w:rPr>
            </w:pPr>
            <w:r w:rsidRPr="004218F5">
              <w:rPr>
                <w:sz w:val="18"/>
                <w:szCs w:val="18"/>
              </w:rPr>
              <w:t>0.0</w:t>
            </w:r>
          </w:p>
        </w:tc>
        <w:tc>
          <w:tcPr>
            <w:tcW w:w="505" w:type="pct"/>
            <w:shd w:val="clear" w:color="auto" w:fill="auto"/>
            <w:vAlign w:val="bottom"/>
          </w:tcPr>
          <w:p w:rsidR="00F90FA9" w:rsidRPr="004218F5" w:rsidRDefault="00F90FA9" w:rsidP="001B56F1">
            <w:pPr>
              <w:pStyle w:val="TableBodyText"/>
              <w:rPr>
                <w:sz w:val="18"/>
                <w:szCs w:val="18"/>
              </w:rPr>
            </w:pPr>
            <w:r>
              <w:rPr>
                <w:sz w:val="18"/>
                <w:szCs w:val="18"/>
              </w:rPr>
              <w:noBreakHyphen/>
            </w:r>
          </w:p>
        </w:tc>
      </w:tr>
      <w:tr w:rsidR="00F90FA9" w:rsidRPr="006C5A80" w:rsidTr="001B56F1">
        <w:tc>
          <w:tcPr>
            <w:tcW w:w="1960" w:type="pct"/>
            <w:vAlign w:val="bottom"/>
          </w:tcPr>
          <w:p w:rsidR="00F90FA9" w:rsidRPr="00682BD4" w:rsidRDefault="00F90FA9" w:rsidP="001B56F1">
            <w:pPr>
              <w:pStyle w:val="TableBodyText"/>
              <w:jc w:val="left"/>
              <w:rPr>
                <w:sz w:val="18"/>
                <w:szCs w:val="18"/>
              </w:rPr>
            </w:pPr>
            <w:r w:rsidRPr="00682BD4">
              <w:rPr>
                <w:sz w:val="18"/>
                <w:szCs w:val="18"/>
              </w:rPr>
              <w:t>Health care and social assistance</w:t>
            </w:r>
          </w:p>
        </w:tc>
        <w:tc>
          <w:tcPr>
            <w:tcW w:w="507" w:type="pct"/>
            <w:vAlign w:val="bottom"/>
          </w:tcPr>
          <w:p w:rsidR="00F90FA9" w:rsidRPr="004218F5" w:rsidRDefault="00F90FA9" w:rsidP="001B56F1">
            <w:pPr>
              <w:pStyle w:val="TableBodyText"/>
              <w:rPr>
                <w:sz w:val="18"/>
                <w:szCs w:val="18"/>
              </w:rPr>
            </w:pPr>
            <w:r>
              <w:rPr>
                <w:sz w:val="18"/>
                <w:szCs w:val="18"/>
              </w:rPr>
              <w:noBreakHyphen/>
            </w:r>
          </w:p>
        </w:tc>
        <w:tc>
          <w:tcPr>
            <w:tcW w:w="507" w:type="pct"/>
            <w:vAlign w:val="bottom"/>
          </w:tcPr>
          <w:p w:rsidR="00F90FA9" w:rsidRPr="004218F5" w:rsidRDefault="00F90FA9" w:rsidP="001B56F1">
            <w:pPr>
              <w:pStyle w:val="TableBodyText"/>
              <w:rPr>
                <w:sz w:val="18"/>
                <w:szCs w:val="18"/>
              </w:rPr>
            </w:pPr>
            <w:r>
              <w:rPr>
                <w:sz w:val="18"/>
                <w:szCs w:val="18"/>
              </w:rPr>
              <w:noBreakHyphen/>
            </w:r>
          </w:p>
        </w:tc>
        <w:tc>
          <w:tcPr>
            <w:tcW w:w="507" w:type="pct"/>
            <w:vAlign w:val="bottom"/>
          </w:tcPr>
          <w:p w:rsidR="00F90FA9" w:rsidRPr="004218F5" w:rsidRDefault="00F90FA9" w:rsidP="001B56F1">
            <w:pPr>
              <w:pStyle w:val="TableBodyText"/>
              <w:rPr>
                <w:sz w:val="18"/>
                <w:szCs w:val="18"/>
              </w:rPr>
            </w:pPr>
            <w:r w:rsidRPr="004218F5">
              <w:rPr>
                <w:sz w:val="18"/>
                <w:szCs w:val="18"/>
              </w:rPr>
              <w:t>0.5</w:t>
            </w:r>
          </w:p>
        </w:tc>
        <w:tc>
          <w:tcPr>
            <w:tcW w:w="507" w:type="pct"/>
            <w:vAlign w:val="bottom"/>
          </w:tcPr>
          <w:p w:rsidR="00F90FA9" w:rsidRPr="004218F5" w:rsidRDefault="00F90FA9" w:rsidP="001B56F1">
            <w:pPr>
              <w:pStyle w:val="TableBodyText"/>
              <w:rPr>
                <w:sz w:val="18"/>
                <w:szCs w:val="18"/>
              </w:rPr>
            </w:pPr>
            <w:r>
              <w:rPr>
                <w:sz w:val="18"/>
                <w:szCs w:val="18"/>
              </w:rPr>
              <w:t>&lt;</w:t>
            </w:r>
            <w:r w:rsidRPr="004218F5">
              <w:rPr>
                <w:sz w:val="18"/>
                <w:szCs w:val="18"/>
              </w:rPr>
              <w:t>0.1</w:t>
            </w:r>
          </w:p>
        </w:tc>
        <w:tc>
          <w:tcPr>
            <w:tcW w:w="507" w:type="pct"/>
            <w:shd w:val="clear" w:color="auto" w:fill="auto"/>
            <w:vAlign w:val="bottom"/>
          </w:tcPr>
          <w:p w:rsidR="00F90FA9" w:rsidRPr="004218F5" w:rsidRDefault="00F90FA9" w:rsidP="001B56F1">
            <w:pPr>
              <w:pStyle w:val="TableBodyText"/>
              <w:rPr>
                <w:sz w:val="18"/>
                <w:szCs w:val="18"/>
              </w:rPr>
            </w:pPr>
            <w:r>
              <w:rPr>
                <w:sz w:val="18"/>
                <w:szCs w:val="18"/>
              </w:rPr>
              <w:noBreakHyphen/>
            </w:r>
          </w:p>
        </w:tc>
        <w:tc>
          <w:tcPr>
            <w:tcW w:w="505" w:type="pct"/>
            <w:shd w:val="clear" w:color="auto" w:fill="auto"/>
            <w:vAlign w:val="bottom"/>
          </w:tcPr>
          <w:p w:rsidR="00F90FA9" w:rsidRPr="004218F5" w:rsidRDefault="00F90FA9" w:rsidP="001B56F1">
            <w:pPr>
              <w:pStyle w:val="TableBodyText"/>
              <w:rPr>
                <w:sz w:val="18"/>
                <w:szCs w:val="18"/>
              </w:rPr>
            </w:pPr>
            <w:r>
              <w:rPr>
                <w:sz w:val="18"/>
                <w:szCs w:val="18"/>
              </w:rPr>
              <w:noBreakHyphen/>
            </w:r>
          </w:p>
        </w:tc>
      </w:tr>
      <w:tr w:rsidR="00F90FA9" w:rsidRPr="006C5A80" w:rsidTr="001B56F1">
        <w:tc>
          <w:tcPr>
            <w:tcW w:w="1960" w:type="pct"/>
            <w:vAlign w:val="bottom"/>
          </w:tcPr>
          <w:p w:rsidR="00F90FA9" w:rsidRPr="00682BD4" w:rsidRDefault="00F90FA9" w:rsidP="001B56F1">
            <w:pPr>
              <w:pStyle w:val="TableBodyText"/>
              <w:jc w:val="left"/>
              <w:rPr>
                <w:sz w:val="18"/>
                <w:szCs w:val="18"/>
              </w:rPr>
            </w:pPr>
            <w:r w:rsidRPr="00682BD4">
              <w:rPr>
                <w:sz w:val="18"/>
                <w:szCs w:val="18"/>
              </w:rPr>
              <w:t>Arts and recreation services</w:t>
            </w:r>
          </w:p>
        </w:tc>
        <w:tc>
          <w:tcPr>
            <w:tcW w:w="507" w:type="pct"/>
            <w:vAlign w:val="bottom"/>
          </w:tcPr>
          <w:p w:rsidR="00F90FA9" w:rsidRPr="004218F5" w:rsidRDefault="00F90FA9" w:rsidP="001B56F1">
            <w:pPr>
              <w:pStyle w:val="TableBodyText"/>
              <w:rPr>
                <w:sz w:val="18"/>
                <w:szCs w:val="18"/>
              </w:rPr>
            </w:pPr>
            <w:r w:rsidRPr="004218F5">
              <w:rPr>
                <w:sz w:val="18"/>
                <w:szCs w:val="18"/>
              </w:rPr>
              <w:t>0.7</w:t>
            </w:r>
          </w:p>
        </w:tc>
        <w:tc>
          <w:tcPr>
            <w:tcW w:w="507" w:type="pct"/>
            <w:vAlign w:val="bottom"/>
          </w:tcPr>
          <w:p w:rsidR="00F90FA9" w:rsidRPr="004218F5" w:rsidRDefault="00F90FA9" w:rsidP="001B56F1">
            <w:pPr>
              <w:pStyle w:val="TableBodyText"/>
              <w:rPr>
                <w:sz w:val="18"/>
                <w:szCs w:val="18"/>
              </w:rPr>
            </w:pPr>
            <w:r>
              <w:rPr>
                <w:sz w:val="18"/>
                <w:szCs w:val="18"/>
              </w:rPr>
              <w:noBreakHyphen/>
            </w:r>
          </w:p>
        </w:tc>
        <w:tc>
          <w:tcPr>
            <w:tcW w:w="507" w:type="pct"/>
            <w:vAlign w:val="bottom"/>
          </w:tcPr>
          <w:p w:rsidR="00F90FA9" w:rsidRPr="004218F5" w:rsidRDefault="00F90FA9" w:rsidP="001B56F1">
            <w:pPr>
              <w:pStyle w:val="TableBodyText"/>
              <w:rPr>
                <w:sz w:val="18"/>
                <w:szCs w:val="18"/>
              </w:rPr>
            </w:pPr>
            <w:r>
              <w:rPr>
                <w:sz w:val="18"/>
                <w:szCs w:val="18"/>
              </w:rPr>
              <w:noBreakHyphen/>
            </w:r>
          </w:p>
        </w:tc>
        <w:tc>
          <w:tcPr>
            <w:tcW w:w="507" w:type="pct"/>
            <w:vAlign w:val="bottom"/>
          </w:tcPr>
          <w:p w:rsidR="00F90FA9" w:rsidRPr="004218F5" w:rsidRDefault="00F90FA9" w:rsidP="001B56F1">
            <w:pPr>
              <w:pStyle w:val="TableBodyText"/>
              <w:rPr>
                <w:sz w:val="18"/>
                <w:szCs w:val="18"/>
              </w:rPr>
            </w:pPr>
            <w:r>
              <w:rPr>
                <w:sz w:val="18"/>
                <w:szCs w:val="18"/>
              </w:rPr>
              <w:noBreakHyphen/>
            </w:r>
          </w:p>
        </w:tc>
        <w:tc>
          <w:tcPr>
            <w:tcW w:w="507" w:type="pct"/>
            <w:shd w:val="clear" w:color="auto" w:fill="auto"/>
            <w:vAlign w:val="bottom"/>
          </w:tcPr>
          <w:p w:rsidR="00F90FA9" w:rsidRPr="004218F5" w:rsidRDefault="00F90FA9" w:rsidP="001B56F1">
            <w:pPr>
              <w:pStyle w:val="TableBodyText"/>
              <w:rPr>
                <w:sz w:val="18"/>
                <w:szCs w:val="18"/>
              </w:rPr>
            </w:pPr>
            <w:r>
              <w:rPr>
                <w:sz w:val="18"/>
                <w:szCs w:val="18"/>
              </w:rPr>
              <w:noBreakHyphen/>
            </w:r>
          </w:p>
        </w:tc>
        <w:tc>
          <w:tcPr>
            <w:tcW w:w="505" w:type="pct"/>
            <w:shd w:val="clear" w:color="auto" w:fill="auto"/>
            <w:vAlign w:val="bottom"/>
          </w:tcPr>
          <w:p w:rsidR="00F90FA9" w:rsidRPr="004218F5" w:rsidRDefault="00F90FA9" w:rsidP="001B56F1">
            <w:pPr>
              <w:pStyle w:val="TableBodyText"/>
              <w:rPr>
                <w:sz w:val="18"/>
                <w:szCs w:val="18"/>
              </w:rPr>
            </w:pPr>
            <w:r>
              <w:rPr>
                <w:sz w:val="18"/>
                <w:szCs w:val="18"/>
              </w:rPr>
              <w:noBreakHyphen/>
            </w:r>
          </w:p>
        </w:tc>
      </w:tr>
      <w:tr w:rsidR="00F90FA9" w:rsidRPr="006C5A80" w:rsidTr="001B56F1">
        <w:tc>
          <w:tcPr>
            <w:tcW w:w="1960" w:type="pct"/>
            <w:vAlign w:val="bottom"/>
          </w:tcPr>
          <w:p w:rsidR="00F90FA9" w:rsidRPr="00682BD4" w:rsidRDefault="00F90FA9" w:rsidP="001B56F1">
            <w:pPr>
              <w:pStyle w:val="TableBodyText"/>
              <w:jc w:val="left"/>
              <w:rPr>
                <w:sz w:val="18"/>
                <w:szCs w:val="18"/>
              </w:rPr>
            </w:pPr>
            <w:r w:rsidRPr="00682BD4">
              <w:rPr>
                <w:sz w:val="18"/>
                <w:szCs w:val="18"/>
              </w:rPr>
              <w:t>Other services</w:t>
            </w:r>
          </w:p>
        </w:tc>
        <w:tc>
          <w:tcPr>
            <w:tcW w:w="507" w:type="pct"/>
            <w:vAlign w:val="bottom"/>
          </w:tcPr>
          <w:p w:rsidR="00F90FA9" w:rsidRPr="004218F5" w:rsidRDefault="00F90FA9" w:rsidP="001B56F1">
            <w:pPr>
              <w:pStyle w:val="TableBodyText"/>
              <w:rPr>
                <w:sz w:val="18"/>
                <w:szCs w:val="18"/>
              </w:rPr>
            </w:pPr>
            <w:r w:rsidRPr="004218F5">
              <w:rPr>
                <w:sz w:val="18"/>
                <w:szCs w:val="18"/>
              </w:rPr>
              <w:t>0.5</w:t>
            </w:r>
          </w:p>
        </w:tc>
        <w:tc>
          <w:tcPr>
            <w:tcW w:w="507" w:type="pct"/>
            <w:vAlign w:val="bottom"/>
          </w:tcPr>
          <w:p w:rsidR="00F90FA9" w:rsidRPr="004218F5" w:rsidRDefault="00F90FA9" w:rsidP="001B56F1">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F90FA9" w:rsidRPr="004218F5" w:rsidRDefault="00F90FA9" w:rsidP="001B56F1">
            <w:pPr>
              <w:pStyle w:val="TableBodyText"/>
              <w:rPr>
                <w:sz w:val="18"/>
                <w:szCs w:val="18"/>
              </w:rPr>
            </w:pPr>
            <w:r w:rsidRPr="004218F5">
              <w:rPr>
                <w:sz w:val="18"/>
                <w:szCs w:val="18"/>
              </w:rPr>
              <w:t>2.2</w:t>
            </w:r>
          </w:p>
        </w:tc>
        <w:tc>
          <w:tcPr>
            <w:tcW w:w="507" w:type="pct"/>
            <w:vAlign w:val="bottom"/>
          </w:tcPr>
          <w:p w:rsidR="00F90FA9" w:rsidRPr="004218F5" w:rsidRDefault="00F90FA9" w:rsidP="001B56F1">
            <w:pPr>
              <w:pStyle w:val="TableBodyText"/>
              <w:rPr>
                <w:sz w:val="18"/>
                <w:szCs w:val="18"/>
              </w:rPr>
            </w:pPr>
            <w:r w:rsidRPr="004218F5">
              <w:rPr>
                <w:sz w:val="18"/>
                <w:szCs w:val="18"/>
              </w:rPr>
              <w:t>2.6</w:t>
            </w:r>
          </w:p>
        </w:tc>
        <w:tc>
          <w:tcPr>
            <w:tcW w:w="507" w:type="pct"/>
            <w:shd w:val="clear" w:color="auto" w:fill="auto"/>
            <w:vAlign w:val="bottom"/>
          </w:tcPr>
          <w:p w:rsidR="00F90FA9" w:rsidRPr="004218F5" w:rsidRDefault="00F90FA9" w:rsidP="001B56F1">
            <w:pPr>
              <w:pStyle w:val="TableBodyText"/>
              <w:rPr>
                <w:sz w:val="18"/>
                <w:szCs w:val="18"/>
              </w:rPr>
            </w:pPr>
            <w:r w:rsidRPr="004218F5">
              <w:rPr>
                <w:sz w:val="18"/>
                <w:szCs w:val="18"/>
              </w:rPr>
              <w:t>0.9</w:t>
            </w:r>
          </w:p>
        </w:tc>
        <w:tc>
          <w:tcPr>
            <w:tcW w:w="505" w:type="pct"/>
            <w:shd w:val="clear" w:color="auto" w:fill="auto"/>
            <w:vAlign w:val="bottom"/>
          </w:tcPr>
          <w:p w:rsidR="00F90FA9" w:rsidRPr="004218F5" w:rsidRDefault="00F90FA9" w:rsidP="001B56F1">
            <w:pPr>
              <w:pStyle w:val="TableBodyText"/>
              <w:rPr>
                <w:sz w:val="18"/>
                <w:szCs w:val="18"/>
              </w:rPr>
            </w:pPr>
            <w:r>
              <w:rPr>
                <w:sz w:val="18"/>
                <w:szCs w:val="18"/>
              </w:rPr>
              <w:noBreakHyphen/>
            </w:r>
          </w:p>
        </w:tc>
      </w:tr>
      <w:tr w:rsidR="00F90FA9" w:rsidRPr="006C5A80" w:rsidTr="001B56F1">
        <w:tc>
          <w:tcPr>
            <w:tcW w:w="1960" w:type="pct"/>
            <w:vAlign w:val="bottom"/>
          </w:tcPr>
          <w:p w:rsidR="00F90FA9" w:rsidRPr="00682BD4" w:rsidRDefault="00F90FA9" w:rsidP="001B56F1">
            <w:pPr>
              <w:pStyle w:val="TableBodyText"/>
              <w:jc w:val="left"/>
              <w:rPr>
                <w:sz w:val="18"/>
                <w:szCs w:val="18"/>
              </w:rPr>
            </w:pPr>
            <w:r w:rsidRPr="00682BD4">
              <w:rPr>
                <w:sz w:val="18"/>
                <w:szCs w:val="18"/>
              </w:rPr>
              <w:t>Unallocated other</w:t>
            </w:r>
            <w:r w:rsidRPr="00682BD4">
              <w:rPr>
                <w:rStyle w:val="NoteLabel"/>
                <w:szCs w:val="18"/>
              </w:rPr>
              <w:t>a</w:t>
            </w:r>
          </w:p>
        </w:tc>
        <w:tc>
          <w:tcPr>
            <w:tcW w:w="507" w:type="pct"/>
            <w:vAlign w:val="bottom"/>
          </w:tcPr>
          <w:p w:rsidR="00F90FA9" w:rsidRPr="004218F5" w:rsidRDefault="00F90FA9" w:rsidP="001B56F1">
            <w:pPr>
              <w:pStyle w:val="TableBodyText"/>
              <w:rPr>
                <w:sz w:val="18"/>
                <w:szCs w:val="18"/>
              </w:rPr>
            </w:pPr>
            <w:r>
              <w:rPr>
                <w:sz w:val="18"/>
                <w:szCs w:val="18"/>
              </w:rPr>
              <w:noBreakHyphen/>
            </w:r>
          </w:p>
        </w:tc>
        <w:tc>
          <w:tcPr>
            <w:tcW w:w="507" w:type="pct"/>
            <w:vAlign w:val="bottom"/>
          </w:tcPr>
          <w:p w:rsidR="00F90FA9" w:rsidRPr="004218F5" w:rsidRDefault="00F90FA9" w:rsidP="001B56F1">
            <w:pPr>
              <w:pStyle w:val="TableBodyText"/>
              <w:rPr>
                <w:sz w:val="18"/>
                <w:szCs w:val="18"/>
              </w:rPr>
            </w:pPr>
            <w:r w:rsidRPr="004218F5">
              <w:rPr>
                <w:sz w:val="18"/>
                <w:szCs w:val="18"/>
              </w:rPr>
              <w:t>2.7</w:t>
            </w:r>
          </w:p>
        </w:tc>
        <w:tc>
          <w:tcPr>
            <w:tcW w:w="507" w:type="pct"/>
            <w:vAlign w:val="bottom"/>
          </w:tcPr>
          <w:p w:rsidR="00F90FA9" w:rsidRPr="004218F5" w:rsidRDefault="00F90FA9" w:rsidP="001B56F1">
            <w:pPr>
              <w:pStyle w:val="TableBodyText"/>
              <w:rPr>
                <w:sz w:val="18"/>
                <w:szCs w:val="18"/>
              </w:rPr>
            </w:pPr>
            <w:r>
              <w:rPr>
                <w:sz w:val="18"/>
                <w:szCs w:val="18"/>
              </w:rPr>
              <w:noBreakHyphen/>
            </w:r>
          </w:p>
        </w:tc>
        <w:tc>
          <w:tcPr>
            <w:tcW w:w="507" w:type="pct"/>
            <w:vAlign w:val="bottom"/>
          </w:tcPr>
          <w:p w:rsidR="00F90FA9" w:rsidRPr="004218F5" w:rsidRDefault="00F90FA9" w:rsidP="001B56F1">
            <w:pPr>
              <w:pStyle w:val="TableBodyText"/>
              <w:rPr>
                <w:sz w:val="18"/>
                <w:szCs w:val="18"/>
              </w:rPr>
            </w:pPr>
            <w:r>
              <w:rPr>
                <w:sz w:val="18"/>
                <w:szCs w:val="18"/>
              </w:rPr>
              <w:noBreakHyphen/>
            </w:r>
          </w:p>
        </w:tc>
        <w:tc>
          <w:tcPr>
            <w:tcW w:w="507" w:type="pct"/>
            <w:shd w:val="clear" w:color="auto" w:fill="auto"/>
            <w:vAlign w:val="bottom"/>
          </w:tcPr>
          <w:p w:rsidR="00F90FA9" w:rsidRPr="004218F5" w:rsidRDefault="00F90FA9" w:rsidP="001B56F1">
            <w:pPr>
              <w:pStyle w:val="TableBodyText"/>
              <w:rPr>
                <w:sz w:val="18"/>
                <w:szCs w:val="18"/>
              </w:rPr>
            </w:pPr>
            <w:r>
              <w:rPr>
                <w:sz w:val="18"/>
                <w:szCs w:val="18"/>
              </w:rPr>
              <w:noBreakHyphen/>
            </w:r>
          </w:p>
        </w:tc>
        <w:tc>
          <w:tcPr>
            <w:tcW w:w="505" w:type="pct"/>
            <w:shd w:val="clear" w:color="auto" w:fill="auto"/>
            <w:vAlign w:val="bottom"/>
          </w:tcPr>
          <w:p w:rsidR="00F90FA9" w:rsidRPr="004218F5" w:rsidRDefault="00F90FA9" w:rsidP="001B56F1">
            <w:pPr>
              <w:pStyle w:val="TableBodyText"/>
              <w:rPr>
                <w:sz w:val="18"/>
                <w:szCs w:val="18"/>
              </w:rPr>
            </w:pPr>
            <w:r>
              <w:rPr>
                <w:sz w:val="18"/>
                <w:szCs w:val="18"/>
              </w:rPr>
              <w:noBreakHyphen/>
            </w:r>
          </w:p>
        </w:tc>
      </w:tr>
      <w:tr w:rsidR="00F90FA9" w:rsidRPr="006C5A80" w:rsidTr="001B56F1">
        <w:tc>
          <w:tcPr>
            <w:tcW w:w="1960" w:type="pct"/>
            <w:tcBorders>
              <w:bottom w:val="single" w:sz="4" w:space="0" w:color="auto"/>
            </w:tcBorders>
            <w:vAlign w:val="bottom"/>
          </w:tcPr>
          <w:p w:rsidR="00F90FA9" w:rsidRPr="00682BD4" w:rsidRDefault="00F90FA9" w:rsidP="001B56F1">
            <w:pPr>
              <w:pStyle w:val="TableBodyText"/>
              <w:jc w:val="left"/>
              <w:rPr>
                <w:b/>
                <w:bCs/>
                <w:sz w:val="18"/>
                <w:szCs w:val="18"/>
              </w:rPr>
            </w:pPr>
            <w:r w:rsidRPr="00682BD4">
              <w:rPr>
                <w:b/>
                <w:bCs/>
                <w:sz w:val="18"/>
                <w:szCs w:val="18"/>
              </w:rPr>
              <w:t>Total</w:t>
            </w:r>
          </w:p>
        </w:tc>
        <w:tc>
          <w:tcPr>
            <w:tcW w:w="507" w:type="pct"/>
            <w:tcBorders>
              <w:bottom w:val="single" w:sz="4" w:space="0" w:color="auto"/>
            </w:tcBorders>
            <w:vAlign w:val="bottom"/>
          </w:tcPr>
          <w:p w:rsidR="00F90FA9" w:rsidRPr="00C607B9" w:rsidRDefault="00F90FA9" w:rsidP="001B56F1">
            <w:pPr>
              <w:pStyle w:val="TableBodyText"/>
              <w:rPr>
                <w:b/>
                <w:sz w:val="18"/>
                <w:szCs w:val="18"/>
              </w:rPr>
            </w:pPr>
            <w:r w:rsidRPr="00C607B9">
              <w:rPr>
                <w:b/>
                <w:sz w:val="18"/>
                <w:szCs w:val="18"/>
              </w:rPr>
              <w:t>3.7</w:t>
            </w:r>
          </w:p>
        </w:tc>
        <w:tc>
          <w:tcPr>
            <w:tcW w:w="507" w:type="pct"/>
            <w:tcBorders>
              <w:bottom w:val="single" w:sz="4" w:space="0" w:color="auto"/>
            </w:tcBorders>
            <w:vAlign w:val="bottom"/>
          </w:tcPr>
          <w:p w:rsidR="00F90FA9" w:rsidRPr="00C607B9" w:rsidRDefault="00F90FA9" w:rsidP="001B56F1">
            <w:pPr>
              <w:pStyle w:val="TableBodyText"/>
              <w:rPr>
                <w:b/>
                <w:sz w:val="18"/>
                <w:szCs w:val="18"/>
              </w:rPr>
            </w:pPr>
            <w:r w:rsidRPr="00C607B9">
              <w:rPr>
                <w:b/>
                <w:sz w:val="18"/>
                <w:szCs w:val="18"/>
              </w:rPr>
              <w:t>4.5</w:t>
            </w:r>
          </w:p>
        </w:tc>
        <w:tc>
          <w:tcPr>
            <w:tcW w:w="507" w:type="pct"/>
            <w:tcBorders>
              <w:bottom w:val="single" w:sz="4" w:space="0" w:color="auto"/>
            </w:tcBorders>
            <w:vAlign w:val="bottom"/>
          </w:tcPr>
          <w:p w:rsidR="00F90FA9" w:rsidRPr="00C607B9" w:rsidRDefault="00F90FA9" w:rsidP="001B56F1">
            <w:pPr>
              <w:pStyle w:val="TableBodyText"/>
              <w:rPr>
                <w:b/>
                <w:sz w:val="18"/>
                <w:szCs w:val="18"/>
              </w:rPr>
            </w:pPr>
            <w:r w:rsidRPr="00C607B9">
              <w:rPr>
                <w:b/>
                <w:sz w:val="18"/>
                <w:szCs w:val="18"/>
              </w:rPr>
              <w:t>4.9</w:t>
            </w:r>
          </w:p>
        </w:tc>
        <w:tc>
          <w:tcPr>
            <w:tcW w:w="507" w:type="pct"/>
            <w:tcBorders>
              <w:bottom w:val="single" w:sz="4" w:space="0" w:color="auto"/>
            </w:tcBorders>
            <w:vAlign w:val="bottom"/>
          </w:tcPr>
          <w:p w:rsidR="00F90FA9" w:rsidRPr="00C607B9" w:rsidRDefault="00F90FA9" w:rsidP="001B56F1">
            <w:pPr>
              <w:pStyle w:val="TableBodyText"/>
              <w:rPr>
                <w:b/>
                <w:sz w:val="18"/>
                <w:szCs w:val="18"/>
              </w:rPr>
            </w:pPr>
            <w:r w:rsidRPr="00C607B9">
              <w:rPr>
                <w:b/>
                <w:sz w:val="18"/>
                <w:szCs w:val="18"/>
              </w:rPr>
              <w:t>3.8</w:t>
            </w:r>
          </w:p>
        </w:tc>
        <w:tc>
          <w:tcPr>
            <w:tcW w:w="507" w:type="pct"/>
            <w:tcBorders>
              <w:bottom w:val="single" w:sz="4" w:space="0" w:color="auto"/>
            </w:tcBorders>
            <w:shd w:val="clear" w:color="auto" w:fill="auto"/>
            <w:vAlign w:val="bottom"/>
          </w:tcPr>
          <w:p w:rsidR="00F90FA9" w:rsidRPr="00C607B9" w:rsidRDefault="00F90FA9" w:rsidP="001B56F1">
            <w:pPr>
              <w:pStyle w:val="TableBodyText"/>
              <w:rPr>
                <w:b/>
                <w:sz w:val="18"/>
                <w:szCs w:val="18"/>
              </w:rPr>
            </w:pPr>
            <w:r w:rsidRPr="00C607B9">
              <w:rPr>
                <w:b/>
                <w:sz w:val="18"/>
                <w:szCs w:val="18"/>
              </w:rPr>
              <w:t>1.4</w:t>
            </w:r>
          </w:p>
        </w:tc>
        <w:tc>
          <w:tcPr>
            <w:tcW w:w="505" w:type="pct"/>
            <w:tcBorders>
              <w:bottom w:val="single" w:sz="4" w:space="0" w:color="auto"/>
            </w:tcBorders>
            <w:shd w:val="clear" w:color="auto" w:fill="auto"/>
            <w:vAlign w:val="bottom"/>
          </w:tcPr>
          <w:p w:rsidR="00F90FA9" w:rsidRPr="00C607B9" w:rsidRDefault="00F90FA9" w:rsidP="001B56F1">
            <w:pPr>
              <w:pStyle w:val="TableBodyText"/>
              <w:rPr>
                <w:b/>
                <w:sz w:val="18"/>
                <w:szCs w:val="18"/>
              </w:rPr>
            </w:pPr>
            <w:r w:rsidRPr="00C607B9">
              <w:rPr>
                <w:b/>
                <w:sz w:val="18"/>
                <w:szCs w:val="18"/>
              </w:rPr>
              <w:noBreakHyphen/>
            </w:r>
          </w:p>
        </w:tc>
      </w:tr>
    </w:tbl>
    <w:p w:rsidR="00F90FA9" w:rsidRDefault="00F90FA9" w:rsidP="00F90FA9">
      <w:pPr>
        <w:pStyle w:val="Note"/>
      </w:pPr>
      <w:r>
        <w:t xml:space="preserve">– Nil. </w:t>
      </w:r>
      <w:r w:rsidRPr="008E77FE">
        <w:rPr>
          <w:rStyle w:val="NoteLabel"/>
        </w:rPr>
        <w:t>a</w:t>
      </w:r>
      <w:r>
        <w:t xml:space="preserve"> Unallocated includes general programs where details of beneficiaries are unknown.</w:t>
      </w:r>
    </w:p>
    <w:p w:rsidR="00F90FA9" w:rsidRDefault="00F90FA9" w:rsidP="00F90FA9">
      <w:pPr>
        <w:pStyle w:val="Source"/>
      </w:pPr>
      <w:r>
        <w:rPr>
          <w:i/>
        </w:rPr>
        <w:t>Sources</w:t>
      </w:r>
      <w:r>
        <w:t xml:space="preserve">: </w:t>
      </w:r>
      <w:r w:rsidRPr="003E67DD">
        <w:t>Commis</w:t>
      </w:r>
      <w:r>
        <w:t>sion estimates based on DIISR Annual Report 2010</w:t>
      </w:r>
      <w:r>
        <w:noBreakHyphen/>
        <w:t>11 (and earlier years); Department of Industry, Tourism and Resources Annual Report 2006</w:t>
      </w:r>
      <w:r>
        <w:noBreakHyphen/>
        <w:t>07; and detailed DIISR data by ANZSIC industry.</w:t>
      </w:r>
    </w:p>
    <w:p w:rsidR="006F1C2D" w:rsidRDefault="00FA09C3" w:rsidP="006F1C2D">
      <w:pPr>
        <w:pStyle w:val="Heading2"/>
      </w:pPr>
      <w:r>
        <w:t>A.</w:t>
      </w:r>
      <w:r>
        <w:rPr>
          <w:noProof/>
        </w:rPr>
        <w:t>145</w:t>
      </w:r>
      <w:r w:rsidR="006F1C2D">
        <w:tab/>
        <w:t>Regional Partnerships Program</w:t>
      </w:r>
    </w:p>
    <w:p w:rsidR="006F1C2D" w:rsidRDefault="006F1C2D" w:rsidP="006F1C2D">
      <w:pPr>
        <w:pStyle w:val="BodyText"/>
      </w:pPr>
      <w:r>
        <w:t>The Regional Partnerships Program commenced on 1 July 2003 and provided funding for projects that were able to demonstrate that they could contribute to the objectives of strengthening growth and opportunities, improving access to services, supporting planning, and assisting structural adjustments for communities affected by major economic, social or environmental change.</w:t>
      </w:r>
    </w:p>
    <w:p w:rsidR="006F1C2D" w:rsidRDefault="006F1C2D" w:rsidP="006F1C2D">
      <w:pPr>
        <w:pStyle w:val="BodyText"/>
      </w:pPr>
      <w:r>
        <w:t>The range of projects funded included</w:t>
      </w:r>
      <w:r w:rsidR="00C07120">
        <w:t>;</w:t>
      </w:r>
      <w:r>
        <w:t xml:space="preserve"> community services (activities and facilities supported by non-profit organisations); regional tourism (business and skills planning and development); civic and community infrastructure works; commercialisation of new and emerging technologies; the initiation of new businesses or growth of existing businesses; and ‘industry assistance’ measures. Under the Program’s arrangements, applicants and their other project partners (if any) were expected to make a financial contribution to the cost of the project.</w:t>
      </w:r>
    </w:p>
    <w:p w:rsidR="006F1C2D" w:rsidRDefault="006F1C2D" w:rsidP="006F1C2D">
      <w:pPr>
        <w:pStyle w:val="BodyText"/>
      </w:pPr>
      <w:r w:rsidRPr="00A00D8B">
        <w:t xml:space="preserve">The Regional Partnerships </w:t>
      </w:r>
      <w:r>
        <w:t>P</w:t>
      </w:r>
      <w:r w:rsidRPr="00A00D8B">
        <w:t>rogram was closed to new and unapproved projects in the May</w:t>
      </w:r>
      <w:r>
        <w:t> </w:t>
      </w:r>
      <w:r w:rsidRPr="00A00D8B">
        <w:t>2008</w:t>
      </w:r>
      <w:r>
        <w:t> </w:t>
      </w:r>
      <w:r w:rsidRPr="00A00D8B">
        <w:t>Budget</w:t>
      </w:r>
      <w:r>
        <w:t xml:space="preserve"> (</w:t>
      </w:r>
      <w:r w:rsidRPr="00C305B5">
        <w:t>DITRDLG 2010</w:t>
      </w:r>
      <w:r>
        <w:t>) and no assistance was recorded for the Program in 2011</w:t>
      </w:r>
      <w:r>
        <w:noBreakHyphen/>
        <w:t>12.</w:t>
      </w:r>
    </w:p>
    <w:p w:rsidR="006F1C2D" w:rsidRDefault="006F1C2D" w:rsidP="006F1C2D">
      <w:pPr>
        <w:pStyle w:val="BodyText"/>
      </w:pPr>
      <w:r>
        <w:t xml:space="preserve">Information on the industry incidence of the program has not been readily available. Accordingly, the budgetary outlay has been classified to the </w:t>
      </w:r>
      <w:r w:rsidRPr="00E85511">
        <w:rPr>
          <w:i/>
        </w:rPr>
        <w:t>Unallocated other</w:t>
      </w:r>
      <w:r>
        <w:t xml:space="preserve"> industry grouping in the Commission’s ANZSIC-based classification (table A.14</w:t>
      </w:r>
      <w:r w:rsidR="00C065C1">
        <w:t>5</w:t>
      </w:r>
      <w:r>
        <w:t>).</w:t>
      </w:r>
    </w:p>
    <w:p w:rsidR="006F1C2D" w:rsidRDefault="006F1C2D" w:rsidP="006F1C2D">
      <w:pPr>
        <w:pStyle w:val="TableTitle"/>
      </w:pPr>
      <w:r>
        <w:rPr>
          <w:b w:val="0"/>
        </w:rPr>
        <w:t xml:space="preserve">Table </w:t>
      </w:r>
      <w:r w:rsidR="00FA09C3">
        <w:rPr>
          <w:b w:val="0"/>
        </w:rPr>
        <w:t>A.</w:t>
      </w:r>
      <w:r w:rsidR="00FA09C3">
        <w:rPr>
          <w:b w:val="0"/>
          <w:noProof/>
        </w:rPr>
        <w:t>145</w:t>
      </w:r>
      <w:r>
        <w:tab/>
        <w:t>Allocation of Regional Partnerships Program</w:t>
      </w:r>
      <w:r w:rsidR="00E471E2" w:rsidRPr="00E471E2">
        <w:t xml:space="preserve"> to industry</w:t>
      </w:r>
      <w:r>
        <w:t>, 2006</w:t>
      </w:r>
      <w:r>
        <w:noBreakHyphen/>
        <w:t>07 to 2011</w:t>
      </w:r>
      <w:r>
        <w:noBreakHyphen/>
        <w:t>12</w:t>
      </w:r>
    </w:p>
    <w:p w:rsidR="006F1C2D" w:rsidRDefault="006F1C2D" w:rsidP="006F1C2D">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6F1C2D" w:rsidRPr="00AF699A" w:rsidTr="001B56F1">
        <w:tc>
          <w:tcPr>
            <w:tcW w:w="1960" w:type="pct"/>
            <w:tcBorders>
              <w:top w:val="single" w:sz="6" w:space="0" w:color="auto"/>
              <w:bottom w:val="single" w:sz="6" w:space="0" w:color="auto"/>
            </w:tcBorders>
          </w:tcPr>
          <w:p w:rsidR="006F1C2D" w:rsidRPr="00AF699A" w:rsidRDefault="006F1C2D"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6F1C2D" w:rsidRPr="00AF699A" w:rsidRDefault="006F1C2D"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6F1C2D" w:rsidRPr="00AF699A" w:rsidRDefault="006F1C2D"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6F1C2D" w:rsidRPr="00AF699A" w:rsidRDefault="006F1C2D"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6F1C2D" w:rsidRPr="00AF699A" w:rsidRDefault="006F1C2D"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6F1C2D" w:rsidRPr="00AF699A" w:rsidRDefault="006F1C2D"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6F1C2D" w:rsidRPr="00AF699A" w:rsidRDefault="006F1C2D" w:rsidP="001B56F1">
            <w:pPr>
              <w:pStyle w:val="TableColumnHeading"/>
              <w:ind w:right="28"/>
              <w:rPr>
                <w:rFonts w:cs="Arial"/>
                <w:sz w:val="18"/>
                <w:szCs w:val="18"/>
              </w:rPr>
            </w:pPr>
            <w:r w:rsidRPr="00AF699A">
              <w:rPr>
                <w:rFonts w:cs="Arial"/>
                <w:sz w:val="18"/>
                <w:szCs w:val="18"/>
              </w:rPr>
              <w:t>2011-12</w:t>
            </w:r>
          </w:p>
        </w:tc>
      </w:tr>
      <w:tr w:rsidR="006F1C2D" w:rsidRPr="006C5A80" w:rsidTr="001B56F1">
        <w:tc>
          <w:tcPr>
            <w:tcW w:w="1960" w:type="pct"/>
            <w:tcBorders>
              <w:bottom w:val="single" w:sz="4" w:space="0" w:color="auto"/>
            </w:tcBorders>
            <w:vAlign w:val="bottom"/>
          </w:tcPr>
          <w:p w:rsidR="006F1C2D" w:rsidRPr="00C944BA" w:rsidRDefault="006F1C2D" w:rsidP="001B56F1">
            <w:pPr>
              <w:pStyle w:val="TableBodyText"/>
              <w:jc w:val="left"/>
            </w:pPr>
            <w:r>
              <w:t>Unallocated other</w:t>
            </w:r>
            <w:r w:rsidRPr="00BD3CDA">
              <w:rPr>
                <w:rStyle w:val="NoteLabel"/>
                <w:szCs w:val="18"/>
              </w:rPr>
              <w:t>a</w:t>
            </w:r>
          </w:p>
        </w:tc>
        <w:tc>
          <w:tcPr>
            <w:tcW w:w="507" w:type="pct"/>
            <w:tcBorders>
              <w:bottom w:val="single" w:sz="4" w:space="0" w:color="auto"/>
            </w:tcBorders>
            <w:vAlign w:val="bottom"/>
          </w:tcPr>
          <w:p w:rsidR="006F1C2D" w:rsidRDefault="006F1C2D" w:rsidP="001B56F1">
            <w:pPr>
              <w:pStyle w:val="TableBodyText"/>
            </w:pPr>
            <w:r>
              <w:t>17.3</w:t>
            </w:r>
          </w:p>
        </w:tc>
        <w:tc>
          <w:tcPr>
            <w:tcW w:w="507" w:type="pct"/>
            <w:tcBorders>
              <w:bottom w:val="single" w:sz="4" w:space="0" w:color="auto"/>
            </w:tcBorders>
            <w:vAlign w:val="bottom"/>
          </w:tcPr>
          <w:p w:rsidR="006F1C2D" w:rsidRDefault="006F1C2D" w:rsidP="001B56F1">
            <w:pPr>
              <w:pStyle w:val="TableBodyText"/>
            </w:pPr>
            <w:r>
              <w:t>18.6</w:t>
            </w:r>
          </w:p>
        </w:tc>
        <w:tc>
          <w:tcPr>
            <w:tcW w:w="507" w:type="pct"/>
            <w:tcBorders>
              <w:bottom w:val="single" w:sz="4" w:space="0" w:color="auto"/>
            </w:tcBorders>
            <w:vAlign w:val="bottom"/>
          </w:tcPr>
          <w:p w:rsidR="006F1C2D" w:rsidRDefault="006F1C2D" w:rsidP="001B56F1">
            <w:pPr>
              <w:pStyle w:val="TableBodyText"/>
            </w:pPr>
            <w:r>
              <w:t>14.5</w:t>
            </w:r>
          </w:p>
        </w:tc>
        <w:tc>
          <w:tcPr>
            <w:tcW w:w="507" w:type="pct"/>
            <w:tcBorders>
              <w:bottom w:val="single" w:sz="4" w:space="0" w:color="auto"/>
            </w:tcBorders>
            <w:vAlign w:val="bottom"/>
          </w:tcPr>
          <w:p w:rsidR="006F1C2D" w:rsidRDefault="006F1C2D" w:rsidP="001B56F1">
            <w:pPr>
              <w:pStyle w:val="TableBodyText"/>
            </w:pPr>
            <w:r>
              <w:t>6.2</w:t>
            </w:r>
          </w:p>
        </w:tc>
        <w:tc>
          <w:tcPr>
            <w:tcW w:w="507" w:type="pct"/>
            <w:tcBorders>
              <w:bottom w:val="single" w:sz="4" w:space="0" w:color="auto"/>
            </w:tcBorders>
            <w:shd w:val="clear" w:color="auto" w:fill="auto"/>
            <w:vAlign w:val="bottom"/>
          </w:tcPr>
          <w:p w:rsidR="006F1C2D" w:rsidRDefault="006F1C2D" w:rsidP="001B56F1">
            <w:pPr>
              <w:pStyle w:val="TableBodyText"/>
            </w:pPr>
            <w:r>
              <w:t>0.2</w:t>
            </w:r>
          </w:p>
        </w:tc>
        <w:tc>
          <w:tcPr>
            <w:tcW w:w="505" w:type="pct"/>
            <w:tcBorders>
              <w:bottom w:val="single" w:sz="4" w:space="0" w:color="auto"/>
            </w:tcBorders>
            <w:shd w:val="clear" w:color="auto" w:fill="auto"/>
            <w:vAlign w:val="bottom"/>
          </w:tcPr>
          <w:p w:rsidR="006F1C2D" w:rsidRDefault="006F1C2D" w:rsidP="001B56F1">
            <w:pPr>
              <w:pStyle w:val="TableBodyText"/>
            </w:pPr>
            <w:r>
              <w:noBreakHyphen/>
            </w:r>
          </w:p>
        </w:tc>
      </w:tr>
    </w:tbl>
    <w:p w:rsidR="006F1C2D" w:rsidRPr="00F60026" w:rsidRDefault="006F1C2D" w:rsidP="006F1C2D">
      <w:pPr>
        <w:pStyle w:val="Source"/>
        <w:spacing w:after="0"/>
        <w:rPr>
          <w:i/>
        </w:rPr>
      </w:pPr>
      <w:r w:rsidRPr="00A2379F">
        <w:noBreakHyphen/>
        <w:t xml:space="preserve"> </w:t>
      </w:r>
      <w:r>
        <w:t>Nil</w:t>
      </w:r>
      <w:r w:rsidRPr="00A2379F">
        <w:t>.</w:t>
      </w:r>
      <w:r w:rsidRPr="00B1392F">
        <w:t xml:space="preserve"> </w:t>
      </w:r>
      <w:r w:rsidRPr="009B56F1">
        <w:rPr>
          <w:rStyle w:val="NoteLabel"/>
        </w:rPr>
        <w:t>a</w:t>
      </w:r>
      <w:r w:rsidRPr="009B56F1">
        <w:t xml:space="preserve"> Unallocated includes general programs where detai</w:t>
      </w:r>
      <w:r>
        <w:t>ls of beneficiaries are unknown.</w:t>
      </w:r>
    </w:p>
    <w:p w:rsidR="006F1C2D" w:rsidRPr="008E77FE" w:rsidRDefault="006F1C2D" w:rsidP="006F1C2D">
      <w:pPr>
        <w:pStyle w:val="Source"/>
      </w:pPr>
      <w:r>
        <w:rPr>
          <w:i/>
        </w:rPr>
        <w:t>Source</w:t>
      </w:r>
      <w:r>
        <w:t>: Commission estimates based on Department of Infrastructure, Transport, Regional Development and Local Government Annual Report 2010</w:t>
      </w:r>
      <w:r>
        <w:noBreakHyphen/>
        <w:t>11 (and earlier years).</w:t>
      </w:r>
    </w:p>
    <w:p w:rsidR="00AB6284" w:rsidRDefault="00FA09C3" w:rsidP="00046054">
      <w:pPr>
        <w:pStyle w:val="Heading2"/>
      </w:pPr>
      <w:r>
        <w:t>A.</w:t>
      </w:r>
      <w:r>
        <w:rPr>
          <w:noProof/>
        </w:rPr>
        <w:t>146</w:t>
      </w:r>
      <w:r w:rsidR="00046054">
        <w:tab/>
        <w:t>Harvesting Productivity Initiative</w:t>
      </w:r>
    </w:p>
    <w:p w:rsidR="00512937" w:rsidRDefault="00512937" w:rsidP="00512937">
      <w:pPr>
        <w:pStyle w:val="BodyText"/>
      </w:pPr>
      <w:r>
        <w:t xml:space="preserve">The Harvesting Productivity Initiative aimed to significantly increase </w:t>
      </w:r>
      <w:r w:rsidRPr="00512937">
        <w:t>understanding of</w:t>
      </w:r>
      <w:r>
        <w:t xml:space="preserve"> the drivers and constraints of </w:t>
      </w:r>
      <w:r w:rsidRPr="00512937">
        <w:t>productivity growth in</w:t>
      </w:r>
      <w:r>
        <w:t xml:space="preserve"> the Australian grains industry </w:t>
      </w:r>
      <w:r w:rsidRPr="00512937">
        <w:t>and identify w</w:t>
      </w:r>
      <w:r>
        <w:t xml:space="preserve">here Grains, Research and Development Corporation (GRDC) investments should be </w:t>
      </w:r>
      <w:r w:rsidRPr="00512937">
        <w:t>targeted to improve</w:t>
      </w:r>
      <w:r>
        <w:t xml:space="preserve"> industry productivity over the </w:t>
      </w:r>
      <w:r w:rsidRPr="00512937">
        <w:t>long term</w:t>
      </w:r>
      <w:r>
        <w:t xml:space="preserve"> (GRDC 2011).</w:t>
      </w:r>
    </w:p>
    <w:p w:rsidR="007B58E8" w:rsidRPr="00512937" w:rsidRDefault="007B58E8" w:rsidP="00512937">
      <w:pPr>
        <w:pStyle w:val="BodyText"/>
      </w:pPr>
      <w:r>
        <w:t xml:space="preserve">The program primarily benefits the grains industry, </w:t>
      </w:r>
      <w:r w:rsidR="00002D75">
        <w:t xml:space="preserve">which is part of the </w:t>
      </w:r>
      <w:r w:rsidRPr="00002D75">
        <w:rPr>
          <w:i/>
        </w:rPr>
        <w:t>Sheep, beef cattle and grain farming</w:t>
      </w:r>
      <w:r>
        <w:t xml:space="preserve"> industry grouping in the Commission’s ANZSIC-based classification (table A.14</w:t>
      </w:r>
      <w:r w:rsidR="00C065C1">
        <w:t>6</w:t>
      </w:r>
      <w:r>
        <w:t>).</w:t>
      </w:r>
    </w:p>
    <w:p w:rsidR="001B56F1" w:rsidRDefault="001B56F1" w:rsidP="001B56F1">
      <w:pPr>
        <w:pStyle w:val="TableTitle"/>
      </w:pPr>
      <w:r>
        <w:rPr>
          <w:b w:val="0"/>
        </w:rPr>
        <w:t xml:space="preserve">Table </w:t>
      </w:r>
      <w:r w:rsidR="00FA09C3">
        <w:rPr>
          <w:b w:val="0"/>
        </w:rPr>
        <w:t>A.</w:t>
      </w:r>
      <w:r w:rsidR="00FA09C3">
        <w:rPr>
          <w:b w:val="0"/>
          <w:noProof/>
        </w:rPr>
        <w:t>146</w:t>
      </w:r>
      <w:r>
        <w:tab/>
        <w:t xml:space="preserve">Allocation of </w:t>
      </w:r>
      <w:r w:rsidR="006D184D">
        <w:t>Harvesting Productivity Initiative</w:t>
      </w:r>
      <w:r w:rsidR="00E471E2" w:rsidRPr="00E471E2">
        <w:t xml:space="preserve"> to industry</w:t>
      </w:r>
      <w:r>
        <w:t>, 2006</w:t>
      </w:r>
      <w:r>
        <w:noBreakHyphen/>
        <w:t>07 to 2011</w:t>
      </w:r>
      <w:r>
        <w:noBreakHyphen/>
        <w:t>12</w:t>
      </w:r>
    </w:p>
    <w:p w:rsidR="001B56F1" w:rsidRDefault="001B56F1" w:rsidP="001B56F1">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1B56F1" w:rsidRPr="00AF699A" w:rsidTr="001B56F1">
        <w:tc>
          <w:tcPr>
            <w:tcW w:w="1960" w:type="pct"/>
            <w:tcBorders>
              <w:top w:val="single" w:sz="6" w:space="0" w:color="auto"/>
              <w:bottom w:val="single" w:sz="6" w:space="0" w:color="auto"/>
            </w:tcBorders>
          </w:tcPr>
          <w:p w:rsidR="001B56F1" w:rsidRPr="00AF699A" w:rsidRDefault="001B56F1"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1B56F1" w:rsidRPr="00AF699A" w:rsidRDefault="001B56F1"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1B56F1" w:rsidRPr="00AF699A" w:rsidRDefault="001B56F1"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1B56F1" w:rsidRPr="00AF699A" w:rsidRDefault="001B56F1"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1B56F1" w:rsidRPr="00AF699A" w:rsidRDefault="001B56F1"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1B56F1" w:rsidRPr="00AF699A" w:rsidRDefault="001B56F1"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1B56F1" w:rsidRPr="00AF699A" w:rsidRDefault="001B56F1" w:rsidP="001B56F1">
            <w:pPr>
              <w:pStyle w:val="TableColumnHeading"/>
              <w:ind w:right="28"/>
              <w:rPr>
                <w:rFonts w:cs="Arial"/>
                <w:sz w:val="18"/>
                <w:szCs w:val="18"/>
              </w:rPr>
            </w:pPr>
            <w:r w:rsidRPr="00AF699A">
              <w:rPr>
                <w:rFonts w:cs="Arial"/>
                <w:sz w:val="18"/>
                <w:szCs w:val="18"/>
              </w:rPr>
              <w:t>2011-12</w:t>
            </w:r>
          </w:p>
        </w:tc>
      </w:tr>
      <w:tr w:rsidR="001B56F1" w:rsidRPr="006C5A80" w:rsidTr="001B56F1">
        <w:tc>
          <w:tcPr>
            <w:tcW w:w="1960" w:type="pct"/>
            <w:tcBorders>
              <w:bottom w:val="single" w:sz="4" w:space="0" w:color="auto"/>
            </w:tcBorders>
            <w:vAlign w:val="bottom"/>
          </w:tcPr>
          <w:p w:rsidR="001B56F1" w:rsidRPr="00C944BA" w:rsidRDefault="001B56F1" w:rsidP="001B56F1">
            <w:pPr>
              <w:pStyle w:val="TableBodyText"/>
              <w:jc w:val="left"/>
            </w:pPr>
            <w:r>
              <w:t>Sheep, beef cattle and grain farming</w:t>
            </w:r>
          </w:p>
        </w:tc>
        <w:tc>
          <w:tcPr>
            <w:tcW w:w="507" w:type="pct"/>
            <w:tcBorders>
              <w:bottom w:val="single" w:sz="4" w:space="0" w:color="auto"/>
            </w:tcBorders>
            <w:vAlign w:val="bottom"/>
          </w:tcPr>
          <w:p w:rsidR="001B56F1" w:rsidRDefault="001B56F1" w:rsidP="001B56F1">
            <w:pPr>
              <w:pStyle w:val="TableBodyText"/>
            </w:pPr>
            <w:r>
              <w:noBreakHyphen/>
            </w:r>
          </w:p>
        </w:tc>
        <w:tc>
          <w:tcPr>
            <w:tcW w:w="507" w:type="pct"/>
            <w:tcBorders>
              <w:bottom w:val="single" w:sz="4" w:space="0" w:color="auto"/>
            </w:tcBorders>
            <w:vAlign w:val="bottom"/>
          </w:tcPr>
          <w:p w:rsidR="001B56F1" w:rsidRDefault="001B56F1" w:rsidP="001B56F1">
            <w:pPr>
              <w:pStyle w:val="TableBodyText"/>
            </w:pPr>
            <w:r>
              <w:noBreakHyphen/>
            </w:r>
          </w:p>
        </w:tc>
        <w:tc>
          <w:tcPr>
            <w:tcW w:w="507" w:type="pct"/>
            <w:tcBorders>
              <w:bottom w:val="single" w:sz="4" w:space="0" w:color="auto"/>
            </w:tcBorders>
            <w:vAlign w:val="bottom"/>
          </w:tcPr>
          <w:p w:rsidR="001B56F1" w:rsidRDefault="001B56F1" w:rsidP="001B56F1">
            <w:pPr>
              <w:pStyle w:val="TableBodyText"/>
            </w:pPr>
            <w:r>
              <w:noBreakHyphen/>
            </w:r>
          </w:p>
        </w:tc>
        <w:tc>
          <w:tcPr>
            <w:tcW w:w="507" w:type="pct"/>
            <w:tcBorders>
              <w:bottom w:val="single" w:sz="4" w:space="0" w:color="auto"/>
            </w:tcBorders>
            <w:vAlign w:val="bottom"/>
          </w:tcPr>
          <w:p w:rsidR="001B56F1" w:rsidRDefault="001B56F1" w:rsidP="001B56F1">
            <w:pPr>
              <w:pStyle w:val="TableBodyText"/>
            </w:pPr>
            <w:r>
              <w:t>1.1</w:t>
            </w:r>
          </w:p>
        </w:tc>
        <w:tc>
          <w:tcPr>
            <w:tcW w:w="507" w:type="pct"/>
            <w:tcBorders>
              <w:bottom w:val="single" w:sz="4" w:space="0" w:color="auto"/>
            </w:tcBorders>
            <w:shd w:val="clear" w:color="auto" w:fill="auto"/>
            <w:vAlign w:val="bottom"/>
          </w:tcPr>
          <w:p w:rsidR="001B56F1" w:rsidRDefault="001B56F1" w:rsidP="001B56F1">
            <w:pPr>
              <w:pStyle w:val="TableBodyText"/>
            </w:pPr>
            <w:r>
              <w:t>0.1</w:t>
            </w:r>
          </w:p>
        </w:tc>
        <w:tc>
          <w:tcPr>
            <w:tcW w:w="505" w:type="pct"/>
            <w:tcBorders>
              <w:bottom w:val="single" w:sz="4" w:space="0" w:color="auto"/>
            </w:tcBorders>
            <w:shd w:val="clear" w:color="auto" w:fill="auto"/>
            <w:vAlign w:val="bottom"/>
          </w:tcPr>
          <w:p w:rsidR="001B56F1" w:rsidRDefault="001B56F1" w:rsidP="001B56F1">
            <w:pPr>
              <w:pStyle w:val="TableBodyText"/>
            </w:pPr>
            <w:r>
              <w:noBreakHyphen/>
            </w:r>
          </w:p>
        </w:tc>
      </w:tr>
    </w:tbl>
    <w:p w:rsidR="001B56F1" w:rsidRPr="00F60026" w:rsidRDefault="001B56F1" w:rsidP="001B56F1">
      <w:pPr>
        <w:pStyle w:val="Source"/>
        <w:spacing w:after="0"/>
        <w:rPr>
          <w:i/>
        </w:rPr>
      </w:pPr>
      <w:r w:rsidRPr="00A2379F">
        <w:noBreakHyphen/>
        <w:t xml:space="preserve"> </w:t>
      </w:r>
      <w:r>
        <w:t>Nil</w:t>
      </w:r>
      <w:r w:rsidRPr="00A2379F">
        <w:t>.</w:t>
      </w:r>
    </w:p>
    <w:p w:rsidR="001B56F1" w:rsidRPr="008E77FE" w:rsidRDefault="001B56F1" w:rsidP="001B56F1">
      <w:pPr>
        <w:pStyle w:val="Source"/>
      </w:pPr>
      <w:r>
        <w:rPr>
          <w:i/>
        </w:rPr>
        <w:t>Source</w:t>
      </w:r>
      <w:r>
        <w:t>: Commission estimates based on Grains Research and Development Corporation Annual Report 2010</w:t>
      </w:r>
      <w:r>
        <w:noBreakHyphen/>
        <w:t>11 (and earlier years).</w:t>
      </w:r>
    </w:p>
    <w:p w:rsidR="00046054" w:rsidRDefault="00FA09C3" w:rsidP="00046054">
      <w:pPr>
        <w:pStyle w:val="Heading2"/>
      </w:pPr>
      <w:r>
        <w:t>A.</w:t>
      </w:r>
      <w:r>
        <w:rPr>
          <w:noProof/>
        </w:rPr>
        <w:t>147</w:t>
      </w:r>
      <w:r w:rsidR="00046054">
        <w:tab/>
        <w:t>Tobacco Grower Adjustment Assistance 2006</w:t>
      </w:r>
    </w:p>
    <w:p w:rsidR="00046054" w:rsidRDefault="00046054" w:rsidP="00046054">
      <w:pPr>
        <w:pStyle w:val="BodyText"/>
      </w:pPr>
      <w:r>
        <w:t>In October 2006, the Australian Government announced a funding package to assist tobacco growers to restructure and move into alternative business activities. As at early 2007, the package comprised funding of $45.9 million, of which former tobacco growers of Northern Queensland would be eligible for up to $23.2 million, with those in Victoria and Southern Queensland eligible for up to $21.8 million and $900 000, respectively. The maximum grant per grower was $150 000 (</w:t>
      </w:r>
      <w:r w:rsidRPr="00C305B5">
        <w:t>McGauran 2006</w:t>
      </w:r>
      <w:r>
        <w:t>).</w:t>
      </w:r>
    </w:p>
    <w:p w:rsidR="00046054" w:rsidRDefault="00046054" w:rsidP="00046054">
      <w:pPr>
        <w:pStyle w:val="BodyText"/>
      </w:pPr>
      <w:r>
        <w:t xml:space="preserve">The package selectively benefits firms involved or previously involved in tobacco growing and funding has been allocated to the </w:t>
      </w:r>
      <w:r w:rsidRPr="00BC1F05">
        <w:rPr>
          <w:i/>
        </w:rPr>
        <w:t>Other crop growing</w:t>
      </w:r>
      <w:r>
        <w:t xml:space="preserve"> industry grouping in the Commission’s ANZSIC-based classification (table A.14</w:t>
      </w:r>
      <w:r w:rsidR="00C065C1">
        <w:t>7</w:t>
      </w:r>
      <w:r>
        <w:t>).</w:t>
      </w:r>
    </w:p>
    <w:p w:rsidR="00046054" w:rsidRDefault="00046054" w:rsidP="00046054">
      <w:pPr>
        <w:pStyle w:val="TableTitle"/>
      </w:pPr>
      <w:r>
        <w:rPr>
          <w:b w:val="0"/>
        </w:rPr>
        <w:t xml:space="preserve">Table </w:t>
      </w:r>
      <w:r w:rsidR="00FA09C3">
        <w:rPr>
          <w:b w:val="0"/>
        </w:rPr>
        <w:t>A.</w:t>
      </w:r>
      <w:r w:rsidR="00FA09C3">
        <w:rPr>
          <w:b w:val="0"/>
          <w:noProof/>
        </w:rPr>
        <w:t>147</w:t>
      </w:r>
      <w:r>
        <w:tab/>
        <w:t>Allocation of Tobacco Grower Adjustment Assistance 2006</w:t>
      </w:r>
      <w:r w:rsidR="00E471E2" w:rsidRPr="00E471E2">
        <w:t xml:space="preserve"> to industry</w:t>
      </w:r>
      <w:r>
        <w:t>, 2006</w:t>
      </w:r>
      <w:r>
        <w:noBreakHyphen/>
        <w:t>07 to 2011</w:t>
      </w:r>
      <w:r>
        <w:noBreakHyphen/>
        <w:t>12</w:t>
      </w:r>
    </w:p>
    <w:p w:rsidR="00046054" w:rsidRDefault="00046054" w:rsidP="00046054">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046054" w:rsidRPr="00AF699A" w:rsidTr="001B56F1">
        <w:tc>
          <w:tcPr>
            <w:tcW w:w="1960" w:type="pct"/>
            <w:tcBorders>
              <w:top w:val="single" w:sz="6" w:space="0" w:color="auto"/>
              <w:bottom w:val="single" w:sz="6" w:space="0" w:color="auto"/>
            </w:tcBorders>
          </w:tcPr>
          <w:p w:rsidR="00046054" w:rsidRPr="00AF699A" w:rsidRDefault="00046054" w:rsidP="001B56F1">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046054" w:rsidRPr="00AF699A" w:rsidRDefault="00046054" w:rsidP="001B56F1">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046054" w:rsidRPr="00AF699A" w:rsidRDefault="00046054" w:rsidP="001B56F1">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046054" w:rsidRPr="00AF699A" w:rsidRDefault="00046054" w:rsidP="001B56F1">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046054" w:rsidRPr="00AF699A" w:rsidRDefault="00046054" w:rsidP="001B56F1">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046054" w:rsidRPr="00AF699A" w:rsidRDefault="00046054" w:rsidP="001B56F1">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046054" w:rsidRPr="00AF699A" w:rsidRDefault="00046054" w:rsidP="001B56F1">
            <w:pPr>
              <w:pStyle w:val="TableColumnHeading"/>
              <w:ind w:right="28"/>
              <w:rPr>
                <w:rFonts w:cs="Arial"/>
                <w:sz w:val="18"/>
                <w:szCs w:val="18"/>
              </w:rPr>
            </w:pPr>
            <w:r w:rsidRPr="00AF699A">
              <w:rPr>
                <w:rFonts w:cs="Arial"/>
                <w:sz w:val="18"/>
                <w:szCs w:val="18"/>
              </w:rPr>
              <w:t>2011-12</w:t>
            </w:r>
          </w:p>
        </w:tc>
      </w:tr>
      <w:tr w:rsidR="00046054" w:rsidRPr="006C5A80" w:rsidTr="001B56F1">
        <w:tc>
          <w:tcPr>
            <w:tcW w:w="1960" w:type="pct"/>
            <w:tcBorders>
              <w:bottom w:val="single" w:sz="4" w:space="0" w:color="auto"/>
            </w:tcBorders>
            <w:vAlign w:val="bottom"/>
          </w:tcPr>
          <w:p w:rsidR="00046054" w:rsidRPr="00C944BA" w:rsidRDefault="00046054" w:rsidP="001B56F1">
            <w:pPr>
              <w:pStyle w:val="TableBodyText"/>
              <w:jc w:val="left"/>
            </w:pPr>
            <w:r>
              <w:t>Other crop growing</w:t>
            </w:r>
          </w:p>
        </w:tc>
        <w:tc>
          <w:tcPr>
            <w:tcW w:w="507" w:type="pct"/>
            <w:tcBorders>
              <w:bottom w:val="single" w:sz="4" w:space="0" w:color="auto"/>
            </w:tcBorders>
            <w:vAlign w:val="bottom"/>
          </w:tcPr>
          <w:p w:rsidR="00046054" w:rsidRPr="00785222" w:rsidRDefault="00046054" w:rsidP="00C07120">
            <w:pPr>
              <w:pStyle w:val="TableBodyText"/>
            </w:pPr>
            <w:r>
              <w:t>30.5</w:t>
            </w:r>
            <w:r w:rsidR="00C07120" w:rsidRPr="00B1392F">
              <w:rPr>
                <w:rStyle w:val="NoteLabel"/>
                <w:sz w:val="20"/>
              </w:rPr>
              <w:t>a</w:t>
            </w:r>
          </w:p>
        </w:tc>
        <w:tc>
          <w:tcPr>
            <w:tcW w:w="507" w:type="pct"/>
            <w:tcBorders>
              <w:bottom w:val="single" w:sz="4" w:space="0" w:color="auto"/>
            </w:tcBorders>
            <w:vAlign w:val="bottom"/>
          </w:tcPr>
          <w:p w:rsidR="00046054" w:rsidRPr="00785222" w:rsidRDefault="00046054" w:rsidP="001B56F1">
            <w:pPr>
              <w:pStyle w:val="TableBodyText"/>
            </w:pPr>
            <w:r w:rsidRPr="00785222">
              <w:t>14.4</w:t>
            </w:r>
          </w:p>
        </w:tc>
        <w:tc>
          <w:tcPr>
            <w:tcW w:w="507" w:type="pct"/>
            <w:tcBorders>
              <w:bottom w:val="single" w:sz="4" w:space="0" w:color="auto"/>
            </w:tcBorders>
            <w:vAlign w:val="bottom"/>
          </w:tcPr>
          <w:p w:rsidR="00046054" w:rsidRPr="00785222" w:rsidRDefault="00046054" w:rsidP="001B56F1">
            <w:pPr>
              <w:pStyle w:val="TableBodyText"/>
            </w:pPr>
            <w:r w:rsidRPr="00785222">
              <w:t>0.3</w:t>
            </w:r>
          </w:p>
        </w:tc>
        <w:tc>
          <w:tcPr>
            <w:tcW w:w="507" w:type="pct"/>
            <w:tcBorders>
              <w:bottom w:val="single" w:sz="4" w:space="0" w:color="auto"/>
            </w:tcBorders>
            <w:vAlign w:val="bottom"/>
          </w:tcPr>
          <w:p w:rsidR="00046054" w:rsidRPr="00785222" w:rsidRDefault="00046054" w:rsidP="001B56F1">
            <w:pPr>
              <w:pStyle w:val="TableBodyText"/>
            </w:pPr>
            <w:r>
              <w:noBreakHyphen/>
            </w:r>
          </w:p>
        </w:tc>
        <w:tc>
          <w:tcPr>
            <w:tcW w:w="507" w:type="pct"/>
            <w:tcBorders>
              <w:bottom w:val="single" w:sz="4" w:space="0" w:color="auto"/>
            </w:tcBorders>
            <w:shd w:val="clear" w:color="auto" w:fill="auto"/>
            <w:vAlign w:val="bottom"/>
          </w:tcPr>
          <w:p w:rsidR="00046054" w:rsidRPr="00785222" w:rsidRDefault="00046054" w:rsidP="001B56F1">
            <w:pPr>
              <w:pStyle w:val="TableBodyText"/>
            </w:pPr>
            <w:r>
              <w:t>&lt;</w:t>
            </w:r>
            <w:r w:rsidRPr="00785222">
              <w:t>0.1</w:t>
            </w:r>
          </w:p>
        </w:tc>
        <w:tc>
          <w:tcPr>
            <w:tcW w:w="505" w:type="pct"/>
            <w:tcBorders>
              <w:bottom w:val="single" w:sz="4" w:space="0" w:color="auto"/>
            </w:tcBorders>
            <w:shd w:val="clear" w:color="auto" w:fill="auto"/>
            <w:vAlign w:val="bottom"/>
          </w:tcPr>
          <w:p w:rsidR="00046054" w:rsidRPr="00785222" w:rsidRDefault="00046054" w:rsidP="001B56F1">
            <w:pPr>
              <w:pStyle w:val="TableBodyText"/>
            </w:pPr>
            <w:r>
              <w:noBreakHyphen/>
            </w:r>
          </w:p>
        </w:tc>
      </w:tr>
    </w:tbl>
    <w:p w:rsidR="00046054" w:rsidRPr="00F60026" w:rsidRDefault="00046054" w:rsidP="00046054">
      <w:pPr>
        <w:pStyle w:val="Source"/>
        <w:spacing w:after="0"/>
        <w:rPr>
          <w:i/>
        </w:rPr>
      </w:pPr>
      <w:r w:rsidRPr="00A2379F">
        <w:noBreakHyphen/>
        <w:t xml:space="preserve"> </w:t>
      </w:r>
      <w:r>
        <w:t>Nil</w:t>
      </w:r>
      <w:r w:rsidRPr="00A2379F">
        <w:t>.</w:t>
      </w:r>
      <w:r>
        <w:t xml:space="preserve"> </w:t>
      </w:r>
      <w:r w:rsidRPr="00B1392F">
        <w:rPr>
          <w:rStyle w:val="NoteLabel"/>
          <w:sz w:val="20"/>
        </w:rPr>
        <w:t>a</w:t>
      </w:r>
      <w:r>
        <w:t xml:space="preserve"> This is a correction – it was published as $39.3 million in TAR 2011</w:t>
      </w:r>
      <w:r>
        <w:noBreakHyphen/>
        <w:t>12</w:t>
      </w:r>
    </w:p>
    <w:p w:rsidR="00046054" w:rsidRDefault="00046054" w:rsidP="00046054">
      <w:pPr>
        <w:pStyle w:val="Source"/>
      </w:pPr>
      <w:r>
        <w:rPr>
          <w:i/>
        </w:rPr>
        <w:t>Sources</w:t>
      </w:r>
      <w:r>
        <w:t>: Commission estimates based on DAFF Annual Report 2010</w:t>
      </w:r>
      <w:r>
        <w:noBreakHyphen/>
        <w:t>11 (and earlier years); and DAFF Portfolio Budget Statements 2007</w:t>
      </w:r>
      <w:r>
        <w:noBreakHyphen/>
        <w:t>08.</w:t>
      </w:r>
    </w:p>
    <w:p w:rsidR="00A24BA7" w:rsidRDefault="00FA09C3" w:rsidP="00A24BA7">
      <w:pPr>
        <w:pStyle w:val="Heading2"/>
      </w:pPr>
      <w:r>
        <w:t>A.</w:t>
      </w:r>
      <w:r>
        <w:rPr>
          <w:noProof/>
        </w:rPr>
        <w:t>148</w:t>
      </w:r>
      <w:r w:rsidR="00A24BA7">
        <w:tab/>
        <w:t>Solar Cities initiative</w:t>
      </w:r>
    </w:p>
    <w:p w:rsidR="00A24BA7" w:rsidRDefault="00A24BA7" w:rsidP="00A24BA7">
      <w:pPr>
        <w:pStyle w:val="BodyText"/>
      </w:pPr>
      <w:r>
        <w:t xml:space="preserve">Announced in June 2004, the Solar Cities Initiative provided subsidies for trials of specific solar and energy efficiency technologies and their installation into residential and commercial buildings. The trials were intended to showcase the market viability of solar energy and energy efficiency technologies, and their economic and environmental benefits. The initiative was implemented in seven separate electricity grid-connected areas around Australia. </w:t>
      </w:r>
    </w:p>
    <w:p w:rsidR="00A24BA7" w:rsidRDefault="00A24BA7" w:rsidP="00A24BA7">
      <w:pPr>
        <w:pStyle w:val="BodyText"/>
      </w:pPr>
      <w:r>
        <w:t xml:space="preserve">The program has been allocated to the </w:t>
      </w:r>
      <w:r w:rsidRPr="00D469B8">
        <w:rPr>
          <w:i/>
        </w:rPr>
        <w:t>Property,</w:t>
      </w:r>
      <w:r>
        <w:t xml:space="preserve"> </w:t>
      </w:r>
      <w:r w:rsidRPr="00D469B8">
        <w:rPr>
          <w:i/>
        </w:rPr>
        <w:t>p</w:t>
      </w:r>
      <w:r w:rsidRPr="001227A2">
        <w:rPr>
          <w:i/>
        </w:rPr>
        <w:t>rofessional</w:t>
      </w:r>
      <w:r>
        <w:rPr>
          <w:i/>
        </w:rPr>
        <w:t xml:space="preserve"> </w:t>
      </w:r>
      <w:r w:rsidRPr="001227A2">
        <w:rPr>
          <w:i/>
        </w:rPr>
        <w:t xml:space="preserve">and </w:t>
      </w:r>
      <w:r>
        <w:rPr>
          <w:i/>
        </w:rPr>
        <w:t>a</w:t>
      </w:r>
      <w:r w:rsidRPr="001227A2">
        <w:rPr>
          <w:i/>
        </w:rPr>
        <w:t>dministrative services</w:t>
      </w:r>
      <w:r>
        <w:t xml:space="preserve"> industry grouping in the Commission’s ANZSIC-based classification (table A.14</w:t>
      </w:r>
      <w:r w:rsidR="00C065C1">
        <w:t>8</w:t>
      </w:r>
      <w:r>
        <w:t>).</w:t>
      </w:r>
    </w:p>
    <w:p w:rsidR="00A24BA7" w:rsidRDefault="00A24BA7" w:rsidP="00A24BA7">
      <w:pPr>
        <w:pStyle w:val="TableTitle"/>
      </w:pPr>
      <w:r>
        <w:rPr>
          <w:b w:val="0"/>
        </w:rPr>
        <w:t xml:space="preserve">Table </w:t>
      </w:r>
      <w:r w:rsidR="00FA09C3">
        <w:rPr>
          <w:b w:val="0"/>
        </w:rPr>
        <w:t>A.</w:t>
      </w:r>
      <w:r w:rsidR="00FA09C3">
        <w:rPr>
          <w:b w:val="0"/>
          <w:noProof/>
        </w:rPr>
        <w:t>148</w:t>
      </w:r>
      <w:r>
        <w:tab/>
        <w:t>Allocation of Solar Cities Initiative</w:t>
      </w:r>
      <w:r w:rsidR="00E471E2" w:rsidRPr="00E471E2">
        <w:t xml:space="preserve"> to industry</w:t>
      </w:r>
      <w:r>
        <w:t>, 2006</w:t>
      </w:r>
      <w:r>
        <w:noBreakHyphen/>
        <w:t>07 to 2011</w:t>
      </w:r>
      <w:r>
        <w:noBreakHyphen/>
        <w:t>12</w:t>
      </w:r>
    </w:p>
    <w:p w:rsidR="00A24BA7" w:rsidRDefault="00A24BA7" w:rsidP="00A24BA7">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A24BA7" w:rsidRPr="00AF699A" w:rsidTr="005151A7">
        <w:tc>
          <w:tcPr>
            <w:tcW w:w="1960" w:type="pct"/>
            <w:tcBorders>
              <w:top w:val="single" w:sz="6" w:space="0" w:color="auto"/>
              <w:bottom w:val="single" w:sz="6" w:space="0" w:color="auto"/>
            </w:tcBorders>
          </w:tcPr>
          <w:p w:rsidR="00A24BA7" w:rsidRPr="00AF699A" w:rsidRDefault="00A24BA7" w:rsidP="005151A7">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A24BA7" w:rsidRPr="00AF699A" w:rsidRDefault="00A24BA7" w:rsidP="005151A7">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A24BA7" w:rsidRPr="00AF699A" w:rsidRDefault="00A24BA7" w:rsidP="005151A7">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A24BA7" w:rsidRPr="00AF699A" w:rsidRDefault="00A24BA7" w:rsidP="005151A7">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A24BA7" w:rsidRPr="00AF699A" w:rsidRDefault="00A24BA7" w:rsidP="005151A7">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A24BA7" w:rsidRPr="00AF699A" w:rsidRDefault="00A24BA7" w:rsidP="005151A7">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A24BA7" w:rsidRPr="00AF699A" w:rsidRDefault="00A24BA7" w:rsidP="005151A7">
            <w:pPr>
              <w:pStyle w:val="TableColumnHeading"/>
              <w:ind w:right="28"/>
              <w:rPr>
                <w:rFonts w:cs="Arial"/>
                <w:sz w:val="18"/>
                <w:szCs w:val="18"/>
              </w:rPr>
            </w:pPr>
            <w:r w:rsidRPr="00AF699A">
              <w:rPr>
                <w:rFonts w:cs="Arial"/>
                <w:sz w:val="18"/>
                <w:szCs w:val="18"/>
              </w:rPr>
              <w:t>2011-12</w:t>
            </w:r>
          </w:p>
        </w:tc>
      </w:tr>
      <w:tr w:rsidR="00A24BA7" w:rsidRPr="006C5A80" w:rsidTr="005151A7">
        <w:tc>
          <w:tcPr>
            <w:tcW w:w="1960" w:type="pct"/>
            <w:tcBorders>
              <w:bottom w:val="single" w:sz="4" w:space="0" w:color="auto"/>
            </w:tcBorders>
            <w:vAlign w:val="bottom"/>
          </w:tcPr>
          <w:p w:rsidR="00A24BA7" w:rsidRPr="00C944BA" w:rsidRDefault="00A24BA7" w:rsidP="005151A7">
            <w:pPr>
              <w:pStyle w:val="TableBodyText"/>
              <w:jc w:val="left"/>
            </w:pPr>
            <w:r>
              <w:t>Property, professional and administrative services</w:t>
            </w:r>
          </w:p>
        </w:tc>
        <w:tc>
          <w:tcPr>
            <w:tcW w:w="507" w:type="pct"/>
            <w:tcBorders>
              <w:bottom w:val="single" w:sz="4" w:space="0" w:color="auto"/>
            </w:tcBorders>
            <w:vAlign w:val="bottom"/>
          </w:tcPr>
          <w:p w:rsidR="00A24BA7" w:rsidRPr="00C9510D" w:rsidRDefault="00A24BA7" w:rsidP="005151A7">
            <w:pPr>
              <w:pStyle w:val="TableBodyText"/>
            </w:pPr>
            <w:r w:rsidRPr="00C9510D">
              <w:t>3.0</w:t>
            </w:r>
          </w:p>
        </w:tc>
        <w:tc>
          <w:tcPr>
            <w:tcW w:w="507" w:type="pct"/>
            <w:tcBorders>
              <w:bottom w:val="single" w:sz="4" w:space="0" w:color="auto"/>
            </w:tcBorders>
            <w:vAlign w:val="bottom"/>
          </w:tcPr>
          <w:p w:rsidR="00A24BA7" w:rsidRPr="00C9510D" w:rsidRDefault="00A24BA7" w:rsidP="005151A7">
            <w:pPr>
              <w:pStyle w:val="TableBodyText"/>
            </w:pPr>
            <w:r w:rsidRPr="00C9510D">
              <w:t>9.1</w:t>
            </w:r>
          </w:p>
        </w:tc>
        <w:tc>
          <w:tcPr>
            <w:tcW w:w="507" w:type="pct"/>
            <w:tcBorders>
              <w:bottom w:val="single" w:sz="4" w:space="0" w:color="auto"/>
            </w:tcBorders>
            <w:vAlign w:val="bottom"/>
          </w:tcPr>
          <w:p w:rsidR="00A24BA7" w:rsidRPr="00C9510D" w:rsidRDefault="00A24BA7" w:rsidP="005151A7">
            <w:pPr>
              <w:pStyle w:val="TableBodyText"/>
            </w:pPr>
            <w:r w:rsidRPr="00C9510D">
              <w:t>7.2</w:t>
            </w:r>
          </w:p>
        </w:tc>
        <w:tc>
          <w:tcPr>
            <w:tcW w:w="507" w:type="pct"/>
            <w:tcBorders>
              <w:bottom w:val="single" w:sz="4" w:space="0" w:color="auto"/>
            </w:tcBorders>
            <w:vAlign w:val="bottom"/>
          </w:tcPr>
          <w:p w:rsidR="00A24BA7" w:rsidRPr="00C9510D" w:rsidRDefault="00A24BA7" w:rsidP="005151A7">
            <w:pPr>
              <w:pStyle w:val="TableBodyText"/>
            </w:pPr>
            <w:r w:rsidRPr="00C9510D">
              <w:t>11.7</w:t>
            </w:r>
          </w:p>
        </w:tc>
        <w:tc>
          <w:tcPr>
            <w:tcW w:w="507" w:type="pct"/>
            <w:tcBorders>
              <w:bottom w:val="single" w:sz="4" w:space="0" w:color="auto"/>
            </w:tcBorders>
            <w:shd w:val="clear" w:color="auto" w:fill="auto"/>
            <w:vAlign w:val="bottom"/>
          </w:tcPr>
          <w:p w:rsidR="00A24BA7" w:rsidRPr="00C9510D" w:rsidRDefault="00A24BA7" w:rsidP="005151A7">
            <w:pPr>
              <w:pStyle w:val="TableBodyText"/>
            </w:pPr>
            <w:r>
              <w:noBreakHyphen/>
            </w:r>
          </w:p>
        </w:tc>
        <w:tc>
          <w:tcPr>
            <w:tcW w:w="505" w:type="pct"/>
            <w:tcBorders>
              <w:bottom w:val="single" w:sz="4" w:space="0" w:color="auto"/>
            </w:tcBorders>
            <w:shd w:val="clear" w:color="auto" w:fill="auto"/>
            <w:vAlign w:val="bottom"/>
          </w:tcPr>
          <w:p w:rsidR="00A24BA7" w:rsidRPr="00C9510D" w:rsidRDefault="00A24BA7" w:rsidP="005151A7">
            <w:pPr>
              <w:pStyle w:val="TableBodyText"/>
            </w:pPr>
            <w:r>
              <w:noBreakHyphen/>
            </w:r>
          </w:p>
        </w:tc>
      </w:tr>
    </w:tbl>
    <w:p w:rsidR="00A24BA7" w:rsidRPr="00F60026" w:rsidRDefault="00A24BA7" w:rsidP="00A24BA7">
      <w:pPr>
        <w:pStyle w:val="Source"/>
        <w:spacing w:after="0"/>
        <w:rPr>
          <w:i/>
        </w:rPr>
      </w:pPr>
      <w:r w:rsidRPr="00A2379F">
        <w:noBreakHyphen/>
        <w:t xml:space="preserve"> </w:t>
      </w:r>
      <w:r>
        <w:t>Nil</w:t>
      </w:r>
      <w:r w:rsidRPr="00A2379F">
        <w:t>.</w:t>
      </w:r>
    </w:p>
    <w:p w:rsidR="00A24BA7" w:rsidRDefault="00A24BA7" w:rsidP="00A24BA7">
      <w:pPr>
        <w:pStyle w:val="Source"/>
      </w:pPr>
      <w:r>
        <w:rPr>
          <w:i/>
        </w:rPr>
        <w:t>Sources</w:t>
      </w:r>
      <w:r>
        <w:t>: Commission estimates based on Department of Environment, Water, Heritage and the Arts Annual Report 2009</w:t>
      </w:r>
      <w:r>
        <w:noBreakHyphen/>
        <w:t>10 (and earlier years); and Department of Environment and Water Resources 2007</w:t>
      </w:r>
      <w:r>
        <w:noBreakHyphen/>
        <w:t>08 (and earlier years).</w:t>
      </w:r>
    </w:p>
    <w:p w:rsidR="00A24BA7" w:rsidRDefault="00FA09C3" w:rsidP="00A24BA7">
      <w:pPr>
        <w:pStyle w:val="Heading2"/>
      </w:pPr>
      <w:r>
        <w:t>A.</w:t>
      </w:r>
      <w:r>
        <w:rPr>
          <w:noProof/>
        </w:rPr>
        <w:t>149</w:t>
      </w:r>
      <w:r w:rsidR="00A24BA7">
        <w:tab/>
        <w:t xml:space="preserve">Innovation </w:t>
      </w:r>
      <w:r w:rsidR="00C07120">
        <w:t xml:space="preserve">and </w:t>
      </w:r>
      <w:r w:rsidR="00A24BA7">
        <w:t>Investment Fund for South Australia</w:t>
      </w:r>
    </w:p>
    <w:p w:rsidR="00A24BA7" w:rsidRDefault="00A24BA7" w:rsidP="00A24BA7">
      <w:pPr>
        <w:pStyle w:val="BodyText"/>
      </w:pPr>
      <w:r>
        <w:t>The Innovation and Investment Fund for South Australia (Structural Adjustment Package (Electrolux)) (IIFSA) was introduced in 2006 following a decision by Electrolux to close some of its manufacturing operations in Adelaide (</w:t>
      </w:r>
      <w:r w:rsidRPr="00C305B5">
        <w:t>DIISR 2011; Howard 2006</w:t>
      </w:r>
      <w:r>
        <w:t xml:space="preserve">). The package consisted of contributions of $25 million from the Australian Government and $5 million from the South Australian Government, and aimed to </w:t>
      </w:r>
      <w:r w:rsidRPr="00BA4355">
        <w:t>support new investment to create sustainable job opportunities in South Australia</w:t>
      </w:r>
      <w:r>
        <w:t>.</w:t>
      </w:r>
    </w:p>
    <w:p w:rsidR="00A24BA7" w:rsidRDefault="00A24BA7" w:rsidP="00A24BA7">
      <w:pPr>
        <w:pStyle w:val="BodyText"/>
      </w:pPr>
      <w:r>
        <w:t>The Fund closed for new applications in 2007.</w:t>
      </w:r>
    </w:p>
    <w:p w:rsidR="00A24BA7" w:rsidRDefault="00A24BA7" w:rsidP="00A24BA7">
      <w:pPr>
        <w:pStyle w:val="BodyText"/>
      </w:pPr>
      <w:r>
        <w:t>The DIISR provided the Commission with information on the industry incidence of IIFSA funding by the ANZSIC industry classification. These industry shares have been used to allocate IIFSA program funding across the Commission’s ANZSIC-based industry groupings (table A.14</w:t>
      </w:r>
      <w:r w:rsidR="00C065C1">
        <w:t>9</w:t>
      </w:r>
      <w:r>
        <w:t>).</w:t>
      </w:r>
    </w:p>
    <w:p w:rsidR="00A24BA7" w:rsidRDefault="00A24BA7" w:rsidP="00A24BA7">
      <w:pPr>
        <w:pStyle w:val="TableTitle"/>
      </w:pPr>
      <w:r>
        <w:rPr>
          <w:b w:val="0"/>
        </w:rPr>
        <w:t xml:space="preserve">Table </w:t>
      </w:r>
      <w:r w:rsidR="00FA09C3">
        <w:rPr>
          <w:b w:val="0"/>
        </w:rPr>
        <w:t>A.</w:t>
      </w:r>
      <w:r w:rsidR="00FA09C3">
        <w:rPr>
          <w:b w:val="0"/>
          <w:noProof/>
        </w:rPr>
        <w:t>149</w:t>
      </w:r>
      <w:r>
        <w:tab/>
        <w:t xml:space="preserve">Allocation of Innovation </w:t>
      </w:r>
      <w:r w:rsidR="00C07120">
        <w:t xml:space="preserve">and </w:t>
      </w:r>
      <w:r>
        <w:t xml:space="preserve">Investment Fund for South Australia </w:t>
      </w:r>
      <w:r w:rsidR="00E471E2" w:rsidRPr="00E471E2">
        <w:t>to industry</w:t>
      </w:r>
      <w:r>
        <w:t>, 2006</w:t>
      </w:r>
      <w:r>
        <w:noBreakHyphen/>
        <w:t>07 to 2011</w:t>
      </w:r>
      <w:r>
        <w:noBreakHyphen/>
        <w:t>12</w:t>
      </w:r>
    </w:p>
    <w:p w:rsidR="00A24BA7" w:rsidRDefault="00A24BA7" w:rsidP="00A24BA7">
      <w:pPr>
        <w:pStyle w:val="Subtitle"/>
      </w:pPr>
      <w:r>
        <w:t>$ million (nominal)</w:t>
      </w:r>
    </w:p>
    <w:tbl>
      <w:tblPr>
        <w:tblW w:w="5000" w:type="pct"/>
        <w:tblCellMar>
          <w:left w:w="0" w:type="dxa"/>
          <w:right w:w="0" w:type="dxa"/>
        </w:tblCellMar>
        <w:tblLook w:val="0000" w:firstRow="0" w:lastRow="0" w:firstColumn="0" w:lastColumn="0" w:noHBand="0" w:noVBand="0"/>
      </w:tblPr>
      <w:tblGrid>
        <w:gridCol w:w="3421"/>
        <w:gridCol w:w="1030"/>
        <w:gridCol w:w="870"/>
        <w:gridCol w:w="870"/>
        <w:gridCol w:w="870"/>
        <w:gridCol w:w="870"/>
        <w:gridCol w:w="858"/>
      </w:tblGrid>
      <w:tr w:rsidR="00A24BA7" w:rsidRPr="003758FD" w:rsidTr="005151A7">
        <w:trPr>
          <w:trHeight w:val="227"/>
        </w:trPr>
        <w:tc>
          <w:tcPr>
            <w:tcW w:w="1946" w:type="pct"/>
            <w:tcBorders>
              <w:top w:val="single" w:sz="6" w:space="0" w:color="auto"/>
              <w:bottom w:val="single" w:sz="6" w:space="0" w:color="auto"/>
            </w:tcBorders>
          </w:tcPr>
          <w:p w:rsidR="00A24BA7" w:rsidRPr="003758FD" w:rsidRDefault="00A24BA7" w:rsidP="005151A7">
            <w:pPr>
              <w:pStyle w:val="TableColumnHeading"/>
              <w:jc w:val="left"/>
              <w:rPr>
                <w:sz w:val="18"/>
                <w:szCs w:val="18"/>
              </w:rPr>
            </w:pPr>
            <w:r w:rsidRPr="003758FD">
              <w:rPr>
                <w:sz w:val="18"/>
                <w:szCs w:val="18"/>
              </w:rPr>
              <w:t>Industry grouping</w:t>
            </w:r>
          </w:p>
        </w:tc>
        <w:tc>
          <w:tcPr>
            <w:tcW w:w="586" w:type="pct"/>
            <w:tcBorders>
              <w:top w:val="single" w:sz="6" w:space="0" w:color="auto"/>
              <w:bottom w:val="single" w:sz="6" w:space="0" w:color="auto"/>
            </w:tcBorders>
          </w:tcPr>
          <w:p w:rsidR="00A24BA7" w:rsidRPr="003758FD" w:rsidRDefault="00A24BA7" w:rsidP="005151A7">
            <w:pPr>
              <w:pStyle w:val="TableColumnHeading"/>
              <w:ind w:right="28"/>
              <w:rPr>
                <w:sz w:val="18"/>
                <w:szCs w:val="18"/>
              </w:rPr>
            </w:pPr>
            <w:r w:rsidRPr="003758FD">
              <w:rPr>
                <w:sz w:val="18"/>
                <w:szCs w:val="18"/>
              </w:rPr>
              <w:t>2006-07</w:t>
            </w:r>
          </w:p>
        </w:tc>
        <w:tc>
          <w:tcPr>
            <w:tcW w:w="495" w:type="pct"/>
            <w:tcBorders>
              <w:top w:val="single" w:sz="6" w:space="0" w:color="auto"/>
              <w:bottom w:val="single" w:sz="6" w:space="0" w:color="auto"/>
            </w:tcBorders>
          </w:tcPr>
          <w:p w:rsidR="00A24BA7" w:rsidRPr="003758FD" w:rsidRDefault="00A24BA7" w:rsidP="005151A7">
            <w:pPr>
              <w:pStyle w:val="TableColumnHeading"/>
              <w:ind w:right="28"/>
              <w:rPr>
                <w:sz w:val="18"/>
                <w:szCs w:val="18"/>
              </w:rPr>
            </w:pPr>
            <w:r w:rsidRPr="003758FD">
              <w:rPr>
                <w:sz w:val="18"/>
                <w:szCs w:val="18"/>
              </w:rPr>
              <w:t>2007-08</w:t>
            </w:r>
          </w:p>
        </w:tc>
        <w:tc>
          <w:tcPr>
            <w:tcW w:w="495" w:type="pct"/>
            <w:tcBorders>
              <w:top w:val="single" w:sz="6" w:space="0" w:color="auto"/>
              <w:bottom w:val="single" w:sz="6" w:space="0" w:color="auto"/>
            </w:tcBorders>
          </w:tcPr>
          <w:p w:rsidR="00A24BA7" w:rsidRPr="003758FD" w:rsidRDefault="00A24BA7" w:rsidP="005151A7">
            <w:pPr>
              <w:pStyle w:val="TableColumnHeading"/>
              <w:ind w:right="28"/>
              <w:rPr>
                <w:sz w:val="18"/>
                <w:szCs w:val="18"/>
              </w:rPr>
            </w:pPr>
            <w:r w:rsidRPr="003758FD">
              <w:rPr>
                <w:sz w:val="18"/>
                <w:szCs w:val="18"/>
              </w:rPr>
              <w:t>2008-09</w:t>
            </w:r>
          </w:p>
        </w:tc>
        <w:tc>
          <w:tcPr>
            <w:tcW w:w="495" w:type="pct"/>
            <w:tcBorders>
              <w:top w:val="single" w:sz="6" w:space="0" w:color="auto"/>
              <w:bottom w:val="single" w:sz="6" w:space="0" w:color="auto"/>
            </w:tcBorders>
            <w:shd w:val="clear" w:color="auto" w:fill="auto"/>
          </w:tcPr>
          <w:p w:rsidR="00A24BA7" w:rsidRPr="003758FD" w:rsidRDefault="00A24BA7" w:rsidP="005151A7">
            <w:pPr>
              <w:pStyle w:val="TableColumnHeading"/>
              <w:ind w:right="28"/>
              <w:rPr>
                <w:sz w:val="18"/>
                <w:szCs w:val="18"/>
              </w:rPr>
            </w:pPr>
            <w:r w:rsidRPr="003758FD">
              <w:rPr>
                <w:sz w:val="18"/>
                <w:szCs w:val="18"/>
              </w:rPr>
              <w:t>2009-10</w:t>
            </w:r>
          </w:p>
        </w:tc>
        <w:tc>
          <w:tcPr>
            <w:tcW w:w="495" w:type="pct"/>
            <w:tcBorders>
              <w:top w:val="single" w:sz="6" w:space="0" w:color="auto"/>
              <w:bottom w:val="single" w:sz="6" w:space="0" w:color="auto"/>
            </w:tcBorders>
            <w:shd w:val="clear" w:color="auto" w:fill="auto"/>
          </w:tcPr>
          <w:p w:rsidR="00A24BA7" w:rsidRPr="003758FD" w:rsidRDefault="00A24BA7" w:rsidP="005151A7">
            <w:pPr>
              <w:pStyle w:val="TableColumnHeading"/>
              <w:ind w:right="28"/>
              <w:rPr>
                <w:sz w:val="18"/>
                <w:szCs w:val="18"/>
              </w:rPr>
            </w:pPr>
            <w:r w:rsidRPr="003758FD">
              <w:rPr>
                <w:sz w:val="18"/>
                <w:szCs w:val="18"/>
              </w:rPr>
              <w:t>2010-11</w:t>
            </w:r>
          </w:p>
        </w:tc>
        <w:tc>
          <w:tcPr>
            <w:tcW w:w="488" w:type="pct"/>
            <w:tcBorders>
              <w:top w:val="single" w:sz="6" w:space="0" w:color="auto"/>
              <w:bottom w:val="single" w:sz="6" w:space="0" w:color="auto"/>
            </w:tcBorders>
            <w:shd w:val="clear" w:color="auto" w:fill="auto"/>
          </w:tcPr>
          <w:p w:rsidR="00A24BA7" w:rsidRPr="003758FD" w:rsidRDefault="00A24BA7" w:rsidP="005151A7">
            <w:pPr>
              <w:pStyle w:val="TableColumnHeading"/>
              <w:ind w:right="28"/>
              <w:rPr>
                <w:sz w:val="18"/>
                <w:szCs w:val="18"/>
              </w:rPr>
            </w:pPr>
            <w:r w:rsidRPr="003758FD">
              <w:rPr>
                <w:sz w:val="18"/>
                <w:szCs w:val="18"/>
              </w:rPr>
              <w:t>2011-12</w:t>
            </w:r>
          </w:p>
        </w:tc>
      </w:tr>
      <w:tr w:rsidR="00A24BA7" w:rsidTr="005151A7">
        <w:trPr>
          <w:trHeight w:val="227"/>
        </w:trPr>
        <w:tc>
          <w:tcPr>
            <w:tcW w:w="1946" w:type="pct"/>
            <w:tcBorders>
              <w:top w:val="single" w:sz="6" w:space="0" w:color="auto"/>
            </w:tcBorders>
            <w:vAlign w:val="bottom"/>
          </w:tcPr>
          <w:p w:rsidR="00A24BA7" w:rsidRPr="00DC145C" w:rsidRDefault="00A24BA7" w:rsidP="005151A7">
            <w:pPr>
              <w:pStyle w:val="TableBodyText"/>
              <w:jc w:val="left"/>
              <w:rPr>
                <w:b/>
                <w:sz w:val="18"/>
                <w:szCs w:val="18"/>
              </w:rPr>
            </w:pPr>
            <w:r w:rsidRPr="00DC145C">
              <w:rPr>
                <w:b/>
                <w:sz w:val="18"/>
                <w:szCs w:val="18"/>
              </w:rPr>
              <w:t>Primary production</w:t>
            </w:r>
          </w:p>
        </w:tc>
        <w:tc>
          <w:tcPr>
            <w:tcW w:w="586" w:type="pct"/>
            <w:tcBorders>
              <w:top w:val="single" w:sz="6" w:space="0" w:color="auto"/>
            </w:tcBorders>
            <w:vAlign w:val="bottom"/>
          </w:tcPr>
          <w:p w:rsidR="00A24BA7" w:rsidRPr="00CD46AA" w:rsidRDefault="00A24BA7" w:rsidP="005151A7">
            <w:pPr>
              <w:pStyle w:val="TableBodyText"/>
              <w:rPr>
                <w:b/>
                <w:sz w:val="18"/>
                <w:szCs w:val="18"/>
              </w:rPr>
            </w:pPr>
            <w:r w:rsidRPr="00CD46AA">
              <w:rPr>
                <w:b/>
                <w:sz w:val="18"/>
                <w:szCs w:val="18"/>
              </w:rPr>
              <w:noBreakHyphen/>
            </w:r>
          </w:p>
        </w:tc>
        <w:tc>
          <w:tcPr>
            <w:tcW w:w="495" w:type="pct"/>
            <w:tcBorders>
              <w:top w:val="single" w:sz="6" w:space="0" w:color="auto"/>
            </w:tcBorders>
            <w:vAlign w:val="bottom"/>
          </w:tcPr>
          <w:p w:rsidR="00A24BA7" w:rsidRPr="00CD46AA" w:rsidRDefault="00A24BA7" w:rsidP="005151A7">
            <w:pPr>
              <w:pStyle w:val="TableBodyText"/>
              <w:rPr>
                <w:b/>
                <w:sz w:val="18"/>
                <w:szCs w:val="18"/>
              </w:rPr>
            </w:pPr>
            <w:r w:rsidRPr="00CD46AA">
              <w:rPr>
                <w:b/>
                <w:sz w:val="18"/>
                <w:szCs w:val="18"/>
              </w:rPr>
              <w:t>0.2</w:t>
            </w:r>
          </w:p>
        </w:tc>
        <w:tc>
          <w:tcPr>
            <w:tcW w:w="495" w:type="pct"/>
            <w:tcBorders>
              <w:top w:val="single" w:sz="6" w:space="0" w:color="auto"/>
            </w:tcBorders>
            <w:vAlign w:val="bottom"/>
          </w:tcPr>
          <w:p w:rsidR="00A24BA7" w:rsidRPr="00CD46AA" w:rsidRDefault="00A24BA7" w:rsidP="005151A7">
            <w:pPr>
              <w:pStyle w:val="TableBodyText"/>
              <w:rPr>
                <w:b/>
                <w:sz w:val="18"/>
                <w:szCs w:val="18"/>
              </w:rPr>
            </w:pPr>
            <w:r w:rsidRPr="00CD46AA">
              <w:rPr>
                <w:b/>
                <w:sz w:val="18"/>
                <w:szCs w:val="18"/>
              </w:rPr>
              <w:noBreakHyphen/>
            </w:r>
          </w:p>
        </w:tc>
        <w:tc>
          <w:tcPr>
            <w:tcW w:w="495" w:type="pct"/>
            <w:tcBorders>
              <w:top w:val="single" w:sz="6" w:space="0" w:color="auto"/>
            </w:tcBorders>
            <w:vAlign w:val="bottom"/>
          </w:tcPr>
          <w:p w:rsidR="00A24BA7" w:rsidRPr="00CD46AA" w:rsidRDefault="00A24BA7" w:rsidP="005151A7">
            <w:pPr>
              <w:pStyle w:val="TableBodyText"/>
              <w:rPr>
                <w:b/>
                <w:sz w:val="18"/>
                <w:szCs w:val="18"/>
              </w:rPr>
            </w:pPr>
            <w:r w:rsidRPr="00CD46AA">
              <w:rPr>
                <w:b/>
                <w:sz w:val="18"/>
                <w:szCs w:val="18"/>
              </w:rPr>
              <w:noBreakHyphen/>
            </w:r>
          </w:p>
        </w:tc>
        <w:tc>
          <w:tcPr>
            <w:tcW w:w="495" w:type="pct"/>
            <w:tcBorders>
              <w:top w:val="single" w:sz="6" w:space="0" w:color="auto"/>
            </w:tcBorders>
            <w:vAlign w:val="bottom"/>
          </w:tcPr>
          <w:p w:rsidR="00A24BA7" w:rsidRPr="00CD46AA" w:rsidRDefault="00A24BA7" w:rsidP="005151A7">
            <w:pPr>
              <w:pStyle w:val="TableBodyText"/>
              <w:rPr>
                <w:b/>
                <w:sz w:val="18"/>
                <w:szCs w:val="18"/>
              </w:rPr>
            </w:pPr>
            <w:r w:rsidRPr="00CD46AA">
              <w:rPr>
                <w:b/>
                <w:sz w:val="18"/>
                <w:szCs w:val="18"/>
              </w:rPr>
              <w:noBreakHyphen/>
            </w:r>
          </w:p>
        </w:tc>
        <w:tc>
          <w:tcPr>
            <w:tcW w:w="488" w:type="pct"/>
            <w:tcBorders>
              <w:top w:val="single" w:sz="6" w:space="0" w:color="auto"/>
            </w:tcBorders>
            <w:vAlign w:val="bottom"/>
          </w:tcPr>
          <w:p w:rsidR="00A24BA7" w:rsidRPr="00CD46AA" w:rsidRDefault="00A24BA7" w:rsidP="005151A7">
            <w:pPr>
              <w:pStyle w:val="TableBodyText"/>
              <w:rPr>
                <w:b/>
                <w:sz w:val="18"/>
                <w:szCs w:val="18"/>
              </w:rPr>
            </w:pPr>
            <w:r w:rsidRPr="00CD46AA">
              <w:rPr>
                <w:b/>
                <w:sz w:val="18"/>
                <w:szCs w:val="18"/>
              </w:rPr>
              <w:noBreakHyphen/>
            </w:r>
          </w:p>
        </w:tc>
      </w:tr>
      <w:tr w:rsidR="00A24BA7" w:rsidTr="005151A7">
        <w:trPr>
          <w:trHeight w:val="227"/>
        </w:trPr>
        <w:tc>
          <w:tcPr>
            <w:tcW w:w="1946" w:type="pct"/>
            <w:vAlign w:val="bottom"/>
          </w:tcPr>
          <w:p w:rsidR="00A24BA7" w:rsidRPr="007758AB" w:rsidRDefault="00A24BA7" w:rsidP="005151A7">
            <w:pPr>
              <w:pStyle w:val="TableBodyText"/>
              <w:jc w:val="left"/>
              <w:rPr>
                <w:sz w:val="18"/>
                <w:szCs w:val="18"/>
              </w:rPr>
            </w:pPr>
            <w:r>
              <w:rPr>
                <w:sz w:val="18"/>
                <w:szCs w:val="18"/>
              </w:rPr>
              <w:t>Primary production support services</w:t>
            </w:r>
          </w:p>
        </w:tc>
        <w:tc>
          <w:tcPr>
            <w:tcW w:w="586" w:type="pct"/>
            <w:vAlign w:val="bottom"/>
          </w:tcPr>
          <w:p w:rsidR="00A24BA7" w:rsidRPr="00CD46AA" w:rsidRDefault="00A24BA7" w:rsidP="005151A7">
            <w:pPr>
              <w:pStyle w:val="TableBodyText"/>
              <w:rPr>
                <w:sz w:val="18"/>
                <w:szCs w:val="18"/>
              </w:rPr>
            </w:pPr>
            <w:r w:rsidRPr="00CD46AA">
              <w:rPr>
                <w:sz w:val="18"/>
                <w:szCs w:val="18"/>
              </w:rPr>
              <w:noBreakHyphen/>
            </w:r>
          </w:p>
        </w:tc>
        <w:tc>
          <w:tcPr>
            <w:tcW w:w="495" w:type="pct"/>
            <w:vAlign w:val="bottom"/>
          </w:tcPr>
          <w:p w:rsidR="00A24BA7" w:rsidRPr="00CD46AA" w:rsidRDefault="00A24BA7" w:rsidP="005151A7">
            <w:pPr>
              <w:pStyle w:val="TableBodyText"/>
              <w:rPr>
                <w:sz w:val="18"/>
                <w:szCs w:val="18"/>
              </w:rPr>
            </w:pPr>
            <w:r w:rsidRPr="00CD46AA">
              <w:rPr>
                <w:sz w:val="18"/>
                <w:szCs w:val="18"/>
              </w:rPr>
              <w:t>0.2</w:t>
            </w:r>
          </w:p>
        </w:tc>
        <w:tc>
          <w:tcPr>
            <w:tcW w:w="495" w:type="pct"/>
            <w:vAlign w:val="bottom"/>
          </w:tcPr>
          <w:p w:rsidR="00A24BA7" w:rsidRPr="00CD46AA" w:rsidRDefault="00A24BA7" w:rsidP="005151A7">
            <w:pPr>
              <w:pStyle w:val="TableBodyText"/>
              <w:rPr>
                <w:sz w:val="18"/>
                <w:szCs w:val="18"/>
              </w:rPr>
            </w:pPr>
            <w:r w:rsidRPr="00CD46AA">
              <w:rPr>
                <w:sz w:val="18"/>
                <w:szCs w:val="18"/>
              </w:rPr>
              <w:noBreakHyphen/>
            </w:r>
          </w:p>
        </w:tc>
        <w:tc>
          <w:tcPr>
            <w:tcW w:w="495" w:type="pct"/>
            <w:vAlign w:val="bottom"/>
          </w:tcPr>
          <w:p w:rsidR="00A24BA7" w:rsidRPr="00CD46AA" w:rsidRDefault="00A24BA7" w:rsidP="005151A7">
            <w:pPr>
              <w:pStyle w:val="TableBodyText"/>
              <w:rPr>
                <w:sz w:val="18"/>
                <w:szCs w:val="18"/>
              </w:rPr>
            </w:pPr>
            <w:r w:rsidRPr="00CD46AA">
              <w:rPr>
                <w:sz w:val="18"/>
                <w:szCs w:val="18"/>
              </w:rPr>
              <w:noBreakHyphen/>
            </w:r>
          </w:p>
        </w:tc>
        <w:tc>
          <w:tcPr>
            <w:tcW w:w="495" w:type="pct"/>
            <w:vAlign w:val="bottom"/>
          </w:tcPr>
          <w:p w:rsidR="00A24BA7" w:rsidRPr="00CD46AA" w:rsidRDefault="00A24BA7" w:rsidP="005151A7">
            <w:pPr>
              <w:pStyle w:val="TableBodyText"/>
              <w:rPr>
                <w:sz w:val="18"/>
                <w:szCs w:val="18"/>
              </w:rPr>
            </w:pPr>
            <w:r w:rsidRPr="00CD46AA">
              <w:rPr>
                <w:sz w:val="18"/>
                <w:szCs w:val="18"/>
              </w:rPr>
              <w:noBreakHyphen/>
            </w:r>
          </w:p>
        </w:tc>
        <w:tc>
          <w:tcPr>
            <w:tcW w:w="488" w:type="pct"/>
            <w:vAlign w:val="bottom"/>
          </w:tcPr>
          <w:p w:rsidR="00A24BA7" w:rsidRPr="00CD46AA" w:rsidRDefault="00A24BA7" w:rsidP="005151A7">
            <w:pPr>
              <w:pStyle w:val="TableBodyText"/>
              <w:rPr>
                <w:sz w:val="18"/>
                <w:szCs w:val="18"/>
              </w:rPr>
            </w:pPr>
            <w:r w:rsidRPr="00CD46AA">
              <w:rPr>
                <w:sz w:val="18"/>
                <w:szCs w:val="18"/>
              </w:rPr>
              <w:noBreakHyphen/>
            </w:r>
          </w:p>
        </w:tc>
      </w:tr>
      <w:tr w:rsidR="00A24BA7" w:rsidTr="005151A7">
        <w:trPr>
          <w:trHeight w:val="227"/>
        </w:trPr>
        <w:tc>
          <w:tcPr>
            <w:tcW w:w="1946" w:type="pct"/>
            <w:vAlign w:val="bottom"/>
          </w:tcPr>
          <w:p w:rsidR="00A24BA7" w:rsidRPr="00DC145C" w:rsidRDefault="00A24BA7" w:rsidP="005151A7">
            <w:pPr>
              <w:pStyle w:val="TableBodyText"/>
              <w:jc w:val="left"/>
              <w:rPr>
                <w:b/>
                <w:sz w:val="18"/>
                <w:szCs w:val="18"/>
              </w:rPr>
            </w:pPr>
            <w:r w:rsidRPr="00DC145C">
              <w:rPr>
                <w:b/>
                <w:sz w:val="18"/>
                <w:szCs w:val="18"/>
              </w:rPr>
              <w:t>Mining</w:t>
            </w:r>
          </w:p>
        </w:tc>
        <w:tc>
          <w:tcPr>
            <w:tcW w:w="586" w:type="pct"/>
            <w:vAlign w:val="bottom"/>
          </w:tcPr>
          <w:p w:rsidR="00A24BA7" w:rsidRPr="00CD46AA" w:rsidRDefault="00A24BA7" w:rsidP="005151A7">
            <w:pPr>
              <w:pStyle w:val="TableBodyText"/>
              <w:rPr>
                <w:b/>
                <w:sz w:val="18"/>
                <w:szCs w:val="18"/>
              </w:rPr>
            </w:pPr>
            <w:r w:rsidRPr="00CD46AA">
              <w:rPr>
                <w:b/>
                <w:sz w:val="18"/>
                <w:szCs w:val="18"/>
              </w:rPr>
              <w:noBreakHyphen/>
            </w:r>
          </w:p>
        </w:tc>
        <w:tc>
          <w:tcPr>
            <w:tcW w:w="495" w:type="pct"/>
            <w:vAlign w:val="bottom"/>
          </w:tcPr>
          <w:p w:rsidR="00A24BA7" w:rsidRPr="00CD46AA" w:rsidRDefault="00A24BA7" w:rsidP="005151A7">
            <w:pPr>
              <w:pStyle w:val="TableBodyText"/>
              <w:rPr>
                <w:b/>
                <w:sz w:val="18"/>
                <w:szCs w:val="18"/>
              </w:rPr>
            </w:pPr>
            <w:r w:rsidRPr="00CD46AA">
              <w:rPr>
                <w:b/>
                <w:sz w:val="18"/>
                <w:szCs w:val="18"/>
              </w:rPr>
              <w:noBreakHyphen/>
            </w:r>
          </w:p>
        </w:tc>
        <w:tc>
          <w:tcPr>
            <w:tcW w:w="495" w:type="pct"/>
            <w:vAlign w:val="bottom"/>
          </w:tcPr>
          <w:p w:rsidR="00A24BA7" w:rsidRPr="00CD46AA" w:rsidRDefault="00A24BA7" w:rsidP="005151A7">
            <w:pPr>
              <w:pStyle w:val="TableBodyText"/>
              <w:rPr>
                <w:b/>
                <w:sz w:val="18"/>
                <w:szCs w:val="18"/>
              </w:rPr>
            </w:pPr>
            <w:r w:rsidRPr="00CD46AA">
              <w:rPr>
                <w:b/>
                <w:sz w:val="18"/>
                <w:szCs w:val="18"/>
              </w:rPr>
              <w:t>0.3</w:t>
            </w:r>
          </w:p>
        </w:tc>
        <w:tc>
          <w:tcPr>
            <w:tcW w:w="495" w:type="pct"/>
            <w:shd w:val="clear" w:color="auto" w:fill="auto"/>
            <w:vAlign w:val="bottom"/>
          </w:tcPr>
          <w:p w:rsidR="00A24BA7" w:rsidRPr="00CD46AA" w:rsidRDefault="00A24BA7" w:rsidP="005151A7">
            <w:pPr>
              <w:pStyle w:val="TableBodyText"/>
              <w:rPr>
                <w:b/>
                <w:sz w:val="18"/>
                <w:szCs w:val="18"/>
              </w:rPr>
            </w:pPr>
            <w:r w:rsidRPr="00CD46AA">
              <w:rPr>
                <w:b/>
                <w:sz w:val="18"/>
                <w:szCs w:val="18"/>
              </w:rPr>
              <w:t>0.3</w:t>
            </w:r>
          </w:p>
        </w:tc>
        <w:tc>
          <w:tcPr>
            <w:tcW w:w="495" w:type="pct"/>
            <w:shd w:val="clear" w:color="auto" w:fill="auto"/>
            <w:vAlign w:val="bottom"/>
          </w:tcPr>
          <w:p w:rsidR="00A24BA7" w:rsidRPr="00CD46AA" w:rsidRDefault="00A24BA7" w:rsidP="005151A7">
            <w:pPr>
              <w:pStyle w:val="TableBodyText"/>
              <w:rPr>
                <w:b/>
                <w:sz w:val="18"/>
                <w:szCs w:val="18"/>
              </w:rPr>
            </w:pPr>
            <w:r w:rsidRPr="00CD46AA">
              <w:rPr>
                <w:b/>
                <w:sz w:val="18"/>
                <w:szCs w:val="18"/>
              </w:rPr>
              <w:noBreakHyphen/>
            </w:r>
          </w:p>
        </w:tc>
        <w:tc>
          <w:tcPr>
            <w:tcW w:w="488" w:type="pct"/>
            <w:shd w:val="clear" w:color="auto" w:fill="auto"/>
            <w:vAlign w:val="bottom"/>
          </w:tcPr>
          <w:p w:rsidR="00A24BA7" w:rsidRPr="00CD46AA" w:rsidRDefault="00A24BA7" w:rsidP="005151A7">
            <w:pPr>
              <w:pStyle w:val="TableBodyText"/>
              <w:rPr>
                <w:b/>
                <w:sz w:val="18"/>
                <w:szCs w:val="18"/>
              </w:rPr>
            </w:pPr>
            <w:r w:rsidRPr="00CD46AA">
              <w:rPr>
                <w:b/>
                <w:sz w:val="18"/>
                <w:szCs w:val="18"/>
              </w:rPr>
              <w:noBreakHyphen/>
            </w:r>
          </w:p>
        </w:tc>
      </w:tr>
      <w:tr w:rsidR="00A24BA7" w:rsidTr="005151A7">
        <w:trPr>
          <w:trHeight w:val="227"/>
        </w:trPr>
        <w:tc>
          <w:tcPr>
            <w:tcW w:w="1946" w:type="pct"/>
            <w:vAlign w:val="bottom"/>
          </w:tcPr>
          <w:p w:rsidR="00A24BA7" w:rsidRPr="00DC145C" w:rsidRDefault="00A24BA7" w:rsidP="005151A7">
            <w:pPr>
              <w:pStyle w:val="TableBodyText"/>
              <w:jc w:val="left"/>
              <w:rPr>
                <w:b/>
                <w:sz w:val="18"/>
                <w:szCs w:val="18"/>
              </w:rPr>
            </w:pPr>
            <w:r w:rsidRPr="00DC145C">
              <w:rPr>
                <w:b/>
                <w:sz w:val="18"/>
                <w:szCs w:val="18"/>
              </w:rPr>
              <w:t>Manufacturing</w:t>
            </w:r>
          </w:p>
        </w:tc>
        <w:tc>
          <w:tcPr>
            <w:tcW w:w="586" w:type="pct"/>
            <w:vAlign w:val="bottom"/>
          </w:tcPr>
          <w:p w:rsidR="00A24BA7" w:rsidRPr="00CD46AA" w:rsidRDefault="00A24BA7" w:rsidP="005151A7">
            <w:pPr>
              <w:pStyle w:val="TableBodyText"/>
              <w:rPr>
                <w:b/>
                <w:sz w:val="18"/>
                <w:szCs w:val="18"/>
              </w:rPr>
            </w:pPr>
            <w:r w:rsidRPr="00CD46AA">
              <w:rPr>
                <w:b/>
                <w:sz w:val="18"/>
                <w:szCs w:val="18"/>
              </w:rPr>
              <w:noBreakHyphen/>
            </w:r>
          </w:p>
        </w:tc>
        <w:tc>
          <w:tcPr>
            <w:tcW w:w="495" w:type="pct"/>
            <w:vAlign w:val="bottom"/>
          </w:tcPr>
          <w:p w:rsidR="00A24BA7" w:rsidRPr="00CD46AA" w:rsidRDefault="00A24BA7" w:rsidP="005151A7">
            <w:pPr>
              <w:pStyle w:val="TableBodyText"/>
              <w:rPr>
                <w:b/>
                <w:sz w:val="18"/>
                <w:szCs w:val="18"/>
              </w:rPr>
            </w:pPr>
            <w:r w:rsidRPr="00CD46AA">
              <w:rPr>
                <w:b/>
                <w:sz w:val="18"/>
                <w:szCs w:val="18"/>
              </w:rPr>
              <w:t>6.8</w:t>
            </w:r>
          </w:p>
        </w:tc>
        <w:tc>
          <w:tcPr>
            <w:tcW w:w="495" w:type="pct"/>
            <w:vAlign w:val="bottom"/>
          </w:tcPr>
          <w:p w:rsidR="00A24BA7" w:rsidRPr="00CD46AA" w:rsidRDefault="00A24BA7" w:rsidP="005151A7">
            <w:pPr>
              <w:pStyle w:val="TableBodyText"/>
              <w:rPr>
                <w:b/>
                <w:sz w:val="18"/>
                <w:szCs w:val="18"/>
              </w:rPr>
            </w:pPr>
            <w:r w:rsidRPr="00CD46AA">
              <w:rPr>
                <w:b/>
                <w:sz w:val="18"/>
                <w:szCs w:val="18"/>
              </w:rPr>
              <w:t>4.7</w:t>
            </w:r>
          </w:p>
        </w:tc>
        <w:tc>
          <w:tcPr>
            <w:tcW w:w="495" w:type="pct"/>
            <w:shd w:val="clear" w:color="auto" w:fill="auto"/>
            <w:vAlign w:val="bottom"/>
          </w:tcPr>
          <w:p w:rsidR="00A24BA7" w:rsidRPr="00CD46AA" w:rsidRDefault="00A24BA7" w:rsidP="005151A7">
            <w:pPr>
              <w:pStyle w:val="TableBodyText"/>
              <w:rPr>
                <w:b/>
                <w:sz w:val="18"/>
                <w:szCs w:val="18"/>
              </w:rPr>
            </w:pPr>
            <w:r w:rsidRPr="00CD46AA">
              <w:rPr>
                <w:b/>
                <w:sz w:val="18"/>
                <w:szCs w:val="18"/>
              </w:rPr>
              <w:t>4.0</w:t>
            </w:r>
          </w:p>
        </w:tc>
        <w:tc>
          <w:tcPr>
            <w:tcW w:w="495" w:type="pct"/>
            <w:shd w:val="clear" w:color="auto" w:fill="auto"/>
            <w:vAlign w:val="bottom"/>
          </w:tcPr>
          <w:p w:rsidR="00A24BA7" w:rsidRPr="00CD46AA" w:rsidRDefault="00A24BA7" w:rsidP="005151A7">
            <w:pPr>
              <w:pStyle w:val="TableBodyText"/>
              <w:rPr>
                <w:b/>
                <w:sz w:val="18"/>
                <w:szCs w:val="18"/>
              </w:rPr>
            </w:pPr>
            <w:r w:rsidRPr="00CD46AA">
              <w:rPr>
                <w:b/>
                <w:sz w:val="18"/>
                <w:szCs w:val="18"/>
              </w:rPr>
              <w:noBreakHyphen/>
            </w:r>
          </w:p>
        </w:tc>
        <w:tc>
          <w:tcPr>
            <w:tcW w:w="488" w:type="pct"/>
            <w:shd w:val="clear" w:color="auto" w:fill="auto"/>
            <w:vAlign w:val="bottom"/>
          </w:tcPr>
          <w:p w:rsidR="00A24BA7" w:rsidRPr="00CD46AA" w:rsidRDefault="00A24BA7" w:rsidP="005151A7">
            <w:pPr>
              <w:pStyle w:val="TableBodyText"/>
              <w:rPr>
                <w:b/>
                <w:sz w:val="18"/>
                <w:szCs w:val="18"/>
              </w:rPr>
            </w:pPr>
            <w:r w:rsidRPr="00CD46AA">
              <w:rPr>
                <w:b/>
                <w:sz w:val="18"/>
                <w:szCs w:val="18"/>
              </w:rPr>
              <w:noBreakHyphen/>
            </w:r>
          </w:p>
        </w:tc>
      </w:tr>
      <w:tr w:rsidR="00A24BA7" w:rsidTr="005151A7">
        <w:trPr>
          <w:trHeight w:val="227"/>
        </w:trPr>
        <w:tc>
          <w:tcPr>
            <w:tcW w:w="1946" w:type="pct"/>
            <w:vAlign w:val="bottom"/>
          </w:tcPr>
          <w:p w:rsidR="00A24BA7" w:rsidRPr="007758AB" w:rsidRDefault="00A24BA7" w:rsidP="005151A7">
            <w:pPr>
              <w:pStyle w:val="TableBodyText"/>
              <w:jc w:val="left"/>
              <w:rPr>
                <w:sz w:val="18"/>
                <w:szCs w:val="18"/>
              </w:rPr>
            </w:pPr>
            <w:r w:rsidRPr="007758AB">
              <w:rPr>
                <w:sz w:val="18"/>
                <w:szCs w:val="18"/>
              </w:rPr>
              <w:t>Food, beverages and tobacco</w:t>
            </w:r>
          </w:p>
        </w:tc>
        <w:tc>
          <w:tcPr>
            <w:tcW w:w="586" w:type="pct"/>
            <w:vAlign w:val="bottom"/>
          </w:tcPr>
          <w:p w:rsidR="00A24BA7" w:rsidRPr="00CD46AA" w:rsidRDefault="00A24BA7" w:rsidP="005151A7">
            <w:pPr>
              <w:pStyle w:val="TableBodyText"/>
              <w:rPr>
                <w:sz w:val="18"/>
                <w:szCs w:val="18"/>
              </w:rPr>
            </w:pPr>
            <w:r w:rsidRPr="00CD46AA">
              <w:rPr>
                <w:sz w:val="18"/>
                <w:szCs w:val="18"/>
              </w:rPr>
              <w:noBreakHyphen/>
            </w:r>
          </w:p>
        </w:tc>
        <w:tc>
          <w:tcPr>
            <w:tcW w:w="495" w:type="pct"/>
            <w:vAlign w:val="bottom"/>
          </w:tcPr>
          <w:p w:rsidR="00A24BA7" w:rsidRPr="00CD46AA" w:rsidRDefault="00A24BA7" w:rsidP="005151A7">
            <w:pPr>
              <w:pStyle w:val="TableBodyText"/>
              <w:rPr>
                <w:sz w:val="18"/>
                <w:szCs w:val="18"/>
              </w:rPr>
            </w:pPr>
            <w:r w:rsidRPr="00CD46AA">
              <w:rPr>
                <w:sz w:val="18"/>
                <w:szCs w:val="18"/>
              </w:rPr>
              <w:t>2.3</w:t>
            </w:r>
          </w:p>
        </w:tc>
        <w:tc>
          <w:tcPr>
            <w:tcW w:w="495" w:type="pct"/>
            <w:vAlign w:val="bottom"/>
          </w:tcPr>
          <w:p w:rsidR="00A24BA7" w:rsidRPr="00CD46AA" w:rsidRDefault="00A24BA7" w:rsidP="005151A7">
            <w:pPr>
              <w:pStyle w:val="TableBodyText"/>
              <w:rPr>
                <w:sz w:val="18"/>
                <w:szCs w:val="18"/>
              </w:rPr>
            </w:pPr>
            <w:r w:rsidRPr="00CD46AA">
              <w:rPr>
                <w:sz w:val="18"/>
                <w:szCs w:val="18"/>
              </w:rPr>
              <w:t>1.6</w:t>
            </w:r>
          </w:p>
        </w:tc>
        <w:tc>
          <w:tcPr>
            <w:tcW w:w="495" w:type="pct"/>
            <w:shd w:val="clear" w:color="auto" w:fill="auto"/>
            <w:vAlign w:val="bottom"/>
          </w:tcPr>
          <w:p w:rsidR="00A24BA7" w:rsidRPr="00CD46AA" w:rsidRDefault="00A24BA7" w:rsidP="005151A7">
            <w:pPr>
              <w:pStyle w:val="TableBodyText"/>
              <w:rPr>
                <w:sz w:val="18"/>
                <w:szCs w:val="18"/>
              </w:rPr>
            </w:pPr>
            <w:r w:rsidRPr="00CD46AA">
              <w:rPr>
                <w:sz w:val="18"/>
                <w:szCs w:val="18"/>
              </w:rPr>
              <w:t>1.4</w:t>
            </w:r>
          </w:p>
        </w:tc>
        <w:tc>
          <w:tcPr>
            <w:tcW w:w="495" w:type="pct"/>
            <w:shd w:val="clear" w:color="auto" w:fill="auto"/>
            <w:vAlign w:val="bottom"/>
          </w:tcPr>
          <w:p w:rsidR="00A24BA7" w:rsidRPr="00CD46AA" w:rsidRDefault="00A24BA7" w:rsidP="005151A7">
            <w:pPr>
              <w:pStyle w:val="TableBodyText"/>
              <w:rPr>
                <w:sz w:val="18"/>
                <w:szCs w:val="18"/>
              </w:rPr>
            </w:pPr>
            <w:r w:rsidRPr="00CD46AA">
              <w:rPr>
                <w:sz w:val="18"/>
                <w:szCs w:val="18"/>
              </w:rPr>
              <w:noBreakHyphen/>
            </w:r>
          </w:p>
        </w:tc>
        <w:tc>
          <w:tcPr>
            <w:tcW w:w="488" w:type="pct"/>
            <w:shd w:val="clear" w:color="auto" w:fill="auto"/>
            <w:vAlign w:val="bottom"/>
          </w:tcPr>
          <w:p w:rsidR="00A24BA7" w:rsidRPr="00CD46AA" w:rsidRDefault="00A24BA7" w:rsidP="005151A7">
            <w:pPr>
              <w:pStyle w:val="TableBodyText"/>
              <w:rPr>
                <w:sz w:val="18"/>
                <w:szCs w:val="18"/>
              </w:rPr>
            </w:pPr>
            <w:r w:rsidRPr="00CD46AA">
              <w:rPr>
                <w:sz w:val="18"/>
                <w:szCs w:val="18"/>
              </w:rPr>
              <w:noBreakHyphen/>
            </w:r>
          </w:p>
        </w:tc>
      </w:tr>
      <w:tr w:rsidR="00A24BA7" w:rsidTr="005151A7">
        <w:trPr>
          <w:trHeight w:val="227"/>
        </w:trPr>
        <w:tc>
          <w:tcPr>
            <w:tcW w:w="1946" w:type="pct"/>
            <w:vAlign w:val="bottom"/>
          </w:tcPr>
          <w:p w:rsidR="00A24BA7" w:rsidRPr="007758AB" w:rsidRDefault="00A24BA7" w:rsidP="005151A7">
            <w:pPr>
              <w:pStyle w:val="TableBodyText"/>
              <w:jc w:val="left"/>
              <w:rPr>
                <w:sz w:val="18"/>
                <w:szCs w:val="18"/>
              </w:rPr>
            </w:pPr>
            <w:r w:rsidRPr="007758AB">
              <w:rPr>
                <w:sz w:val="18"/>
                <w:szCs w:val="18"/>
              </w:rPr>
              <w:t>Metal and fabricated metal products</w:t>
            </w:r>
          </w:p>
        </w:tc>
        <w:tc>
          <w:tcPr>
            <w:tcW w:w="586" w:type="pct"/>
            <w:vAlign w:val="bottom"/>
          </w:tcPr>
          <w:p w:rsidR="00A24BA7" w:rsidRPr="00CD46AA" w:rsidRDefault="00A24BA7" w:rsidP="005151A7">
            <w:pPr>
              <w:pStyle w:val="TableBodyText"/>
              <w:rPr>
                <w:sz w:val="18"/>
                <w:szCs w:val="18"/>
              </w:rPr>
            </w:pPr>
            <w:r w:rsidRPr="00CD46AA">
              <w:rPr>
                <w:sz w:val="18"/>
                <w:szCs w:val="18"/>
              </w:rPr>
              <w:noBreakHyphen/>
            </w:r>
          </w:p>
        </w:tc>
        <w:tc>
          <w:tcPr>
            <w:tcW w:w="495" w:type="pct"/>
            <w:vAlign w:val="bottom"/>
          </w:tcPr>
          <w:p w:rsidR="00A24BA7" w:rsidRPr="00CD46AA" w:rsidRDefault="00A24BA7" w:rsidP="005151A7">
            <w:pPr>
              <w:pStyle w:val="TableBodyText"/>
              <w:rPr>
                <w:sz w:val="18"/>
                <w:szCs w:val="18"/>
              </w:rPr>
            </w:pPr>
            <w:r w:rsidRPr="00CD46AA">
              <w:rPr>
                <w:sz w:val="18"/>
                <w:szCs w:val="18"/>
              </w:rPr>
              <w:noBreakHyphen/>
            </w:r>
          </w:p>
        </w:tc>
        <w:tc>
          <w:tcPr>
            <w:tcW w:w="495" w:type="pct"/>
            <w:vAlign w:val="bottom"/>
          </w:tcPr>
          <w:p w:rsidR="00A24BA7" w:rsidRPr="00CD46AA" w:rsidRDefault="00A24BA7" w:rsidP="005151A7">
            <w:pPr>
              <w:pStyle w:val="TableBodyText"/>
              <w:rPr>
                <w:sz w:val="18"/>
                <w:szCs w:val="18"/>
              </w:rPr>
            </w:pPr>
            <w:r w:rsidRPr="00CD46AA">
              <w:rPr>
                <w:sz w:val="18"/>
                <w:szCs w:val="18"/>
              </w:rPr>
              <w:t>0.3</w:t>
            </w:r>
          </w:p>
        </w:tc>
        <w:tc>
          <w:tcPr>
            <w:tcW w:w="495" w:type="pct"/>
            <w:shd w:val="clear" w:color="auto" w:fill="auto"/>
            <w:vAlign w:val="bottom"/>
          </w:tcPr>
          <w:p w:rsidR="00A24BA7" w:rsidRPr="00CD46AA" w:rsidRDefault="00A24BA7" w:rsidP="005151A7">
            <w:pPr>
              <w:pStyle w:val="TableBodyText"/>
              <w:rPr>
                <w:sz w:val="18"/>
                <w:szCs w:val="18"/>
              </w:rPr>
            </w:pPr>
            <w:r w:rsidRPr="00CD46AA">
              <w:rPr>
                <w:sz w:val="18"/>
                <w:szCs w:val="18"/>
              </w:rPr>
              <w:t>0.3</w:t>
            </w:r>
          </w:p>
        </w:tc>
        <w:tc>
          <w:tcPr>
            <w:tcW w:w="495" w:type="pct"/>
            <w:shd w:val="clear" w:color="auto" w:fill="auto"/>
            <w:vAlign w:val="bottom"/>
          </w:tcPr>
          <w:p w:rsidR="00A24BA7" w:rsidRPr="00CD46AA" w:rsidRDefault="00A24BA7" w:rsidP="005151A7">
            <w:pPr>
              <w:pStyle w:val="TableBodyText"/>
              <w:rPr>
                <w:sz w:val="18"/>
                <w:szCs w:val="18"/>
              </w:rPr>
            </w:pPr>
            <w:r w:rsidRPr="00CD46AA">
              <w:rPr>
                <w:sz w:val="18"/>
                <w:szCs w:val="18"/>
              </w:rPr>
              <w:noBreakHyphen/>
            </w:r>
          </w:p>
        </w:tc>
        <w:tc>
          <w:tcPr>
            <w:tcW w:w="488" w:type="pct"/>
            <w:shd w:val="clear" w:color="auto" w:fill="auto"/>
            <w:vAlign w:val="bottom"/>
          </w:tcPr>
          <w:p w:rsidR="00A24BA7" w:rsidRPr="00CD46AA" w:rsidRDefault="00A24BA7" w:rsidP="005151A7">
            <w:pPr>
              <w:pStyle w:val="TableBodyText"/>
              <w:rPr>
                <w:sz w:val="18"/>
                <w:szCs w:val="18"/>
              </w:rPr>
            </w:pPr>
            <w:r w:rsidRPr="00CD46AA">
              <w:rPr>
                <w:sz w:val="18"/>
                <w:szCs w:val="18"/>
              </w:rPr>
              <w:noBreakHyphen/>
            </w:r>
          </w:p>
        </w:tc>
      </w:tr>
      <w:tr w:rsidR="00A24BA7" w:rsidTr="005151A7">
        <w:trPr>
          <w:trHeight w:val="227"/>
        </w:trPr>
        <w:tc>
          <w:tcPr>
            <w:tcW w:w="1946" w:type="pct"/>
            <w:vAlign w:val="bottom"/>
          </w:tcPr>
          <w:p w:rsidR="00A24BA7" w:rsidRPr="007758AB" w:rsidRDefault="00A24BA7" w:rsidP="005151A7">
            <w:pPr>
              <w:pStyle w:val="TableBodyText"/>
              <w:jc w:val="left"/>
              <w:rPr>
                <w:sz w:val="18"/>
                <w:szCs w:val="18"/>
              </w:rPr>
            </w:pPr>
            <w:r w:rsidRPr="007758AB">
              <w:rPr>
                <w:sz w:val="18"/>
                <w:szCs w:val="18"/>
              </w:rPr>
              <w:t>Machinery and equipment manufacturing</w:t>
            </w:r>
          </w:p>
        </w:tc>
        <w:tc>
          <w:tcPr>
            <w:tcW w:w="586" w:type="pct"/>
            <w:vAlign w:val="bottom"/>
          </w:tcPr>
          <w:p w:rsidR="00A24BA7" w:rsidRPr="00CD46AA" w:rsidRDefault="00A24BA7" w:rsidP="005151A7">
            <w:pPr>
              <w:pStyle w:val="TableBodyText"/>
              <w:rPr>
                <w:sz w:val="18"/>
                <w:szCs w:val="18"/>
              </w:rPr>
            </w:pPr>
            <w:r w:rsidRPr="00CD46AA">
              <w:rPr>
                <w:sz w:val="18"/>
                <w:szCs w:val="18"/>
              </w:rPr>
              <w:noBreakHyphen/>
            </w:r>
          </w:p>
        </w:tc>
        <w:tc>
          <w:tcPr>
            <w:tcW w:w="495" w:type="pct"/>
            <w:vAlign w:val="bottom"/>
          </w:tcPr>
          <w:p w:rsidR="00A24BA7" w:rsidRPr="00CD46AA" w:rsidRDefault="00A24BA7" w:rsidP="005151A7">
            <w:pPr>
              <w:pStyle w:val="TableBodyText"/>
              <w:rPr>
                <w:sz w:val="18"/>
                <w:szCs w:val="18"/>
              </w:rPr>
            </w:pPr>
            <w:r w:rsidRPr="00CD46AA">
              <w:rPr>
                <w:sz w:val="18"/>
                <w:szCs w:val="18"/>
              </w:rPr>
              <w:t>4.2</w:t>
            </w:r>
          </w:p>
        </w:tc>
        <w:tc>
          <w:tcPr>
            <w:tcW w:w="495" w:type="pct"/>
            <w:vAlign w:val="bottom"/>
          </w:tcPr>
          <w:p w:rsidR="00A24BA7" w:rsidRPr="00CD46AA" w:rsidRDefault="00A24BA7" w:rsidP="005151A7">
            <w:pPr>
              <w:pStyle w:val="TableBodyText"/>
              <w:rPr>
                <w:sz w:val="18"/>
                <w:szCs w:val="18"/>
              </w:rPr>
            </w:pPr>
            <w:r w:rsidRPr="00CD46AA">
              <w:rPr>
                <w:sz w:val="18"/>
                <w:szCs w:val="18"/>
              </w:rPr>
              <w:t>2.6</w:t>
            </w:r>
          </w:p>
        </w:tc>
        <w:tc>
          <w:tcPr>
            <w:tcW w:w="495" w:type="pct"/>
            <w:shd w:val="clear" w:color="auto" w:fill="auto"/>
            <w:vAlign w:val="bottom"/>
          </w:tcPr>
          <w:p w:rsidR="00A24BA7" w:rsidRPr="00CD46AA" w:rsidRDefault="00A24BA7" w:rsidP="005151A7">
            <w:pPr>
              <w:pStyle w:val="TableBodyText"/>
              <w:rPr>
                <w:sz w:val="18"/>
                <w:szCs w:val="18"/>
              </w:rPr>
            </w:pPr>
            <w:r w:rsidRPr="00CD46AA">
              <w:rPr>
                <w:sz w:val="18"/>
                <w:szCs w:val="18"/>
              </w:rPr>
              <w:t>2.2</w:t>
            </w:r>
          </w:p>
        </w:tc>
        <w:tc>
          <w:tcPr>
            <w:tcW w:w="495" w:type="pct"/>
            <w:shd w:val="clear" w:color="auto" w:fill="auto"/>
            <w:vAlign w:val="bottom"/>
          </w:tcPr>
          <w:p w:rsidR="00A24BA7" w:rsidRPr="00CD46AA" w:rsidRDefault="00A24BA7" w:rsidP="005151A7">
            <w:pPr>
              <w:pStyle w:val="TableBodyText"/>
              <w:rPr>
                <w:sz w:val="18"/>
                <w:szCs w:val="18"/>
              </w:rPr>
            </w:pPr>
            <w:r w:rsidRPr="00CD46AA">
              <w:rPr>
                <w:sz w:val="18"/>
                <w:szCs w:val="18"/>
              </w:rPr>
              <w:noBreakHyphen/>
            </w:r>
          </w:p>
        </w:tc>
        <w:tc>
          <w:tcPr>
            <w:tcW w:w="488" w:type="pct"/>
            <w:shd w:val="clear" w:color="auto" w:fill="auto"/>
            <w:vAlign w:val="bottom"/>
          </w:tcPr>
          <w:p w:rsidR="00A24BA7" w:rsidRPr="00CD46AA" w:rsidRDefault="00A24BA7" w:rsidP="005151A7">
            <w:pPr>
              <w:pStyle w:val="TableBodyText"/>
              <w:rPr>
                <w:sz w:val="18"/>
                <w:szCs w:val="18"/>
              </w:rPr>
            </w:pPr>
            <w:r w:rsidRPr="00CD46AA">
              <w:rPr>
                <w:sz w:val="18"/>
                <w:szCs w:val="18"/>
              </w:rPr>
              <w:noBreakHyphen/>
            </w:r>
          </w:p>
        </w:tc>
      </w:tr>
      <w:tr w:rsidR="00A24BA7" w:rsidTr="005151A7">
        <w:trPr>
          <w:trHeight w:val="227"/>
        </w:trPr>
        <w:tc>
          <w:tcPr>
            <w:tcW w:w="1946" w:type="pct"/>
            <w:vAlign w:val="bottom"/>
          </w:tcPr>
          <w:p w:rsidR="00A24BA7" w:rsidRPr="007758AB" w:rsidRDefault="00A24BA7" w:rsidP="005151A7">
            <w:pPr>
              <w:pStyle w:val="TableBodyText"/>
              <w:jc w:val="left"/>
              <w:rPr>
                <w:sz w:val="18"/>
                <w:szCs w:val="18"/>
              </w:rPr>
            </w:pPr>
            <w:r w:rsidRPr="007758AB">
              <w:rPr>
                <w:sz w:val="18"/>
                <w:szCs w:val="18"/>
              </w:rPr>
              <w:t>Furniture and other manufacturing</w:t>
            </w:r>
          </w:p>
        </w:tc>
        <w:tc>
          <w:tcPr>
            <w:tcW w:w="586" w:type="pct"/>
            <w:vAlign w:val="bottom"/>
          </w:tcPr>
          <w:p w:rsidR="00A24BA7" w:rsidRPr="00CD46AA" w:rsidRDefault="00A24BA7" w:rsidP="005151A7">
            <w:pPr>
              <w:pStyle w:val="TableBodyText"/>
              <w:rPr>
                <w:sz w:val="18"/>
                <w:szCs w:val="18"/>
              </w:rPr>
            </w:pPr>
            <w:r w:rsidRPr="00CD46AA">
              <w:rPr>
                <w:sz w:val="18"/>
                <w:szCs w:val="18"/>
              </w:rPr>
              <w:noBreakHyphen/>
            </w:r>
          </w:p>
        </w:tc>
        <w:tc>
          <w:tcPr>
            <w:tcW w:w="495" w:type="pct"/>
            <w:vAlign w:val="bottom"/>
          </w:tcPr>
          <w:p w:rsidR="00A24BA7" w:rsidRPr="00CD46AA" w:rsidRDefault="00A24BA7" w:rsidP="005151A7">
            <w:pPr>
              <w:pStyle w:val="TableBodyText"/>
              <w:rPr>
                <w:sz w:val="18"/>
                <w:szCs w:val="18"/>
              </w:rPr>
            </w:pPr>
            <w:r w:rsidRPr="00CD46AA">
              <w:rPr>
                <w:sz w:val="18"/>
                <w:szCs w:val="18"/>
              </w:rPr>
              <w:t>0.3</w:t>
            </w:r>
          </w:p>
        </w:tc>
        <w:tc>
          <w:tcPr>
            <w:tcW w:w="495" w:type="pct"/>
            <w:vAlign w:val="bottom"/>
          </w:tcPr>
          <w:p w:rsidR="00A24BA7" w:rsidRPr="00CD46AA" w:rsidRDefault="00A24BA7" w:rsidP="005151A7">
            <w:pPr>
              <w:pStyle w:val="TableBodyText"/>
              <w:rPr>
                <w:sz w:val="18"/>
                <w:szCs w:val="18"/>
              </w:rPr>
            </w:pPr>
            <w:r w:rsidRPr="00CD46AA">
              <w:rPr>
                <w:sz w:val="18"/>
                <w:szCs w:val="18"/>
              </w:rPr>
              <w:noBreakHyphen/>
            </w:r>
          </w:p>
        </w:tc>
        <w:tc>
          <w:tcPr>
            <w:tcW w:w="495" w:type="pct"/>
            <w:shd w:val="clear" w:color="auto" w:fill="auto"/>
            <w:vAlign w:val="bottom"/>
          </w:tcPr>
          <w:p w:rsidR="00A24BA7" w:rsidRPr="00CD46AA" w:rsidRDefault="00A24BA7" w:rsidP="005151A7">
            <w:pPr>
              <w:pStyle w:val="TableBodyText"/>
              <w:rPr>
                <w:sz w:val="18"/>
                <w:szCs w:val="18"/>
              </w:rPr>
            </w:pPr>
            <w:r w:rsidRPr="00CD46AA">
              <w:rPr>
                <w:sz w:val="18"/>
                <w:szCs w:val="18"/>
              </w:rPr>
              <w:noBreakHyphen/>
            </w:r>
          </w:p>
        </w:tc>
        <w:tc>
          <w:tcPr>
            <w:tcW w:w="495" w:type="pct"/>
            <w:shd w:val="clear" w:color="auto" w:fill="auto"/>
            <w:vAlign w:val="bottom"/>
          </w:tcPr>
          <w:p w:rsidR="00A24BA7" w:rsidRPr="00CD46AA" w:rsidRDefault="00A24BA7" w:rsidP="005151A7">
            <w:pPr>
              <w:pStyle w:val="TableBodyText"/>
              <w:rPr>
                <w:sz w:val="18"/>
                <w:szCs w:val="18"/>
              </w:rPr>
            </w:pPr>
            <w:r w:rsidRPr="00CD46AA">
              <w:rPr>
                <w:sz w:val="18"/>
                <w:szCs w:val="18"/>
              </w:rPr>
              <w:noBreakHyphen/>
            </w:r>
          </w:p>
        </w:tc>
        <w:tc>
          <w:tcPr>
            <w:tcW w:w="488" w:type="pct"/>
            <w:shd w:val="clear" w:color="auto" w:fill="auto"/>
            <w:vAlign w:val="bottom"/>
          </w:tcPr>
          <w:p w:rsidR="00A24BA7" w:rsidRPr="00CD46AA" w:rsidRDefault="00A24BA7" w:rsidP="005151A7">
            <w:pPr>
              <w:pStyle w:val="TableBodyText"/>
              <w:rPr>
                <w:sz w:val="18"/>
                <w:szCs w:val="18"/>
              </w:rPr>
            </w:pPr>
            <w:r w:rsidRPr="00CD46AA">
              <w:rPr>
                <w:sz w:val="18"/>
                <w:szCs w:val="18"/>
              </w:rPr>
              <w:noBreakHyphen/>
            </w:r>
          </w:p>
        </w:tc>
      </w:tr>
      <w:tr w:rsidR="00A24BA7" w:rsidTr="005151A7">
        <w:trPr>
          <w:trHeight w:val="227"/>
        </w:trPr>
        <w:tc>
          <w:tcPr>
            <w:tcW w:w="1946" w:type="pct"/>
            <w:vAlign w:val="bottom"/>
          </w:tcPr>
          <w:p w:rsidR="00A24BA7" w:rsidRPr="007758AB" w:rsidRDefault="00A24BA7" w:rsidP="005151A7">
            <w:pPr>
              <w:pStyle w:val="TableBodyText"/>
              <w:jc w:val="left"/>
              <w:rPr>
                <w:sz w:val="18"/>
                <w:szCs w:val="18"/>
              </w:rPr>
            </w:pPr>
            <w:r>
              <w:rPr>
                <w:sz w:val="18"/>
                <w:szCs w:val="18"/>
              </w:rPr>
              <w:t>Unallocated manufacturing</w:t>
            </w:r>
            <w:r w:rsidRPr="00682BD4">
              <w:rPr>
                <w:rStyle w:val="NoteLabel"/>
                <w:szCs w:val="18"/>
              </w:rPr>
              <w:t>a</w:t>
            </w:r>
          </w:p>
        </w:tc>
        <w:tc>
          <w:tcPr>
            <w:tcW w:w="586" w:type="pct"/>
            <w:vAlign w:val="bottom"/>
          </w:tcPr>
          <w:p w:rsidR="00A24BA7" w:rsidRPr="00CD46AA" w:rsidRDefault="00A24BA7" w:rsidP="005151A7">
            <w:pPr>
              <w:pStyle w:val="TableBodyText"/>
              <w:rPr>
                <w:sz w:val="18"/>
                <w:szCs w:val="18"/>
              </w:rPr>
            </w:pPr>
            <w:r w:rsidRPr="00CD46AA">
              <w:rPr>
                <w:sz w:val="18"/>
                <w:szCs w:val="18"/>
              </w:rPr>
              <w:noBreakHyphen/>
            </w:r>
          </w:p>
        </w:tc>
        <w:tc>
          <w:tcPr>
            <w:tcW w:w="495" w:type="pct"/>
            <w:vAlign w:val="bottom"/>
          </w:tcPr>
          <w:p w:rsidR="00A24BA7" w:rsidRPr="00CD46AA" w:rsidRDefault="00A24BA7" w:rsidP="005151A7">
            <w:pPr>
              <w:pStyle w:val="TableBodyText"/>
              <w:rPr>
                <w:sz w:val="18"/>
                <w:szCs w:val="18"/>
              </w:rPr>
            </w:pPr>
            <w:r w:rsidRPr="00CD46AA">
              <w:rPr>
                <w:sz w:val="18"/>
                <w:szCs w:val="18"/>
              </w:rPr>
              <w:noBreakHyphen/>
            </w:r>
          </w:p>
        </w:tc>
        <w:tc>
          <w:tcPr>
            <w:tcW w:w="495" w:type="pct"/>
            <w:vAlign w:val="bottom"/>
          </w:tcPr>
          <w:p w:rsidR="00A24BA7" w:rsidRPr="00CD46AA" w:rsidRDefault="00A24BA7" w:rsidP="005151A7">
            <w:pPr>
              <w:pStyle w:val="TableBodyText"/>
              <w:rPr>
                <w:sz w:val="18"/>
                <w:szCs w:val="18"/>
              </w:rPr>
            </w:pPr>
            <w:r w:rsidRPr="00CD46AA">
              <w:rPr>
                <w:sz w:val="18"/>
                <w:szCs w:val="18"/>
              </w:rPr>
              <w:t>0.2</w:t>
            </w:r>
          </w:p>
        </w:tc>
        <w:tc>
          <w:tcPr>
            <w:tcW w:w="495" w:type="pct"/>
            <w:shd w:val="clear" w:color="auto" w:fill="auto"/>
            <w:vAlign w:val="bottom"/>
          </w:tcPr>
          <w:p w:rsidR="00A24BA7" w:rsidRPr="00CD46AA" w:rsidRDefault="00A24BA7" w:rsidP="005151A7">
            <w:pPr>
              <w:pStyle w:val="TableBodyText"/>
              <w:rPr>
                <w:sz w:val="18"/>
                <w:szCs w:val="18"/>
              </w:rPr>
            </w:pPr>
            <w:r w:rsidRPr="00CD46AA">
              <w:rPr>
                <w:sz w:val="18"/>
                <w:szCs w:val="18"/>
              </w:rPr>
              <w:t>0.2</w:t>
            </w:r>
          </w:p>
        </w:tc>
        <w:tc>
          <w:tcPr>
            <w:tcW w:w="495" w:type="pct"/>
            <w:shd w:val="clear" w:color="auto" w:fill="auto"/>
            <w:vAlign w:val="bottom"/>
          </w:tcPr>
          <w:p w:rsidR="00A24BA7" w:rsidRPr="00CD46AA" w:rsidRDefault="00A24BA7" w:rsidP="005151A7">
            <w:pPr>
              <w:pStyle w:val="TableBodyText"/>
              <w:rPr>
                <w:sz w:val="18"/>
                <w:szCs w:val="18"/>
              </w:rPr>
            </w:pPr>
            <w:r w:rsidRPr="00CD46AA">
              <w:rPr>
                <w:sz w:val="18"/>
                <w:szCs w:val="18"/>
              </w:rPr>
              <w:noBreakHyphen/>
            </w:r>
          </w:p>
        </w:tc>
        <w:tc>
          <w:tcPr>
            <w:tcW w:w="488" w:type="pct"/>
            <w:shd w:val="clear" w:color="auto" w:fill="auto"/>
            <w:vAlign w:val="bottom"/>
          </w:tcPr>
          <w:p w:rsidR="00A24BA7" w:rsidRPr="00CD46AA" w:rsidRDefault="00A24BA7" w:rsidP="005151A7">
            <w:pPr>
              <w:pStyle w:val="TableBodyText"/>
              <w:rPr>
                <w:sz w:val="18"/>
                <w:szCs w:val="18"/>
              </w:rPr>
            </w:pPr>
            <w:r w:rsidRPr="00CD46AA">
              <w:rPr>
                <w:sz w:val="18"/>
                <w:szCs w:val="18"/>
              </w:rPr>
              <w:noBreakHyphen/>
            </w:r>
          </w:p>
        </w:tc>
      </w:tr>
      <w:tr w:rsidR="00A24BA7" w:rsidTr="005151A7">
        <w:trPr>
          <w:trHeight w:val="227"/>
        </w:trPr>
        <w:tc>
          <w:tcPr>
            <w:tcW w:w="1946" w:type="pct"/>
            <w:vAlign w:val="bottom"/>
          </w:tcPr>
          <w:p w:rsidR="00A24BA7" w:rsidRPr="00DC145C" w:rsidRDefault="00A24BA7" w:rsidP="005151A7">
            <w:pPr>
              <w:pStyle w:val="TableBodyText"/>
              <w:jc w:val="left"/>
              <w:rPr>
                <w:b/>
                <w:sz w:val="18"/>
                <w:szCs w:val="18"/>
              </w:rPr>
            </w:pPr>
            <w:r w:rsidRPr="00DC145C">
              <w:rPr>
                <w:b/>
                <w:sz w:val="18"/>
                <w:szCs w:val="18"/>
              </w:rPr>
              <w:t>Services</w:t>
            </w:r>
          </w:p>
        </w:tc>
        <w:tc>
          <w:tcPr>
            <w:tcW w:w="586" w:type="pct"/>
            <w:vAlign w:val="bottom"/>
          </w:tcPr>
          <w:p w:rsidR="00A24BA7" w:rsidRPr="00CD46AA" w:rsidRDefault="00A24BA7" w:rsidP="005151A7">
            <w:pPr>
              <w:pStyle w:val="TableBodyText"/>
              <w:rPr>
                <w:b/>
                <w:sz w:val="18"/>
                <w:szCs w:val="18"/>
              </w:rPr>
            </w:pPr>
            <w:r w:rsidRPr="00CD46AA">
              <w:rPr>
                <w:b/>
                <w:sz w:val="18"/>
                <w:szCs w:val="18"/>
              </w:rPr>
              <w:noBreakHyphen/>
            </w:r>
          </w:p>
        </w:tc>
        <w:tc>
          <w:tcPr>
            <w:tcW w:w="495" w:type="pct"/>
            <w:vAlign w:val="bottom"/>
          </w:tcPr>
          <w:p w:rsidR="00A24BA7" w:rsidRPr="00CD46AA" w:rsidRDefault="00A24BA7" w:rsidP="005151A7">
            <w:pPr>
              <w:pStyle w:val="TableBodyText"/>
              <w:rPr>
                <w:b/>
                <w:sz w:val="18"/>
                <w:szCs w:val="18"/>
              </w:rPr>
            </w:pPr>
            <w:r w:rsidRPr="00CD46AA">
              <w:rPr>
                <w:b/>
                <w:sz w:val="18"/>
                <w:szCs w:val="18"/>
              </w:rPr>
              <w:noBreakHyphen/>
            </w:r>
          </w:p>
        </w:tc>
        <w:tc>
          <w:tcPr>
            <w:tcW w:w="495" w:type="pct"/>
            <w:vAlign w:val="bottom"/>
          </w:tcPr>
          <w:p w:rsidR="00A24BA7" w:rsidRPr="00CD46AA" w:rsidRDefault="00A24BA7" w:rsidP="005151A7">
            <w:pPr>
              <w:pStyle w:val="TableBodyText"/>
              <w:rPr>
                <w:b/>
                <w:sz w:val="18"/>
                <w:szCs w:val="18"/>
              </w:rPr>
            </w:pPr>
            <w:r w:rsidRPr="00CD46AA">
              <w:rPr>
                <w:b/>
                <w:sz w:val="18"/>
                <w:szCs w:val="18"/>
              </w:rPr>
              <w:t>2.1</w:t>
            </w:r>
          </w:p>
        </w:tc>
        <w:tc>
          <w:tcPr>
            <w:tcW w:w="495" w:type="pct"/>
            <w:shd w:val="clear" w:color="auto" w:fill="auto"/>
            <w:vAlign w:val="bottom"/>
          </w:tcPr>
          <w:p w:rsidR="00A24BA7" w:rsidRPr="00CD46AA" w:rsidRDefault="00A24BA7" w:rsidP="005151A7">
            <w:pPr>
              <w:pStyle w:val="TableBodyText"/>
              <w:rPr>
                <w:b/>
                <w:sz w:val="18"/>
                <w:szCs w:val="18"/>
              </w:rPr>
            </w:pPr>
            <w:r w:rsidRPr="00CD46AA">
              <w:rPr>
                <w:b/>
                <w:sz w:val="18"/>
                <w:szCs w:val="18"/>
              </w:rPr>
              <w:t>1.8</w:t>
            </w:r>
          </w:p>
        </w:tc>
        <w:tc>
          <w:tcPr>
            <w:tcW w:w="495" w:type="pct"/>
            <w:shd w:val="clear" w:color="auto" w:fill="auto"/>
            <w:vAlign w:val="bottom"/>
          </w:tcPr>
          <w:p w:rsidR="00A24BA7" w:rsidRPr="00CD46AA" w:rsidRDefault="00A24BA7" w:rsidP="005151A7">
            <w:pPr>
              <w:pStyle w:val="TableBodyText"/>
              <w:rPr>
                <w:b/>
                <w:sz w:val="18"/>
                <w:szCs w:val="18"/>
              </w:rPr>
            </w:pPr>
            <w:r w:rsidRPr="00CD46AA">
              <w:rPr>
                <w:b/>
                <w:sz w:val="18"/>
                <w:szCs w:val="18"/>
              </w:rPr>
              <w:noBreakHyphen/>
            </w:r>
          </w:p>
        </w:tc>
        <w:tc>
          <w:tcPr>
            <w:tcW w:w="488" w:type="pct"/>
            <w:shd w:val="clear" w:color="auto" w:fill="auto"/>
            <w:vAlign w:val="bottom"/>
          </w:tcPr>
          <w:p w:rsidR="00A24BA7" w:rsidRPr="00CD46AA" w:rsidRDefault="00A24BA7" w:rsidP="005151A7">
            <w:pPr>
              <w:pStyle w:val="TableBodyText"/>
              <w:rPr>
                <w:b/>
                <w:sz w:val="18"/>
                <w:szCs w:val="18"/>
              </w:rPr>
            </w:pPr>
            <w:r w:rsidRPr="00CD46AA">
              <w:rPr>
                <w:b/>
                <w:sz w:val="18"/>
                <w:szCs w:val="18"/>
              </w:rPr>
              <w:noBreakHyphen/>
            </w:r>
          </w:p>
        </w:tc>
      </w:tr>
      <w:tr w:rsidR="00A24BA7" w:rsidTr="005151A7">
        <w:trPr>
          <w:trHeight w:val="227"/>
        </w:trPr>
        <w:tc>
          <w:tcPr>
            <w:tcW w:w="1946" w:type="pct"/>
            <w:vAlign w:val="bottom"/>
          </w:tcPr>
          <w:p w:rsidR="00A24BA7" w:rsidRPr="007758AB" w:rsidRDefault="00A24BA7" w:rsidP="005151A7">
            <w:pPr>
              <w:pStyle w:val="TableBodyText"/>
              <w:jc w:val="left"/>
              <w:rPr>
                <w:sz w:val="18"/>
                <w:szCs w:val="18"/>
              </w:rPr>
            </w:pPr>
            <w:r w:rsidRPr="007758AB">
              <w:rPr>
                <w:sz w:val="18"/>
                <w:szCs w:val="18"/>
              </w:rPr>
              <w:t>Electricity, gas, water and waste services</w:t>
            </w:r>
          </w:p>
        </w:tc>
        <w:tc>
          <w:tcPr>
            <w:tcW w:w="586" w:type="pct"/>
            <w:vAlign w:val="bottom"/>
          </w:tcPr>
          <w:p w:rsidR="00A24BA7" w:rsidRPr="00CD46AA" w:rsidRDefault="00A24BA7" w:rsidP="005151A7">
            <w:pPr>
              <w:pStyle w:val="TableBodyText"/>
              <w:rPr>
                <w:sz w:val="18"/>
                <w:szCs w:val="18"/>
              </w:rPr>
            </w:pPr>
            <w:r w:rsidRPr="00CD46AA">
              <w:rPr>
                <w:sz w:val="18"/>
                <w:szCs w:val="18"/>
              </w:rPr>
              <w:noBreakHyphen/>
            </w:r>
          </w:p>
        </w:tc>
        <w:tc>
          <w:tcPr>
            <w:tcW w:w="495" w:type="pct"/>
            <w:vAlign w:val="bottom"/>
          </w:tcPr>
          <w:p w:rsidR="00A24BA7" w:rsidRPr="00CD46AA" w:rsidRDefault="00A24BA7" w:rsidP="005151A7">
            <w:pPr>
              <w:pStyle w:val="TableBodyText"/>
              <w:rPr>
                <w:sz w:val="18"/>
                <w:szCs w:val="18"/>
              </w:rPr>
            </w:pPr>
            <w:r w:rsidRPr="00CD46AA">
              <w:rPr>
                <w:sz w:val="18"/>
                <w:szCs w:val="18"/>
              </w:rPr>
              <w:noBreakHyphen/>
            </w:r>
          </w:p>
        </w:tc>
        <w:tc>
          <w:tcPr>
            <w:tcW w:w="495" w:type="pct"/>
            <w:vAlign w:val="bottom"/>
          </w:tcPr>
          <w:p w:rsidR="00A24BA7" w:rsidRPr="00CD46AA" w:rsidRDefault="00A24BA7" w:rsidP="005151A7">
            <w:pPr>
              <w:pStyle w:val="TableBodyText"/>
              <w:rPr>
                <w:sz w:val="18"/>
                <w:szCs w:val="18"/>
              </w:rPr>
            </w:pPr>
            <w:r w:rsidRPr="00CD46AA">
              <w:rPr>
                <w:sz w:val="18"/>
                <w:szCs w:val="18"/>
              </w:rPr>
              <w:t>0.4</w:t>
            </w:r>
          </w:p>
        </w:tc>
        <w:tc>
          <w:tcPr>
            <w:tcW w:w="495" w:type="pct"/>
            <w:shd w:val="clear" w:color="auto" w:fill="auto"/>
            <w:vAlign w:val="bottom"/>
          </w:tcPr>
          <w:p w:rsidR="00A24BA7" w:rsidRPr="00CD46AA" w:rsidRDefault="00A24BA7" w:rsidP="005151A7">
            <w:pPr>
              <w:pStyle w:val="TableBodyText"/>
              <w:rPr>
                <w:sz w:val="18"/>
                <w:szCs w:val="18"/>
              </w:rPr>
            </w:pPr>
            <w:r w:rsidRPr="00CD46AA">
              <w:rPr>
                <w:sz w:val="18"/>
                <w:szCs w:val="18"/>
              </w:rPr>
              <w:t>0.4</w:t>
            </w:r>
          </w:p>
        </w:tc>
        <w:tc>
          <w:tcPr>
            <w:tcW w:w="495" w:type="pct"/>
            <w:shd w:val="clear" w:color="auto" w:fill="auto"/>
            <w:vAlign w:val="bottom"/>
          </w:tcPr>
          <w:p w:rsidR="00A24BA7" w:rsidRPr="00CD46AA" w:rsidRDefault="00A24BA7" w:rsidP="005151A7">
            <w:pPr>
              <w:pStyle w:val="TableBodyText"/>
              <w:rPr>
                <w:sz w:val="18"/>
                <w:szCs w:val="18"/>
              </w:rPr>
            </w:pPr>
            <w:r w:rsidRPr="00CD46AA">
              <w:rPr>
                <w:sz w:val="18"/>
                <w:szCs w:val="18"/>
              </w:rPr>
              <w:noBreakHyphen/>
            </w:r>
          </w:p>
        </w:tc>
        <w:tc>
          <w:tcPr>
            <w:tcW w:w="488" w:type="pct"/>
            <w:shd w:val="clear" w:color="auto" w:fill="auto"/>
            <w:vAlign w:val="bottom"/>
          </w:tcPr>
          <w:p w:rsidR="00A24BA7" w:rsidRPr="00CD46AA" w:rsidRDefault="00A24BA7" w:rsidP="005151A7">
            <w:pPr>
              <w:pStyle w:val="TableBodyText"/>
              <w:rPr>
                <w:sz w:val="18"/>
                <w:szCs w:val="18"/>
              </w:rPr>
            </w:pPr>
            <w:r w:rsidRPr="00CD46AA">
              <w:rPr>
                <w:sz w:val="18"/>
                <w:szCs w:val="18"/>
              </w:rPr>
              <w:noBreakHyphen/>
            </w:r>
          </w:p>
        </w:tc>
      </w:tr>
      <w:tr w:rsidR="00A24BA7" w:rsidTr="005151A7">
        <w:trPr>
          <w:trHeight w:val="227"/>
        </w:trPr>
        <w:tc>
          <w:tcPr>
            <w:tcW w:w="1946" w:type="pct"/>
            <w:vAlign w:val="bottom"/>
          </w:tcPr>
          <w:p w:rsidR="00A24BA7" w:rsidRPr="007758AB" w:rsidRDefault="00A24BA7" w:rsidP="005151A7">
            <w:pPr>
              <w:pStyle w:val="TableBodyText"/>
              <w:jc w:val="left"/>
              <w:rPr>
                <w:sz w:val="18"/>
                <w:szCs w:val="18"/>
              </w:rPr>
            </w:pPr>
            <w:r w:rsidRPr="007758AB">
              <w:rPr>
                <w:sz w:val="18"/>
                <w:szCs w:val="18"/>
              </w:rPr>
              <w:t>Information, media and telecommunications</w:t>
            </w:r>
          </w:p>
        </w:tc>
        <w:tc>
          <w:tcPr>
            <w:tcW w:w="586" w:type="pct"/>
            <w:vAlign w:val="bottom"/>
          </w:tcPr>
          <w:p w:rsidR="00A24BA7" w:rsidRPr="00CD46AA" w:rsidRDefault="00A24BA7" w:rsidP="005151A7">
            <w:pPr>
              <w:pStyle w:val="TableBodyText"/>
              <w:rPr>
                <w:sz w:val="18"/>
                <w:szCs w:val="18"/>
              </w:rPr>
            </w:pPr>
            <w:r w:rsidRPr="00CD46AA">
              <w:rPr>
                <w:sz w:val="18"/>
                <w:szCs w:val="18"/>
              </w:rPr>
              <w:noBreakHyphen/>
            </w:r>
          </w:p>
        </w:tc>
        <w:tc>
          <w:tcPr>
            <w:tcW w:w="495" w:type="pct"/>
            <w:vAlign w:val="bottom"/>
          </w:tcPr>
          <w:p w:rsidR="00A24BA7" w:rsidRPr="00CD46AA" w:rsidRDefault="00A24BA7" w:rsidP="005151A7">
            <w:pPr>
              <w:pStyle w:val="TableBodyText"/>
              <w:rPr>
                <w:sz w:val="18"/>
                <w:szCs w:val="18"/>
              </w:rPr>
            </w:pPr>
            <w:r w:rsidRPr="00CD46AA">
              <w:rPr>
                <w:sz w:val="18"/>
                <w:szCs w:val="18"/>
              </w:rPr>
              <w:noBreakHyphen/>
            </w:r>
          </w:p>
        </w:tc>
        <w:tc>
          <w:tcPr>
            <w:tcW w:w="495" w:type="pct"/>
            <w:vAlign w:val="bottom"/>
          </w:tcPr>
          <w:p w:rsidR="00A24BA7" w:rsidRPr="00CD46AA" w:rsidRDefault="00A24BA7" w:rsidP="005151A7">
            <w:pPr>
              <w:pStyle w:val="TableBodyText"/>
              <w:rPr>
                <w:sz w:val="18"/>
                <w:szCs w:val="18"/>
              </w:rPr>
            </w:pPr>
            <w:r w:rsidRPr="00CD46AA">
              <w:rPr>
                <w:sz w:val="18"/>
                <w:szCs w:val="18"/>
              </w:rPr>
              <w:t>0.9</w:t>
            </w:r>
          </w:p>
        </w:tc>
        <w:tc>
          <w:tcPr>
            <w:tcW w:w="495" w:type="pct"/>
            <w:shd w:val="clear" w:color="auto" w:fill="auto"/>
            <w:vAlign w:val="bottom"/>
          </w:tcPr>
          <w:p w:rsidR="00A24BA7" w:rsidRPr="00CD46AA" w:rsidRDefault="00A24BA7" w:rsidP="005151A7">
            <w:pPr>
              <w:pStyle w:val="TableBodyText"/>
              <w:rPr>
                <w:sz w:val="18"/>
                <w:szCs w:val="18"/>
              </w:rPr>
            </w:pPr>
            <w:r w:rsidRPr="00CD46AA">
              <w:rPr>
                <w:sz w:val="18"/>
                <w:szCs w:val="18"/>
              </w:rPr>
              <w:t>0.8</w:t>
            </w:r>
          </w:p>
        </w:tc>
        <w:tc>
          <w:tcPr>
            <w:tcW w:w="495" w:type="pct"/>
            <w:shd w:val="clear" w:color="auto" w:fill="auto"/>
            <w:vAlign w:val="bottom"/>
          </w:tcPr>
          <w:p w:rsidR="00A24BA7" w:rsidRPr="00CD46AA" w:rsidRDefault="00A24BA7" w:rsidP="005151A7">
            <w:pPr>
              <w:pStyle w:val="TableBodyText"/>
              <w:rPr>
                <w:sz w:val="18"/>
                <w:szCs w:val="18"/>
              </w:rPr>
            </w:pPr>
            <w:r w:rsidRPr="00CD46AA">
              <w:rPr>
                <w:sz w:val="18"/>
                <w:szCs w:val="18"/>
              </w:rPr>
              <w:noBreakHyphen/>
            </w:r>
          </w:p>
        </w:tc>
        <w:tc>
          <w:tcPr>
            <w:tcW w:w="488" w:type="pct"/>
            <w:shd w:val="clear" w:color="auto" w:fill="auto"/>
            <w:vAlign w:val="bottom"/>
          </w:tcPr>
          <w:p w:rsidR="00A24BA7" w:rsidRPr="00CD46AA" w:rsidRDefault="00A24BA7" w:rsidP="005151A7">
            <w:pPr>
              <w:pStyle w:val="TableBodyText"/>
              <w:rPr>
                <w:sz w:val="18"/>
                <w:szCs w:val="18"/>
              </w:rPr>
            </w:pPr>
            <w:r w:rsidRPr="00CD46AA">
              <w:rPr>
                <w:sz w:val="18"/>
                <w:szCs w:val="18"/>
              </w:rPr>
              <w:noBreakHyphen/>
            </w:r>
          </w:p>
        </w:tc>
      </w:tr>
      <w:tr w:rsidR="00A24BA7" w:rsidTr="005151A7">
        <w:trPr>
          <w:trHeight w:val="227"/>
        </w:trPr>
        <w:tc>
          <w:tcPr>
            <w:tcW w:w="1946" w:type="pct"/>
            <w:vAlign w:val="bottom"/>
          </w:tcPr>
          <w:p w:rsidR="00A24BA7" w:rsidRPr="007758AB" w:rsidRDefault="00A24BA7" w:rsidP="005151A7">
            <w:pPr>
              <w:pStyle w:val="TableBodyText"/>
              <w:jc w:val="left"/>
              <w:rPr>
                <w:sz w:val="18"/>
                <w:szCs w:val="18"/>
              </w:rPr>
            </w:pPr>
            <w:r w:rsidRPr="007758AB">
              <w:rPr>
                <w:sz w:val="18"/>
                <w:szCs w:val="18"/>
              </w:rPr>
              <w:t>Property, professional and administrative services</w:t>
            </w:r>
          </w:p>
        </w:tc>
        <w:tc>
          <w:tcPr>
            <w:tcW w:w="586" w:type="pct"/>
            <w:vAlign w:val="bottom"/>
          </w:tcPr>
          <w:p w:rsidR="00A24BA7" w:rsidRPr="00CD46AA" w:rsidRDefault="00A24BA7" w:rsidP="005151A7">
            <w:pPr>
              <w:pStyle w:val="TableBodyText"/>
              <w:rPr>
                <w:sz w:val="18"/>
                <w:szCs w:val="18"/>
              </w:rPr>
            </w:pPr>
            <w:r w:rsidRPr="00CD46AA">
              <w:rPr>
                <w:sz w:val="18"/>
                <w:szCs w:val="18"/>
              </w:rPr>
              <w:noBreakHyphen/>
            </w:r>
          </w:p>
        </w:tc>
        <w:tc>
          <w:tcPr>
            <w:tcW w:w="495" w:type="pct"/>
            <w:vAlign w:val="bottom"/>
          </w:tcPr>
          <w:p w:rsidR="00A24BA7" w:rsidRPr="00CD46AA" w:rsidRDefault="00A24BA7" w:rsidP="005151A7">
            <w:pPr>
              <w:pStyle w:val="TableBodyText"/>
              <w:rPr>
                <w:sz w:val="18"/>
                <w:szCs w:val="18"/>
              </w:rPr>
            </w:pPr>
            <w:r w:rsidRPr="00CD46AA">
              <w:rPr>
                <w:sz w:val="18"/>
                <w:szCs w:val="18"/>
              </w:rPr>
              <w:noBreakHyphen/>
            </w:r>
          </w:p>
        </w:tc>
        <w:tc>
          <w:tcPr>
            <w:tcW w:w="495" w:type="pct"/>
            <w:vAlign w:val="bottom"/>
          </w:tcPr>
          <w:p w:rsidR="00A24BA7" w:rsidRPr="00CD46AA" w:rsidRDefault="00A24BA7" w:rsidP="005151A7">
            <w:pPr>
              <w:pStyle w:val="TableBodyText"/>
              <w:rPr>
                <w:sz w:val="18"/>
                <w:szCs w:val="18"/>
              </w:rPr>
            </w:pPr>
            <w:r w:rsidRPr="00CD46AA">
              <w:rPr>
                <w:sz w:val="18"/>
                <w:szCs w:val="18"/>
              </w:rPr>
              <w:t>0.8</w:t>
            </w:r>
          </w:p>
        </w:tc>
        <w:tc>
          <w:tcPr>
            <w:tcW w:w="495" w:type="pct"/>
            <w:shd w:val="clear" w:color="auto" w:fill="auto"/>
            <w:vAlign w:val="bottom"/>
          </w:tcPr>
          <w:p w:rsidR="00A24BA7" w:rsidRPr="00CD46AA" w:rsidRDefault="00A24BA7" w:rsidP="005151A7">
            <w:pPr>
              <w:pStyle w:val="TableBodyText"/>
              <w:rPr>
                <w:sz w:val="18"/>
                <w:szCs w:val="18"/>
              </w:rPr>
            </w:pPr>
            <w:r w:rsidRPr="00CD46AA">
              <w:rPr>
                <w:sz w:val="18"/>
                <w:szCs w:val="18"/>
              </w:rPr>
              <w:t>0.7</w:t>
            </w:r>
          </w:p>
        </w:tc>
        <w:tc>
          <w:tcPr>
            <w:tcW w:w="495" w:type="pct"/>
            <w:shd w:val="clear" w:color="auto" w:fill="auto"/>
            <w:vAlign w:val="bottom"/>
          </w:tcPr>
          <w:p w:rsidR="00A24BA7" w:rsidRPr="00CD46AA" w:rsidRDefault="00A24BA7" w:rsidP="005151A7">
            <w:pPr>
              <w:pStyle w:val="TableBodyText"/>
              <w:rPr>
                <w:sz w:val="18"/>
                <w:szCs w:val="18"/>
              </w:rPr>
            </w:pPr>
            <w:r w:rsidRPr="00CD46AA">
              <w:rPr>
                <w:sz w:val="18"/>
                <w:szCs w:val="18"/>
              </w:rPr>
              <w:noBreakHyphen/>
            </w:r>
          </w:p>
        </w:tc>
        <w:tc>
          <w:tcPr>
            <w:tcW w:w="488" w:type="pct"/>
            <w:shd w:val="clear" w:color="auto" w:fill="auto"/>
            <w:vAlign w:val="bottom"/>
          </w:tcPr>
          <w:p w:rsidR="00A24BA7" w:rsidRPr="00CD46AA" w:rsidRDefault="00A24BA7" w:rsidP="005151A7">
            <w:pPr>
              <w:pStyle w:val="TableBodyText"/>
              <w:rPr>
                <w:sz w:val="18"/>
                <w:szCs w:val="18"/>
              </w:rPr>
            </w:pPr>
            <w:r w:rsidRPr="00CD46AA">
              <w:rPr>
                <w:sz w:val="18"/>
                <w:szCs w:val="18"/>
              </w:rPr>
              <w:noBreakHyphen/>
            </w:r>
          </w:p>
        </w:tc>
      </w:tr>
      <w:tr w:rsidR="00A24BA7" w:rsidTr="005151A7">
        <w:trPr>
          <w:trHeight w:val="227"/>
        </w:trPr>
        <w:tc>
          <w:tcPr>
            <w:tcW w:w="1946" w:type="pct"/>
            <w:vAlign w:val="bottom"/>
          </w:tcPr>
          <w:p w:rsidR="00A24BA7" w:rsidRPr="007758AB" w:rsidRDefault="00A24BA7" w:rsidP="005151A7">
            <w:pPr>
              <w:pStyle w:val="TableBodyText"/>
              <w:jc w:val="left"/>
              <w:rPr>
                <w:sz w:val="18"/>
                <w:szCs w:val="18"/>
              </w:rPr>
            </w:pPr>
            <w:r>
              <w:rPr>
                <w:sz w:val="18"/>
                <w:szCs w:val="18"/>
              </w:rPr>
              <w:t>Unallocated other</w:t>
            </w:r>
            <w:r w:rsidRPr="00682BD4">
              <w:rPr>
                <w:rStyle w:val="NoteLabel"/>
                <w:szCs w:val="18"/>
              </w:rPr>
              <w:t>a</w:t>
            </w:r>
          </w:p>
        </w:tc>
        <w:tc>
          <w:tcPr>
            <w:tcW w:w="586" w:type="pct"/>
            <w:vAlign w:val="bottom"/>
          </w:tcPr>
          <w:p w:rsidR="00A24BA7" w:rsidRPr="00CD46AA" w:rsidRDefault="00A24BA7" w:rsidP="005151A7">
            <w:pPr>
              <w:pStyle w:val="TableBodyText"/>
              <w:rPr>
                <w:sz w:val="18"/>
                <w:szCs w:val="18"/>
              </w:rPr>
            </w:pPr>
            <w:r w:rsidRPr="00CD46AA">
              <w:rPr>
                <w:sz w:val="18"/>
                <w:szCs w:val="18"/>
              </w:rPr>
              <w:noBreakHyphen/>
            </w:r>
          </w:p>
        </w:tc>
        <w:tc>
          <w:tcPr>
            <w:tcW w:w="495" w:type="pct"/>
            <w:vAlign w:val="bottom"/>
          </w:tcPr>
          <w:p w:rsidR="00A24BA7" w:rsidRPr="00CD46AA" w:rsidRDefault="00A24BA7" w:rsidP="005151A7">
            <w:pPr>
              <w:pStyle w:val="TableBodyText"/>
              <w:rPr>
                <w:sz w:val="18"/>
                <w:szCs w:val="18"/>
              </w:rPr>
            </w:pPr>
            <w:r>
              <w:rPr>
                <w:sz w:val="18"/>
                <w:szCs w:val="18"/>
              </w:rPr>
              <w:t>&lt;</w:t>
            </w:r>
            <w:r w:rsidRPr="00CD46AA">
              <w:rPr>
                <w:sz w:val="18"/>
                <w:szCs w:val="18"/>
              </w:rPr>
              <w:t>0.1</w:t>
            </w:r>
          </w:p>
        </w:tc>
        <w:tc>
          <w:tcPr>
            <w:tcW w:w="495" w:type="pct"/>
            <w:vAlign w:val="bottom"/>
          </w:tcPr>
          <w:p w:rsidR="00A24BA7" w:rsidRPr="00CD46AA" w:rsidRDefault="00A24BA7" w:rsidP="005151A7">
            <w:pPr>
              <w:pStyle w:val="TableBodyText"/>
              <w:rPr>
                <w:sz w:val="18"/>
                <w:szCs w:val="18"/>
              </w:rPr>
            </w:pPr>
            <w:r>
              <w:rPr>
                <w:sz w:val="18"/>
                <w:szCs w:val="18"/>
              </w:rPr>
              <w:t>&lt;</w:t>
            </w:r>
            <w:r w:rsidRPr="00E17EEF">
              <w:rPr>
                <w:sz w:val="18"/>
                <w:szCs w:val="18"/>
              </w:rPr>
              <w:t>0.</w:t>
            </w:r>
            <w:r>
              <w:rPr>
                <w:sz w:val="18"/>
                <w:szCs w:val="18"/>
              </w:rPr>
              <w:t>1</w:t>
            </w:r>
          </w:p>
        </w:tc>
        <w:tc>
          <w:tcPr>
            <w:tcW w:w="495" w:type="pct"/>
            <w:shd w:val="clear" w:color="auto" w:fill="auto"/>
            <w:vAlign w:val="bottom"/>
          </w:tcPr>
          <w:p w:rsidR="00A24BA7" w:rsidRPr="00CD46AA" w:rsidRDefault="00A24BA7" w:rsidP="005151A7">
            <w:pPr>
              <w:pStyle w:val="TableBodyText"/>
              <w:rPr>
                <w:sz w:val="18"/>
                <w:szCs w:val="18"/>
              </w:rPr>
            </w:pPr>
            <w:r>
              <w:rPr>
                <w:sz w:val="18"/>
                <w:szCs w:val="18"/>
              </w:rPr>
              <w:t>&lt;</w:t>
            </w:r>
            <w:r w:rsidRPr="00E17EEF">
              <w:rPr>
                <w:sz w:val="18"/>
                <w:szCs w:val="18"/>
              </w:rPr>
              <w:t>0.</w:t>
            </w:r>
            <w:r>
              <w:rPr>
                <w:sz w:val="18"/>
                <w:szCs w:val="18"/>
              </w:rPr>
              <w:t>1</w:t>
            </w:r>
          </w:p>
        </w:tc>
        <w:tc>
          <w:tcPr>
            <w:tcW w:w="495" w:type="pct"/>
            <w:shd w:val="clear" w:color="auto" w:fill="auto"/>
            <w:vAlign w:val="bottom"/>
          </w:tcPr>
          <w:p w:rsidR="00A24BA7" w:rsidRPr="00CD46AA" w:rsidRDefault="00A24BA7" w:rsidP="005151A7">
            <w:pPr>
              <w:pStyle w:val="TableBodyText"/>
              <w:rPr>
                <w:sz w:val="18"/>
                <w:szCs w:val="18"/>
              </w:rPr>
            </w:pPr>
            <w:r w:rsidRPr="00CD46AA">
              <w:rPr>
                <w:sz w:val="18"/>
                <w:szCs w:val="18"/>
              </w:rPr>
              <w:noBreakHyphen/>
            </w:r>
          </w:p>
        </w:tc>
        <w:tc>
          <w:tcPr>
            <w:tcW w:w="488" w:type="pct"/>
            <w:shd w:val="clear" w:color="auto" w:fill="auto"/>
            <w:vAlign w:val="bottom"/>
          </w:tcPr>
          <w:p w:rsidR="00A24BA7" w:rsidRPr="00CD46AA" w:rsidRDefault="00A24BA7" w:rsidP="005151A7">
            <w:pPr>
              <w:pStyle w:val="TableBodyText"/>
              <w:rPr>
                <w:sz w:val="18"/>
                <w:szCs w:val="18"/>
              </w:rPr>
            </w:pPr>
            <w:r w:rsidRPr="00CD46AA">
              <w:rPr>
                <w:sz w:val="18"/>
                <w:szCs w:val="18"/>
              </w:rPr>
              <w:noBreakHyphen/>
            </w:r>
          </w:p>
        </w:tc>
      </w:tr>
      <w:tr w:rsidR="00A24BA7" w:rsidTr="005151A7">
        <w:trPr>
          <w:trHeight w:val="227"/>
        </w:trPr>
        <w:tc>
          <w:tcPr>
            <w:tcW w:w="1946" w:type="pct"/>
            <w:tcBorders>
              <w:bottom w:val="single" w:sz="4" w:space="0" w:color="auto"/>
            </w:tcBorders>
            <w:vAlign w:val="bottom"/>
          </w:tcPr>
          <w:p w:rsidR="00A24BA7" w:rsidRPr="007758AB" w:rsidRDefault="00A24BA7" w:rsidP="005151A7">
            <w:pPr>
              <w:pStyle w:val="TableBodyText"/>
              <w:jc w:val="left"/>
              <w:rPr>
                <w:b/>
                <w:bCs/>
                <w:sz w:val="18"/>
                <w:szCs w:val="18"/>
              </w:rPr>
            </w:pPr>
            <w:r w:rsidRPr="007758AB">
              <w:rPr>
                <w:b/>
                <w:bCs/>
                <w:sz w:val="18"/>
                <w:szCs w:val="18"/>
              </w:rPr>
              <w:t>Total</w:t>
            </w:r>
          </w:p>
        </w:tc>
        <w:tc>
          <w:tcPr>
            <w:tcW w:w="586" w:type="pct"/>
            <w:tcBorders>
              <w:bottom w:val="single" w:sz="4" w:space="0" w:color="auto"/>
            </w:tcBorders>
            <w:vAlign w:val="bottom"/>
          </w:tcPr>
          <w:p w:rsidR="00A24BA7" w:rsidRPr="00CD46AA" w:rsidRDefault="00A24BA7" w:rsidP="005151A7">
            <w:pPr>
              <w:pStyle w:val="TableBodyText"/>
              <w:rPr>
                <w:b/>
                <w:sz w:val="18"/>
                <w:szCs w:val="18"/>
              </w:rPr>
            </w:pPr>
            <w:r w:rsidRPr="00CD46AA">
              <w:rPr>
                <w:b/>
                <w:sz w:val="18"/>
                <w:szCs w:val="18"/>
              </w:rPr>
              <w:noBreakHyphen/>
            </w:r>
          </w:p>
        </w:tc>
        <w:tc>
          <w:tcPr>
            <w:tcW w:w="495" w:type="pct"/>
            <w:tcBorders>
              <w:bottom w:val="single" w:sz="4" w:space="0" w:color="auto"/>
            </w:tcBorders>
            <w:vAlign w:val="bottom"/>
          </w:tcPr>
          <w:p w:rsidR="00A24BA7" w:rsidRPr="003F7D1D" w:rsidRDefault="00A24BA7" w:rsidP="005151A7">
            <w:pPr>
              <w:pStyle w:val="TableBodyText"/>
              <w:rPr>
                <w:b/>
                <w:sz w:val="18"/>
                <w:szCs w:val="18"/>
              </w:rPr>
            </w:pPr>
            <w:r w:rsidRPr="003F7D1D">
              <w:rPr>
                <w:b/>
                <w:sz w:val="18"/>
                <w:szCs w:val="18"/>
              </w:rPr>
              <w:t>7.1</w:t>
            </w:r>
          </w:p>
        </w:tc>
        <w:tc>
          <w:tcPr>
            <w:tcW w:w="495" w:type="pct"/>
            <w:tcBorders>
              <w:bottom w:val="single" w:sz="4" w:space="0" w:color="auto"/>
            </w:tcBorders>
            <w:vAlign w:val="bottom"/>
          </w:tcPr>
          <w:p w:rsidR="00A24BA7" w:rsidRPr="003F7D1D" w:rsidRDefault="00A24BA7" w:rsidP="005151A7">
            <w:pPr>
              <w:pStyle w:val="TableBodyText"/>
              <w:rPr>
                <w:b/>
                <w:sz w:val="18"/>
                <w:szCs w:val="18"/>
              </w:rPr>
            </w:pPr>
            <w:r w:rsidRPr="003F7D1D">
              <w:rPr>
                <w:b/>
                <w:sz w:val="18"/>
                <w:szCs w:val="18"/>
              </w:rPr>
              <w:t>7.1</w:t>
            </w:r>
          </w:p>
        </w:tc>
        <w:tc>
          <w:tcPr>
            <w:tcW w:w="495" w:type="pct"/>
            <w:tcBorders>
              <w:bottom w:val="single" w:sz="4" w:space="0" w:color="auto"/>
            </w:tcBorders>
            <w:shd w:val="clear" w:color="auto" w:fill="auto"/>
            <w:vAlign w:val="bottom"/>
          </w:tcPr>
          <w:p w:rsidR="00A24BA7" w:rsidRPr="003F7D1D" w:rsidRDefault="00A24BA7" w:rsidP="005151A7">
            <w:pPr>
              <w:pStyle w:val="TableBodyText"/>
              <w:rPr>
                <w:b/>
                <w:sz w:val="18"/>
                <w:szCs w:val="18"/>
              </w:rPr>
            </w:pPr>
            <w:r w:rsidRPr="003F7D1D">
              <w:rPr>
                <w:b/>
                <w:sz w:val="18"/>
                <w:szCs w:val="18"/>
              </w:rPr>
              <w:t>6.1</w:t>
            </w:r>
          </w:p>
        </w:tc>
        <w:tc>
          <w:tcPr>
            <w:tcW w:w="495" w:type="pct"/>
            <w:tcBorders>
              <w:bottom w:val="single" w:sz="4" w:space="0" w:color="auto"/>
            </w:tcBorders>
            <w:shd w:val="clear" w:color="auto" w:fill="auto"/>
            <w:vAlign w:val="bottom"/>
          </w:tcPr>
          <w:p w:rsidR="00A24BA7" w:rsidRPr="00CD46AA" w:rsidRDefault="00A24BA7" w:rsidP="005151A7">
            <w:pPr>
              <w:pStyle w:val="TableBodyText"/>
              <w:rPr>
                <w:b/>
                <w:sz w:val="18"/>
                <w:szCs w:val="18"/>
              </w:rPr>
            </w:pPr>
            <w:r w:rsidRPr="00CD46AA">
              <w:rPr>
                <w:b/>
                <w:sz w:val="18"/>
                <w:szCs w:val="18"/>
              </w:rPr>
              <w:noBreakHyphen/>
            </w:r>
          </w:p>
        </w:tc>
        <w:tc>
          <w:tcPr>
            <w:tcW w:w="488" w:type="pct"/>
            <w:tcBorders>
              <w:bottom w:val="single" w:sz="4" w:space="0" w:color="auto"/>
            </w:tcBorders>
            <w:shd w:val="clear" w:color="auto" w:fill="auto"/>
            <w:vAlign w:val="bottom"/>
          </w:tcPr>
          <w:p w:rsidR="00A24BA7" w:rsidRPr="00CD46AA" w:rsidRDefault="00A24BA7" w:rsidP="005151A7">
            <w:pPr>
              <w:pStyle w:val="TableBodyText"/>
              <w:rPr>
                <w:b/>
                <w:sz w:val="18"/>
                <w:szCs w:val="18"/>
              </w:rPr>
            </w:pPr>
            <w:r w:rsidRPr="00CD46AA">
              <w:rPr>
                <w:b/>
                <w:sz w:val="18"/>
                <w:szCs w:val="18"/>
              </w:rPr>
              <w:noBreakHyphen/>
            </w:r>
          </w:p>
        </w:tc>
      </w:tr>
    </w:tbl>
    <w:p w:rsidR="00A24BA7" w:rsidRDefault="00A24BA7" w:rsidP="00A24BA7">
      <w:pPr>
        <w:pStyle w:val="Source"/>
        <w:spacing w:after="0"/>
        <w:rPr>
          <w:i/>
        </w:rPr>
      </w:pPr>
      <w:r w:rsidRPr="00A2379F">
        <w:noBreakHyphen/>
        <w:t xml:space="preserve"> </w:t>
      </w:r>
      <w:r>
        <w:t>Nil</w:t>
      </w:r>
      <w:r w:rsidRPr="00A2379F">
        <w:t>.</w:t>
      </w:r>
      <w:r w:rsidRPr="00B1392F">
        <w:t xml:space="preserve"> </w:t>
      </w:r>
      <w:r w:rsidRPr="008E77FE">
        <w:rPr>
          <w:rStyle w:val="NoteLabel"/>
        </w:rPr>
        <w:t>a</w:t>
      </w:r>
      <w:r>
        <w:t xml:space="preserve"> </w:t>
      </w:r>
      <w:r w:rsidRPr="00B81ACC">
        <w:t>Unallocated includes general programs where details of beneficiaries are unknown</w:t>
      </w:r>
      <w:r>
        <w:t>.</w:t>
      </w:r>
    </w:p>
    <w:p w:rsidR="00A24BA7" w:rsidRPr="008E77FE" w:rsidRDefault="00A24BA7" w:rsidP="00A24BA7">
      <w:pPr>
        <w:pStyle w:val="Source"/>
      </w:pPr>
      <w:r>
        <w:rPr>
          <w:i/>
        </w:rPr>
        <w:t>Source</w:t>
      </w:r>
      <w:r w:rsidR="00C07120">
        <w:rPr>
          <w:i/>
        </w:rPr>
        <w:t>s</w:t>
      </w:r>
      <w:r>
        <w:t>: Commission estimates based on DIISR Annual Report 2009</w:t>
      </w:r>
      <w:r>
        <w:noBreakHyphen/>
        <w:t>10 (and earlier years); and detailed DIISR data by ANZSIC industry.</w:t>
      </w:r>
    </w:p>
    <w:p w:rsidR="00A24BA7" w:rsidRDefault="00FA09C3" w:rsidP="00A24BA7">
      <w:pPr>
        <w:pStyle w:val="Heading2"/>
      </w:pPr>
      <w:r>
        <w:t>A.</w:t>
      </w:r>
      <w:r>
        <w:rPr>
          <w:noProof/>
        </w:rPr>
        <w:t>150</w:t>
      </w:r>
      <w:r w:rsidR="00A24BA7">
        <w:tab/>
        <w:t>Land and Water Australia</w:t>
      </w:r>
    </w:p>
    <w:p w:rsidR="00A24BA7" w:rsidRDefault="00A24BA7" w:rsidP="00A24BA7">
      <w:pPr>
        <w:pStyle w:val="BodyText"/>
      </w:pPr>
      <w:r>
        <w:t xml:space="preserve">Land and Water Australia (LWA) – formerly Land and Water Resources Research and Development Corporation — carried out research and development activities into land and water issues </w:t>
      </w:r>
      <w:r w:rsidRPr="00605FAE">
        <w:t>(LWA 2013).</w:t>
      </w:r>
      <w:r>
        <w:t xml:space="preserve"> LWA aimed to:</w:t>
      </w:r>
    </w:p>
    <w:p w:rsidR="00A24BA7" w:rsidRDefault="00A24BA7" w:rsidP="00A24BA7">
      <w:pPr>
        <w:pStyle w:val="ListBullet"/>
      </w:pPr>
      <w:r>
        <w:t>generate knowledge to improve Australian farming systems and profitability;</w:t>
      </w:r>
    </w:p>
    <w:p w:rsidR="00A24BA7" w:rsidRDefault="00A24BA7" w:rsidP="00A24BA7">
      <w:pPr>
        <w:pStyle w:val="ListBullet"/>
      </w:pPr>
      <w:r>
        <w:t>improve the way Australia’s natural resources are managed for sustainability;</w:t>
      </w:r>
    </w:p>
    <w:p w:rsidR="00A24BA7" w:rsidRDefault="00A24BA7" w:rsidP="00A24BA7">
      <w:pPr>
        <w:pStyle w:val="ListBullet"/>
      </w:pPr>
      <w:r>
        <w:t>inform large public investments in natural capital; and</w:t>
      </w:r>
    </w:p>
    <w:p w:rsidR="00A24BA7" w:rsidRDefault="00A24BA7" w:rsidP="00A24BA7">
      <w:pPr>
        <w:pStyle w:val="ListBullet"/>
      </w:pPr>
      <w:r>
        <w:t>help governments balance competing demands on natural resources and rural landscapes.</w:t>
      </w:r>
    </w:p>
    <w:p w:rsidR="00C07120" w:rsidRDefault="00C07120" w:rsidP="00C305B5">
      <w:pPr>
        <w:pStyle w:val="BodyText"/>
      </w:pPr>
      <w:r w:rsidRPr="00C305B5">
        <w:t>LWA was closed on 31 December 2009.</w:t>
      </w:r>
    </w:p>
    <w:p w:rsidR="00A24BA7" w:rsidRPr="00C305B5" w:rsidRDefault="00A24BA7" w:rsidP="00C305B5">
      <w:pPr>
        <w:pStyle w:val="BodyText"/>
      </w:pPr>
      <w:r w:rsidRPr="00C305B5">
        <w:t xml:space="preserve">LWA projects assisted the primary production sector. However, information on the specific industry incidence of the projects has not been readily available. Accordingly, the budget outlay has been </w:t>
      </w:r>
      <w:r w:rsidR="00C07120">
        <w:t>allocate</w:t>
      </w:r>
      <w:r w:rsidR="00C07120" w:rsidRPr="00C305B5">
        <w:t xml:space="preserve">d </w:t>
      </w:r>
      <w:r w:rsidRPr="00C305B5">
        <w:t xml:space="preserve">to the </w:t>
      </w:r>
      <w:r w:rsidRPr="00C305B5">
        <w:rPr>
          <w:i/>
        </w:rPr>
        <w:t>Unallocated primary production</w:t>
      </w:r>
      <w:r w:rsidRPr="00C305B5">
        <w:t xml:space="preserve"> industry grouping in the Commission’s ANZSIC-based </w:t>
      </w:r>
      <w:r w:rsidR="00C07120">
        <w:t xml:space="preserve">classification </w:t>
      </w:r>
      <w:r w:rsidRPr="00C305B5">
        <w:t>(table A.1</w:t>
      </w:r>
      <w:r w:rsidR="00C065C1" w:rsidRPr="00C305B5">
        <w:t>50</w:t>
      </w:r>
      <w:r w:rsidRPr="00C305B5">
        <w:t xml:space="preserve">). </w:t>
      </w:r>
    </w:p>
    <w:p w:rsidR="00A24BA7" w:rsidRDefault="00A24BA7" w:rsidP="00A24BA7">
      <w:pPr>
        <w:pStyle w:val="TableTitle"/>
      </w:pPr>
      <w:r>
        <w:rPr>
          <w:b w:val="0"/>
        </w:rPr>
        <w:t xml:space="preserve">Table </w:t>
      </w:r>
      <w:r w:rsidR="00FA09C3">
        <w:rPr>
          <w:b w:val="0"/>
        </w:rPr>
        <w:t>A.</w:t>
      </w:r>
      <w:r w:rsidR="00FA09C3">
        <w:rPr>
          <w:b w:val="0"/>
          <w:noProof/>
        </w:rPr>
        <w:t>150</w:t>
      </w:r>
      <w:r>
        <w:tab/>
        <w:t>Allocation of Land and Water Australia funding</w:t>
      </w:r>
      <w:r w:rsidR="00E471E2" w:rsidRPr="00E471E2">
        <w:t xml:space="preserve"> to industry</w:t>
      </w:r>
      <w:r>
        <w:t>, 2006</w:t>
      </w:r>
      <w:r>
        <w:noBreakHyphen/>
        <w:t>07 to 2011</w:t>
      </w:r>
      <w:r>
        <w:noBreakHyphen/>
        <w:t>12</w:t>
      </w:r>
    </w:p>
    <w:p w:rsidR="00A24BA7" w:rsidRDefault="00A24BA7" w:rsidP="00A24BA7">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A24BA7" w:rsidRPr="00AF699A" w:rsidTr="005151A7">
        <w:tc>
          <w:tcPr>
            <w:tcW w:w="1960" w:type="pct"/>
            <w:tcBorders>
              <w:top w:val="single" w:sz="6" w:space="0" w:color="auto"/>
              <w:bottom w:val="single" w:sz="6" w:space="0" w:color="auto"/>
            </w:tcBorders>
          </w:tcPr>
          <w:p w:rsidR="00A24BA7" w:rsidRPr="00AF699A" w:rsidRDefault="00A24BA7" w:rsidP="005151A7">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A24BA7" w:rsidRPr="00AF699A" w:rsidRDefault="00A24BA7" w:rsidP="005151A7">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A24BA7" w:rsidRPr="00AF699A" w:rsidRDefault="00A24BA7" w:rsidP="005151A7">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A24BA7" w:rsidRPr="00AF699A" w:rsidRDefault="00A24BA7" w:rsidP="005151A7">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A24BA7" w:rsidRPr="00AF699A" w:rsidRDefault="00A24BA7" w:rsidP="005151A7">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A24BA7" w:rsidRPr="00AF699A" w:rsidRDefault="00A24BA7" w:rsidP="005151A7">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A24BA7" w:rsidRPr="00AF699A" w:rsidRDefault="00A24BA7" w:rsidP="005151A7">
            <w:pPr>
              <w:pStyle w:val="TableColumnHeading"/>
              <w:ind w:right="28"/>
              <w:rPr>
                <w:rFonts w:cs="Arial"/>
                <w:sz w:val="18"/>
                <w:szCs w:val="18"/>
              </w:rPr>
            </w:pPr>
            <w:r w:rsidRPr="00AF699A">
              <w:rPr>
                <w:rFonts w:cs="Arial"/>
                <w:sz w:val="18"/>
                <w:szCs w:val="18"/>
              </w:rPr>
              <w:t>2011-12</w:t>
            </w:r>
          </w:p>
        </w:tc>
      </w:tr>
      <w:tr w:rsidR="00A24BA7" w:rsidRPr="006C5A80" w:rsidTr="005151A7">
        <w:tc>
          <w:tcPr>
            <w:tcW w:w="1960" w:type="pct"/>
            <w:tcBorders>
              <w:bottom w:val="single" w:sz="4" w:space="0" w:color="auto"/>
            </w:tcBorders>
            <w:vAlign w:val="bottom"/>
          </w:tcPr>
          <w:p w:rsidR="00A24BA7" w:rsidRPr="00C944BA" w:rsidRDefault="00A24BA7" w:rsidP="005151A7">
            <w:pPr>
              <w:pStyle w:val="TableBodyText"/>
              <w:jc w:val="left"/>
            </w:pPr>
            <w:r>
              <w:t>Unallocated primary production</w:t>
            </w:r>
            <w:r w:rsidRPr="00BD3CDA">
              <w:rPr>
                <w:rStyle w:val="NoteLabel"/>
                <w:szCs w:val="18"/>
              </w:rPr>
              <w:t>a</w:t>
            </w:r>
          </w:p>
        </w:tc>
        <w:tc>
          <w:tcPr>
            <w:tcW w:w="507" w:type="pct"/>
            <w:tcBorders>
              <w:bottom w:val="single" w:sz="4" w:space="0" w:color="auto"/>
            </w:tcBorders>
            <w:vAlign w:val="bottom"/>
          </w:tcPr>
          <w:p w:rsidR="00A24BA7" w:rsidRDefault="00A24BA7" w:rsidP="005151A7">
            <w:pPr>
              <w:pStyle w:val="TableBodyText"/>
            </w:pPr>
            <w:r>
              <w:t>12.8</w:t>
            </w:r>
          </w:p>
        </w:tc>
        <w:tc>
          <w:tcPr>
            <w:tcW w:w="507" w:type="pct"/>
            <w:tcBorders>
              <w:bottom w:val="single" w:sz="4" w:space="0" w:color="auto"/>
            </w:tcBorders>
            <w:vAlign w:val="bottom"/>
          </w:tcPr>
          <w:p w:rsidR="00A24BA7" w:rsidRDefault="00A24BA7" w:rsidP="005151A7">
            <w:pPr>
              <w:pStyle w:val="TableBodyText"/>
            </w:pPr>
            <w:r>
              <w:t>13.0</w:t>
            </w:r>
          </w:p>
        </w:tc>
        <w:tc>
          <w:tcPr>
            <w:tcW w:w="507" w:type="pct"/>
            <w:tcBorders>
              <w:bottom w:val="single" w:sz="4" w:space="0" w:color="auto"/>
            </w:tcBorders>
            <w:vAlign w:val="bottom"/>
          </w:tcPr>
          <w:p w:rsidR="00A24BA7" w:rsidRDefault="00A24BA7" w:rsidP="005151A7">
            <w:pPr>
              <w:pStyle w:val="TableBodyText"/>
            </w:pPr>
            <w:r>
              <w:t>13.0</w:t>
            </w:r>
          </w:p>
        </w:tc>
        <w:tc>
          <w:tcPr>
            <w:tcW w:w="507" w:type="pct"/>
            <w:tcBorders>
              <w:bottom w:val="single" w:sz="4" w:space="0" w:color="auto"/>
            </w:tcBorders>
            <w:vAlign w:val="bottom"/>
          </w:tcPr>
          <w:p w:rsidR="00A24BA7" w:rsidRDefault="00A24BA7" w:rsidP="005151A7">
            <w:pPr>
              <w:pStyle w:val="TableBodyText"/>
            </w:pPr>
            <w:r>
              <w:t>5.7</w:t>
            </w:r>
          </w:p>
        </w:tc>
        <w:tc>
          <w:tcPr>
            <w:tcW w:w="507" w:type="pct"/>
            <w:tcBorders>
              <w:bottom w:val="single" w:sz="4" w:space="0" w:color="auto"/>
            </w:tcBorders>
            <w:shd w:val="clear" w:color="auto" w:fill="auto"/>
            <w:vAlign w:val="bottom"/>
          </w:tcPr>
          <w:p w:rsidR="00A24BA7" w:rsidRDefault="00A24BA7" w:rsidP="005151A7">
            <w:pPr>
              <w:pStyle w:val="TableBodyText"/>
            </w:pPr>
            <w:r>
              <w:noBreakHyphen/>
            </w:r>
          </w:p>
        </w:tc>
        <w:tc>
          <w:tcPr>
            <w:tcW w:w="505" w:type="pct"/>
            <w:tcBorders>
              <w:bottom w:val="single" w:sz="4" w:space="0" w:color="auto"/>
            </w:tcBorders>
            <w:shd w:val="clear" w:color="auto" w:fill="auto"/>
            <w:vAlign w:val="bottom"/>
          </w:tcPr>
          <w:p w:rsidR="00A24BA7" w:rsidRDefault="00A24BA7" w:rsidP="005151A7">
            <w:pPr>
              <w:pStyle w:val="TableBodyText"/>
            </w:pPr>
            <w:r>
              <w:noBreakHyphen/>
            </w:r>
          </w:p>
        </w:tc>
      </w:tr>
    </w:tbl>
    <w:p w:rsidR="00A24BA7" w:rsidRPr="00F60026" w:rsidRDefault="00A24BA7" w:rsidP="00A24BA7">
      <w:pPr>
        <w:pStyle w:val="Source"/>
        <w:spacing w:after="0"/>
        <w:rPr>
          <w:i/>
        </w:rPr>
      </w:pPr>
      <w:r w:rsidRPr="00A2379F">
        <w:noBreakHyphen/>
        <w:t xml:space="preserve"> </w:t>
      </w:r>
      <w:r>
        <w:t>Nil</w:t>
      </w:r>
      <w:r w:rsidRPr="00A2379F">
        <w:t>.</w:t>
      </w:r>
      <w:r w:rsidRPr="00B1392F">
        <w:t xml:space="preserve"> </w:t>
      </w:r>
      <w:r w:rsidRPr="009B56F1">
        <w:rPr>
          <w:rStyle w:val="NoteLabel"/>
        </w:rPr>
        <w:t>a</w:t>
      </w:r>
      <w:r w:rsidRPr="009B56F1">
        <w:t xml:space="preserve"> Unallocated includes general programs where detai</w:t>
      </w:r>
      <w:r>
        <w:t>ls of beneficiaries are unknown.</w:t>
      </w:r>
    </w:p>
    <w:p w:rsidR="00A24BA7" w:rsidRPr="008E77FE" w:rsidRDefault="00A24BA7" w:rsidP="00A24BA7">
      <w:pPr>
        <w:pStyle w:val="Source"/>
      </w:pPr>
      <w:r>
        <w:rPr>
          <w:i/>
        </w:rPr>
        <w:t>Source</w:t>
      </w:r>
      <w:r>
        <w:t>: Commission estimates based on Land and Water Australia Research and Development Corporation Annual Report 2009</w:t>
      </w:r>
      <w:r>
        <w:noBreakHyphen/>
        <w:t>10 (and earlier years).</w:t>
      </w:r>
    </w:p>
    <w:p w:rsidR="0087636D" w:rsidRDefault="00FA09C3" w:rsidP="0087636D">
      <w:pPr>
        <w:pStyle w:val="Heading2"/>
      </w:pPr>
      <w:r>
        <w:t>A.</w:t>
      </w:r>
      <w:r>
        <w:rPr>
          <w:noProof/>
        </w:rPr>
        <w:t>151</w:t>
      </w:r>
      <w:r w:rsidR="0087636D">
        <w:tab/>
        <w:t>Pre-seed Fund</w:t>
      </w:r>
    </w:p>
    <w:p w:rsidR="0087636D" w:rsidRDefault="0087636D" w:rsidP="0087636D">
      <w:pPr>
        <w:pStyle w:val="BodyText"/>
      </w:pPr>
      <w:r>
        <w:t>Announced in 2001, the Pre-seed Fund program aimed to make available venture capital finance for university and public sector research companies seeking to commercialise their technologies. Funding for the scheme was used to establish ‘fund companies’ which would invest in the commercialisation of public sector research (</w:t>
      </w:r>
      <w:r w:rsidRPr="00C305B5">
        <w:t>DIISR 2010</w:t>
      </w:r>
      <w:r>
        <w:t>).</w:t>
      </w:r>
    </w:p>
    <w:p w:rsidR="0087636D" w:rsidRDefault="0087636D" w:rsidP="0087636D">
      <w:pPr>
        <w:pStyle w:val="BodyText"/>
      </w:pPr>
      <w:r w:rsidRPr="001B2107">
        <w:t xml:space="preserve">The Commission has obtained information from the Department of Innovation, Industry, Science and Research detailing program funding according to ANZSIC industry. This information has been used to allocate the Department’s estimate of total program expenditure, as published in </w:t>
      </w:r>
      <w:r w:rsidR="00AF0505">
        <w:t>its</w:t>
      </w:r>
      <w:r w:rsidR="00AF0505" w:rsidRPr="001B2107">
        <w:t xml:space="preserve"> </w:t>
      </w:r>
      <w:r w:rsidRPr="001B2107">
        <w:t>annual report, to the Commission’s ANZSIC-based industry groupings</w:t>
      </w:r>
      <w:r w:rsidRPr="00BF1CCD">
        <w:t xml:space="preserve"> (table</w:t>
      </w:r>
      <w:r w:rsidR="00605FAE">
        <w:t> </w:t>
      </w:r>
      <w:r w:rsidRPr="00BF1CCD">
        <w:t>A.</w:t>
      </w:r>
      <w:r>
        <w:t>15</w:t>
      </w:r>
      <w:r w:rsidR="00C065C1">
        <w:t>1</w:t>
      </w:r>
      <w:r w:rsidRPr="00BF1CCD">
        <w:t>).</w:t>
      </w:r>
    </w:p>
    <w:p w:rsidR="0087636D" w:rsidRDefault="0087636D" w:rsidP="0087636D">
      <w:pPr>
        <w:pStyle w:val="TableTitle"/>
      </w:pPr>
      <w:r>
        <w:rPr>
          <w:b w:val="0"/>
        </w:rPr>
        <w:t xml:space="preserve">Table </w:t>
      </w:r>
      <w:r w:rsidR="00FA09C3">
        <w:rPr>
          <w:b w:val="0"/>
        </w:rPr>
        <w:t>A.</w:t>
      </w:r>
      <w:r w:rsidR="00FA09C3">
        <w:rPr>
          <w:b w:val="0"/>
          <w:noProof/>
        </w:rPr>
        <w:t>151</w:t>
      </w:r>
      <w:r>
        <w:tab/>
        <w:t xml:space="preserve">Allocation of Pre-seed Fund </w:t>
      </w:r>
      <w:r w:rsidR="00E471E2" w:rsidRPr="00E471E2">
        <w:t>to industry</w:t>
      </w:r>
      <w:r>
        <w:t>, 2006</w:t>
      </w:r>
      <w:r>
        <w:noBreakHyphen/>
        <w:t>07 to 2011</w:t>
      </w:r>
      <w:r>
        <w:noBreakHyphen/>
        <w:t>12</w:t>
      </w:r>
    </w:p>
    <w:p w:rsidR="0087636D" w:rsidRDefault="0087636D" w:rsidP="0087636D">
      <w:pPr>
        <w:pStyle w:val="Subtitle"/>
      </w:pPr>
      <w:r>
        <w:t>$</w:t>
      </w:r>
      <w:r w:rsidR="00AF0505">
        <w:t xml:space="preserve"> </w:t>
      </w:r>
      <w:r>
        <w:t>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87636D" w:rsidRPr="00AF699A" w:rsidTr="007546E2">
        <w:trPr>
          <w:trHeight w:val="340"/>
        </w:trPr>
        <w:tc>
          <w:tcPr>
            <w:tcW w:w="1960" w:type="pct"/>
            <w:tcBorders>
              <w:top w:val="single" w:sz="6" w:space="0" w:color="auto"/>
              <w:bottom w:val="single" w:sz="6" w:space="0" w:color="auto"/>
            </w:tcBorders>
          </w:tcPr>
          <w:p w:rsidR="0087636D" w:rsidRPr="00AF699A" w:rsidRDefault="0087636D" w:rsidP="005151A7">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87636D" w:rsidRPr="00AF699A" w:rsidRDefault="0087636D" w:rsidP="005151A7">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87636D" w:rsidRPr="00AF699A" w:rsidRDefault="0087636D" w:rsidP="005151A7">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87636D" w:rsidRPr="00AF699A" w:rsidRDefault="0087636D" w:rsidP="005151A7">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87636D" w:rsidRPr="00AF699A" w:rsidRDefault="0087636D" w:rsidP="005151A7">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87636D" w:rsidRPr="00AF699A" w:rsidRDefault="0087636D" w:rsidP="005151A7">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87636D" w:rsidRPr="00AF699A" w:rsidRDefault="0087636D" w:rsidP="005151A7">
            <w:pPr>
              <w:pStyle w:val="TableColumnHeading"/>
              <w:ind w:right="28"/>
              <w:rPr>
                <w:rFonts w:cs="Arial"/>
                <w:sz w:val="18"/>
                <w:szCs w:val="18"/>
              </w:rPr>
            </w:pPr>
            <w:r w:rsidRPr="00AF699A">
              <w:rPr>
                <w:rFonts w:cs="Arial"/>
                <w:sz w:val="18"/>
                <w:szCs w:val="18"/>
              </w:rPr>
              <w:t>2011-12</w:t>
            </w:r>
          </w:p>
        </w:tc>
      </w:tr>
      <w:tr w:rsidR="0087636D" w:rsidRPr="0047417E" w:rsidTr="005151A7">
        <w:tc>
          <w:tcPr>
            <w:tcW w:w="1960" w:type="pct"/>
            <w:vAlign w:val="bottom"/>
          </w:tcPr>
          <w:p w:rsidR="0087636D" w:rsidRPr="00D04898" w:rsidRDefault="0087636D" w:rsidP="005151A7">
            <w:pPr>
              <w:pStyle w:val="TableBodyText"/>
              <w:jc w:val="left"/>
              <w:rPr>
                <w:b/>
                <w:sz w:val="18"/>
                <w:szCs w:val="18"/>
              </w:rPr>
            </w:pPr>
            <w:r w:rsidRPr="00D04898">
              <w:rPr>
                <w:b/>
                <w:sz w:val="18"/>
                <w:szCs w:val="18"/>
              </w:rPr>
              <w:t>Primary production</w:t>
            </w:r>
          </w:p>
        </w:tc>
        <w:tc>
          <w:tcPr>
            <w:tcW w:w="507" w:type="pct"/>
            <w:vAlign w:val="bottom"/>
          </w:tcPr>
          <w:p w:rsidR="0087636D" w:rsidRPr="00F53FAC" w:rsidRDefault="0087636D" w:rsidP="005151A7">
            <w:pPr>
              <w:pStyle w:val="TableBodyText"/>
              <w:rPr>
                <w:b/>
                <w:sz w:val="18"/>
                <w:szCs w:val="18"/>
              </w:rPr>
            </w:pPr>
            <w:r>
              <w:rPr>
                <w:b/>
                <w:sz w:val="18"/>
                <w:szCs w:val="18"/>
              </w:rPr>
              <w:t>&lt;</w:t>
            </w:r>
            <w:r w:rsidRPr="00F53FAC">
              <w:rPr>
                <w:b/>
                <w:sz w:val="18"/>
                <w:szCs w:val="18"/>
              </w:rPr>
              <w:t>0.1</w:t>
            </w:r>
          </w:p>
        </w:tc>
        <w:tc>
          <w:tcPr>
            <w:tcW w:w="507" w:type="pct"/>
            <w:vAlign w:val="bottom"/>
          </w:tcPr>
          <w:p w:rsidR="0087636D" w:rsidRPr="00F53FAC" w:rsidRDefault="0087636D" w:rsidP="005151A7">
            <w:pPr>
              <w:pStyle w:val="TableBodyText"/>
              <w:rPr>
                <w:b/>
                <w:sz w:val="18"/>
                <w:szCs w:val="18"/>
              </w:rPr>
            </w:pPr>
            <w:r w:rsidRPr="0093328C">
              <w:rPr>
                <w:b/>
                <w:sz w:val="18"/>
                <w:szCs w:val="18"/>
              </w:rPr>
              <w:t>&lt;0.1</w:t>
            </w:r>
          </w:p>
        </w:tc>
        <w:tc>
          <w:tcPr>
            <w:tcW w:w="507" w:type="pct"/>
            <w:vAlign w:val="bottom"/>
          </w:tcPr>
          <w:p w:rsidR="0087636D" w:rsidRPr="00F53FAC" w:rsidRDefault="0087636D" w:rsidP="005151A7">
            <w:pPr>
              <w:pStyle w:val="TableBodyText"/>
              <w:rPr>
                <w:b/>
                <w:sz w:val="18"/>
                <w:szCs w:val="18"/>
              </w:rPr>
            </w:pPr>
            <w:r w:rsidRPr="00F53FAC">
              <w:rPr>
                <w:b/>
                <w:sz w:val="18"/>
                <w:szCs w:val="18"/>
              </w:rPr>
              <w:noBreakHyphen/>
            </w:r>
          </w:p>
        </w:tc>
        <w:tc>
          <w:tcPr>
            <w:tcW w:w="507" w:type="pct"/>
            <w:vAlign w:val="bottom"/>
          </w:tcPr>
          <w:p w:rsidR="0087636D" w:rsidRPr="00F53FAC" w:rsidRDefault="0087636D" w:rsidP="005151A7">
            <w:pPr>
              <w:pStyle w:val="TableBodyText"/>
              <w:rPr>
                <w:b/>
                <w:sz w:val="18"/>
                <w:szCs w:val="18"/>
              </w:rPr>
            </w:pPr>
            <w:r w:rsidRPr="00F53FAC">
              <w:rPr>
                <w:b/>
                <w:sz w:val="18"/>
                <w:szCs w:val="18"/>
              </w:rPr>
              <w:noBreakHyphen/>
            </w:r>
          </w:p>
        </w:tc>
        <w:tc>
          <w:tcPr>
            <w:tcW w:w="507" w:type="pct"/>
            <w:shd w:val="clear" w:color="auto" w:fill="auto"/>
            <w:vAlign w:val="bottom"/>
          </w:tcPr>
          <w:p w:rsidR="0087636D" w:rsidRPr="00F53FAC" w:rsidRDefault="0087636D" w:rsidP="005151A7">
            <w:pPr>
              <w:pStyle w:val="TableBodyText"/>
              <w:rPr>
                <w:b/>
                <w:sz w:val="18"/>
                <w:szCs w:val="18"/>
              </w:rPr>
            </w:pPr>
            <w:r w:rsidRPr="00F53FAC">
              <w:rPr>
                <w:b/>
                <w:sz w:val="18"/>
                <w:szCs w:val="18"/>
              </w:rPr>
              <w:noBreakHyphen/>
            </w:r>
          </w:p>
        </w:tc>
        <w:tc>
          <w:tcPr>
            <w:tcW w:w="505" w:type="pct"/>
            <w:shd w:val="clear" w:color="auto" w:fill="auto"/>
            <w:vAlign w:val="bottom"/>
          </w:tcPr>
          <w:p w:rsidR="0087636D" w:rsidRPr="00F53FAC" w:rsidRDefault="0087636D" w:rsidP="005151A7">
            <w:pPr>
              <w:pStyle w:val="TableBodyText"/>
              <w:rPr>
                <w:b/>
                <w:sz w:val="18"/>
                <w:szCs w:val="18"/>
              </w:rPr>
            </w:pPr>
            <w:r w:rsidRPr="00F53FAC">
              <w:rPr>
                <w:b/>
                <w:sz w:val="18"/>
                <w:szCs w:val="18"/>
              </w:rPr>
              <w:noBreakHyphen/>
            </w:r>
          </w:p>
        </w:tc>
      </w:tr>
      <w:tr w:rsidR="0087636D" w:rsidRPr="0047417E" w:rsidTr="005151A7">
        <w:tc>
          <w:tcPr>
            <w:tcW w:w="1960" w:type="pct"/>
            <w:vAlign w:val="bottom"/>
          </w:tcPr>
          <w:p w:rsidR="0087636D" w:rsidRPr="00D04898" w:rsidRDefault="0087636D" w:rsidP="005151A7">
            <w:pPr>
              <w:pStyle w:val="TableBodyText"/>
              <w:jc w:val="left"/>
              <w:rPr>
                <w:sz w:val="18"/>
                <w:szCs w:val="18"/>
              </w:rPr>
            </w:pPr>
            <w:r w:rsidRPr="00D04898">
              <w:rPr>
                <w:sz w:val="18"/>
                <w:szCs w:val="18"/>
              </w:rPr>
              <w:t>Horticulture and fruit growing</w:t>
            </w:r>
          </w:p>
        </w:tc>
        <w:tc>
          <w:tcPr>
            <w:tcW w:w="507" w:type="pct"/>
            <w:vAlign w:val="bottom"/>
          </w:tcPr>
          <w:p w:rsidR="0087636D" w:rsidRPr="002F5922" w:rsidRDefault="0087636D" w:rsidP="005151A7">
            <w:pPr>
              <w:pStyle w:val="TableBodyText"/>
              <w:rPr>
                <w:sz w:val="18"/>
                <w:szCs w:val="18"/>
              </w:rPr>
            </w:pPr>
            <w:r>
              <w:rPr>
                <w:sz w:val="18"/>
                <w:szCs w:val="18"/>
              </w:rPr>
              <w:t>&lt;</w:t>
            </w:r>
            <w:r w:rsidRPr="002F5922">
              <w:rPr>
                <w:sz w:val="18"/>
                <w:szCs w:val="18"/>
              </w:rPr>
              <w:t>0.1</w:t>
            </w:r>
          </w:p>
        </w:tc>
        <w:tc>
          <w:tcPr>
            <w:tcW w:w="507" w:type="pct"/>
            <w:vAlign w:val="bottom"/>
          </w:tcPr>
          <w:p w:rsidR="0087636D" w:rsidRPr="002F5922" w:rsidRDefault="0087636D" w:rsidP="005151A7">
            <w:pPr>
              <w:pStyle w:val="TableBodyText"/>
              <w:rPr>
                <w:sz w:val="18"/>
                <w:szCs w:val="18"/>
              </w:rPr>
            </w:pPr>
            <w:r>
              <w:rPr>
                <w:sz w:val="18"/>
                <w:szCs w:val="18"/>
              </w:rPr>
              <w:t>&lt;</w:t>
            </w:r>
            <w:r w:rsidRPr="00E17EEF">
              <w:rPr>
                <w:sz w:val="18"/>
                <w:szCs w:val="18"/>
              </w:rPr>
              <w:t>0.</w:t>
            </w:r>
            <w:r>
              <w:rPr>
                <w:sz w:val="18"/>
                <w:szCs w:val="18"/>
              </w:rPr>
              <w:t>1</w:t>
            </w:r>
          </w:p>
        </w:tc>
        <w:tc>
          <w:tcPr>
            <w:tcW w:w="507" w:type="pct"/>
            <w:vAlign w:val="bottom"/>
          </w:tcPr>
          <w:p w:rsidR="0087636D" w:rsidRPr="002F5922" w:rsidRDefault="0087636D" w:rsidP="005151A7">
            <w:pPr>
              <w:pStyle w:val="TableBodyText"/>
              <w:rPr>
                <w:sz w:val="18"/>
                <w:szCs w:val="18"/>
              </w:rPr>
            </w:pPr>
            <w:r>
              <w:rPr>
                <w:sz w:val="18"/>
                <w:szCs w:val="18"/>
              </w:rPr>
              <w:noBreakHyphen/>
            </w:r>
          </w:p>
        </w:tc>
        <w:tc>
          <w:tcPr>
            <w:tcW w:w="507" w:type="pct"/>
            <w:vAlign w:val="bottom"/>
          </w:tcPr>
          <w:p w:rsidR="0087636D" w:rsidRPr="002F5922" w:rsidRDefault="0087636D" w:rsidP="005151A7">
            <w:pPr>
              <w:pStyle w:val="TableBodyText"/>
              <w:rPr>
                <w:sz w:val="18"/>
                <w:szCs w:val="18"/>
              </w:rPr>
            </w:pPr>
            <w:r>
              <w:rPr>
                <w:sz w:val="18"/>
                <w:szCs w:val="18"/>
              </w:rPr>
              <w:noBreakHyphen/>
            </w:r>
          </w:p>
        </w:tc>
        <w:tc>
          <w:tcPr>
            <w:tcW w:w="507" w:type="pct"/>
            <w:shd w:val="clear" w:color="auto" w:fill="auto"/>
            <w:vAlign w:val="bottom"/>
          </w:tcPr>
          <w:p w:rsidR="0087636D" w:rsidRPr="002F5922" w:rsidRDefault="0087636D" w:rsidP="005151A7">
            <w:pPr>
              <w:pStyle w:val="TableBodyText"/>
              <w:rPr>
                <w:sz w:val="18"/>
                <w:szCs w:val="18"/>
              </w:rPr>
            </w:pPr>
            <w:r>
              <w:rPr>
                <w:sz w:val="18"/>
                <w:szCs w:val="18"/>
              </w:rPr>
              <w:noBreakHyphen/>
            </w:r>
          </w:p>
        </w:tc>
        <w:tc>
          <w:tcPr>
            <w:tcW w:w="505" w:type="pct"/>
            <w:shd w:val="clear" w:color="auto" w:fill="auto"/>
            <w:vAlign w:val="bottom"/>
          </w:tcPr>
          <w:p w:rsidR="0087636D" w:rsidRPr="002F5922" w:rsidRDefault="0087636D" w:rsidP="005151A7">
            <w:pPr>
              <w:pStyle w:val="TableBodyText"/>
              <w:rPr>
                <w:sz w:val="18"/>
                <w:szCs w:val="18"/>
              </w:rPr>
            </w:pPr>
            <w:r>
              <w:rPr>
                <w:sz w:val="18"/>
                <w:szCs w:val="18"/>
              </w:rPr>
              <w:noBreakHyphen/>
            </w:r>
          </w:p>
        </w:tc>
      </w:tr>
      <w:tr w:rsidR="0087636D" w:rsidRPr="0047417E" w:rsidTr="005151A7">
        <w:tc>
          <w:tcPr>
            <w:tcW w:w="1960" w:type="pct"/>
            <w:vAlign w:val="bottom"/>
          </w:tcPr>
          <w:p w:rsidR="0087636D" w:rsidRPr="00D04898" w:rsidRDefault="0087636D" w:rsidP="005151A7">
            <w:pPr>
              <w:pStyle w:val="TableBodyText"/>
              <w:jc w:val="left"/>
              <w:rPr>
                <w:b/>
                <w:sz w:val="18"/>
                <w:szCs w:val="18"/>
              </w:rPr>
            </w:pPr>
            <w:r w:rsidRPr="00D04898">
              <w:rPr>
                <w:b/>
                <w:sz w:val="18"/>
                <w:szCs w:val="18"/>
              </w:rPr>
              <w:t>Manufacturing</w:t>
            </w:r>
          </w:p>
        </w:tc>
        <w:tc>
          <w:tcPr>
            <w:tcW w:w="507" w:type="pct"/>
            <w:vAlign w:val="bottom"/>
          </w:tcPr>
          <w:p w:rsidR="0087636D" w:rsidRPr="00F53FAC" w:rsidRDefault="0087636D" w:rsidP="005151A7">
            <w:pPr>
              <w:pStyle w:val="TableBodyText"/>
              <w:rPr>
                <w:b/>
                <w:sz w:val="18"/>
                <w:szCs w:val="18"/>
              </w:rPr>
            </w:pPr>
            <w:r w:rsidRPr="00F53FAC">
              <w:rPr>
                <w:b/>
                <w:sz w:val="18"/>
                <w:szCs w:val="18"/>
              </w:rPr>
              <w:t>1.0</w:t>
            </w:r>
          </w:p>
        </w:tc>
        <w:tc>
          <w:tcPr>
            <w:tcW w:w="507" w:type="pct"/>
            <w:vAlign w:val="bottom"/>
          </w:tcPr>
          <w:p w:rsidR="0087636D" w:rsidRPr="00F53FAC" w:rsidRDefault="0087636D" w:rsidP="005151A7">
            <w:pPr>
              <w:pStyle w:val="TableBodyText"/>
              <w:rPr>
                <w:b/>
                <w:sz w:val="18"/>
                <w:szCs w:val="18"/>
              </w:rPr>
            </w:pPr>
            <w:r w:rsidRPr="00F53FAC">
              <w:rPr>
                <w:b/>
                <w:sz w:val="18"/>
                <w:szCs w:val="18"/>
              </w:rPr>
              <w:t>2.4</w:t>
            </w:r>
          </w:p>
        </w:tc>
        <w:tc>
          <w:tcPr>
            <w:tcW w:w="507" w:type="pct"/>
            <w:vAlign w:val="bottom"/>
          </w:tcPr>
          <w:p w:rsidR="0087636D" w:rsidRPr="00F53FAC" w:rsidRDefault="0087636D" w:rsidP="005151A7">
            <w:pPr>
              <w:pStyle w:val="TableBodyText"/>
              <w:rPr>
                <w:b/>
                <w:sz w:val="18"/>
                <w:szCs w:val="18"/>
              </w:rPr>
            </w:pPr>
            <w:r w:rsidRPr="00F53FAC">
              <w:rPr>
                <w:b/>
                <w:sz w:val="18"/>
                <w:szCs w:val="18"/>
              </w:rPr>
              <w:t>0.4</w:t>
            </w:r>
          </w:p>
        </w:tc>
        <w:tc>
          <w:tcPr>
            <w:tcW w:w="507" w:type="pct"/>
            <w:vAlign w:val="bottom"/>
          </w:tcPr>
          <w:p w:rsidR="0087636D" w:rsidRPr="00F53FAC" w:rsidRDefault="0087636D" w:rsidP="005151A7">
            <w:pPr>
              <w:pStyle w:val="TableBodyText"/>
              <w:rPr>
                <w:b/>
                <w:sz w:val="18"/>
                <w:szCs w:val="18"/>
              </w:rPr>
            </w:pPr>
            <w:r w:rsidRPr="00F53FAC">
              <w:rPr>
                <w:b/>
                <w:sz w:val="18"/>
                <w:szCs w:val="18"/>
              </w:rPr>
              <w:t>1.0</w:t>
            </w:r>
          </w:p>
        </w:tc>
        <w:tc>
          <w:tcPr>
            <w:tcW w:w="507" w:type="pct"/>
            <w:shd w:val="clear" w:color="auto" w:fill="auto"/>
            <w:vAlign w:val="bottom"/>
          </w:tcPr>
          <w:p w:rsidR="0087636D" w:rsidRPr="00F53FAC" w:rsidRDefault="0087636D" w:rsidP="005151A7">
            <w:pPr>
              <w:pStyle w:val="TableBodyText"/>
              <w:rPr>
                <w:b/>
                <w:sz w:val="18"/>
                <w:szCs w:val="18"/>
              </w:rPr>
            </w:pPr>
            <w:r w:rsidRPr="00F53FAC">
              <w:rPr>
                <w:b/>
                <w:sz w:val="18"/>
                <w:szCs w:val="18"/>
              </w:rPr>
              <w:noBreakHyphen/>
            </w:r>
          </w:p>
        </w:tc>
        <w:tc>
          <w:tcPr>
            <w:tcW w:w="505" w:type="pct"/>
            <w:shd w:val="clear" w:color="auto" w:fill="auto"/>
            <w:vAlign w:val="bottom"/>
          </w:tcPr>
          <w:p w:rsidR="0087636D" w:rsidRPr="00F53FAC" w:rsidRDefault="0087636D" w:rsidP="005151A7">
            <w:pPr>
              <w:pStyle w:val="TableBodyText"/>
              <w:rPr>
                <w:b/>
                <w:sz w:val="18"/>
                <w:szCs w:val="18"/>
              </w:rPr>
            </w:pPr>
            <w:r w:rsidRPr="00F53FAC">
              <w:rPr>
                <w:b/>
                <w:sz w:val="18"/>
                <w:szCs w:val="18"/>
              </w:rPr>
              <w:noBreakHyphen/>
            </w:r>
          </w:p>
        </w:tc>
      </w:tr>
      <w:tr w:rsidR="0087636D" w:rsidRPr="0047417E" w:rsidTr="005151A7">
        <w:tc>
          <w:tcPr>
            <w:tcW w:w="1960" w:type="pct"/>
            <w:vAlign w:val="bottom"/>
          </w:tcPr>
          <w:p w:rsidR="0087636D" w:rsidRPr="00D04898" w:rsidRDefault="0087636D" w:rsidP="005151A7">
            <w:pPr>
              <w:pStyle w:val="TableBodyText"/>
              <w:jc w:val="left"/>
              <w:rPr>
                <w:sz w:val="18"/>
                <w:szCs w:val="18"/>
              </w:rPr>
            </w:pPr>
            <w:r w:rsidRPr="00D04898">
              <w:rPr>
                <w:sz w:val="18"/>
                <w:szCs w:val="18"/>
              </w:rPr>
              <w:t>Petroleum, coal, chemical and rubber products</w:t>
            </w:r>
          </w:p>
        </w:tc>
        <w:tc>
          <w:tcPr>
            <w:tcW w:w="507" w:type="pct"/>
            <w:vAlign w:val="bottom"/>
          </w:tcPr>
          <w:p w:rsidR="0087636D" w:rsidRPr="002F5922" w:rsidRDefault="0087636D" w:rsidP="005151A7">
            <w:pPr>
              <w:pStyle w:val="TableBodyText"/>
              <w:rPr>
                <w:sz w:val="18"/>
                <w:szCs w:val="18"/>
              </w:rPr>
            </w:pPr>
            <w:r>
              <w:rPr>
                <w:sz w:val="18"/>
                <w:szCs w:val="18"/>
              </w:rPr>
              <w:noBreakHyphen/>
            </w:r>
          </w:p>
        </w:tc>
        <w:tc>
          <w:tcPr>
            <w:tcW w:w="507" w:type="pct"/>
            <w:vAlign w:val="bottom"/>
          </w:tcPr>
          <w:p w:rsidR="0087636D" w:rsidRPr="002F5922" w:rsidRDefault="0087636D" w:rsidP="005151A7">
            <w:pPr>
              <w:pStyle w:val="TableBodyText"/>
              <w:rPr>
                <w:sz w:val="18"/>
                <w:szCs w:val="18"/>
              </w:rPr>
            </w:pPr>
            <w:r w:rsidRPr="002F5922">
              <w:rPr>
                <w:sz w:val="18"/>
                <w:szCs w:val="18"/>
              </w:rPr>
              <w:t>0.5</w:t>
            </w:r>
          </w:p>
        </w:tc>
        <w:tc>
          <w:tcPr>
            <w:tcW w:w="507" w:type="pct"/>
            <w:vAlign w:val="bottom"/>
          </w:tcPr>
          <w:p w:rsidR="0087636D" w:rsidRPr="002F5922" w:rsidRDefault="0087636D" w:rsidP="005151A7">
            <w:pPr>
              <w:pStyle w:val="TableBodyText"/>
              <w:rPr>
                <w:sz w:val="18"/>
                <w:szCs w:val="18"/>
              </w:rPr>
            </w:pPr>
            <w:r>
              <w:rPr>
                <w:sz w:val="18"/>
                <w:szCs w:val="18"/>
              </w:rPr>
              <w:noBreakHyphen/>
            </w:r>
          </w:p>
        </w:tc>
        <w:tc>
          <w:tcPr>
            <w:tcW w:w="507" w:type="pct"/>
            <w:vAlign w:val="bottom"/>
          </w:tcPr>
          <w:p w:rsidR="0087636D" w:rsidRPr="002F5922" w:rsidRDefault="0087636D" w:rsidP="005151A7">
            <w:pPr>
              <w:pStyle w:val="TableBodyText"/>
              <w:rPr>
                <w:sz w:val="18"/>
                <w:szCs w:val="18"/>
              </w:rPr>
            </w:pPr>
            <w:r>
              <w:rPr>
                <w:sz w:val="18"/>
                <w:szCs w:val="18"/>
              </w:rPr>
              <w:noBreakHyphen/>
            </w:r>
          </w:p>
        </w:tc>
        <w:tc>
          <w:tcPr>
            <w:tcW w:w="507" w:type="pct"/>
            <w:shd w:val="clear" w:color="auto" w:fill="auto"/>
            <w:vAlign w:val="bottom"/>
          </w:tcPr>
          <w:p w:rsidR="0087636D" w:rsidRPr="002F5922" w:rsidRDefault="0087636D" w:rsidP="005151A7">
            <w:pPr>
              <w:pStyle w:val="TableBodyText"/>
              <w:rPr>
                <w:sz w:val="18"/>
                <w:szCs w:val="18"/>
              </w:rPr>
            </w:pPr>
            <w:r>
              <w:rPr>
                <w:sz w:val="18"/>
                <w:szCs w:val="18"/>
              </w:rPr>
              <w:noBreakHyphen/>
            </w:r>
          </w:p>
        </w:tc>
        <w:tc>
          <w:tcPr>
            <w:tcW w:w="505" w:type="pct"/>
            <w:shd w:val="clear" w:color="auto" w:fill="auto"/>
            <w:vAlign w:val="bottom"/>
          </w:tcPr>
          <w:p w:rsidR="0087636D" w:rsidRPr="002F5922" w:rsidRDefault="0087636D" w:rsidP="005151A7">
            <w:pPr>
              <w:pStyle w:val="TableBodyText"/>
              <w:rPr>
                <w:sz w:val="18"/>
                <w:szCs w:val="18"/>
              </w:rPr>
            </w:pPr>
            <w:r>
              <w:rPr>
                <w:sz w:val="18"/>
                <w:szCs w:val="18"/>
              </w:rPr>
              <w:noBreakHyphen/>
            </w:r>
          </w:p>
        </w:tc>
      </w:tr>
      <w:tr w:rsidR="0087636D" w:rsidRPr="0047417E" w:rsidTr="005151A7">
        <w:tc>
          <w:tcPr>
            <w:tcW w:w="1960" w:type="pct"/>
            <w:vAlign w:val="bottom"/>
          </w:tcPr>
          <w:p w:rsidR="0087636D" w:rsidRPr="00D04898" w:rsidRDefault="0087636D" w:rsidP="00821748">
            <w:pPr>
              <w:pStyle w:val="TableBodyText"/>
              <w:jc w:val="left"/>
              <w:rPr>
                <w:sz w:val="18"/>
                <w:szCs w:val="18"/>
              </w:rPr>
            </w:pPr>
            <w:r w:rsidRPr="00D04898">
              <w:rPr>
                <w:sz w:val="18"/>
                <w:szCs w:val="18"/>
              </w:rPr>
              <w:t>Non-</w:t>
            </w:r>
            <w:r w:rsidR="00821748">
              <w:rPr>
                <w:sz w:val="18"/>
                <w:szCs w:val="18"/>
              </w:rPr>
              <w:t>m</w:t>
            </w:r>
            <w:r w:rsidRPr="00D04898">
              <w:rPr>
                <w:sz w:val="18"/>
                <w:szCs w:val="18"/>
              </w:rPr>
              <w:t>etallic mineral products</w:t>
            </w:r>
          </w:p>
        </w:tc>
        <w:tc>
          <w:tcPr>
            <w:tcW w:w="507" w:type="pct"/>
            <w:vAlign w:val="bottom"/>
          </w:tcPr>
          <w:p w:rsidR="0087636D" w:rsidRPr="002F5922" w:rsidRDefault="0087636D" w:rsidP="005151A7">
            <w:pPr>
              <w:pStyle w:val="TableBodyText"/>
              <w:rPr>
                <w:sz w:val="18"/>
                <w:szCs w:val="18"/>
              </w:rPr>
            </w:pPr>
            <w:r w:rsidRPr="002F5922">
              <w:rPr>
                <w:sz w:val="18"/>
                <w:szCs w:val="18"/>
              </w:rPr>
              <w:t>0.8</w:t>
            </w:r>
          </w:p>
        </w:tc>
        <w:tc>
          <w:tcPr>
            <w:tcW w:w="507" w:type="pct"/>
            <w:vAlign w:val="bottom"/>
          </w:tcPr>
          <w:p w:rsidR="0087636D" w:rsidRPr="002F5922" w:rsidRDefault="0087636D" w:rsidP="005151A7">
            <w:pPr>
              <w:pStyle w:val="TableBodyText"/>
              <w:rPr>
                <w:sz w:val="18"/>
                <w:szCs w:val="18"/>
              </w:rPr>
            </w:pPr>
            <w:r>
              <w:rPr>
                <w:sz w:val="18"/>
                <w:szCs w:val="18"/>
              </w:rPr>
              <w:noBreakHyphen/>
            </w:r>
          </w:p>
        </w:tc>
        <w:tc>
          <w:tcPr>
            <w:tcW w:w="507" w:type="pct"/>
            <w:vAlign w:val="bottom"/>
          </w:tcPr>
          <w:p w:rsidR="0087636D" w:rsidRPr="002F5922" w:rsidRDefault="0087636D" w:rsidP="005151A7">
            <w:pPr>
              <w:pStyle w:val="TableBodyText"/>
              <w:rPr>
                <w:sz w:val="18"/>
                <w:szCs w:val="18"/>
              </w:rPr>
            </w:pPr>
            <w:r>
              <w:rPr>
                <w:sz w:val="18"/>
                <w:szCs w:val="18"/>
              </w:rPr>
              <w:noBreakHyphen/>
            </w:r>
          </w:p>
        </w:tc>
        <w:tc>
          <w:tcPr>
            <w:tcW w:w="507" w:type="pct"/>
            <w:vAlign w:val="bottom"/>
          </w:tcPr>
          <w:p w:rsidR="0087636D" w:rsidRPr="002F5922" w:rsidRDefault="0087636D" w:rsidP="005151A7">
            <w:pPr>
              <w:pStyle w:val="TableBodyText"/>
              <w:rPr>
                <w:sz w:val="18"/>
                <w:szCs w:val="18"/>
              </w:rPr>
            </w:pPr>
            <w:r>
              <w:rPr>
                <w:sz w:val="18"/>
                <w:szCs w:val="18"/>
              </w:rPr>
              <w:noBreakHyphen/>
            </w:r>
          </w:p>
        </w:tc>
        <w:tc>
          <w:tcPr>
            <w:tcW w:w="507" w:type="pct"/>
            <w:shd w:val="clear" w:color="auto" w:fill="auto"/>
            <w:vAlign w:val="bottom"/>
          </w:tcPr>
          <w:p w:rsidR="0087636D" w:rsidRPr="002F5922" w:rsidRDefault="0087636D" w:rsidP="005151A7">
            <w:pPr>
              <w:pStyle w:val="TableBodyText"/>
              <w:rPr>
                <w:sz w:val="18"/>
                <w:szCs w:val="18"/>
              </w:rPr>
            </w:pPr>
            <w:r>
              <w:rPr>
                <w:sz w:val="18"/>
                <w:szCs w:val="18"/>
              </w:rPr>
              <w:noBreakHyphen/>
            </w:r>
          </w:p>
        </w:tc>
        <w:tc>
          <w:tcPr>
            <w:tcW w:w="505" w:type="pct"/>
            <w:shd w:val="clear" w:color="auto" w:fill="auto"/>
            <w:vAlign w:val="bottom"/>
          </w:tcPr>
          <w:p w:rsidR="0087636D" w:rsidRPr="002F5922" w:rsidRDefault="0087636D" w:rsidP="005151A7">
            <w:pPr>
              <w:pStyle w:val="TableBodyText"/>
              <w:rPr>
                <w:sz w:val="18"/>
                <w:szCs w:val="18"/>
              </w:rPr>
            </w:pPr>
            <w:r>
              <w:rPr>
                <w:sz w:val="18"/>
                <w:szCs w:val="18"/>
              </w:rPr>
              <w:noBreakHyphen/>
            </w:r>
          </w:p>
        </w:tc>
      </w:tr>
      <w:tr w:rsidR="0087636D" w:rsidRPr="0047417E" w:rsidTr="005151A7">
        <w:tc>
          <w:tcPr>
            <w:tcW w:w="1960" w:type="pct"/>
            <w:vAlign w:val="bottom"/>
          </w:tcPr>
          <w:p w:rsidR="0087636D" w:rsidRPr="00D04898" w:rsidRDefault="0087636D" w:rsidP="005151A7">
            <w:pPr>
              <w:pStyle w:val="TableBodyText"/>
              <w:jc w:val="left"/>
              <w:rPr>
                <w:sz w:val="18"/>
                <w:szCs w:val="18"/>
              </w:rPr>
            </w:pPr>
            <w:r w:rsidRPr="00D04898">
              <w:rPr>
                <w:sz w:val="18"/>
                <w:szCs w:val="18"/>
              </w:rPr>
              <w:t>Motor vehicle and parts</w:t>
            </w:r>
          </w:p>
        </w:tc>
        <w:tc>
          <w:tcPr>
            <w:tcW w:w="507" w:type="pct"/>
            <w:vAlign w:val="bottom"/>
          </w:tcPr>
          <w:p w:rsidR="0087636D" w:rsidRPr="002F5922" w:rsidRDefault="0087636D" w:rsidP="005151A7">
            <w:pPr>
              <w:pStyle w:val="TableBodyText"/>
              <w:rPr>
                <w:sz w:val="18"/>
                <w:szCs w:val="18"/>
              </w:rPr>
            </w:pPr>
            <w:r>
              <w:rPr>
                <w:sz w:val="18"/>
                <w:szCs w:val="18"/>
              </w:rPr>
              <w:noBreakHyphen/>
            </w:r>
          </w:p>
        </w:tc>
        <w:tc>
          <w:tcPr>
            <w:tcW w:w="507" w:type="pct"/>
            <w:vAlign w:val="bottom"/>
          </w:tcPr>
          <w:p w:rsidR="0087636D" w:rsidRPr="002F5922" w:rsidRDefault="0087636D" w:rsidP="005151A7">
            <w:pPr>
              <w:pStyle w:val="TableBodyText"/>
              <w:rPr>
                <w:sz w:val="18"/>
                <w:szCs w:val="18"/>
              </w:rPr>
            </w:pPr>
            <w:r>
              <w:rPr>
                <w:sz w:val="18"/>
                <w:szCs w:val="18"/>
              </w:rPr>
              <w:t>&lt;</w:t>
            </w:r>
            <w:r w:rsidRPr="002F5922">
              <w:rPr>
                <w:sz w:val="18"/>
                <w:szCs w:val="18"/>
              </w:rPr>
              <w:t>0.1</w:t>
            </w:r>
          </w:p>
        </w:tc>
        <w:tc>
          <w:tcPr>
            <w:tcW w:w="507" w:type="pct"/>
            <w:vAlign w:val="bottom"/>
          </w:tcPr>
          <w:p w:rsidR="0087636D" w:rsidRPr="002F5922" w:rsidRDefault="0087636D" w:rsidP="005151A7">
            <w:pPr>
              <w:pStyle w:val="TableBodyText"/>
              <w:rPr>
                <w:sz w:val="18"/>
                <w:szCs w:val="18"/>
              </w:rPr>
            </w:pPr>
            <w:r>
              <w:rPr>
                <w:sz w:val="18"/>
                <w:szCs w:val="18"/>
              </w:rPr>
              <w:t>&lt;</w:t>
            </w:r>
            <w:r w:rsidRPr="002F5922">
              <w:rPr>
                <w:sz w:val="18"/>
                <w:szCs w:val="18"/>
              </w:rPr>
              <w:t>0.1</w:t>
            </w:r>
          </w:p>
        </w:tc>
        <w:tc>
          <w:tcPr>
            <w:tcW w:w="507" w:type="pct"/>
            <w:vAlign w:val="bottom"/>
          </w:tcPr>
          <w:p w:rsidR="0087636D" w:rsidRPr="002F5922" w:rsidRDefault="0087636D" w:rsidP="005151A7">
            <w:pPr>
              <w:pStyle w:val="TableBodyText"/>
              <w:rPr>
                <w:sz w:val="18"/>
                <w:szCs w:val="18"/>
              </w:rPr>
            </w:pPr>
            <w:r>
              <w:rPr>
                <w:sz w:val="18"/>
                <w:szCs w:val="18"/>
              </w:rPr>
              <w:noBreakHyphen/>
            </w:r>
          </w:p>
        </w:tc>
        <w:tc>
          <w:tcPr>
            <w:tcW w:w="507" w:type="pct"/>
            <w:shd w:val="clear" w:color="auto" w:fill="auto"/>
            <w:vAlign w:val="bottom"/>
          </w:tcPr>
          <w:p w:rsidR="0087636D" w:rsidRPr="002F5922" w:rsidRDefault="0087636D" w:rsidP="005151A7">
            <w:pPr>
              <w:pStyle w:val="TableBodyText"/>
              <w:rPr>
                <w:sz w:val="18"/>
                <w:szCs w:val="18"/>
              </w:rPr>
            </w:pPr>
            <w:r>
              <w:rPr>
                <w:sz w:val="18"/>
                <w:szCs w:val="18"/>
              </w:rPr>
              <w:noBreakHyphen/>
            </w:r>
          </w:p>
        </w:tc>
        <w:tc>
          <w:tcPr>
            <w:tcW w:w="505" w:type="pct"/>
            <w:shd w:val="clear" w:color="auto" w:fill="auto"/>
            <w:vAlign w:val="bottom"/>
          </w:tcPr>
          <w:p w:rsidR="0087636D" w:rsidRPr="002F5922" w:rsidRDefault="0087636D" w:rsidP="005151A7">
            <w:pPr>
              <w:pStyle w:val="TableBodyText"/>
              <w:rPr>
                <w:sz w:val="18"/>
                <w:szCs w:val="18"/>
              </w:rPr>
            </w:pPr>
            <w:r>
              <w:rPr>
                <w:sz w:val="18"/>
                <w:szCs w:val="18"/>
              </w:rPr>
              <w:noBreakHyphen/>
            </w:r>
          </w:p>
        </w:tc>
      </w:tr>
      <w:tr w:rsidR="0087636D" w:rsidRPr="0047417E" w:rsidTr="005151A7">
        <w:tc>
          <w:tcPr>
            <w:tcW w:w="1960" w:type="pct"/>
            <w:vAlign w:val="bottom"/>
          </w:tcPr>
          <w:p w:rsidR="0087636D" w:rsidRPr="00D04898" w:rsidRDefault="0087636D" w:rsidP="005151A7">
            <w:pPr>
              <w:pStyle w:val="TableBodyText"/>
              <w:jc w:val="left"/>
              <w:rPr>
                <w:sz w:val="18"/>
                <w:szCs w:val="18"/>
              </w:rPr>
            </w:pPr>
            <w:r w:rsidRPr="00D04898">
              <w:rPr>
                <w:sz w:val="18"/>
                <w:szCs w:val="18"/>
              </w:rPr>
              <w:t>Machinery and equipment manufacturing</w:t>
            </w:r>
          </w:p>
        </w:tc>
        <w:tc>
          <w:tcPr>
            <w:tcW w:w="507" w:type="pct"/>
            <w:vAlign w:val="bottom"/>
          </w:tcPr>
          <w:p w:rsidR="0087636D" w:rsidRPr="002F5922" w:rsidRDefault="0087636D" w:rsidP="005151A7">
            <w:pPr>
              <w:pStyle w:val="TableBodyText"/>
              <w:rPr>
                <w:sz w:val="18"/>
                <w:szCs w:val="18"/>
              </w:rPr>
            </w:pPr>
            <w:r w:rsidRPr="002F5922">
              <w:rPr>
                <w:sz w:val="18"/>
                <w:szCs w:val="18"/>
              </w:rPr>
              <w:t>0.2</w:t>
            </w:r>
          </w:p>
        </w:tc>
        <w:tc>
          <w:tcPr>
            <w:tcW w:w="507" w:type="pct"/>
            <w:vAlign w:val="bottom"/>
          </w:tcPr>
          <w:p w:rsidR="0087636D" w:rsidRPr="002F5922" w:rsidRDefault="0087636D" w:rsidP="005151A7">
            <w:pPr>
              <w:pStyle w:val="TableBodyText"/>
              <w:rPr>
                <w:sz w:val="18"/>
                <w:szCs w:val="18"/>
              </w:rPr>
            </w:pPr>
            <w:r w:rsidRPr="002F5922">
              <w:rPr>
                <w:sz w:val="18"/>
                <w:szCs w:val="18"/>
              </w:rPr>
              <w:t>1.8</w:t>
            </w:r>
          </w:p>
        </w:tc>
        <w:tc>
          <w:tcPr>
            <w:tcW w:w="507" w:type="pct"/>
            <w:vAlign w:val="bottom"/>
          </w:tcPr>
          <w:p w:rsidR="0087636D" w:rsidRPr="002F5922" w:rsidRDefault="0087636D" w:rsidP="005151A7">
            <w:pPr>
              <w:pStyle w:val="TableBodyText"/>
              <w:rPr>
                <w:sz w:val="18"/>
                <w:szCs w:val="18"/>
              </w:rPr>
            </w:pPr>
            <w:r w:rsidRPr="002F5922">
              <w:rPr>
                <w:sz w:val="18"/>
                <w:szCs w:val="18"/>
              </w:rPr>
              <w:t>0.3</w:t>
            </w:r>
          </w:p>
        </w:tc>
        <w:tc>
          <w:tcPr>
            <w:tcW w:w="507" w:type="pct"/>
            <w:vAlign w:val="bottom"/>
          </w:tcPr>
          <w:p w:rsidR="0087636D" w:rsidRPr="002F5922" w:rsidRDefault="0087636D" w:rsidP="005151A7">
            <w:pPr>
              <w:pStyle w:val="TableBodyText"/>
              <w:rPr>
                <w:sz w:val="18"/>
                <w:szCs w:val="18"/>
              </w:rPr>
            </w:pPr>
            <w:r w:rsidRPr="002F5922">
              <w:rPr>
                <w:sz w:val="18"/>
                <w:szCs w:val="18"/>
              </w:rPr>
              <w:t>0.8</w:t>
            </w:r>
          </w:p>
        </w:tc>
        <w:tc>
          <w:tcPr>
            <w:tcW w:w="507" w:type="pct"/>
            <w:shd w:val="clear" w:color="auto" w:fill="auto"/>
            <w:vAlign w:val="bottom"/>
          </w:tcPr>
          <w:p w:rsidR="0087636D" w:rsidRPr="002F5922" w:rsidRDefault="0087636D" w:rsidP="005151A7">
            <w:pPr>
              <w:pStyle w:val="TableBodyText"/>
              <w:rPr>
                <w:sz w:val="18"/>
                <w:szCs w:val="18"/>
              </w:rPr>
            </w:pPr>
            <w:r>
              <w:rPr>
                <w:sz w:val="18"/>
                <w:szCs w:val="18"/>
              </w:rPr>
              <w:noBreakHyphen/>
            </w:r>
          </w:p>
        </w:tc>
        <w:tc>
          <w:tcPr>
            <w:tcW w:w="505" w:type="pct"/>
            <w:shd w:val="clear" w:color="auto" w:fill="auto"/>
            <w:vAlign w:val="bottom"/>
          </w:tcPr>
          <w:p w:rsidR="0087636D" w:rsidRPr="002F5922" w:rsidRDefault="0087636D" w:rsidP="005151A7">
            <w:pPr>
              <w:pStyle w:val="TableBodyText"/>
              <w:rPr>
                <w:sz w:val="18"/>
                <w:szCs w:val="18"/>
              </w:rPr>
            </w:pPr>
            <w:r>
              <w:rPr>
                <w:sz w:val="18"/>
                <w:szCs w:val="18"/>
              </w:rPr>
              <w:noBreakHyphen/>
            </w:r>
          </w:p>
        </w:tc>
      </w:tr>
      <w:tr w:rsidR="0087636D" w:rsidRPr="0047417E" w:rsidTr="005151A7">
        <w:tc>
          <w:tcPr>
            <w:tcW w:w="1960" w:type="pct"/>
            <w:vAlign w:val="bottom"/>
          </w:tcPr>
          <w:p w:rsidR="0087636D" w:rsidRPr="00D04898" w:rsidRDefault="0087636D" w:rsidP="005151A7">
            <w:pPr>
              <w:pStyle w:val="TableBodyText"/>
              <w:jc w:val="left"/>
              <w:rPr>
                <w:sz w:val="18"/>
                <w:szCs w:val="18"/>
              </w:rPr>
            </w:pPr>
            <w:r w:rsidRPr="00D04898">
              <w:rPr>
                <w:sz w:val="18"/>
                <w:szCs w:val="18"/>
              </w:rPr>
              <w:t>Furniture and other manufacturing</w:t>
            </w:r>
          </w:p>
        </w:tc>
        <w:tc>
          <w:tcPr>
            <w:tcW w:w="507" w:type="pct"/>
            <w:vAlign w:val="bottom"/>
          </w:tcPr>
          <w:p w:rsidR="0087636D" w:rsidRPr="002F5922" w:rsidRDefault="0087636D" w:rsidP="005151A7">
            <w:pPr>
              <w:pStyle w:val="TableBodyText"/>
              <w:rPr>
                <w:sz w:val="18"/>
                <w:szCs w:val="18"/>
              </w:rPr>
            </w:pPr>
            <w:r>
              <w:rPr>
                <w:sz w:val="18"/>
                <w:szCs w:val="18"/>
              </w:rPr>
              <w:noBreakHyphen/>
            </w:r>
          </w:p>
        </w:tc>
        <w:tc>
          <w:tcPr>
            <w:tcW w:w="507" w:type="pct"/>
            <w:vAlign w:val="bottom"/>
          </w:tcPr>
          <w:p w:rsidR="0087636D" w:rsidRPr="002F5922" w:rsidRDefault="0087636D" w:rsidP="005151A7">
            <w:pPr>
              <w:pStyle w:val="TableBodyText"/>
              <w:rPr>
                <w:sz w:val="18"/>
                <w:szCs w:val="18"/>
              </w:rPr>
            </w:pPr>
            <w:r>
              <w:rPr>
                <w:sz w:val="18"/>
                <w:szCs w:val="18"/>
              </w:rPr>
              <w:noBreakHyphen/>
            </w:r>
          </w:p>
        </w:tc>
        <w:tc>
          <w:tcPr>
            <w:tcW w:w="507" w:type="pct"/>
            <w:vAlign w:val="bottom"/>
          </w:tcPr>
          <w:p w:rsidR="0087636D" w:rsidRPr="002F5922" w:rsidRDefault="0087636D" w:rsidP="005151A7">
            <w:pPr>
              <w:pStyle w:val="TableBodyText"/>
              <w:rPr>
                <w:sz w:val="18"/>
                <w:szCs w:val="18"/>
              </w:rPr>
            </w:pPr>
            <w:r>
              <w:rPr>
                <w:sz w:val="18"/>
                <w:szCs w:val="18"/>
              </w:rPr>
              <w:noBreakHyphen/>
            </w:r>
          </w:p>
        </w:tc>
        <w:tc>
          <w:tcPr>
            <w:tcW w:w="507" w:type="pct"/>
            <w:vAlign w:val="bottom"/>
          </w:tcPr>
          <w:p w:rsidR="0087636D" w:rsidRPr="002F5922" w:rsidRDefault="0087636D" w:rsidP="005151A7">
            <w:pPr>
              <w:pStyle w:val="TableBodyText"/>
              <w:rPr>
                <w:sz w:val="18"/>
                <w:szCs w:val="18"/>
              </w:rPr>
            </w:pPr>
            <w:r w:rsidRPr="002F5922">
              <w:rPr>
                <w:sz w:val="18"/>
                <w:szCs w:val="18"/>
              </w:rPr>
              <w:t>0.2</w:t>
            </w:r>
          </w:p>
        </w:tc>
        <w:tc>
          <w:tcPr>
            <w:tcW w:w="507" w:type="pct"/>
            <w:shd w:val="clear" w:color="auto" w:fill="auto"/>
            <w:vAlign w:val="bottom"/>
          </w:tcPr>
          <w:p w:rsidR="0087636D" w:rsidRPr="002F5922" w:rsidRDefault="0087636D" w:rsidP="005151A7">
            <w:pPr>
              <w:pStyle w:val="TableBodyText"/>
              <w:rPr>
                <w:sz w:val="18"/>
                <w:szCs w:val="18"/>
              </w:rPr>
            </w:pPr>
            <w:r>
              <w:rPr>
                <w:sz w:val="18"/>
                <w:szCs w:val="18"/>
              </w:rPr>
              <w:noBreakHyphen/>
            </w:r>
          </w:p>
        </w:tc>
        <w:tc>
          <w:tcPr>
            <w:tcW w:w="505" w:type="pct"/>
            <w:shd w:val="clear" w:color="auto" w:fill="auto"/>
            <w:vAlign w:val="bottom"/>
          </w:tcPr>
          <w:p w:rsidR="0087636D" w:rsidRPr="002F5922" w:rsidRDefault="0087636D" w:rsidP="005151A7">
            <w:pPr>
              <w:pStyle w:val="TableBodyText"/>
              <w:rPr>
                <w:sz w:val="18"/>
                <w:szCs w:val="18"/>
              </w:rPr>
            </w:pPr>
            <w:r>
              <w:rPr>
                <w:sz w:val="18"/>
                <w:szCs w:val="18"/>
              </w:rPr>
              <w:noBreakHyphen/>
            </w:r>
          </w:p>
        </w:tc>
      </w:tr>
      <w:tr w:rsidR="0087636D" w:rsidRPr="0047417E" w:rsidTr="005151A7">
        <w:tc>
          <w:tcPr>
            <w:tcW w:w="1960" w:type="pct"/>
            <w:vAlign w:val="bottom"/>
          </w:tcPr>
          <w:p w:rsidR="0087636D" w:rsidRPr="00D04898" w:rsidRDefault="0087636D" w:rsidP="005151A7">
            <w:pPr>
              <w:pStyle w:val="TableBodyText"/>
              <w:jc w:val="left"/>
              <w:rPr>
                <w:b/>
                <w:sz w:val="18"/>
                <w:szCs w:val="18"/>
              </w:rPr>
            </w:pPr>
            <w:r w:rsidRPr="00D04898">
              <w:rPr>
                <w:b/>
                <w:sz w:val="18"/>
                <w:szCs w:val="18"/>
              </w:rPr>
              <w:t>Services</w:t>
            </w:r>
          </w:p>
        </w:tc>
        <w:tc>
          <w:tcPr>
            <w:tcW w:w="507" w:type="pct"/>
            <w:vAlign w:val="bottom"/>
          </w:tcPr>
          <w:p w:rsidR="0087636D" w:rsidRPr="00F53FAC" w:rsidRDefault="0087636D" w:rsidP="005151A7">
            <w:pPr>
              <w:pStyle w:val="TableBodyText"/>
              <w:rPr>
                <w:b/>
                <w:sz w:val="18"/>
                <w:szCs w:val="18"/>
              </w:rPr>
            </w:pPr>
            <w:r w:rsidRPr="00F53FAC">
              <w:rPr>
                <w:b/>
                <w:sz w:val="18"/>
                <w:szCs w:val="18"/>
              </w:rPr>
              <w:t>8.2</w:t>
            </w:r>
          </w:p>
        </w:tc>
        <w:tc>
          <w:tcPr>
            <w:tcW w:w="507" w:type="pct"/>
            <w:vAlign w:val="bottom"/>
          </w:tcPr>
          <w:p w:rsidR="0087636D" w:rsidRPr="00F53FAC" w:rsidRDefault="0087636D" w:rsidP="005151A7">
            <w:pPr>
              <w:pStyle w:val="TableBodyText"/>
              <w:rPr>
                <w:b/>
                <w:sz w:val="18"/>
                <w:szCs w:val="18"/>
              </w:rPr>
            </w:pPr>
            <w:r w:rsidRPr="00F53FAC">
              <w:rPr>
                <w:b/>
                <w:sz w:val="18"/>
                <w:szCs w:val="18"/>
              </w:rPr>
              <w:t>8.7</w:t>
            </w:r>
          </w:p>
        </w:tc>
        <w:tc>
          <w:tcPr>
            <w:tcW w:w="507" w:type="pct"/>
            <w:vAlign w:val="bottom"/>
          </w:tcPr>
          <w:p w:rsidR="0087636D" w:rsidRPr="00F53FAC" w:rsidRDefault="0087636D" w:rsidP="005151A7">
            <w:pPr>
              <w:pStyle w:val="TableBodyText"/>
              <w:rPr>
                <w:b/>
                <w:sz w:val="18"/>
                <w:szCs w:val="18"/>
              </w:rPr>
            </w:pPr>
            <w:r w:rsidRPr="00F53FAC">
              <w:rPr>
                <w:b/>
                <w:sz w:val="18"/>
                <w:szCs w:val="18"/>
              </w:rPr>
              <w:t>3.8</w:t>
            </w:r>
          </w:p>
        </w:tc>
        <w:tc>
          <w:tcPr>
            <w:tcW w:w="507" w:type="pct"/>
            <w:vAlign w:val="bottom"/>
          </w:tcPr>
          <w:p w:rsidR="0087636D" w:rsidRPr="00F53FAC" w:rsidRDefault="0087636D" w:rsidP="005151A7">
            <w:pPr>
              <w:pStyle w:val="TableBodyText"/>
              <w:rPr>
                <w:b/>
                <w:sz w:val="18"/>
                <w:szCs w:val="18"/>
              </w:rPr>
            </w:pPr>
            <w:r w:rsidRPr="00F53FAC">
              <w:rPr>
                <w:b/>
                <w:sz w:val="18"/>
                <w:szCs w:val="18"/>
              </w:rPr>
              <w:t>4.5</w:t>
            </w:r>
          </w:p>
        </w:tc>
        <w:tc>
          <w:tcPr>
            <w:tcW w:w="507" w:type="pct"/>
            <w:shd w:val="clear" w:color="auto" w:fill="auto"/>
            <w:vAlign w:val="bottom"/>
          </w:tcPr>
          <w:p w:rsidR="0087636D" w:rsidRPr="00F53FAC" w:rsidRDefault="0087636D" w:rsidP="005151A7">
            <w:pPr>
              <w:pStyle w:val="TableBodyText"/>
              <w:rPr>
                <w:b/>
                <w:sz w:val="18"/>
                <w:szCs w:val="18"/>
              </w:rPr>
            </w:pPr>
            <w:r w:rsidRPr="00F53FAC">
              <w:rPr>
                <w:b/>
                <w:sz w:val="18"/>
                <w:szCs w:val="18"/>
              </w:rPr>
              <w:noBreakHyphen/>
            </w:r>
          </w:p>
        </w:tc>
        <w:tc>
          <w:tcPr>
            <w:tcW w:w="505" w:type="pct"/>
            <w:shd w:val="clear" w:color="auto" w:fill="auto"/>
            <w:vAlign w:val="bottom"/>
          </w:tcPr>
          <w:p w:rsidR="0087636D" w:rsidRPr="00F53FAC" w:rsidRDefault="0087636D" w:rsidP="005151A7">
            <w:pPr>
              <w:pStyle w:val="TableBodyText"/>
              <w:rPr>
                <w:b/>
                <w:sz w:val="18"/>
                <w:szCs w:val="18"/>
              </w:rPr>
            </w:pPr>
            <w:r w:rsidRPr="00F53FAC">
              <w:rPr>
                <w:b/>
                <w:sz w:val="18"/>
                <w:szCs w:val="18"/>
              </w:rPr>
              <w:noBreakHyphen/>
            </w:r>
          </w:p>
        </w:tc>
      </w:tr>
      <w:tr w:rsidR="0087636D" w:rsidRPr="0047417E" w:rsidTr="005151A7">
        <w:tc>
          <w:tcPr>
            <w:tcW w:w="1960" w:type="pct"/>
            <w:vAlign w:val="bottom"/>
          </w:tcPr>
          <w:p w:rsidR="0087636D" w:rsidRPr="00D04898" w:rsidRDefault="0087636D" w:rsidP="005151A7">
            <w:pPr>
              <w:pStyle w:val="TableBodyText"/>
              <w:jc w:val="left"/>
              <w:rPr>
                <w:sz w:val="18"/>
                <w:szCs w:val="18"/>
              </w:rPr>
            </w:pPr>
            <w:r w:rsidRPr="00D04898">
              <w:rPr>
                <w:sz w:val="18"/>
                <w:szCs w:val="18"/>
              </w:rPr>
              <w:t>Electricity, gas, water and waste services</w:t>
            </w:r>
          </w:p>
        </w:tc>
        <w:tc>
          <w:tcPr>
            <w:tcW w:w="507" w:type="pct"/>
            <w:vAlign w:val="bottom"/>
          </w:tcPr>
          <w:p w:rsidR="0087636D" w:rsidRPr="002F5922" w:rsidRDefault="0087636D" w:rsidP="005151A7">
            <w:pPr>
              <w:pStyle w:val="TableBodyText"/>
              <w:rPr>
                <w:sz w:val="18"/>
                <w:szCs w:val="18"/>
              </w:rPr>
            </w:pPr>
            <w:r w:rsidRPr="002F5922">
              <w:rPr>
                <w:sz w:val="18"/>
                <w:szCs w:val="18"/>
              </w:rPr>
              <w:t>0.4</w:t>
            </w:r>
          </w:p>
        </w:tc>
        <w:tc>
          <w:tcPr>
            <w:tcW w:w="507" w:type="pct"/>
            <w:vAlign w:val="bottom"/>
          </w:tcPr>
          <w:p w:rsidR="0087636D" w:rsidRPr="002F5922" w:rsidRDefault="0087636D" w:rsidP="005151A7">
            <w:pPr>
              <w:pStyle w:val="TableBodyText"/>
              <w:rPr>
                <w:sz w:val="18"/>
                <w:szCs w:val="18"/>
              </w:rPr>
            </w:pPr>
            <w:r>
              <w:rPr>
                <w:sz w:val="18"/>
                <w:szCs w:val="18"/>
              </w:rPr>
              <w:noBreakHyphen/>
            </w:r>
          </w:p>
        </w:tc>
        <w:tc>
          <w:tcPr>
            <w:tcW w:w="507" w:type="pct"/>
            <w:vAlign w:val="bottom"/>
          </w:tcPr>
          <w:p w:rsidR="0087636D" w:rsidRPr="002F5922" w:rsidRDefault="0087636D" w:rsidP="005151A7">
            <w:pPr>
              <w:pStyle w:val="TableBodyText"/>
              <w:rPr>
                <w:sz w:val="18"/>
                <w:szCs w:val="18"/>
              </w:rPr>
            </w:pPr>
            <w:r>
              <w:rPr>
                <w:sz w:val="18"/>
                <w:szCs w:val="18"/>
              </w:rPr>
              <w:noBreakHyphen/>
            </w:r>
          </w:p>
        </w:tc>
        <w:tc>
          <w:tcPr>
            <w:tcW w:w="507" w:type="pct"/>
            <w:vAlign w:val="bottom"/>
          </w:tcPr>
          <w:p w:rsidR="0087636D" w:rsidRPr="002F5922" w:rsidRDefault="0087636D" w:rsidP="005151A7">
            <w:pPr>
              <w:pStyle w:val="TableBodyText"/>
              <w:rPr>
                <w:sz w:val="18"/>
                <w:szCs w:val="18"/>
              </w:rPr>
            </w:pPr>
            <w:r>
              <w:rPr>
                <w:sz w:val="18"/>
                <w:szCs w:val="18"/>
              </w:rPr>
              <w:noBreakHyphen/>
            </w:r>
          </w:p>
        </w:tc>
        <w:tc>
          <w:tcPr>
            <w:tcW w:w="507" w:type="pct"/>
            <w:shd w:val="clear" w:color="auto" w:fill="auto"/>
            <w:vAlign w:val="bottom"/>
          </w:tcPr>
          <w:p w:rsidR="0087636D" w:rsidRPr="002F5922" w:rsidRDefault="0087636D" w:rsidP="005151A7">
            <w:pPr>
              <w:pStyle w:val="TableBodyText"/>
              <w:rPr>
                <w:sz w:val="18"/>
                <w:szCs w:val="18"/>
              </w:rPr>
            </w:pPr>
            <w:r>
              <w:rPr>
                <w:sz w:val="18"/>
                <w:szCs w:val="18"/>
              </w:rPr>
              <w:noBreakHyphen/>
            </w:r>
          </w:p>
        </w:tc>
        <w:tc>
          <w:tcPr>
            <w:tcW w:w="505" w:type="pct"/>
            <w:shd w:val="clear" w:color="auto" w:fill="auto"/>
            <w:vAlign w:val="bottom"/>
          </w:tcPr>
          <w:p w:rsidR="0087636D" w:rsidRPr="002F5922" w:rsidRDefault="0087636D" w:rsidP="005151A7">
            <w:pPr>
              <w:pStyle w:val="TableBodyText"/>
              <w:rPr>
                <w:sz w:val="18"/>
                <w:szCs w:val="18"/>
              </w:rPr>
            </w:pPr>
            <w:r>
              <w:rPr>
                <w:sz w:val="18"/>
                <w:szCs w:val="18"/>
              </w:rPr>
              <w:noBreakHyphen/>
            </w:r>
          </w:p>
        </w:tc>
      </w:tr>
      <w:tr w:rsidR="0087636D" w:rsidRPr="0047417E" w:rsidTr="005151A7">
        <w:tc>
          <w:tcPr>
            <w:tcW w:w="1960" w:type="pct"/>
            <w:vAlign w:val="bottom"/>
          </w:tcPr>
          <w:p w:rsidR="0087636D" w:rsidRPr="00D04898" w:rsidRDefault="0087636D" w:rsidP="005151A7">
            <w:pPr>
              <w:pStyle w:val="TableBodyText"/>
              <w:jc w:val="left"/>
              <w:rPr>
                <w:sz w:val="18"/>
                <w:szCs w:val="18"/>
              </w:rPr>
            </w:pPr>
            <w:r w:rsidRPr="00D04898">
              <w:rPr>
                <w:sz w:val="18"/>
                <w:szCs w:val="18"/>
              </w:rPr>
              <w:t>Information, media and telecommunications</w:t>
            </w:r>
          </w:p>
        </w:tc>
        <w:tc>
          <w:tcPr>
            <w:tcW w:w="507" w:type="pct"/>
            <w:vAlign w:val="bottom"/>
          </w:tcPr>
          <w:p w:rsidR="0087636D" w:rsidRPr="002F5922" w:rsidRDefault="0087636D" w:rsidP="005151A7">
            <w:pPr>
              <w:pStyle w:val="TableBodyText"/>
              <w:rPr>
                <w:sz w:val="18"/>
                <w:szCs w:val="18"/>
              </w:rPr>
            </w:pPr>
            <w:r w:rsidRPr="002F5922">
              <w:rPr>
                <w:sz w:val="18"/>
                <w:szCs w:val="18"/>
              </w:rPr>
              <w:t>1.8</w:t>
            </w:r>
          </w:p>
        </w:tc>
        <w:tc>
          <w:tcPr>
            <w:tcW w:w="507" w:type="pct"/>
            <w:vAlign w:val="bottom"/>
          </w:tcPr>
          <w:p w:rsidR="0087636D" w:rsidRPr="002F5922" w:rsidRDefault="0087636D" w:rsidP="005151A7">
            <w:pPr>
              <w:pStyle w:val="TableBodyText"/>
              <w:rPr>
                <w:sz w:val="18"/>
                <w:szCs w:val="18"/>
              </w:rPr>
            </w:pPr>
            <w:r w:rsidRPr="002F5922">
              <w:rPr>
                <w:sz w:val="18"/>
                <w:szCs w:val="18"/>
              </w:rPr>
              <w:t>1.0</w:t>
            </w:r>
          </w:p>
        </w:tc>
        <w:tc>
          <w:tcPr>
            <w:tcW w:w="507" w:type="pct"/>
            <w:vAlign w:val="bottom"/>
          </w:tcPr>
          <w:p w:rsidR="0087636D" w:rsidRPr="002F5922" w:rsidRDefault="0087636D" w:rsidP="005151A7">
            <w:pPr>
              <w:pStyle w:val="TableBodyText"/>
              <w:rPr>
                <w:sz w:val="18"/>
                <w:szCs w:val="18"/>
              </w:rPr>
            </w:pPr>
            <w:r w:rsidRPr="002F5922">
              <w:rPr>
                <w:sz w:val="18"/>
                <w:szCs w:val="18"/>
              </w:rPr>
              <w:t>0.7</w:t>
            </w:r>
          </w:p>
        </w:tc>
        <w:tc>
          <w:tcPr>
            <w:tcW w:w="507" w:type="pct"/>
            <w:vAlign w:val="bottom"/>
          </w:tcPr>
          <w:p w:rsidR="0087636D" w:rsidRPr="002F5922" w:rsidRDefault="0087636D" w:rsidP="005151A7">
            <w:pPr>
              <w:pStyle w:val="TableBodyText"/>
              <w:rPr>
                <w:sz w:val="18"/>
                <w:szCs w:val="18"/>
              </w:rPr>
            </w:pPr>
            <w:r w:rsidRPr="002F5922">
              <w:rPr>
                <w:sz w:val="18"/>
                <w:szCs w:val="18"/>
              </w:rPr>
              <w:t>0.4</w:t>
            </w:r>
          </w:p>
        </w:tc>
        <w:tc>
          <w:tcPr>
            <w:tcW w:w="507" w:type="pct"/>
            <w:shd w:val="clear" w:color="auto" w:fill="auto"/>
            <w:vAlign w:val="bottom"/>
          </w:tcPr>
          <w:p w:rsidR="0087636D" w:rsidRPr="002F5922" w:rsidRDefault="0087636D" w:rsidP="005151A7">
            <w:pPr>
              <w:pStyle w:val="TableBodyText"/>
              <w:rPr>
                <w:sz w:val="18"/>
                <w:szCs w:val="18"/>
              </w:rPr>
            </w:pPr>
            <w:r>
              <w:rPr>
                <w:sz w:val="18"/>
                <w:szCs w:val="18"/>
              </w:rPr>
              <w:noBreakHyphen/>
            </w:r>
          </w:p>
        </w:tc>
        <w:tc>
          <w:tcPr>
            <w:tcW w:w="505" w:type="pct"/>
            <w:shd w:val="clear" w:color="auto" w:fill="auto"/>
            <w:vAlign w:val="bottom"/>
          </w:tcPr>
          <w:p w:rsidR="0087636D" w:rsidRPr="002F5922" w:rsidRDefault="0087636D" w:rsidP="005151A7">
            <w:pPr>
              <w:pStyle w:val="TableBodyText"/>
              <w:rPr>
                <w:sz w:val="18"/>
                <w:szCs w:val="18"/>
              </w:rPr>
            </w:pPr>
            <w:r>
              <w:rPr>
                <w:sz w:val="18"/>
                <w:szCs w:val="18"/>
              </w:rPr>
              <w:noBreakHyphen/>
            </w:r>
          </w:p>
        </w:tc>
      </w:tr>
      <w:tr w:rsidR="0087636D" w:rsidRPr="0047417E" w:rsidTr="005151A7">
        <w:tc>
          <w:tcPr>
            <w:tcW w:w="1960" w:type="pct"/>
            <w:vAlign w:val="bottom"/>
          </w:tcPr>
          <w:p w:rsidR="0087636D" w:rsidRPr="00D04898" w:rsidRDefault="0087636D" w:rsidP="005151A7">
            <w:pPr>
              <w:pStyle w:val="TableBodyText"/>
              <w:jc w:val="left"/>
              <w:rPr>
                <w:sz w:val="18"/>
                <w:szCs w:val="18"/>
              </w:rPr>
            </w:pPr>
            <w:r w:rsidRPr="00D04898">
              <w:rPr>
                <w:sz w:val="18"/>
                <w:szCs w:val="18"/>
              </w:rPr>
              <w:t>Financial and insurance services</w:t>
            </w:r>
          </w:p>
        </w:tc>
        <w:tc>
          <w:tcPr>
            <w:tcW w:w="507" w:type="pct"/>
            <w:vAlign w:val="bottom"/>
          </w:tcPr>
          <w:p w:rsidR="0087636D" w:rsidRPr="002F5922" w:rsidRDefault="0087636D" w:rsidP="005151A7">
            <w:pPr>
              <w:pStyle w:val="TableBodyText"/>
              <w:rPr>
                <w:sz w:val="18"/>
                <w:szCs w:val="18"/>
              </w:rPr>
            </w:pPr>
            <w:r w:rsidRPr="002F5922">
              <w:rPr>
                <w:sz w:val="18"/>
                <w:szCs w:val="18"/>
              </w:rPr>
              <w:t>1.9</w:t>
            </w:r>
          </w:p>
        </w:tc>
        <w:tc>
          <w:tcPr>
            <w:tcW w:w="507" w:type="pct"/>
            <w:vAlign w:val="bottom"/>
          </w:tcPr>
          <w:p w:rsidR="0087636D" w:rsidRPr="002F5922" w:rsidRDefault="0087636D" w:rsidP="005151A7">
            <w:pPr>
              <w:pStyle w:val="TableBodyText"/>
              <w:rPr>
                <w:sz w:val="18"/>
                <w:szCs w:val="18"/>
              </w:rPr>
            </w:pPr>
            <w:r w:rsidRPr="002F5922">
              <w:rPr>
                <w:sz w:val="18"/>
                <w:szCs w:val="18"/>
              </w:rPr>
              <w:t>2.2</w:t>
            </w:r>
          </w:p>
        </w:tc>
        <w:tc>
          <w:tcPr>
            <w:tcW w:w="507" w:type="pct"/>
            <w:vAlign w:val="bottom"/>
          </w:tcPr>
          <w:p w:rsidR="0087636D" w:rsidRPr="002F5922" w:rsidRDefault="0087636D" w:rsidP="005151A7">
            <w:pPr>
              <w:pStyle w:val="TableBodyText"/>
              <w:rPr>
                <w:sz w:val="18"/>
                <w:szCs w:val="18"/>
              </w:rPr>
            </w:pPr>
            <w:r>
              <w:rPr>
                <w:sz w:val="18"/>
                <w:szCs w:val="18"/>
              </w:rPr>
              <w:noBreakHyphen/>
            </w:r>
          </w:p>
        </w:tc>
        <w:tc>
          <w:tcPr>
            <w:tcW w:w="507" w:type="pct"/>
            <w:vAlign w:val="bottom"/>
          </w:tcPr>
          <w:p w:rsidR="0087636D" w:rsidRPr="002F5922" w:rsidRDefault="0087636D" w:rsidP="005151A7">
            <w:pPr>
              <w:pStyle w:val="TableBodyText"/>
              <w:rPr>
                <w:sz w:val="18"/>
                <w:szCs w:val="18"/>
              </w:rPr>
            </w:pPr>
            <w:r w:rsidRPr="002F5922">
              <w:rPr>
                <w:sz w:val="18"/>
                <w:szCs w:val="18"/>
              </w:rPr>
              <w:t>2.0</w:t>
            </w:r>
          </w:p>
        </w:tc>
        <w:tc>
          <w:tcPr>
            <w:tcW w:w="507" w:type="pct"/>
            <w:shd w:val="clear" w:color="auto" w:fill="auto"/>
            <w:vAlign w:val="bottom"/>
          </w:tcPr>
          <w:p w:rsidR="0087636D" w:rsidRPr="002F5922" w:rsidRDefault="0087636D" w:rsidP="005151A7">
            <w:pPr>
              <w:pStyle w:val="TableBodyText"/>
              <w:rPr>
                <w:sz w:val="18"/>
                <w:szCs w:val="18"/>
              </w:rPr>
            </w:pPr>
            <w:r>
              <w:rPr>
                <w:sz w:val="18"/>
                <w:szCs w:val="18"/>
              </w:rPr>
              <w:noBreakHyphen/>
            </w:r>
          </w:p>
        </w:tc>
        <w:tc>
          <w:tcPr>
            <w:tcW w:w="505" w:type="pct"/>
            <w:shd w:val="clear" w:color="auto" w:fill="auto"/>
            <w:vAlign w:val="bottom"/>
          </w:tcPr>
          <w:p w:rsidR="0087636D" w:rsidRPr="002F5922" w:rsidRDefault="0087636D" w:rsidP="005151A7">
            <w:pPr>
              <w:pStyle w:val="TableBodyText"/>
              <w:rPr>
                <w:sz w:val="18"/>
                <w:szCs w:val="18"/>
              </w:rPr>
            </w:pPr>
            <w:r>
              <w:rPr>
                <w:sz w:val="18"/>
                <w:szCs w:val="18"/>
              </w:rPr>
              <w:noBreakHyphen/>
            </w:r>
          </w:p>
        </w:tc>
      </w:tr>
      <w:tr w:rsidR="0087636D" w:rsidRPr="0047417E" w:rsidTr="005151A7">
        <w:tc>
          <w:tcPr>
            <w:tcW w:w="1960" w:type="pct"/>
            <w:vAlign w:val="bottom"/>
          </w:tcPr>
          <w:p w:rsidR="0087636D" w:rsidRPr="00D04898" w:rsidRDefault="0087636D" w:rsidP="005151A7">
            <w:pPr>
              <w:pStyle w:val="TableBodyText"/>
              <w:jc w:val="left"/>
              <w:rPr>
                <w:sz w:val="18"/>
                <w:szCs w:val="18"/>
              </w:rPr>
            </w:pPr>
            <w:r w:rsidRPr="00D04898">
              <w:rPr>
                <w:sz w:val="18"/>
                <w:szCs w:val="18"/>
              </w:rPr>
              <w:t>Property, professional and administrative services</w:t>
            </w:r>
          </w:p>
        </w:tc>
        <w:tc>
          <w:tcPr>
            <w:tcW w:w="507" w:type="pct"/>
            <w:vAlign w:val="bottom"/>
          </w:tcPr>
          <w:p w:rsidR="0087636D" w:rsidRPr="002F5922" w:rsidRDefault="0087636D" w:rsidP="005151A7">
            <w:pPr>
              <w:pStyle w:val="TableBodyText"/>
              <w:rPr>
                <w:sz w:val="18"/>
                <w:szCs w:val="18"/>
              </w:rPr>
            </w:pPr>
            <w:r w:rsidRPr="002F5922">
              <w:rPr>
                <w:sz w:val="18"/>
                <w:szCs w:val="18"/>
              </w:rPr>
              <w:t>2.1</w:t>
            </w:r>
          </w:p>
        </w:tc>
        <w:tc>
          <w:tcPr>
            <w:tcW w:w="507" w:type="pct"/>
            <w:vAlign w:val="bottom"/>
          </w:tcPr>
          <w:p w:rsidR="0087636D" w:rsidRPr="002F5922" w:rsidRDefault="0087636D" w:rsidP="005151A7">
            <w:pPr>
              <w:pStyle w:val="TableBodyText"/>
              <w:rPr>
                <w:sz w:val="18"/>
                <w:szCs w:val="18"/>
              </w:rPr>
            </w:pPr>
            <w:r w:rsidRPr="002F5922">
              <w:rPr>
                <w:sz w:val="18"/>
                <w:szCs w:val="18"/>
              </w:rPr>
              <w:t>4.3</w:t>
            </w:r>
          </w:p>
        </w:tc>
        <w:tc>
          <w:tcPr>
            <w:tcW w:w="507" w:type="pct"/>
            <w:vAlign w:val="bottom"/>
          </w:tcPr>
          <w:p w:rsidR="0087636D" w:rsidRPr="002F5922" w:rsidRDefault="0087636D" w:rsidP="005151A7">
            <w:pPr>
              <w:pStyle w:val="TableBodyText"/>
              <w:rPr>
                <w:sz w:val="18"/>
                <w:szCs w:val="18"/>
              </w:rPr>
            </w:pPr>
            <w:r w:rsidRPr="002F5922">
              <w:rPr>
                <w:sz w:val="18"/>
                <w:szCs w:val="18"/>
              </w:rPr>
              <w:t>2.2</w:t>
            </w:r>
          </w:p>
        </w:tc>
        <w:tc>
          <w:tcPr>
            <w:tcW w:w="507" w:type="pct"/>
            <w:vAlign w:val="bottom"/>
          </w:tcPr>
          <w:p w:rsidR="0087636D" w:rsidRPr="002F5922" w:rsidRDefault="0087636D" w:rsidP="005151A7">
            <w:pPr>
              <w:pStyle w:val="TableBodyText"/>
              <w:rPr>
                <w:sz w:val="18"/>
                <w:szCs w:val="18"/>
              </w:rPr>
            </w:pPr>
            <w:r w:rsidRPr="002F5922">
              <w:rPr>
                <w:sz w:val="18"/>
                <w:szCs w:val="18"/>
              </w:rPr>
              <w:t>1.9</w:t>
            </w:r>
          </w:p>
        </w:tc>
        <w:tc>
          <w:tcPr>
            <w:tcW w:w="507" w:type="pct"/>
            <w:shd w:val="clear" w:color="auto" w:fill="auto"/>
            <w:vAlign w:val="bottom"/>
          </w:tcPr>
          <w:p w:rsidR="0087636D" w:rsidRPr="002F5922" w:rsidRDefault="0087636D" w:rsidP="005151A7">
            <w:pPr>
              <w:pStyle w:val="TableBodyText"/>
              <w:rPr>
                <w:sz w:val="18"/>
                <w:szCs w:val="18"/>
              </w:rPr>
            </w:pPr>
            <w:r>
              <w:rPr>
                <w:sz w:val="18"/>
                <w:szCs w:val="18"/>
              </w:rPr>
              <w:noBreakHyphen/>
            </w:r>
          </w:p>
        </w:tc>
        <w:tc>
          <w:tcPr>
            <w:tcW w:w="505" w:type="pct"/>
            <w:shd w:val="clear" w:color="auto" w:fill="auto"/>
            <w:vAlign w:val="bottom"/>
          </w:tcPr>
          <w:p w:rsidR="0087636D" w:rsidRPr="002F5922" w:rsidRDefault="0087636D" w:rsidP="005151A7">
            <w:pPr>
              <w:pStyle w:val="TableBodyText"/>
              <w:rPr>
                <w:sz w:val="18"/>
                <w:szCs w:val="18"/>
              </w:rPr>
            </w:pPr>
            <w:r>
              <w:rPr>
                <w:sz w:val="18"/>
                <w:szCs w:val="18"/>
              </w:rPr>
              <w:noBreakHyphen/>
            </w:r>
          </w:p>
        </w:tc>
      </w:tr>
      <w:tr w:rsidR="0087636D" w:rsidRPr="0047417E" w:rsidTr="005151A7">
        <w:tc>
          <w:tcPr>
            <w:tcW w:w="1960" w:type="pct"/>
            <w:vAlign w:val="bottom"/>
          </w:tcPr>
          <w:p w:rsidR="0087636D" w:rsidRPr="00D04898" w:rsidRDefault="0087636D" w:rsidP="005151A7">
            <w:pPr>
              <w:pStyle w:val="TableBodyText"/>
              <w:jc w:val="left"/>
              <w:rPr>
                <w:sz w:val="18"/>
                <w:szCs w:val="18"/>
              </w:rPr>
            </w:pPr>
            <w:r w:rsidRPr="00D04898">
              <w:rPr>
                <w:sz w:val="18"/>
                <w:szCs w:val="18"/>
              </w:rPr>
              <w:t>Health care and social assistance</w:t>
            </w:r>
          </w:p>
        </w:tc>
        <w:tc>
          <w:tcPr>
            <w:tcW w:w="507" w:type="pct"/>
            <w:vAlign w:val="bottom"/>
          </w:tcPr>
          <w:p w:rsidR="0087636D" w:rsidRPr="002F5922" w:rsidRDefault="0087636D" w:rsidP="005151A7">
            <w:pPr>
              <w:pStyle w:val="TableBodyText"/>
              <w:rPr>
                <w:sz w:val="18"/>
                <w:szCs w:val="18"/>
              </w:rPr>
            </w:pPr>
            <w:r w:rsidRPr="002F5922">
              <w:rPr>
                <w:sz w:val="18"/>
                <w:szCs w:val="18"/>
              </w:rPr>
              <w:t>2.0</w:t>
            </w:r>
          </w:p>
        </w:tc>
        <w:tc>
          <w:tcPr>
            <w:tcW w:w="507" w:type="pct"/>
            <w:vAlign w:val="bottom"/>
          </w:tcPr>
          <w:p w:rsidR="0087636D" w:rsidRPr="002F5922" w:rsidRDefault="0087636D" w:rsidP="005151A7">
            <w:pPr>
              <w:pStyle w:val="TableBodyText"/>
              <w:rPr>
                <w:sz w:val="18"/>
                <w:szCs w:val="18"/>
              </w:rPr>
            </w:pPr>
            <w:r w:rsidRPr="002F5922">
              <w:rPr>
                <w:sz w:val="18"/>
                <w:szCs w:val="18"/>
              </w:rPr>
              <w:t>1.1</w:t>
            </w:r>
          </w:p>
        </w:tc>
        <w:tc>
          <w:tcPr>
            <w:tcW w:w="507" w:type="pct"/>
            <w:vAlign w:val="bottom"/>
          </w:tcPr>
          <w:p w:rsidR="0087636D" w:rsidRPr="002F5922" w:rsidRDefault="0087636D" w:rsidP="005151A7">
            <w:pPr>
              <w:pStyle w:val="TableBodyText"/>
              <w:rPr>
                <w:sz w:val="18"/>
                <w:szCs w:val="18"/>
              </w:rPr>
            </w:pPr>
            <w:r w:rsidRPr="002F5922">
              <w:rPr>
                <w:sz w:val="18"/>
                <w:szCs w:val="18"/>
              </w:rPr>
              <w:t>0.9</w:t>
            </w:r>
          </w:p>
        </w:tc>
        <w:tc>
          <w:tcPr>
            <w:tcW w:w="507" w:type="pct"/>
            <w:vAlign w:val="bottom"/>
          </w:tcPr>
          <w:p w:rsidR="0087636D" w:rsidRPr="002F5922" w:rsidRDefault="0087636D" w:rsidP="005151A7">
            <w:pPr>
              <w:pStyle w:val="TableBodyText"/>
              <w:rPr>
                <w:sz w:val="18"/>
                <w:szCs w:val="18"/>
              </w:rPr>
            </w:pPr>
            <w:r w:rsidRPr="002F5922">
              <w:rPr>
                <w:sz w:val="18"/>
                <w:szCs w:val="18"/>
              </w:rPr>
              <w:t>0.2</w:t>
            </w:r>
          </w:p>
        </w:tc>
        <w:tc>
          <w:tcPr>
            <w:tcW w:w="507" w:type="pct"/>
            <w:shd w:val="clear" w:color="auto" w:fill="auto"/>
            <w:vAlign w:val="bottom"/>
          </w:tcPr>
          <w:p w:rsidR="0087636D" w:rsidRPr="002F5922" w:rsidRDefault="0087636D" w:rsidP="005151A7">
            <w:pPr>
              <w:pStyle w:val="TableBodyText"/>
              <w:rPr>
                <w:sz w:val="18"/>
                <w:szCs w:val="18"/>
              </w:rPr>
            </w:pPr>
            <w:r>
              <w:rPr>
                <w:sz w:val="18"/>
                <w:szCs w:val="18"/>
              </w:rPr>
              <w:noBreakHyphen/>
            </w:r>
          </w:p>
        </w:tc>
        <w:tc>
          <w:tcPr>
            <w:tcW w:w="505" w:type="pct"/>
            <w:shd w:val="clear" w:color="auto" w:fill="auto"/>
            <w:vAlign w:val="bottom"/>
          </w:tcPr>
          <w:p w:rsidR="0087636D" w:rsidRPr="002F5922" w:rsidRDefault="0087636D" w:rsidP="005151A7">
            <w:pPr>
              <w:pStyle w:val="TableBodyText"/>
              <w:rPr>
                <w:sz w:val="18"/>
                <w:szCs w:val="18"/>
              </w:rPr>
            </w:pPr>
            <w:r>
              <w:rPr>
                <w:sz w:val="18"/>
                <w:szCs w:val="18"/>
              </w:rPr>
              <w:noBreakHyphen/>
            </w:r>
          </w:p>
        </w:tc>
      </w:tr>
      <w:tr w:rsidR="0087636D" w:rsidRPr="0047417E" w:rsidTr="005151A7">
        <w:tc>
          <w:tcPr>
            <w:tcW w:w="1960" w:type="pct"/>
            <w:vAlign w:val="bottom"/>
          </w:tcPr>
          <w:p w:rsidR="0087636D" w:rsidRPr="00D04898" w:rsidRDefault="0087636D" w:rsidP="005151A7">
            <w:pPr>
              <w:pStyle w:val="TableBodyText"/>
              <w:jc w:val="left"/>
              <w:rPr>
                <w:sz w:val="18"/>
                <w:szCs w:val="18"/>
              </w:rPr>
            </w:pPr>
            <w:r w:rsidRPr="00D04898">
              <w:rPr>
                <w:sz w:val="18"/>
                <w:szCs w:val="18"/>
              </w:rPr>
              <w:t>Unallocated other</w:t>
            </w:r>
            <w:r w:rsidRPr="00D04898">
              <w:rPr>
                <w:rStyle w:val="NoteLabel"/>
                <w:szCs w:val="18"/>
              </w:rPr>
              <w:t>a</w:t>
            </w:r>
          </w:p>
        </w:tc>
        <w:tc>
          <w:tcPr>
            <w:tcW w:w="507" w:type="pct"/>
            <w:vAlign w:val="bottom"/>
          </w:tcPr>
          <w:p w:rsidR="0087636D" w:rsidRPr="002F5922" w:rsidRDefault="0087636D" w:rsidP="005151A7">
            <w:pPr>
              <w:pStyle w:val="TableBodyText"/>
              <w:rPr>
                <w:sz w:val="18"/>
                <w:szCs w:val="18"/>
              </w:rPr>
            </w:pPr>
            <w:r>
              <w:rPr>
                <w:sz w:val="18"/>
                <w:szCs w:val="18"/>
              </w:rPr>
              <w:noBreakHyphen/>
            </w:r>
          </w:p>
        </w:tc>
        <w:tc>
          <w:tcPr>
            <w:tcW w:w="507" w:type="pct"/>
            <w:vAlign w:val="bottom"/>
          </w:tcPr>
          <w:p w:rsidR="0087636D" w:rsidRPr="002F5922" w:rsidRDefault="0087636D" w:rsidP="005151A7">
            <w:pPr>
              <w:pStyle w:val="TableBodyText"/>
              <w:rPr>
                <w:sz w:val="18"/>
                <w:szCs w:val="18"/>
              </w:rPr>
            </w:pPr>
            <w:r>
              <w:rPr>
                <w:sz w:val="18"/>
                <w:szCs w:val="18"/>
              </w:rPr>
              <w:noBreakHyphen/>
            </w:r>
          </w:p>
        </w:tc>
        <w:tc>
          <w:tcPr>
            <w:tcW w:w="507" w:type="pct"/>
            <w:vAlign w:val="bottom"/>
          </w:tcPr>
          <w:p w:rsidR="0087636D" w:rsidRPr="002F5922" w:rsidRDefault="0087636D" w:rsidP="005151A7">
            <w:pPr>
              <w:pStyle w:val="TableBodyText"/>
              <w:rPr>
                <w:sz w:val="18"/>
                <w:szCs w:val="18"/>
              </w:rPr>
            </w:pPr>
            <w:r w:rsidRPr="002F5922">
              <w:rPr>
                <w:sz w:val="18"/>
                <w:szCs w:val="18"/>
              </w:rPr>
              <w:t>2.7</w:t>
            </w:r>
          </w:p>
        </w:tc>
        <w:tc>
          <w:tcPr>
            <w:tcW w:w="507" w:type="pct"/>
            <w:vAlign w:val="bottom"/>
          </w:tcPr>
          <w:p w:rsidR="0087636D" w:rsidRPr="002F5922" w:rsidRDefault="0087636D" w:rsidP="005151A7">
            <w:pPr>
              <w:pStyle w:val="TableBodyText"/>
              <w:rPr>
                <w:sz w:val="18"/>
                <w:szCs w:val="18"/>
              </w:rPr>
            </w:pPr>
            <w:r>
              <w:rPr>
                <w:sz w:val="18"/>
                <w:szCs w:val="18"/>
              </w:rPr>
              <w:noBreakHyphen/>
            </w:r>
          </w:p>
        </w:tc>
        <w:tc>
          <w:tcPr>
            <w:tcW w:w="507" w:type="pct"/>
            <w:shd w:val="clear" w:color="auto" w:fill="auto"/>
            <w:vAlign w:val="bottom"/>
          </w:tcPr>
          <w:p w:rsidR="0087636D" w:rsidRPr="002F5922" w:rsidRDefault="0087636D" w:rsidP="005151A7">
            <w:pPr>
              <w:pStyle w:val="TableBodyText"/>
              <w:rPr>
                <w:sz w:val="18"/>
                <w:szCs w:val="18"/>
              </w:rPr>
            </w:pPr>
            <w:r>
              <w:rPr>
                <w:sz w:val="18"/>
                <w:szCs w:val="18"/>
              </w:rPr>
              <w:noBreakHyphen/>
            </w:r>
          </w:p>
        </w:tc>
        <w:tc>
          <w:tcPr>
            <w:tcW w:w="505" w:type="pct"/>
            <w:shd w:val="clear" w:color="auto" w:fill="auto"/>
            <w:vAlign w:val="bottom"/>
          </w:tcPr>
          <w:p w:rsidR="0087636D" w:rsidRPr="002F5922" w:rsidRDefault="0087636D" w:rsidP="005151A7">
            <w:pPr>
              <w:pStyle w:val="TableBodyText"/>
              <w:rPr>
                <w:sz w:val="18"/>
                <w:szCs w:val="18"/>
              </w:rPr>
            </w:pPr>
            <w:r>
              <w:rPr>
                <w:sz w:val="18"/>
                <w:szCs w:val="18"/>
              </w:rPr>
              <w:noBreakHyphen/>
            </w:r>
          </w:p>
        </w:tc>
      </w:tr>
      <w:tr w:rsidR="0087636D" w:rsidRPr="0047417E" w:rsidTr="005151A7">
        <w:tc>
          <w:tcPr>
            <w:tcW w:w="1960" w:type="pct"/>
            <w:tcBorders>
              <w:bottom w:val="single" w:sz="4" w:space="0" w:color="auto"/>
            </w:tcBorders>
            <w:vAlign w:val="bottom"/>
          </w:tcPr>
          <w:p w:rsidR="0087636D" w:rsidRPr="00D04898" w:rsidRDefault="0087636D" w:rsidP="005151A7">
            <w:pPr>
              <w:pStyle w:val="TableBodyText"/>
              <w:jc w:val="left"/>
              <w:rPr>
                <w:b/>
                <w:bCs/>
                <w:sz w:val="18"/>
                <w:szCs w:val="18"/>
              </w:rPr>
            </w:pPr>
            <w:r w:rsidRPr="00D04898">
              <w:rPr>
                <w:b/>
                <w:bCs/>
                <w:sz w:val="18"/>
                <w:szCs w:val="18"/>
              </w:rPr>
              <w:t>Total</w:t>
            </w:r>
          </w:p>
        </w:tc>
        <w:tc>
          <w:tcPr>
            <w:tcW w:w="507" w:type="pct"/>
            <w:tcBorders>
              <w:bottom w:val="single" w:sz="4" w:space="0" w:color="auto"/>
            </w:tcBorders>
            <w:vAlign w:val="bottom"/>
          </w:tcPr>
          <w:p w:rsidR="0087636D" w:rsidRPr="00F53FAC" w:rsidRDefault="0087636D" w:rsidP="005151A7">
            <w:pPr>
              <w:pStyle w:val="TableBodyText"/>
              <w:rPr>
                <w:b/>
                <w:sz w:val="18"/>
                <w:szCs w:val="18"/>
              </w:rPr>
            </w:pPr>
            <w:r w:rsidRPr="00F53FAC">
              <w:rPr>
                <w:b/>
                <w:sz w:val="18"/>
                <w:szCs w:val="18"/>
              </w:rPr>
              <w:t>9.2</w:t>
            </w:r>
          </w:p>
        </w:tc>
        <w:tc>
          <w:tcPr>
            <w:tcW w:w="507" w:type="pct"/>
            <w:tcBorders>
              <w:bottom w:val="single" w:sz="4" w:space="0" w:color="auto"/>
            </w:tcBorders>
            <w:vAlign w:val="bottom"/>
          </w:tcPr>
          <w:p w:rsidR="0087636D" w:rsidRPr="00F53FAC" w:rsidRDefault="0087636D" w:rsidP="005151A7">
            <w:pPr>
              <w:pStyle w:val="TableBodyText"/>
              <w:rPr>
                <w:b/>
                <w:sz w:val="18"/>
                <w:szCs w:val="18"/>
              </w:rPr>
            </w:pPr>
            <w:r w:rsidRPr="00F53FAC">
              <w:rPr>
                <w:b/>
                <w:sz w:val="18"/>
                <w:szCs w:val="18"/>
              </w:rPr>
              <w:t>11.1</w:t>
            </w:r>
          </w:p>
        </w:tc>
        <w:tc>
          <w:tcPr>
            <w:tcW w:w="507" w:type="pct"/>
            <w:tcBorders>
              <w:bottom w:val="single" w:sz="4" w:space="0" w:color="auto"/>
            </w:tcBorders>
            <w:vAlign w:val="bottom"/>
          </w:tcPr>
          <w:p w:rsidR="0087636D" w:rsidRPr="00F53FAC" w:rsidRDefault="0087636D" w:rsidP="005151A7">
            <w:pPr>
              <w:pStyle w:val="TableBodyText"/>
              <w:rPr>
                <w:b/>
                <w:sz w:val="18"/>
                <w:szCs w:val="18"/>
              </w:rPr>
            </w:pPr>
            <w:r w:rsidRPr="00F53FAC">
              <w:rPr>
                <w:b/>
                <w:sz w:val="18"/>
                <w:szCs w:val="18"/>
              </w:rPr>
              <w:t>6.9</w:t>
            </w:r>
          </w:p>
        </w:tc>
        <w:tc>
          <w:tcPr>
            <w:tcW w:w="507" w:type="pct"/>
            <w:tcBorders>
              <w:bottom w:val="single" w:sz="4" w:space="0" w:color="auto"/>
            </w:tcBorders>
            <w:vAlign w:val="bottom"/>
          </w:tcPr>
          <w:p w:rsidR="0087636D" w:rsidRPr="00F53FAC" w:rsidRDefault="0087636D" w:rsidP="005151A7">
            <w:pPr>
              <w:pStyle w:val="TableBodyText"/>
              <w:rPr>
                <w:b/>
                <w:sz w:val="18"/>
                <w:szCs w:val="18"/>
              </w:rPr>
            </w:pPr>
            <w:r w:rsidRPr="00F53FAC">
              <w:rPr>
                <w:b/>
                <w:sz w:val="18"/>
                <w:szCs w:val="18"/>
              </w:rPr>
              <w:t>5.5</w:t>
            </w:r>
          </w:p>
        </w:tc>
        <w:tc>
          <w:tcPr>
            <w:tcW w:w="507" w:type="pct"/>
            <w:tcBorders>
              <w:bottom w:val="single" w:sz="4" w:space="0" w:color="auto"/>
            </w:tcBorders>
            <w:shd w:val="clear" w:color="auto" w:fill="auto"/>
            <w:vAlign w:val="bottom"/>
          </w:tcPr>
          <w:p w:rsidR="0087636D" w:rsidRPr="00F53FAC" w:rsidRDefault="0087636D" w:rsidP="005151A7">
            <w:pPr>
              <w:pStyle w:val="TableBodyText"/>
              <w:rPr>
                <w:b/>
                <w:sz w:val="18"/>
                <w:szCs w:val="18"/>
              </w:rPr>
            </w:pPr>
            <w:r w:rsidRPr="00F53FAC">
              <w:rPr>
                <w:b/>
                <w:sz w:val="18"/>
                <w:szCs w:val="18"/>
              </w:rPr>
              <w:noBreakHyphen/>
            </w:r>
          </w:p>
        </w:tc>
        <w:tc>
          <w:tcPr>
            <w:tcW w:w="505" w:type="pct"/>
            <w:tcBorders>
              <w:bottom w:val="single" w:sz="4" w:space="0" w:color="auto"/>
            </w:tcBorders>
            <w:shd w:val="clear" w:color="auto" w:fill="auto"/>
            <w:vAlign w:val="bottom"/>
          </w:tcPr>
          <w:p w:rsidR="0087636D" w:rsidRPr="00F53FAC" w:rsidRDefault="0087636D" w:rsidP="005151A7">
            <w:pPr>
              <w:pStyle w:val="TableBodyText"/>
              <w:rPr>
                <w:b/>
                <w:sz w:val="18"/>
                <w:szCs w:val="18"/>
              </w:rPr>
            </w:pPr>
            <w:r w:rsidRPr="00F53FAC">
              <w:rPr>
                <w:b/>
                <w:sz w:val="18"/>
                <w:szCs w:val="18"/>
              </w:rPr>
              <w:noBreakHyphen/>
            </w:r>
          </w:p>
        </w:tc>
      </w:tr>
    </w:tbl>
    <w:p w:rsidR="0087636D" w:rsidRDefault="0087636D" w:rsidP="0087636D">
      <w:pPr>
        <w:pStyle w:val="Note"/>
      </w:pPr>
      <w:r w:rsidRPr="00A2379F">
        <w:noBreakHyphen/>
        <w:t xml:space="preserve"> Nil</w:t>
      </w:r>
      <w:r>
        <w:t>.</w:t>
      </w:r>
      <w:r w:rsidRPr="008E77FE">
        <w:rPr>
          <w:rStyle w:val="NoteLabel"/>
        </w:rPr>
        <w:t xml:space="preserve"> a</w:t>
      </w:r>
      <w:r>
        <w:t xml:space="preserve"> </w:t>
      </w:r>
      <w:r w:rsidRPr="009B56F1">
        <w:t>Unallocated includes general programs where detai</w:t>
      </w:r>
      <w:r>
        <w:t>ls of beneficiaries are unknown.</w:t>
      </w:r>
    </w:p>
    <w:p w:rsidR="0087636D" w:rsidRPr="008E77FE" w:rsidRDefault="0087636D" w:rsidP="0087636D">
      <w:pPr>
        <w:pStyle w:val="Source"/>
      </w:pPr>
      <w:r>
        <w:rPr>
          <w:i/>
        </w:rPr>
        <w:t>Sources</w:t>
      </w:r>
      <w:r>
        <w:t>: Commission estimates based on DIISR Annual Report 2009</w:t>
      </w:r>
      <w:r>
        <w:noBreakHyphen/>
        <w:t>10 (and earlier years); detailed DIISR data by ANZSIC industry; and detailed Department of Industry, Tourism and Resources data by ANZSIC industry.</w:t>
      </w:r>
    </w:p>
    <w:p w:rsidR="00E04353" w:rsidRDefault="00FA09C3" w:rsidP="00E04353">
      <w:pPr>
        <w:pStyle w:val="Heading2"/>
      </w:pPr>
      <w:r>
        <w:t>A.</w:t>
      </w:r>
      <w:r>
        <w:rPr>
          <w:noProof/>
        </w:rPr>
        <w:t>152</w:t>
      </w:r>
      <w:r w:rsidR="00E04353">
        <w:tab/>
        <w:t>Remote Renewable Power Generation Program</w:t>
      </w:r>
    </w:p>
    <w:p w:rsidR="00E04353" w:rsidRDefault="00E04353" w:rsidP="00E04353">
      <w:pPr>
        <w:pStyle w:val="BodyText"/>
      </w:pPr>
      <w:r>
        <w:t>The Renewable Remote Power Generation program provided financial support to increase the use of renewable generation in remote parts of Australia that relied on diesel and other fossil fuels for electricity supply. The program comprised two sub-programs:</w:t>
      </w:r>
    </w:p>
    <w:p w:rsidR="00E04353" w:rsidRDefault="00E04353" w:rsidP="00E04353">
      <w:pPr>
        <w:pStyle w:val="ListBullet"/>
      </w:pPr>
      <w:r>
        <w:t>the Residential and Medium-scale program which provided rebates for households, communities, not-for-profit, business, government and other organisations, to support the installation of renewable generation systems in areas which were not close to the electricity grid; and</w:t>
      </w:r>
    </w:p>
    <w:p w:rsidR="00E04353" w:rsidRDefault="00E04353" w:rsidP="00E04353">
      <w:pPr>
        <w:pStyle w:val="ListBullet"/>
      </w:pPr>
      <w:r>
        <w:t xml:space="preserve">the Renewable Energy Water Pumping program which provided rebates for business, government and other incorporated organisations, to support the installation of renewable energy water pumping systems in areas which were not close to the electricity grid </w:t>
      </w:r>
      <w:r w:rsidRPr="00C305B5">
        <w:rPr>
          <w:rStyle w:val="BodyTextChar"/>
        </w:rPr>
        <w:t>(Department of the Environment 2013a)</w:t>
      </w:r>
      <w:r>
        <w:t>.</w:t>
      </w:r>
    </w:p>
    <w:p w:rsidR="00E04353" w:rsidRDefault="00E04353" w:rsidP="00E04353">
      <w:pPr>
        <w:pStyle w:val="BodyText"/>
      </w:pPr>
      <w:r>
        <w:t>The Renewable Remote Power Generation program was closed to new applicants in 2009.</w:t>
      </w:r>
    </w:p>
    <w:p w:rsidR="00E04353" w:rsidRDefault="00E04353" w:rsidP="00E04353">
      <w:pPr>
        <w:pStyle w:val="BodyText"/>
      </w:pPr>
      <w:r>
        <w:t xml:space="preserve">The program has been allocated to the </w:t>
      </w:r>
      <w:r w:rsidRPr="00220A35">
        <w:rPr>
          <w:i/>
        </w:rPr>
        <w:t xml:space="preserve">Electricity, gas, water </w:t>
      </w:r>
      <w:r>
        <w:rPr>
          <w:i/>
        </w:rPr>
        <w:t>and</w:t>
      </w:r>
      <w:r w:rsidRPr="00220A35">
        <w:rPr>
          <w:i/>
        </w:rPr>
        <w:t xml:space="preserve"> waste services</w:t>
      </w:r>
      <w:r>
        <w:t xml:space="preserve"> industry grouping in the Commission’s ANZSIC-based classification (table A.15</w:t>
      </w:r>
      <w:r w:rsidR="00C065C1">
        <w:t>2</w:t>
      </w:r>
      <w:r>
        <w:t>).</w:t>
      </w:r>
    </w:p>
    <w:p w:rsidR="00E04353" w:rsidRDefault="00E04353" w:rsidP="00E04353">
      <w:pPr>
        <w:pStyle w:val="TableTitle"/>
      </w:pPr>
      <w:r>
        <w:rPr>
          <w:b w:val="0"/>
        </w:rPr>
        <w:t xml:space="preserve">Table </w:t>
      </w:r>
      <w:r w:rsidR="00FA09C3">
        <w:rPr>
          <w:b w:val="0"/>
        </w:rPr>
        <w:t>A.</w:t>
      </w:r>
      <w:r w:rsidR="00FA09C3">
        <w:rPr>
          <w:b w:val="0"/>
          <w:noProof/>
        </w:rPr>
        <w:t>152</w:t>
      </w:r>
      <w:r>
        <w:tab/>
        <w:t>Allocation of Remote Renewable Power Generation Program</w:t>
      </w:r>
      <w:r w:rsidR="00E471E2" w:rsidRPr="00E471E2">
        <w:t xml:space="preserve"> to industry</w:t>
      </w:r>
      <w:r>
        <w:t>, 2006</w:t>
      </w:r>
      <w:r>
        <w:noBreakHyphen/>
        <w:t>07 to 2011</w:t>
      </w:r>
      <w:r>
        <w:noBreakHyphen/>
        <w:t>12</w:t>
      </w:r>
    </w:p>
    <w:p w:rsidR="00E04353" w:rsidRDefault="00E04353" w:rsidP="00E04353">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E04353" w:rsidRPr="00AF699A" w:rsidTr="005151A7">
        <w:tc>
          <w:tcPr>
            <w:tcW w:w="1960" w:type="pct"/>
            <w:tcBorders>
              <w:top w:val="single" w:sz="6" w:space="0" w:color="auto"/>
              <w:bottom w:val="single" w:sz="6" w:space="0" w:color="auto"/>
            </w:tcBorders>
          </w:tcPr>
          <w:p w:rsidR="00E04353" w:rsidRPr="00AF699A" w:rsidRDefault="00E04353" w:rsidP="005151A7">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E04353" w:rsidRPr="00AF699A" w:rsidRDefault="00E04353" w:rsidP="005151A7">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E04353" w:rsidRPr="00AF699A" w:rsidRDefault="00E04353" w:rsidP="005151A7">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E04353" w:rsidRPr="00AF699A" w:rsidRDefault="00E04353" w:rsidP="005151A7">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E04353" w:rsidRPr="00AF699A" w:rsidRDefault="00E04353" w:rsidP="005151A7">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E04353" w:rsidRPr="00AF699A" w:rsidRDefault="00E04353" w:rsidP="005151A7">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E04353" w:rsidRPr="00AF699A" w:rsidRDefault="00E04353" w:rsidP="005151A7">
            <w:pPr>
              <w:pStyle w:val="TableColumnHeading"/>
              <w:ind w:right="28"/>
              <w:rPr>
                <w:rFonts w:cs="Arial"/>
                <w:sz w:val="18"/>
                <w:szCs w:val="18"/>
              </w:rPr>
            </w:pPr>
            <w:r w:rsidRPr="00AF699A">
              <w:rPr>
                <w:rFonts w:cs="Arial"/>
                <w:sz w:val="18"/>
                <w:szCs w:val="18"/>
              </w:rPr>
              <w:t>2011-12</w:t>
            </w:r>
          </w:p>
        </w:tc>
      </w:tr>
      <w:tr w:rsidR="00E04353" w:rsidRPr="006C5A80" w:rsidTr="005151A7">
        <w:tc>
          <w:tcPr>
            <w:tcW w:w="1960" w:type="pct"/>
            <w:tcBorders>
              <w:bottom w:val="single" w:sz="4" w:space="0" w:color="auto"/>
            </w:tcBorders>
            <w:vAlign w:val="bottom"/>
          </w:tcPr>
          <w:p w:rsidR="00E04353" w:rsidRPr="00C944BA" w:rsidRDefault="00E04353" w:rsidP="005151A7">
            <w:pPr>
              <w:pStyle w:val="TableBodyText"/>
              <w:jc w:val="left"/>
            </w:pPr>
            <w:r>
              <w:t>Electricity, gas, water and waste services</w:t>
            </w:r>
          </w:p>
        </w:tc>
        <w:tc>
          <w:tcPr>
            <w:tcW w:w="507" w:type="pct"/>
            <w:tcBorders>
              <w:bottom w:val="single" w:sz="4" w:space="0" w:color="auto"/>
            </w:tcBorders>
            <w:vAlign w:val="bottom"/>
          </w:tcPr>
          <w:p w:rsidR="00E04353" w:rsidRPr="00AD1E0A" w:rsidRDefault="00E04353" w:rsidP="005151A7">
            <w:pPr>
              <w:pStyle w:val="TableBodyText"/>
            </w:pPr>
            <w:r w:rsidRPr="00AD1E0A">
              <w:t>13.8</w:t>
            </w:r>
          </w:p>
        </w:tc>
        <w:tc>
          <w:tcPr>
            <w:tcW w:w="507" w:type="pct"/>
            <w:tcBorders>
              <w:bottom w:val="single" w:sz="4" w:space="0" w:color="auto"/>
            </w:tcBorders>
            <w:vAlign w:val="bottom"/>
          </w:tcPr>
          <w:p w:rsidR="00E04353" w:rsidRPr="00AD1E0A" w:rsidRDefault="00E04353" w:rsidP="005151A7">
            <w:pPr>
              <w:pStyle w:val="TableBodyText"/>
            </w:pPr>
            <w:r w:rsidRPr="00AD1E0A">
              <w:t>29.9</w:t>
            </w:r>
          </w:p>
        </w:tc>
        <w:tc>
          <w:tcPr>
            <w:tcW w:w="507" w:type="pct"/>
            <w:tcBorders>
              <w:bottom w:val="single" w:sz="4" w:space="0" w:color="auto"/>
            </w:tcBorders>
            <w:vAlign w:val="bottom"/>
          </w:tcPr>
          <w:p w:rsidR="00E04353" w:rsidRPr="00AD1E0A" w:rsidRDefault="00E04353" w:rsidP="005151A7">
            <w:pPr>
              <w:pStyle w:val="TableBodyText"/>
            </w:pPr>
            <w:r w:rsidRPr="00AD1E0A">
              <w:t>39.1</w:t>
            </w:r>
          </w:p>
        </w:tc>
        <w:tc>
          <w:tcPr>
            <w:tcW w:w="507" w:type="pct"/>
            <w:tcBorders>
              <w:bottom w:val="single" w:sz="4" w:space="0" w:color="auto"/>
            </w:tcBorders>
            <w:vAlign w:val="bottom"/>
          </w:tcPr>
          <w:p w:rsidR="00E04353" w:rsidRPr="00AD1E0A" w:rsidRDefault="00E04353" w:rsidP="005151A7">
            <w:pPr>
              <w:pStyle w:val="TableBodyText"/>
            </w:pPr>
            <w:r w:rsidRPr="00AD1E0A">
              <w:t>4.4</w:t>
            </w:r>
          </w:p>
        </w:tc>
        <w:tc>
          <w:tcPr>
            <w:tcW w:w="507" w:type="pct"/>
            <w:tcBorders>
              <w:bottom w:val="single" w:sz="4" w:space="0" w:color="auto"/>
            </w:tcBorders>
            <w:shd w:val="clear" w:color="auto" w:fill="auto"/>
            <w:vAlign w:val="bottom"/>
          </w:tcPr>
          <w:p w:rsidR="00E04353" w:rsidRPr="00AD1E0A" w:rsidRDefault="00E04353" w:rsidP="005151A7">
            <w:pPr>
              <w:pStyle w:val="TableBodyText"/>
            </w:pPr>
            <w:r>
              <w:noBreakHyphen/>
            </w:r>
          </w:p>
        </w:tc>
        <w:tc>
          <w:tcPr>
            <w:tcW w:w="505" w:type="pct"/>
            <w:tcBorders>
              <w:bottom w:val="single" w:sz="4" w:space="0" w:color="auto"/>
            </w:tcBorders>
            <w:shd w:val="clear" w:color="auto" w:fill="auto"/>
            <w:vAlign w:val="bottom"/>
          </w:tcPr>
          <w:p w:rsidR="00E04353" w:rsidRPr="00AD1E0A" w:rsidRDefault="00E04353" w:rsidP="005151A7">
            <w:pPr>
              <w:pStyle w:val="TableBodyText"/>
            </w:pPr>
            <w:r>
              <w:noBreakHyphen/>
            </w:r>
          </w:p>
        </w:tc>
      </w:tr>
    </w:tbl>
    <w:p w:rsidR="00E04353" w:rsidRPr="00F60026" w:rsidRDefault="00E04353" w:rsidP="00E04353">
      <w:pPr>
        <w:pStyle w:val="Source"/>
        <w:spacing w:after="0"/>
        <w:rPr>
          <w:i/>
        </w:rPr>
      </w:pPr>
      <w:r w:rsidRPr="00A2379F">
        <w:noBreakHyphen/>
        <w:t xml:space="preserve"> </w:t>
      </w:r>
      <w:r>
        <w:t>Nil</w:t>
      </w:r>
      <w:r w:rsidRPr="00A2379F">
        <w:t>.</w:t>
      </w:r>
    </w:p>
    <w:p w:rsidR="00E04353" w:rsidRPr="008E77FE" w:rsidRDefault="00E04353" w:rsidP="00E04353">
      <w:pPr>
        <w:pStyle w:val="Source"/>
      </w:pPr>
      <w:r>
        <w:rPr>
          <w:i/>
        </w:rPr>
        <w:t>Source</w:t>
      </w:r>
      <w:r>
        <w:t>: Commission estimates based on Department of Sustainability, Environment, Water, Population and Communities Annual Report 2009</w:t>
      </w:r>
      <w:r>
        <w:noBreakHyphen/>
        <w:t>10 (and earlier years).</w:t>
      </w:r>
    </w:p>
    <w:p w:rsidR="00E04353" w:rsidRDefault="00FA09C3" w:rsidP="00E04353">
      <w:pPr>
        <w:pStyle w:val="Heading2"/>
      </w:pPr>
      <w:r>
        <w:t>A.</w:t>
      </w:r>
      <w:r>
        <w:rPr>
          <w:noProof/>
        </w:rPr>
        <w:t>153</w:t>
      </w:r>
      <w:r w:rsidR="00E04353">
        <w:tab/>
        <w:t>Renewable Energy Development Initiative</w:t>
      </w:r>
    </w:p>
    <w:p w:rsidR="00E04353" w:rsidRPr="002B6707" w:rsidRDefault="00E04353" w:rsidP="00E04353">
      <w:pPr>
        <w:pStyle w:val="BodyText"/>
      </w:pPr>
      <w:r>
        <w:t>Introduced in 2003, t</w:t>
      </w:r>
      <w:r w:rsidRPr="002B6707">
        <w:t xml:space="preserve">he Renewable Energy Development Initiative (REDI) </w:t>
      </w:r>
      <w:r>
        <w:t xml:space="preserve">was a competitive merit-based grants program that </w:t>
      </w:r>
      <w:r w:rsidRPr="002B6707">
        <w:t>aimed to assist small and medium sized Australian businesses to conduct research and develop</w:t>
      </w:r>
      <w:r w:rsidR="00391109">
        <w:t>ment</w:t>
      </w:r>
      <w:r w:rsidRPr="002B6707">
        <w:t>, proof-of-concept and early stage commercialisation activities for innovative projects. During the life of the program, 29 projects totalling $66.7</w:t>
      </w:r>
      <w:r>
        <w:t> </w:t>
      </w:r>
      <w:r w:rsidRPr="002B6707">
        <w:t>million were awarded funding</w:t>
      </w:r>
      <w:r>
        <w:t xml:space="preserve"> (</w:t>
      </w:r>
      <w:r w:rsidRPr="00C305B5">
        <w:t>DIISR 2011</w:t>
      </w:r>
      <w:r>
        <w:t>)</w:t>
      </w:r>
      <w:r w:rsidRPr="002B6707">
        <w:t>.</w:t>
      </w:r>
    </w:p>
    <w:p w:rsidR="00E04353" w:rsidRDefault="00E04353" w:rsidP="00E04353">
      <w:pPr>
        <w:pStyle w:val="BodyText"/>
      </w:pPr>
      <w:r>
        <w:t>The program was closed to new grants in April 2008.</w:t>
      </w:r>
    </w:p>
    <w:p w:rsidR="00E04353" w:rsidRDefault="00E04353" w:rsidP="00E04353">
      <w:pPr>
        <w:pStyle w:val="BodyText"/>
      </w:pPr>
      <w:r>
        <w:t>DIISR has provided the Commission with information on the industry incidence of REDI funding by the ANZSIC industry classification. The industry shares data has been used to allocate total REDI program funding, derived from DIISR’s annual report, across the Commission’s ANZSIC-based industry groupings (table A.15</w:t>
      </w:r>
      <w:r w:rsidR="00C065C1">
        <w:t>3</w:t>
      </w:r>
      <w:r>
        <w:t>).</w:t>
      </w:r>
    </w:p>
    <w:p w:rsidR="00E04353" w:rsidRDefault="00E04353" w:rsidP="00E04353">
      <w:pPr>
        <w:pStyle w:val="TableTitle"/>
      </w:pPr>
      <w:r>
        <w:rPr>
          <w:b w:val="0"/>
        </w:rPr>
        <w:t xml:space="preserve">Table </w:t>
      </w:r>
      <w:r w:rsidR="00FA09C3">
        <w:rPr>
          <w:b w:val="0"/>
        </w:rPr>
        <w:t>A.</w:t>
      </w:r>
      <w:r w:rsidR="00FA09C3">
        <w:rPr>
          <w:b w:val="0"/>
          <w:noProof/>
        </w:rPr>
        <w:t>153</w:t>
      </w:r>
      <w:r>
        <w:tab/>
        <w:t xml:space="preserve">Allocation of Renewable Energy Development Initiative </w:t>
      </w:r>
      <w:r w:rsidR="00E471E2" w:rsidRPr="00E471E2">
        <w:t>to industry</w:t>
      </w:r>
      <w:r>
        <w:t>, 2006</w:t>
      </w:r>
      <w:r>
        <w:noBreakHyphen/>
        <w:t>07 to 2011</w:t>
      </w:r>
      <w:r>
        <w:noBreakHyphen/>
        <w:t>12</w:t>
      </w:r>
    </w:p>
    <w:p w:rsidR="00E04353" w:rsidRDefault="00E04353" w:rsidP="00E04353">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E04353" w:rsidRPr="00AF699A" w:rsidTr="005151A7">
        <w:tc>
          <w:tcPr>
            <w:tcW w:w="1960" w:type="pct"/>
            <w:tcBorders>
              <w:top w:val="single" w:sz="6" w:space="0" w:color="auto"/>
              <w:bottom w:val="single" w:sz="6" w:space="0" w:color="auto"/>
            </w:tcBorders>
          </w:tcPr>
          <w:p w:rsidR="00E04353" w:rsidRPr="00AF699A" w:rsidRDefault="00E04353" w:rsidP="005151A7">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E04353" w:rsidRPr="00AF699A" w:rsidRDefault="00E04353" w:rsidP="005151A7">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E04353" w:rsidRPr="00AF699A" w:rsidRDefault="00E04353" w:rsidP="005151A7">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E04353" w:rsidRPr="00AF699A" w:rsidRDefault="00E04353" w:rsidP="005151A7">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E04353" w:rsidRPr="00AF699A" w:rsidRDefault="00E04353" w:rsidP="005151A7">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E04353" w:rsidRPr="00AF699A" w:rsidRDefault="00E04353" w:rsidP="005151A7">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E04353" w:rsidRPr="00AF699A" w:rsidRDefault="00E04353" w:rsidP="005151A7">
            <w:pPr>
              <w:pStyle w:val="TableColumnHeading"/>
              <w:ind w:right="28"/>
              <w:rPr>
                <w:rFonts w:cs="Arial"/>
                <w:sz w:val="18"/>
                <w:szCs w:val="18"/>
              </w:rPr>
            </w:pPr>
            <w:r w:rsidRPr="00AF699A">
              <w:rPr>
                <w:rFonts w:cs="Arial"/>
                <w:sz w:val="18"/>
                <w:szCs w:val="18"/>
              </w:rPr>
              <w:t>2011-12</w:t>
            </w:r>
          </w:p>
        </w:tc>
      </w:tr>
      <w:tr w:rsidR="00E04353" w:rsidRPr="006C5A80" w:rsidTr="005151A7">
        <w:tc>
          <w:tcPr>
            <w:tcW w:w="1960" w:type="pct"/>
            <w:tcBorders>
              <w:top w:val="single" w:sz="6" w:space="0" w:color="auto"/>
            </w:tcBorders>
            <w:vAlign w:val="bottom"/>
          </w:tcPr>
          <w:p w:rsidR="00E04353" w:rsidRPr="006C0DD3" w:rsidRDefault="00E04353" w:rsidP="005151A7">
            <w:pPr>
              <w:pStyle w:val="TableBodyText"/>
              <w:jc w:val="left"/>
              <w:rPr>
                <w:b/>
                <w:sz w:val="18"/>
                <w:szCs w:val="18"/>
              </w:rPr>
            </w:pPr>
            <w:r>
              <w:rPr>
                <w:b/>
                <w:sz w:val="18"/>
                <w:szCs w:val="18"/>
              </w:rPr>
              <w:t>Mining</w:t>
            </w:r>
          </w:p>
        </w:tc>
        <w:tc>
          <w:tcPr>
            <w:tcW w:w="507" w:type="pct"/>
            <w:tcBorders>
              <w:top w:val="single" w:sz="6" w:space="0" w:color="auto"/>
            </w:tcBorders>
            <w:vAlign w:val="bottom"/>
          </w:tcPr>
          <w:p w:rsidR="00E04353" w:rsidRPr="003777A9" w:rsidRDefault="00E04353" w:rsidP="005151A7">
            <w:pPr>
              <w:pStyle w:val="TableBodyText"/>
              <w:rPr>
                <w:b/>
                <w:sz w:val="18"/>
                <w:szCs w:val="18"/>
              </w:rPr>
            </w:pPr>
            <w:r w:rsidRPr="003777A9">
              <w:rPr>
                <w:b/>
                <w:sz w:val="18"/>
                <w:szCs w:val="18"/>
              </w:rPr>
              <w:t>0.3</w:t>
            </w:r>
          </w:p>
        </w:tc>
        <w:tc>
          <w:tcPr>
            <w:tcW w:w="507" w:type="pct"/>
            <w:tcBorders>
              <w:top w:val="single" w:sz="6" w:space="0" w:color="auto"/>
            </w:tcBorders>
            <w:vAlign w:val="bottom"/>
          </w:tcPr>
          <w:p w:rsidR="00E04353" w:rsidRPr="003777A9" w:rsidRDefault="00E04353" w:rsidP="005151A7">
            <w:pPr>
              <w:pStyle w:val="TableBodyText"/>
              <w:rPr>
                <w:b/>
                <w:sz w:val="18"/>
                <w:szCs w:val="18"/>
              </w:rPr>
            </w:pPr>
            <w:r w:rsidRPr="003777A9">
              <w:rPr>
                <w:b/>
                <w:sz w:val="18"/>
                <w:szCs w:val="18"/>
              </w:rPr>
              <w:t>0.5</w:t>
            </w:r>
          </w:p>
        </w:tc>
        <w:tc>
          <w:tcPr>
            <w:tcW w:w="507" w:type="pct"/>
            <w:tcBorders>
              <w:top w:val="single" w:sz="6" w:space="0" w:color="auto"/>
            </w:tcBorders>
            <w:vAlign w:val="bottom"/>
          </w:tcPr>
          <w:p w:rsidR="00E04353" w:rsidRPr="003777A9" w:rsidRDefault="00E04353" w:rsidP="005151A7">
            <w:pPr>
              <w:pStyle w:val="TableBodyText"/>
              <w:rPr>
                <w:b/>
                <w:sz w:val="18"/>
                <w:szCs w:val="18"/>
              </w:rPr>
            </w:pPr>
            <w:r w:rsidRPr="003777A9">
              <w:rPr>
                <w:b/>
                <w:sz w:val="18"/>
                <w:szCs w:val="18"/>
              </w:rPr>
              <w:t>0.8</w:t>
            </w:r>
          </w:p>
        </w:tc>
        <w:tc>
          <w:tcPr>
            <w:tcW w:w="507" w:type="pct"/>
            <w:tcBorders>
              <w:top w:val="single" w:sz="6" w:space="0" w:color="auto"/>
            </w:tcBorders>
            <w:vAlign w:val="bottom"/>
          </w:tcPr>
          <w:p w:rsidR="00E04353" w:rsidRPr="003777A9" w:rsidRDefault="00E04353" w:rsidP="005151A7">
            <w:pPr>
              <w:pStyle w:val="TableBodyText"/>
              <w:rPr>
                <w:b/>
                <w:sz w:val="18"/>
                <w:szCs w:val="18"/>
              </w:rPr>
            </w:pPr>
            <w:r w:rsidRPr="003777A9">
              <w:rPr>
                <w:b/>
                <w:sz w:val="18"/>
                <w:szCs w:val="18"/>
              </w:rPr>
              <w:t>0.3</w:t>
            </w:r>
          </w:p>
        </w:tc>
        <w:tc>
          <w:tcPr>
            <w:tcW w:w="507" w:type="pct"/>
            <w:tcBorders>
              <w:top w:val="single" w:sz="6" w:space="0" w:color="auto"/>
            </w:tcBorders>
            <w:vAlign w:val="bottom"/>
          </w:tcPr>
          <w:p w:rsidR="00E04353" w:rsidRPr="003777A9" w:rsidRDefault="00E04353" w:rsidP="005151A7">
            <w:pPr>
              <w:pStyle w:val="TableBodyText"/>
              <w:rPr>
                <w:b/>
                <w:sz w:val="18"/>
                <w:szCs w:val="18"/>
              </w:rPr>
            </w:pPr>
            <w:r w:rsidRPr="003777A9">
              <w:rPr>
                <w:b/>
                <w:sz w:val="18"/>
                <w:szCs w:val="18"/>
              </w:rPr>
              <w:noBreakHyphen/>
            </w:r>
          </w:p>
        </w:tc>
        <w:tc>
          <w:tcPr>
            <w:tcW w:w="505" w:type="pct"/>
            <w:tcBorders>
              <w:top w:val="single" w:sz="6" w:space="0" w:color="auto"/>
            </w:tcBorders>
            <w:vAlign w:val="bottom"/>
          </w:tcPr>
          <w:p w:rsidR="00E04353" w:rsidRPr="003777A9" w:rsidRDefault="00E04353" w:rsidP="005151A7">
            <w:pPr>
              <w:pStyle w:val="TableBodyText"/>
              <w:rPr>
                <w:b/>
                <w:sz w:val="18"/>
                <w:szCs w:val="18"/>
              </w:rPr>
            </w:pPr>
            <w:r w:rsidRPr="003777A9">
              <w:rPr>
                <w:b/>
                <w:sz w:val="18"/>
                <w:szCs w:val="18"/>
              </w:rPr>
              <w:noBreakHyphen/>
            </w:r>
          </w:p>
        </w:tc>
      </w:tr>
      <w:tr w:rsidR="00E04353" w:rsidRPr="006C5A80" w:rsidTr="005151A7">
        <w:tc>
          <w:tcPr>
            <w:tcW w:w="1960" w:type="pct"/>
            <w:vAlign w:val="bottom"/>
          </w:tcPr>
          <w:p w:rsidR="00E04353" w:rsidRPr="006C0DD3" w:rsidRDefault="00E04353" w:rsidP="005151A7">
            <w:pPr>
              <w:pStyle w:val="TableBodyText"/>
              <w:jc w:val="left"/>
              <w:rPr>
                <w:b/>
                <w:sz w:val="18"/>
                <w:szCs w:val="18"/>
              </w:rPr>
            </w:pPr>
            <w:r w:rsidRPr="006C0DD3">
              <w:rPr>
                <w:b/>
                <w:sz w:val="18"/>
                <w:szCs w:val="18"/>
              </w:rPr>
              <w:t>Manufacturing</w:t>
            </w:r>
          </w:p>
        </w:tc>
        <w:tc>
          <w:tcPr>
            <w:tcW w:w="507" w:type="pct"/>
            <w:vAlign w:val="bottom"/>
          </w:tcPr>
          <w:p w:rsidR="00E04353" w:rsidRPr="003777A9" w:rsidRDefault="00E04353" w:rsidP="005151A7">
            <w:pPr>
              <w:pStyle w:val="TableBodyText"/>
              <w:rPr>
                <w:b/>
                <w:sz w:val="18"/>
                <w:szCs w:val="18"/>
              </w:rPr>
            </w:pPr>
            <w:r w:rsidRPr="003777A9">
              <w:rPr>
                <w:b/>
                <w:sz w:val="18"/>
                <w:szCs w:val="18"/>
              </w:rPr>
              <w:t>2.4</w:t>
            </w:r>
          </w:p>
        </w:tc>
        <w:tc>
          <w:tcPr>
            <w:tcW w:w="507" w:type="pct"/>
            <w:vAlign w:val="bottom"/>
          </w:tcPr>
          <w:p w:rsidR="00E04353" w:rsidRPr="003777A9" w:rsidRDefault="00E04353" w:rsidP="005151A7">
            <w:pPr>
              <w:pStyle w:val="TableBodyText"/>
              <w:rPr>
                <w:b/>
                <w:sz w:val="18"/>
                <w:szCs w:val="18"/>
              </w:rPr>
            </w:pPr>
            <w:r w:rsidRPr="003777A9">
              <w:rPr>
                <w:b/>
                <w:sz w:val="18"/>
                <w:szCs w:val="18"/>
              </w:rPr>
              <w:t>9.0</w:t>
            </w:r>
          </w:p>
        </w:tc>
        <w:tc>
          <w:tcPr>
            <w:tcW w:w="507" w:type="pct"/>
            <w:vAlign w:val="bottom"/>
          </w:tcPr>
          <w:p w:rsidR="00E04353" w:rsidRPr="003777A9" w:rsidRDefault="00E04353" w:rsidP="005151A7">
            <w:pPr>
              <w:pStyle w:val="TableBodyText"/>
              <w:rPr>
                <w:b/>
                <w:sz w:val="18"/>
                <w:szCs w:val="18"/>
              </w:rPr>
            </w:pPr>
            <w:r w:rsidRPr="003777A9">
              <w:rPr>
                <w:b/>
                <w:sz w:val="18"/>
                <w:szCs w:val="18"/>
              </w:rPr>
              <w:t>2.7</w:t>
            </w:r>
          </w:p>
        </w:tc>
        <w:tc>
          <w:tcPr>
            <w:tcW w:w="507" w:type="pct"/>
            <w:vAlign w:val="bottom"/>
          </w:tcPr>
          <w:p w:rsidR="00E04353" w:rsidRPr="003777A9" w:rsidRDefault="00E04353" w:rsidP="005151A7">
            <w:pPr>
              <w:pStyle w:val="TableBodyText"/>
              <w:rPr>
                <w:b/>
                <w:sz w:val="18"/>
                <w:szCs w:val="18"/>
              </w:rPr>
            </w:pPr>
            <w:r w:rsidRPr="003777A9">
              <w:rPr>
                <w:b/>
                <w:sz w:val="18"/>
                <w:szCs w:val="18"/>
              </w:rPr>
              <w:t>0.3</w:t>
            </w:r>
          </w:p>
        </w:tc>
        <w:tc>
          <w:tcPr>
            <w:tcW w:w="507" w:type="pct"/>
            <w:shd w:val="clear" w:color="auto" w:fill="auto"/>
            <w:vAlign w:val="bottom"/>
          </w:tcPr>
          <w:p w:rsidR="00E04353" w:rsidRPr="003777A9" w:rsidRDefault="00E04353" w:rsidP="005151A7">
            <w:pPr>
              <w:pStyle w:val="TableBodyText"/>
              <w:rPr>
                <w:b/>
                <w:sz w:val="18"/>
                <w:szCs w:val="18"/>
              </w:rPr>
            </w:pPr>
            <w:r w:rsidRPr="003777A9">
              <w:rPr>
                <w:b/>
                <w:sz w:val="18"/>
                <w:szCs w:val="18"/>
              </w:rPr>
              <w:noBreakHyphen/>
            </w:r>
          </w:p>
        </w:tc>
        <w:tc>
          <w:tcPr>
            <w:tcW w:w="505" w:type="pct"/>
            <w:shd w:val="clear" w:color="auto" w:fill="auto"/>
            <w:vAlign w:val="bottom"/>
          </w:tcPr>
          <w:p w:rsidR="00E04353" w:rsidRPr="003777A9" w:rsidRDefault="00E04353" w:rsidP="005151A7">
            <w:pPr>
              <w:pStyle w:val="TableBodyText"/>
              <w:rPr>
                <w:b/>
                <w:sz w:val="18"/>
                <w:szCs w:val="18"/>
              </w:rPr>
            </w:pPr>
            <w:r w:rsidRPr="003777A9">
              <w:rPr>
                <w:b/>
                <w:sz w:val="18"/>
                <w:szCs w:val="18"/>
              </w:rPr>
              <w:noBreakHyphen/>
            </w:r>
          </w:p>
        </w:tc>
      </w:tr>
      <w:tr w:rsidR="00E04353" w:rsidRPr="006C5A80" w:rsidTr="005151A7">
        <w:tc>
          <w:tcPr>
            <w:tcW w:w="1960" w:type="pct"/>
            <w:vAlign w:val="bottom"/>
          </w:tcPr>
          <w:p w:rsidR="00E04353" w:rsidRPr="00267504" w:rsidRDefault="00E04353" w:rsidP="005151A7">
            <w:pPr>
              <w:pStyle w:val="TableBodyText"/>
              <w:jc w:val="left"/>
              <w:rPr>
                <w:sz w:val="18"/>
                <w:szCs w:val="18"/>
              </w:rPr>
            </w:pPr>
            <w:r w:rsidRPr="00267504">
              <w:rPr>
                <w:sz w:val="18"/>
                <w:szCs w:val="18"/>
              </w:rPr>
              <w:t>Food, beverages and tobacco</w:t>
            </w:r>
          </w:p>
        </w:tc>
        <w:tc>
          <w:tcPr>
            <w:tcW w:w="507" w:type="pct"/>
            <w:vAlign w:val="bottom"/>
          </w:tcPr>
          <w:p w:rsidR="00E04353" w:rsidRPr="003777A9" w:rsidRDefault="00E04353" w:rsidP="005151A7">
            <w:pPr>
              <w:pStyle w:val="TableBodyText"/>
              <w:rPr>
                <w:sz w:val="18"/>
                <w:szCs w:val="18"/>
              </w:rPr>
            </w:pPr>
            <w:r w:rsidRPr="003777A9">
              <w:rPr>
                <w:sz w:val="18"/>
                <w:szCs w:val="18"/>
              </w:rPr>
              <w:t>0.8</w:t>
            </w:r>
          </w:p>
        </w:tc>
        <w:tc>
          <w:tcPr>
            <w:tcW w:w="507" w:type="pct"/>
            <w:vAlign w:val="bottom"/>
          </w:tcPr>
          <w:p w:rsidR="00E04353" w:rsidRPr="003777A9" w:rsidRDefault="00E04353" w:rsidP="005151A7">
            <w:pPr>
              <w:pStyle w:val="TableBodyText"/>
              <w:rPr>
                <w:sz w:val="18"/>
                <w:szCs w:val="18"/>
              </w:rPr>
            </w:pPr>
            <w:r w:rsidRPr="003777A9">
              <w:rPr>
                <w:sz w:val="18"/>
                <w:szCs w:val="18"/>
              </w:rPr>
              <w:noBreakHyphen/>
            </w:r>
          </w:p>
        </w:tc>
        <w:tc>
          <w:tcPr>
            <w:tcW w:w="507" w:type="pct"/>
            <w:vAlign w:val="bottom"/>
          </w:tcPr>
          <w:p w:rsidR="00E04353" w:rsidRPr="003777A9" w:rsidRDefault="00E04353" w:rsidP="005151A7">
            <w:pPr>
              <w:pStyle w:val="TableBodyText"/>
              <w:rPr>
                <w:sz w:val="18"/>
                <w:szCs w:val="18"/>
              </w:rPr>
            </w:pPr>
            <w:r w:rsidRPr="003777A9">
              <w:rPr>
                <w:sz w:val="18"/>
                <w:szCs w:val="18"/>
              </w:rPr>
              <w:t>1.8</w:t>
            </w:r>
          </w:p>
        </w:tc>
        <w:tc>
          <w:tcPr>
            <w:tcW w:w="507" w:type="pct"/>
            <w:vAlign w:val="bottom"/>
          </w:tcPr>
          <w:p w:rsidR="00E04353" w:rsidRPr="003777A9" w:rsidRDefault="00E04353" w:rsidP="005151A7">
            <w:pPr>
              <w:pStyle w:val="TableBodyText"/>
              <w:rPr>
                <w:sz w:val="18"/>
                <w:szCs w:val="18"/>
              </w:rPr>
            </w:pPr>
            <w:r w:rsidRPr="003777A9">
              <w:rPr>
                <w:sz w:val="18"/>
                <w:szCs w:val="18"/>
              </w:rPr>
              <w:t>0.2</w:t>
            </w:r>
          </w:p>
        </w:tc>
        <w:tc>
          <w:tcPr>
            <w:tcW w:w="507" w:type="pct"/>
            <w:shd w:val="clear" w:color="auto" w:fill="auto"/>
            <w:vAlign w:val="bottom"/>
          </w:tcPr>
          <w:p w:rsidR="00E04353" w:rsidRPr="003777A9" w:rsidRDefault="00E04353" w:rsidP="005151A7">
            <w:pPr>
              <w:pStyle w:val="TableBodyText"/>
              <w:rPr>
                <w:sz w:val="18"/>
                <w:szCs w:val="18"/>
              </w:rPr>
            </w:pPr>
            <w:r w:rsidRPr="003777A9">
              <w:rPr>
                <w:sz w:val="18"/>
                <w:szCs w:val="18"/>
              </w:rPr>
              <w:noBreakHyphen/>
            </w:r>
          </w:p>
        </w:tc>
        <w:tc>
          <w:tcPr>
            <w:tcW w:w="505" w:type="pct"/>
            <w:shd w:val="clear" w:color="auto" w:fill="auto"/>
            <w:vAlign w:val="bottom"/>
          </w:tcPr>
          <w:p w:rsidR="00E04353" w:rsidRPr="003777A9" w:rsidRDefault="00E04353" w:rsidP="005151A7">
            <w:pPr>
              <w:pStyle w:val="TableBodyText"/>
              <w:rPr>
                <w:sz w:val="18"/>
                <w:szCs w:val="18"/>
              </w:rPr>
            </w:pPr>
            <w:r w:rsidRPr="003777A9">
              <w:rPr>
                <w:sz w:val="18"/>
                <w:szCs w:val="18"/>
              </w:rPr>
              <w:noBreakHyphen/>
            </w:r>
          </w:p>
        </w:tc>
      </w:tr>
      <w:tr w:rsidR="00E04353" w:rsidRPr="006C5A80" w:rsidTr="005151A7">
        <w:tc>
          <w:tcPr>
            <w:tcW w:w="1960" w:type="pct"/>
            <w:vAlign w:val="bottom"/>
          </w:tcPr>
          <w:p w:rsidR="00E04353" w:rsidRPr="00267504" w:rsidRDefault="00E04353" w:rsidP="005151A7">
            <w:pPr>
              <w:pStyle w:val="TableBodyText"/>
              <w:jc w:val="left"/>
              <w:rPr>
                <w:sz w:val="18"/>
                <w:szCs w:val="18"/>
              </w:rPr>
            </w:pPr>
            <w:r w:rsidRPr="00267504">
              <w:rPr>
                <w:sz w:val="18"/>
                <w:szCs w:val="18"/>
              </w:rPr>
              <w:t>Petroleum, coal, chemical and rubber products</w:t>
            </w:r>
          </w:p>
        </w:tc>
        <w:tc>
          <w:tcPr>
            <w:tcW w:w="507" w:type="pct"/>
            <w:vAlign w:val="bottom"/>
          </w:tcPr>
          <w:p w:rsidR="00E04353" w:rsidRPr="003777A9" w:rsidRDefault="00E04353" w:rsidP="005151A7">
            <w:pPr>
              <w:pStyle w:val="TableBodyText"/>
              <w:rPr>
                <w:sz w:val="18"/>
                <w:szCs w:val="18"/>
              </w:rPr>
            </w:pPr>
            <w:r w:rsidRPr="003777A9">
              <w:rPr>
                <w:sz w:val="18"/>
                <w:szCs w:val="18"/>
              </w:rPr>
              <w:noBreakHyphen/>
            </w:r>
          </w:p>
        </w:tc>
        <w:tc>
          <w:tcPr>
            <w:tcW w:w="507" w:type="pct"/>
            <w:vAlign w:val="bottom"/>
          </w:tcPr>
          <w:p w:rsidR="00E04353" w:rsidRPr="003777A9" w:rsidRDefault="00E04353" w:rsidP="005151A7">
            <w:pPr>
              <w:pStyle w:val="TableBodyText"/>
              <w:rPr>
                <w:sz w:val="18"/>
                <w:szCs w:val="18"/>
              </w:rPr>
            </w:pPr>
            <w:r w:rsidRPr="003777A9">
              <w:rPr>
                <w:sz w:val="18"/>
                <w:szCs w:val="18"/>
              </w:rPr>
              <w:t>1.6</w:t>
            </w:r>
          </w:p>
        </w:tc>
        <w:tc>
          <w:tcPr>
            <w:tcW w:w="507" w:type="pct"/>
            <w:vAlign w:val="bottom"/>
          </w:tcPr>
          <w:p w:rsidR="00E04353" w:rsidRPr="003777A9" w:rsidRDefault="00E04353" w:rsidP="005151A7">
            <w:pPr>
              <w:pStyle w:val="TableBodyText"/>
              <w:rPr>
                <w:sz w:val="18"/>
                <w:szCs w:val="18"/>
              </w:rPr>
            </w:pPr>
            <w:r w:rsidRPr="003777A9">
              <w:rPr>
                <w:sz w:val="18"/>
                <w:szCs w:val="18"/>
              </w:rPr>
              <w:t>0.7</w:t>
            </w:r>
          </w:p>
        </w:tc>
        <w:tc>
          <w:tcPr>
            <w:tcW w:w="507" w:type="pct"/>
            <w:vAlign w:val="bottom"/>
          </w:tcPr>
          <w:p w:rsidR="00E04353" w:rsidRPr="003777A9" w:rsidRDefault="00E04353" w:rsidP="005151A7">
            <w:pPr>
              <w:pStyle w:val="TableBodyText"/>
              <w:rPr>
                <w:sz w:val="18"/>
                <w:szCs w:val="18"/>
              </w:rPr>
            </w:pPr>
            <w:r w:rsidRPr="003777A9">
              <w:rPr>
                <w:sz w:val="18"/>
                <w:szCs w:val="18"/>
              </w:rPr>
              <w:noBreakHyphen/>
            </w:r>
          </w:p>
        </w:tc>
        <w:tc>
          <w:tcPr>
            <w:tcW w:w="507" w:type="pct"/>
            <w:shd w:val="clear" w:color="auto" w:fill="auto"/>
            <w:vAlign w:val="bottom"/>
          </w:tcPr>
          <w:p w:rsidR="00E04353" w:rsidRPr="003777A9" w:rsidRDefault="00E04353" w:rsidP="005151A7">
            <w:pPr>
              <w:pStyle w:val="TableBodyText"/>
              <w:rPr>
                <w:sz w:val="18"/>
                <w:szCs w:val="18"/>
              </w:rPr>
            </w:pPr>
            <w:r w:rsidRPr="003777A9">
              <w:rPr>
                <w:sz w:val="18"/>
                <w:szCs w:val="18"/>
              </w:rPr>
              <w:noBreakHyphen/>
            </w:r>
          </w:p>
        </w:tc>
        <w:tc>
          <w:tcPr>
            <w:tcW w:w="505" w:type="pct"/>
            <w:shd w:val="clear" w:color="auto" w:fill="auto"/>
            <w:vAlign w:val="bottom"/>
          </w:tcPr>
          <w:p w:rsidR="00E04353" w:rsidRPr="003777A9" w:rsidRDefault="00E04353" w:rsidP="005151A7">
            <w:pPr>
              <w:pStyle w:val="TableBodyText"/>
              <w:rPr>
                <w:sz w:val="18"/>
                <w:szCs w:val="18"/>
              </w:rPr>
            </w:pPr>
            <w:r w:rsidRPr="003777A9">
              <w:rPr>
                <w:sz w:val="18"/>
                <w:szCs w:val="18"/>
              </w:rPr>
              <w:noBreakHyphen/>
            </w:r>
          </w:p>
        </w:tc>
      </w:tr>
      <w:tr w:rsidR="00E04353" w:rsidRPr="006C5A80" w:rsidTr="005151A7">
        <w:tc>
          <w:tcPr>
            <w:tcW w:w="1960" w:type="pct"/>
            <w:vAlign w:val="bottom"/>
          </w:tcPr>
          <w:p w:rsidR="00E04353" w:rsidRPr="00267504" w:rsidRDefault="00E04353" w:rsidP="00821748">
            <w:pPr>
              <w:pStyle w:val="TableBodyText"/>
              <w:jc w:val="left"/>
              <w:rPr>
                <w:sz w:val="18"/>
                <w:szCs w:val="18"/>
              </w:rPr>
            </w:pPr>
            <w:r w:rsidRPr="00267504">
              <w:rPr>
                <w:sz w:val="18"/>
                <w:szCs w:val="18"/>
              </w:rPr>
              <w:t>Non-</w:t>
            </w:r>
            <w:r w:rsidR="00821748">
              <w:rPr>
                <w:sz w:val="18"/>
                <w:szCs w:val="18"/>
              </w:rPr>
              <w:t>m</w:t>
            </w:r>
            <w:r w:rsidRPr="00267504">
              <w:rPr>
                <w:sz w:val="18"/>
                <w:szCs w:val="18"/>
              </w:rPr>
              <w:t>etallic mineral products</w:t>
            </w:r>
          </w:p>
        </w:tc>
        <w:tc>
          <w:tcPr>
            <w:tcW w:w="507" w:type="pct"/>
            <w:vAlign w:val="bottom"/>
          </w:tcPr>
          <w:p w:rsidR="00E04353" w:rsidRPr="003777A9" w:rsidRDefault="00E04353" w:rsidP="005151A7">
            <w:pPr>
              <w:pStyle w:val="TableBodyText"/>
              <w:rPr>
                <w:sz w:val="18"/>
                <w:szCs w:val="18"/>
              </w:rPr>
            </w:pPr>
            <w:r w:rsidRPr="003777A9">
              <w:rPr>
                <w:sz w:val="18"/>
                <w:szCs w:val="18"/>
              </w:rPr>
              <w:noBreakHyphen/>
            </w:r>
          </w:p>
        </w:tc>
        <w:tc>
          <w:tcPr>
            <w:tcW w:w="507" w:type="pct"/>
            <w:vAlign w:val="bottom"/>
          </w:tcPr>
          <w:p w:rsidR="00E04353" w:rsidRPr="003777A9" w:rsidRDefault="00E04353" w:rsidP="005151A7">
            <w:pPr>
              <w:pStyle w:val="TableBodyText"/>
              <w:rPr>
                <w:sz w:val="18"/>
                <w:szCs w:val="18"/>
              </w:rPr>
            </w:pPr>
            <w:r w:rsidRPr="003777A9">
              <w:rPr>
                <w:sz w:val="18"/>
                <w:szCs w:val="18"/>
              </w:rPr>
              <w:t>4.9</w:t>
            </w:r>
          </w:p>
        </w:tc>
        <w:tc>
          <w:tcPr>
            <w:tcW w:w="507" w:type="pct"/>
            <w:vAlign w:val="bottom"/>
          </w:tcPr>
          <w:p w:rsidR="00E04353" w:rsidRPr="003777A9" w:rsidRDefault="00E04353" w:rsidP="005151A7">
            <w:pPr>
              <w:pStyle w:val="TableBodyText"/>
              <w:rPr>
                <w:sz w:val="18"/>
                <w:szCs w:val="18"/>
              </w:rPr>
            </w:pPr>
            <w:r w:rsidRPr="003777A9">
              <w:rPr>
                <w:sz w:val="18"/>
                <w:szCs w:val="18"/>
              </w:rPr>
              <w:noBreakHyphen/>
            </w:r>
          </w:p>
        </w:tc>
        <w:tc>
          <w:tcPr>
            <w:tcW w:w="507" w:type="pct"/>
            <w:vAlign w:val="bottom"/>
          </w:tcPr>
          <w:p w:rsidR="00E04353" w:rsidRPr="003777A9" w:rsidRDefault="00E04353" w:rsidP="005151A7">
            <w:pPr>
              <w:pStyle w:val="TableBodyText"/>
              <w:rPr>
                <w:sz w:val="18"/>
                <w:szCs w:val="18"/>
              </w:rPr>
            </w:pPr>
            <w:r w:rsidRPr="003777A9">
              <w:rPr>
                <w:sz w:val="18"/>
                <w:szCs w:val="18"/>
              </w:rPr>
              <w:noBreakHyphen/>
            </w:r>
          </w:p>
        </w:tc>
        <w:tc>
          <w:tcPr>
            <w:tcW w:w="507" w:type="pct"/>
            <w:shd w:val="clear" w:color="auto" w:fill="auto"/>
            <w:vAlign w:val="bottom"/>
          </w:tcPr>
          <w:p w:rsidR="00E04353" w:rsidRPr="003777A9" w:rsidRDefault="00E04353" w:rsidP="005151A7">
            <w:pPr>
              <w:pStyle w:val="TableBodyText"/>
              <w:rPr>
                <w:sz w:val="18"/>
                <w:szCs w:val="18"/>
              </w:rPr>
            </w:pPr>
            <w:r w:rsidRPr="003777A9">
              <w:rPr>
                <w:sz w:val="18"/>
                <w:szCs w:val="18"/>
              </w:rPr>
              <w:noBreakHyphen/>
            </w:r>
          </w:p>
        </w:tc>
        <w:tc>
          <w:tcPr>
            <w:tcW w:w="505" w:type="pct"/>
            <w:shd w:val="clear" w:color="auto" w:fill="auto"/>
            <w:vAlign w:val="bottom"/>
          </w:tcPr>
          <w:p w:rsidR="00E04353" w:rsidRPr="003777A9" w:rsidRDefault="00E04353" w:rsidP="005151A7">
            <w:pPr>
              <w:pStyle w:val="TableBodyText"/>
              <w:rPr>
                <w:sz w:val="18"/>
                <w:szCs w:val="18"/>
              </w:rPr>
            </w:pPr>
            <w:r w:rsidRPr="003777A9">
              <w:rPr>
                <w:sz w:val="18"/>
                <w:szCs w:val="18"/>
              </w:rPr>
              <w:noBreakHyphen/>
            </w:r>
          </w:p>
        </w:tc>
      </w:tr>
      <w:tr w:rsidR="00E04353" w:rsidRPr="006C5A80" w:rsidTr="005151A7">
        <w:tc>
          <w:tcPr>
            <w:tcW w:w="1960" w:type="pct"/>
            <w:vAlign w:val="bottom"/>
          </w:tcPr>
          <w:p w:rsidR="00E04353" w:rsidRPr="00267504" w:rsidRDefault="00E04353" w:rsidP="005151A7">
            <w:pPr>
              <w:pStyle w:val="TableBodyText"/>
              <w:jc w:val="left"/>
              <w:rPr>
                <w:sz w:val="18"/>
                <w:szCs w:val="18"/>
              </w:rPr>
            </w:pPr>
            <w:r w:rsidRPr="00267504">
              <w:rPr>
                <w:sz w:val="18"/>
                <w:szCs w:val="18"/>
              </w:rPr>
              <w:t>Machinery and equipment manufacturing</w:t>
            </w:r>
          </w:p>
        </w:tc>
        <w:tc>
          <w:tcPr>
            <w:tcW w:w="507" w:type="pct"/>
            <w:vAlign w:val="bottom"/>
          </w:tcPr>
          <w:p w:rsidR="00E04353" w:rsidRPr="003777A9" w:rsidRDefault="00E04353" w:rsidP="005151A7">
            <w:pPr>
              <w:pStyle w:val="TableBodyText"/>
              <w:rPr>
                <w:sz w:val="18"/>
                <w:szCs w:val="18"/>
              </w:rPr>
            </w:pPr>
            <w:r w:rsidRPr="003777A9">
              <w:rPr>
                <w:sz w:val="18"/>
                <w:szCs w:val="18"/>
              </w:rPr>
              <w:t>1.1</w:t>
            </w:r>
          </w:p>
        </w:tc>
        <w:tc>
          <w:tcPr>
            <w:tcW w:w="507" w:type="pct"/>
            <w:vAlign w:val="bottom"/>
          </w:tcPr>
          <w:p w:rsidR="00E04353" w:rsidRPr="003777A9" w:rsidRDefault="00E04353" w:rsidP="005151A7">
            <w:pPr>
              <w:pStyle w:val="TableBodyText"/>
              <w:rPr>
                <w:sz w:val="18"/>
                <w:szCs w:val="18"/>
              </w:rPr>
            </w:pPr>
            <w:r w:rsidRPr="003777A9">
              <w:rPr>
                <w:sz w:val="18"/>
                <w:szCs w:val="18"/>
              </w:rPr>
              <w:t>1.9</w:t>
            </w:r>
          </w:p>
        </w:tc>
        <w:tc>
          <w:tcPr>
            <w:tcW w:w="507" w:type="pct"/>
            <w:vAlign w:val="bottom"/>
          </w:tcPr>
          <w:p w:rsidR="00E04353" w:rsidRPr="003777A9" w:rsidRDefault="00E04353" w:rsidP="005151A7">
            <w:pPr>
              <w:pStyle w:val="TableBodyText"/>
              <w:rPr>
                <w:sz w:val="18"/>
                <w:szCs w:val="18"/>
              </w:rPr>
            </w:pPr>
            <w:r w:rsidRPr="003777A9">
              <w:rPr>
                <w:sz w:val="18"/>
                <w:szCs w:val="18"/>
              </w:rPr>
              <w:t>0.2</w:t>
            </w:r>
          </w:p>
        </w:tc>
        <w:tc>
          <w:tcPr>
            <w:tcW w:w="507" w:type="pct"/>
            <w:vAlign w:val="bottom"/>
          </w:tcPr>
          <w:p w:rsidR="00E04353" w:rsidRPr="003777A9" w:rsidRDefault="00E04353" w:rsidP="005151A7">
            <w:pPr>
              <w:pStyle w:val="TableBodyText"/>
              <w:rPr>
                <w:sz w:val="18"/>
                <w:szCs w:val="18"/>
              </w:rPr>
            </w:pPr>
            <w:r w:rsidRPr="003777A9">
              <w:rPr>
                <w:sz w:val="18"/>
                <w:szCs w:val="18"/>
              </w:rPr>
              <w:t>0.1</w:t>
            </w:r>
          </w:p>
        </w:tc>
        <w:tc>
          <w:tcPr>
            <w:tcW w:w="507" w:type="pct"/>
            <w:shd w:val="clear" w:color="auto" w:fill="auto"/>
            <w:vAlign w:val="bottom"/>
          </w:tcPr>
          <w:p w:rsidR="00E04353" w:rsidRPr="003777A9" w:rsidRDefault="00E04353" w:rsidP="005151A7">
            <w:pPr>
              <w:pStyle w:val="TableBodyText"/>
              <w:rPr>
                <w:sz w:val="18"/>
                <w:szCs w:val="18"/>
              </w:rPr>
            </w:pPr>
            <w:r w:rsidRPr="003777A9">
              <w:rPr>
                <w:sz w:val="18"/>
                <w:szCs w:val="18"/>
              </w:rPr>
              <w:noBreakHyphen/>
            </w:r>
          </w:p>
        </w:tc>
        <w:tc>
          <w:tcPr>
            <w:tcW w:w="505" w:type="pct"/>
            <w:shd w:val="clear" w:color="auto" w:fill="auto"/>
            <w:vAlign w:val="bottom"/>
          </w:tcPr>
          <w:p w:rsidR="00E04353" w:rsidRPr="003777A9" w:rsidRDefault="00E04353" w:rsidP="005151A7">
            <w:pPr>
              <w:pStyle w:val="TableBodyText"/>
              <w:rPr>
                <w:sz w:val="18"/>
                <w:szCs w:val="18"/>
              </w:rPr>
            </w:pPr>
            <w:r w:rsidRPr="003777A9">
              <w:rPr>
                <w:sz w:val="18"/>
                <w:szCs w:val="18"/>
              </w:rPr>
              <w:noBreakHyphen/>
            </w:r>
          </w:p>
        </w:tc>
      </w:tr>
      <w:tr w:rsidR="00E04353" w:rsidRPr="006C5A80" w:rsidTr="005151A7">
        <w:tc>
          <w:tcPr>
            <w:tcW w:w="1960" w:type="pct"/>
            <w:vAlign w:val="bottom"/>
          </w:tcPr>
          <w:p w:rsidR="00E04353" w:rsidRPr="00267504" w:rsidRDefault="00E04353" w:rsidP="005151A7">
            <w:pPr>
              <w:pStyle w:val="TableBodyText"/>
              <w:jc w:val="left"/>
              <w:rPr>
                <w:sz w:val="18"/>
                <w:szCs w:val="18"/>
              </w:rPr>
            </w:pPr>
            <w:r w:rsidRPr="00267504">
              <w:rPr>
                <w:sz w:val="18"/>
                <w:szCs w:val="18"/>
              </w:rPr>
              <w:t>Furniture and other manufacturing</w:t>
            </w:r>
          </w:p>
        </w:tc>
        <w:tc>
          <w:tcPr>
            <w:tcW w:w="507" w:type="pct"/>
            <w:vAlign w:val="bottom"/>
          </w:tcPr>
          <w:p w:rsidR="00E04353" w:rsidRPr="003777A9" w:rsidRDefault="00E04353" w:rsidP="005151A7">
            <w:pPr>
              <w:pStyle w:val="TableBodyText"/>
              <w:rPr>
                <w:sz w:val="18"/>
                <w:szCs w:val="18"/>
              </w:rPr>
            </w:pPr>
            <w:r w:rsidRPr="003777A9">
              <w:rPr>
                <w:sz w:val="18"/>
                <w:szCs w:val="18"/>
              </w:rPr>
              <w:t>0.5</w:t>
            </w:r>
          </w:p>
        </w:tc>
        <w:tc>
          <w:tcPr>
            <w:tcW w:w="507" w:type="pct"/>
            <w:vAlign w:val="bottom"/>
          </w:tcPr>
          <w:p w:rsidR="00E04353" w:rsidRPr="003777A9" w:rsidRDefault="00E04353" w:rsidP="005151A7">
            <w:pPr>
              <w:pStyle w:val="TableBodyText"/>
              <w:rPr>
                <w:sz w:val="18"/>
                <w:szCs w:val="18"/>
              </w:rPr>
            </w:pPr>
            <w:r w:rsidRPr="003777A9">
              <w:rPr>
                <w:sz w:val="18"/>
                <w:szCs w:val="18"/>
              </w:rPr>
              <w:t>0.7</w:t>
            </w:r>
          </w:p>
        </w:tc>
        <w:tc>
          <w:tcPr>
            <w:tcW w:w="507" w:type="pct"/>
            <w:vAlign w:val="bottom"/>
          </w:tcPr>
          <w:p w:rsidR="00E04353" w:rsidRPr="003777A9" w:rsidRDefault="00E04353" w:rsidP="005151A7">
            <w:pPr>
              <w:pStyle w:val="TableBodyText"/>
              <w:rPr>
                <w:sz w:val="18"/>
                <w:szCs w:val="18"/>
              </w:rPr>
            </w:pPr>
            <w:r w:rsidRPr="003777A9">
              <w:rPr>
                <w:sz w:val="18"/>
                <w:szCs w:val="18"/>
              </w:rPr>
              <w:noBreakHyphen/>
            </w:r>
          </w:p>
        </w:tc>
        <w:tc>
          <w:tcPr>
            <w:tcW w:w="507" w:type="pct"/>
            <w:vAlign w:val="bottom"/>
          </w:tcPr>
          <w:p w:rsidR="00E04353" w:rsidRPr="003777A9" w:rsidRDefault="00E04353" w:rsidP="005151A7">
            <w:pPr>
              <w:pStyle w:val="TableBodyText"/>
              <w:rPr>
                <w:sz w:val="18"/>
                <w:szCs w:val="18"/>
              </w:rPr>
            </w:pPr>
            <w:r w:rsidRPr="003777A9">
              <w:rPr>
                <w:sz w:val="18"/>
                <w:szCs w:val="18"/>
              </w:rPr>
              <w:noBreakHyphen/>
            </w:r>
          </w:p>
        </w:tc>
        <w:tc>
          <w:tcPr>
            <w:tcW w:w="507" w:type="pct"/>
            <w:shd w:val="clear" w:color="auto" w:fill="auto"/>
            <w:vAlign w:val="bottom"/>
          </w:tcPr>
          <w:p w:rsidR="00E04353" w:rsidRPr="003777A9" w:rsidRDefault="00E04353" w:rsidP="005151A7">
            <w:pPr>
              <w:pStyle w:val="TableBodyText"/>
              <w:rPr>
                <w:sz w:val="18"/>
                <w:szCs w:val="18"/>
              </w:rPr>
            </w:pPr>
            <w:r w:rsidRPr="003777A9">
              <w:rPr>
                <w:sz w:val="18"/>
                <w:szCs w:val="18"/>
              </w:rPr>
              <w:noBreakHyphen/>
            </w:r>
          </w:p>
        </w:tc>
        <w:tc>
          <w:tcPr>
            <w:tcW w:w="505" w:type="pct"/>
            <w:shd w:val="clear" w:color="auto" w:fill="auto"/>
            <w:vAlign w:val="bottom"/>
          </w:tcPr>
          <w:p w:rsidR="00E04353" w:rsidRPr="003777A9" w:rsidRDefault="00E04353" w:rsidP="005151A7">
            <w:pPr>
              <w:pStyle w:val="TableBodyText"/>
              <w:rPr>
                <w:sz w:val="18"/>
                <w:szCs w:val="18"/>
              </w:rPr>
            </w:pPr>
            <w:r w:rsidRPr="003777A9">
              <w:rPr>
                <w:sz w:val="18"/>
                <w:szCs w:val="18"/>
              </w:rPr>
              <w:noBreakHyphen/>
            </w:r>
          </w:p>
        </w:tc>
      </w:tr>
      <w:tr w:rsidR="00E04353" w:rsidRPr="006C5A80" w:rsidTr="005151A7">
        <w:tc>
          <w:tcPr>
            <w:tcW w:w="1960" w:type="pct"/>
            <w:vAlign w:val="bottom"/>
          </w:tcPr>
          <w:p w:rsidR="00E04353" w:rsidRPr="006C0DD3" w:rsidRDefault="00E04353" w:rsidP="005151A7">
            <w:pPr>
              <w:pStyle w:val="TableBodyText"/>
              <w:jc w:val="left"/>
              <w:rPr>
                <w:b/>
                <w:sz w:val="18"/>
                <w:szCs w:val="18"/>
              </w:rPr>
            </w:pPr>
            <w:r w:rsidRPr="006C0DD3">
              <w:rPr>
                <w:b/>
                <w:sz w:val="18"/>
                <w:szCs w:val="18"/>
              </w:rPr>
              <w:t>Services</w:t>
            </w:r>
          </w:p>
        </w:tc>
        <w:tc>
          <w:tcPr>
            <w:tcW w:w="507" w:type="pct"/>
            <w:vAlign w:val="bottom"/>
          </w:tcPr>
          <w:p w:rsidR="00E04353" w:rsidRPr="003777A9" w:rsidRDefault="00E04353" w:rsidP="005151A7">
            <w:pPr>
              <w:pStyle w:val="TableBodyText"/>
              <w:rPr>
                <w:b/>
                <w:sz w:val="18"/>
                <w:szCs w:val="18"/>
              </w:rPr>
            </w:pPr>
            <w:r w:rsidRPr="003777A9">
              <w:rPr>
                <w:b/>
                <w:sz w:val="18"/>
                <w:szCs w:val="18"/>
              </w:rPr>
              <w:t>6.8</w:t>
            </w:r>
          </w:p>
        </w:tc>
        <w:tc>
          <w:tcPr>
            <w:tcW w:w="507" w:type="pct"/>
            <w:vAlign w:val="bottom"/>
          </w:tcPr>
          <w:p w:rsidR="00E04353" w:rsidRPr="003777A9" w:rsidRDefault="00E04353" w:rsidP="005151A7">
            <w:pPr>
              <w:pStyle w:val="TableBodyText"/>
              <w:rPr>
                <w:b/>
                <w:sz w:val="18"/>
                <w:szCs w:val="18"/>
              </w:rPr>
            </w:pPr>
            <w:r w:rsidRPr="003777A9">
              <w:rPr>
                <w:b/>
                <w:sz w:val="18"/>
                <w:szCs w:val="18"/>
              </w:rPr>
              <w:t>4.3</w:t>
            </w:r>
          </w:p>
        </w:tc>
        <w:tc>
          <w:tcPr>
            <w:tcW w:w="507" w:type="pct"/>
            <w:vAlign w:val="bottom"/>
          </w:tcPr>
          <w:p w:rsidR="00E04353" w:rsidRPr="003777A9" w:rsidRDefault="00E04353" w:rsidP="005151A7">
            <w:pPr>
              <w:pStyle w:val="TableBodyText"/>
              <w:rPr>
                <w:b/>
                <w:sz w:val="18"/>
                <w:szCs w:val="18"/>
              </w:rPr>
            </w:pPr>
            <w:r w:rsidRPr="003777A9">
              <w:rPr>
                <w:b/>
                <w:sz w:val="18"/>
                <w:szCs w:val="18"/>
              </w:rPr>
              <w:t>14.8</w:t>
            </w:r>
          </w:p>
        </w:tc>
        <w:tc>
          <w:tcPr>
            <w:tcW w:w="507" w:type="pct"/>
            <w:vAlign w:val="bottom"/>
          </w:tcPr>
          <w:p w:rsidR="00E04353" w:rsidRPr="003777A9" w:rsidRDefault="00E04353" w:rsidP="005151A7">
            <w:pPr>
              <w:pStyle w:val="TableBodyText"/>
              <w:rPr>
                <w:b/>
                <w:sz w:val="18"/>
                <w:szCs w:val="18"/>
              </w:rPr>
            </w:pPr>
            <w:r w:rsidRPr="003777A9">
              <w:rPr>
                <w:b/>
                <w:sz w:val="18"/>
                <w:szCs w:val="18"/>
              </w:rPr>
              <w:t>3.8</w:t>
            </w:r>
          </w:p>
        </w:tc>
        <w:tc>
          <w:tcPr>
            <w:tcW w:w="507" w:type="pct"/>
            <w:shd w:val="clear" w:color="auto" w:fill="auto"/>
            <w:vAlign w:val="bottom"/>
          </w:tcPr>
          <w:p w:rsidR="00E04353" w:rsidRPr="003777A9" w:rsidRDefault="00E04353" w:rsidP="005151A7">
            <w:pPr>
              <w:pStyle w:val="TableBodyText"/>
              <w:rPr>
                <w:b/>
                <w:sz w:val="18"/>
                <w:szCs w:val="18"/>
              </w:rPr>
            </w:pPr>
            <w:r w:rsidRPr="003777A9">
              <w:rPr>
                <w:b/>
                <w:sz w:val="18"/>
                <w:szCs w:val="18"/>
              </w:rPr>
              <w:noBreakHyphen/>
            </w:r>
          </w:p>
        </w:tc>
        <w:tc>
          <w:tcPr>
            <w:tcW w:w="505" w:type="pct"/>
            <w:shd w:val="clear" w:color="auto" w:fill="auto"/>
            <w:vAlign w:val="bottom"/>
          </w:tcPr>
          <w:p w:rsidR="00E04353" w:rsidRPr="003777A9" w:rsidRDefault="00E04353" w:rsidP="005151A7">
            <w:pPr>
              <w:pStyle w:val="TableBodyText"/>
              <w:rPr>
                <w:b/>
                <w:sz w:val="18"/>
                <w:szCs w:val="18"/>
              </w:rPr>
            </w:pPr>
            <w:r w:rsidRPr="003777A9">
              <w:rPr>
                <w:b/>
                <w:sz w:val="18"/>
                <w:szCs w:val="18"/>
              </w:rPr>
              <w:noBreakHyphen/>
            </w:r>
          </w:p>
        </w:tc>
      </w:tr>
      <w:tr w:rsidR="00E04353" w:rsidRPr="006C5A80" w:rsidTr="005151A7">
        <w:tc>
          <w:tcPr>
            <w:tcW w:w="1960" w:type="pct"/>
            <w:vAlign w:val="bottom"/>
          </w:tcPr>
          <w:p w:rsidR="00E04353" w:rsidRPr="00267504" w:rsidRDefault="00E04353" w:rsidP="005151A7">
            <w:pPr>
              <w:pStyle w:val="TableBodyText"/>
              <w:jc w:val="left"/>
              <w:rPr>
                <w:sz w:val="18"/>
                <w:szCs w:val="18"/>
              </w:rPr>
            </w:pPr>
            <w:r w:rsidRPr="00267504">
              <w:rPr>
                <w:sz w:val="18"/>
                <w:szCs w:val="18"/>
              </w:rPr>
              <w:t>Electricity, gas, water and waste services</w:t>
            </w:r>
          </w:p>
        </w:tc>
        <w:tc>
          <w:tcPr>
            <w:tcW w:w="507" w:type="pct"/>
            <w:vAlign w:val="bottom"/>
          </w:tcPr>
          <w:p w:rsidR="00E04353" w:rsidRPr="003777A9" w:rsidRDefault="00E04353" w:rsidP="005151A7">
            <w:pPr>
              <w:pStyle w:val="TableBodyText"/>
              <w:rPr>
                <w:sz w:val="18"/>
                <w:szCs w:val="18"/>
              </w:rPr>
            </w:pPr>
            <w:r w:rsidRPr="003777A9">
              <w:rPr>
                <w:sz w:val="18"/>
                <w:szCs w:val="18"/>
              </w:rPr>
              <w:t>5.0</w:t>
            </w:r>
          </w:p>
        </w:tc>
        <w:tc>
          <w:tcPr>
            <w:tcW w:w="507" w:type="pct"/>
            <w:vAlign w:val="bottom"/>
          </w:tcPr>
          <w:p w:rsidR="00E04353" w:rsidRPr="003777A9" w:rsidRDefault="00E04353" w:rsidP="005151A7">
            <w:pPr>
              <w:pStyle w:val="TableBodyText"/>
              <w:rPr>
                <w:sz w:val="18"/>
                <w:szCs w:val="18"/>
              </w:rPr>
            </w:pPr>
            <w:r w:rsidRPr="003777A9">
              <w:rPr>
                <w:sz w:val="18"/>
                <w:szCs w:val="18"/>
              </w:rPr>
              <w:t>1.8</w:t>
            </w:r>
          </w:p>
        </w:tc>
        <w:tc>
          <w:tcPr>
            <w:tcW w:w="507" w:type="pct"/>
            <w:vAlign w:val="bottom"/>
          </w:tcPr>
          <w:p w:rsidR="00E04353" w:rsidRPr="003777A9" w:rsidRDefault="00E04353" w:rsidP="005151A7">
            <w:pPr>
              <w:pStyle w:val="TableBodyText"/>
              <w:rPr>
                <w:sz w:val="18"/>
                <w:szCs w:val="18"/>
              </w:rPr>
            </w:pPr>
            <w:r w:rsidRPr="003777A9">
              <w:rPr>
                <w:sz w:val="18"/>
                <w:szCs w:val="18"/>
              </w:rPr>
              <w:t>6.1</w:t>
            </w:r>
          </w:p>
        </w:tc>
        <w:tc>
          <w:tcPr>
            <w:tcW w:w="507" w:type="pct"/>
            <w:vAlign w:val="bottom"/>
          </w:tcPr>
          <w:p w:rsidR="00E04353" w:rsidRPr="003777A9" w:rsidRDefault="00E04353" w:rsidP="005151A7">
            <w:pPr>
              <w:pStyle w:val="TableBodyText"/>
              <w:rPr>
                <w:sz w:val="18"/>
                <w:szCs w:val="18"/>
              </w:rPr>
            </w:pPr>
            <w:r w:rsidRPr="003777A9">
              <w:rPr>
                <w:sz w:val="18"/>
                <w:szCs w:val="18"/>
              </w:rPr>
              <w:t>2.3</w:t>
            </w:r>
          </w:p>
        </w:tc>
        <w:tc>
          <w:tcPr>
            <w:tcW w:w="507" w:type="pct"/>
            <w:shd w:val="clear" w:color="auto" w:fill="auto"/>
            <w:vAlign w:val="bottom"/>
          </w:tcPr>
          <w:p w:rsidR="00E04353" w:rsidRPr="003777A9" w:rsidRDefault="00E04353" w:rsidP="005151A7">
            <w:pPr>
              <w:pStyle w:val="TableBodyText"/>
              <w:rPr>
                <w:sz w:val="18"/>
                <w:szCs w:val="18"/>
              </w:rPr>
            </w:pPr>
            <w:r w:rsidRPr="003777A9">
              <w:rPr>
                <w:sz w:val="18"/>
                <w:szCs w:val="18"/>
              </w:rPr>
              <w:noBreakHyphen/>
            </w:r>
          </w:p>
        </w:tc>
        <w:tc>
          <w:tcPr>
            <w:tcW w:w="505" w:type="pct"/>
            <w:shd w:val="clear" w:color="auto" w:fill="auto"/>
            <w:vAlign w:val="bottom"/>
          </w:tcPr>
          <w:p w:rsidR="00E04353" w:rsidRPr="003777A9" w:rsidRDefault="00E04353" w:rsidP="005151A7">
            <w:pPr>
              <w:pStyle w:val="TableBodyText"/>
              <w:rPr>
                <w:sz w:val="18"/>
                <w:szCs w:val="18"/>
              </w:rPr>
            </w:pPr>
            <w:r w:rsidRPr="003777A9">
              <w:rPr>
                <w:sz w:val="18"/>
                <w:szCs w:val="18"/>
              </w:rPr>
              <w:noBreakHyphen/>
            </w:r>
          </w:p>
        </w:tc>
      </w:tr>
      <w:tr w:rsidR="00E04353" w:rsidRPr="006C5A80" w:rsidTr="005151A7">
        <w:tc>
          <w:tcPr>
            <w:tcW w:w="1960" w:type="pct"/>
            <w:vAlign w:val="bottom"/>
          </w:tcPr>
          <w:p w:rsidR="00E04353" w:rsidRPr="00267504" w:rsidRDefault="00E04353" w:rsidP="005151A7">
            <w:pPr>
              <w:pStyle w:val="TableBodyText"/>
              <w:jc w:val="left"/>
              <w:rPr>
                <w:sz w:val="18"/>
                <w:szCs w:val="18"/>
              </w:rPr>
            </w:pPr>
            <w:r w:rsidRPr="00267504">
              <w:rPr>
                <w:sz w:val="18"/>
                <w:szCs w:val="18"/>
              </w:rPr>
              <w:t>Property, professional and administrative services</w:t>
            </w:r>
          </w:p>
        </w:tc>
        <w:tc>
          <w:tcPr>
            <w:tcW w:w="507" w:type="pct"/>
            <w:vAlign w:val="bottom"/>
          </w:tcPr>
          <w:p w:rsidR="00E04353" w:rsidRPr="003777A9" w:rsidRDefault="00E04353" w:rsidP="005151A7">
            <w:pPr>
              <w:pStyle w:val="TableBodyText"/>
              <w:rPr>
                <w:sz w:val="18"/>
                <w:szCs w:val="18"/>
              </w:rPr>
            </w:pPr>
            <w:r w:rsidRPr="003777A9">
              <w:rPr>
                <w:sz w:val="18"/>
                <w:szCs w:val="18"/>
              </w:rPr>
              <w:t>1.1</w:t>
            </w:r>
          </w:p>
        </w:tc>
        <w:tc>
          <w:tcPr>
            <w:tcW w:w="507" w:type="pct"/>
            <w:vAlign w:val="bottom"/>
          </w:tcPr>
          <w:p w:rsidR="00E04353" w:rsidRPr="003777A9" w:rsidRDefault="00E04353" w:rsidP="005151A7">
            <w:pPr>
              <w:pStyle w:val="TableBodyText"/>
              <w:rPr>
                <w:sz w:val="18"/>
                <w:szCs w:val="18"/>
              </w:rPr>
            </w:pPr>
            <w:r w:rsidRPr="003777A9">
              <w:rPr>
                <w:sz w:val="18"/>
                <w:szCs w:val="18"/>
              </w:rPr>
              <w:t>1.0</w:t>
            </w:r>
          </w:p>
        </w:tc>
        <w:tc>
          <w:tcPr>
            <w:tcW w:w="507" w:type="pct"/>
            <w:vAlign w:val="bottom"/>
          </w:tcPr>
          <w:p w:rsidR="00E04353" w:rsidRPr="003777A9" w:rsidRDefault="00E04353" w:rsidP="005151A7">
            <w:pPr>
              <w:pStyle w:val="TableBodyText"/>
              <w:rPr>
                <w:sz w:val="18"/>
                <w:szCs w:val="18"/>
              </w:rPr>
            </w:pPr>
            <w:r w:rsidRPr="003777A9">
              <w:rPr>
                <w:sz w:val="18"/>
                <w:szCs w:val="18"/>
              </w:rPr>
              <w:t>8.8</w:t>
            </w:r>
          </w:p>
        </w:tc>
        <w:tc>
          <w:tcPr>
            <w:tcW w:w="507" w:type="pct"/>
            <w:vAlign w:val="bottom"/>
          </w:tcPr>
          <w:p w:rsidR="00E04353" w:rsidRPr="003777A9" w:rsidRDefault="00E04353" w:rsidP="005151A7">
            <w:pPr>
              <w:pStyle w:val="TableBodyText"/>
              <w:rPr>
                <w:sz w:val="18"/>
                <w:szCs w:val="18"/>
              </w:rPr>
            </w:pPr>
            <w:r w:rsidRPr="003777A9">
              <w:rPr>
                <w:sz w:val="18"/>
                <w:szCs w:val="18"/>
              </w:rPr>
              <w:t>1.4</w:t>
            </w:r>
          </w:p>
        </w:tc>
        <w:tc>
          <w:tcPr>
            <w:tcW w:w="507" w:type="pct"/>
            <w:shd w:val="clear" w:color="auto" w:fill="auto"/>
            <w:vAlign w:val="bottom"/>
          </w:tcPr>
          <w:p w:rsidR="00E04353" w:rsidRPr="003777A9" w:rsidRDefault="00E04353" w:rsidP="005151A7">
            <w:pPr>
              <w:pStyle w:val="TableBodyText"/>
              <w:rPr>
                <w:sz w:val="18"/>
                <w:szCs w:val="18"/>
              </w:rPr>
            </w:pPr>
            <w:r w:rsidRPr="003777A9">
              <w:rPr>
                <w:sz w:val="18"/>
                <w:szCs w:val="18"/>
              </w:rPr>
              <w:noBreakHyphen/>
            </w:r>
          </w:p>
        </w:tc>
        <w:tc>
          <w:tcPr>
            <w:tcW w:w="505" w:type="pct"/>
            <w:shd w:val="clear" w:color="auto" w:fill="auto"/>
            <w:vAlign w:val="bottom"/>
          </w:tcPr>
          <w:p w:rsidR="00E04353" w:rsidRPr="003777A9" w:rsidRDefault="00E04353" w:rsidP="005151A7">
            <w:pPr>
              <w:pStyle w:val="TableBodyText"/>
              <w:rPr>
                <w:sz w:val="18"/>
                <w:szCs w:val="18"/>
              </w:rPr>
            </w:pPr>
            <w:r w:rsidRPr="003777A9">
              <w:rPr>
                <w:sz w:val="18"/>
                <w:szCs w:val="18"/>
              </w:rPr>
              <w:noBreakHyphen/>
            </w:r>
          </w:p>
        </w:tc>
      </w:tr>
      <w:tr w:rsidR="00E04353" w:rsidRPr="006C5A80" w:rsidTr="005151A7">
        <w:tc>
          <w:tcPr>
            <w:tcW w:w="1960" w:type="pct"/>
            <w:vAlign w:val="bottom"/>
          </w:tcPr>
          <w:p w:rsidR="00E04353" w:rsidRPr="00267504" w:rsidRDefault="00E04353" w:rsidP="005151A7">
            <w:pPr>
              <w:pStyle w:val="TableBodyText"/>
              <w:jc w:val="left"/>
              <w:rPr>
                <w:sz w:val="18"/>
                <w:szCs w:val="18"/>
              </w:rPr>
            </w:pPr>
            <w:r>
              <w:rPr>
                <w:sz w:val="18"/>
                <w:szCs w:val="18"/>
              </w:rPr>
              <w:t>Other services</w:t>
            </w:r>
          </w:p>
        </w:tc>
        <w:tc>
          <w:tcPr>
            <w:tcW w:w="507" w:type="pct"/>
            <w:vAlign w:val="bottom"/>
          </w:tcPr>
          <w:p w:rsidR="00E04353" w:rsidRPr="003777A9" w:rsidRDefault="00E04353" w:rsidP="005151A7">
            <w:pPr>
              <w:pStyle w:val="TableBodyText"/>
              <w:rPr>
                <w:sz w:val="18"/>
                <w:szCs w:val="18"/>
              </w:rPr>
            </w:pPr>
            <w:r w:rsidRPr="003777A9">
              <w:rPr>
                <w:sz w:val="18"/>
                <w:szCs w:val="18"/>
              </w:rPr>
              <w:t>0.7</w:t>
            </w:r>
          </w:p>
        </w:tc>
        <w:tc>
          <w:tcPr>
            <w:tcW w:w="507" w:type="pct"/>
            <w:vAlign w:val="bottom"/>
          </w:tcPr>
          <w:p w:rsidR="00E04353" w:rsidRPr="003777A9" w:rsidRDefault="00E04353" w:rsidP="005151A7">
            <w:pPr>
              <w:pStyle w:val="TableBodyText"/>
              <w:rPr>
                <w:sz w:val="18"/>
                <w:szCs w:val="18"/>
              </w:rPr>
            </w:pPr>
            <w:r w:rsidRPr="003777A9">
              <w:rPr>
                <w:sz w:val="18"/>
                <w:szCs w:val="18"/>
              </w:rPr>
              <w:t>1.5</w:t>
            </w:r>
          </w:p>
        </w:tc>
        <w:tc>
          <w:tcPr>
            <w:tcW w:w="507" w:type="pct"/>
            <w:vAlign w:val="bottom"/>
          </w:tcPr>
          <w:p w:rsidR="00E04353" w:rsidRPr="003777A9" w:rsidRDefault="00E04353" w:rsidP="005151A7">
            <w:pPr>
              <w:pStyle w:val="TableBodyText"/>
              <w:rPr>
                <w:sz w:val="18"/>
                <w:szCs w:val="18"/>
              </w:rPr>
            </w:pPr>
            <w:r w:rsidRPr="003777A9">
              <w:rPr>
                <w:sz w:val="18"/>
                <w:szCs w:val="18"/>
              </w:rPr>
              <w:noBreakHyphen/>
            </w:r>
          </w:p>
        </w:tc>
        <w:tc>
          <w:tcPr>
            <w:tcW w:w="507" w:type="pct"/>
            <w:vAlign w:val="bottom"/>
          </w:tcPr>
          <w:p w:rsidR="00E04353" w:rsidRPr="003777A9" w:rsidRDefault="00E04353" w:rsidP="005151A7">
            <w:pPr>
              <w:pStyle w:val="TableBodyText"/>
              <w:rPr>
                <w:sz w:val="18"/>
                <w:szCs w:val="18"/>
              </w:rPr>
            </w:pPr>
            <w:r w:rsidRPr="003777A9">
              <w:rPr>
                <w:sz w:val="18"/>
                <w:szCs w:val="18"/>
              </w:rPr>
              <w:noBreakHyphen/>
            </w:r>
          </w:p>
        </w:tc>
        <w:tc>
          <w:tcPr>
            <w:tcW w:w="507" w:type="pct"/>
            <w:shd w:val="clear" w:color="auto" w:fill="auto"/>
            <w:vAlign w:val="bottom"/>
          </w:tcPr>
          <w:p w:rsidR="00E04353" w:rsidRPr="003777A9" w:rsidRDefault="00E04353" w:rsidP="005151A7">
            <w:pPr>
              <w:pStyle w:val="TableBodyText"/>
              <w:rPr>
                <w:sz w:val="18"/>
                <w:szCs w:val="18"/>
              </w:rPr>
            </w:pPr>
            <w:r w:rsidRPr="003777A9">
              <w:rPr>
                <w:sz w:val="18"/>
                <w:szCs w:val="18"/>
              </w:rPr>
              <w:noBreakHyphen/>
            </w:r>
          </w:p>
        </w:tc>
        <w:tc>
          <w:tcPr>
            <w:tcW w:w="505" w:type="pct"/>
            <w:shd w:val="clear" w:color="auto" w:fill="auto"/>
            <w:vAlign w:val="bottom"/>
          </w:tcPr>
          <w:p w:rsidR="00E04353" w:rsidRPr="003777A9" w:rsidRDefault="00E04353" w:rsidP="005151A7">
            <w:pPr>
              <w:pStyle w:val="TableBodyText"/>
              <w:rPr>
                <w:sz w:val="18"/>
                <w:szCs w:val="18"/>
              </w:rPr>
            </w:pPr>
            <w:r w:rsidRPr="003777A9">
              <w:rPr>
                <w:sz w:val="18"/>
                <w:szCs w:val="18"/>
              </w:rPr>
              <w:noBreakHyphen/>
            </w:r>
          </w:p>
        </w:tc>
      </w:tr>
      <w:tr w:rsidR="00E04353" w:rsidRPr="006C5A80" w:rsidTr="005151A7">
        <w:tc>
          <w:tcPr>
            <w:tcW w:w="1960" w:type="pct"/>
            <w:vAlign w:val="bottom"/>
          </w:tcPr>
          <w:p w:rsidR="00E04353" w:rsidRPr="00267504" w:rsidRDefault="00E04353" w:rsidP="005151A7">
            <w:pPr>
              <w:pStyle w:val="TableBodyText"/>
              <w:jc w:val="left"/>
              <w:rPr>
                <w:sz w:val="18"/>
                <w:szCs w:val="18"/>
              </w:rPr>
            </w:pPr>
            <w:r>
              <w:rPr>
                <w:sz w:val="18"/>
                <w:szCs w:val="18"/>
              </w:rPr>
              <w:t>Unallocated other</w:t>
            </w:r>
            <w:r w:rsidRPr="009B56F1">
              <w:rPr>
                <w:rStyle w:val="NoteLabel"/>
              </w:rPr>
              <w:t>a</w:t>
            </w:r>
          </w:p>
        </w:tc>
        <w:tc>
          <w:tcPr>
            <w:tcW w:w="507" w:type="pct"/>
            <w:vAlign w:val="bottom"/>
          </w:tcPr>
          <w:p w:rsidR="00E04353" w:rsidRPr="003777A9" w:rsidRDefault="00E04353" w:rsidP="005151A7">
            <w:pPr>
              <w:pStyle w:val="TableBodyText"/>
              <w:rPr>
                <w:sz w:val="18"/>
                <w:szCs w:val="18"/>
              </w:rPr>
            </w:pPr>
            <w:r w:rsidRPr="003777A9">
              <w:rPr>
                <w:sz w:val="18"/>
                <w:szCs w:val="18"/>
              </w:rPr>
              <w:noBreakHyphen/>
            </w:r>
          </w:p>
        </w:tc>
        <w:tc>
          <w:tcPr>
            <w:tcW w:w="507" w:type="pct"/>
            <w:vAlign w:val="bottom"/>
          </w:tcPr>
          <w:p w:rsidR="00E04353" w:rsidRPr="003777A9" w:rsidRDefault="00E04353" w:rsidP="005151A7">
            <w:pPr>
              <w:pStyle w:val="TableBodyText"/>
              <w:rPr>
                <w:sz w:val="18"/>
                <w:szCs w:val="18"/>
              </w:rPr>
            </w:pPr>
            <w:r w:rsidRPr="003777A9">
              <w:rPr>
                <w:sz w:val="18"/>
                <w:szCs w:val="18"/>
              </w:rPr>
              <w:t>3.4</w:t>
            </w:r>
          </w:p>
        </w:tc>
        <w:tc>
          <w:tcPr>
            <w:tcW w:w="507" w:type="pct"/>
            <w:vAlign w:val="bottom"/>
          </w:tcPr>
          <w:p w:rsidR="00E04353" w:rsidRPr="003777A9" w:rsidRDefault="00E04353" w:rsidP="005151A7">
            <w:pPr>
              <w:pStyle w:val="TableBodyText"/>
              <w:rPr>
                <w:sz w:val="18"/>
                <w:szCs w:val="18"/>
              </w:rPr>
            </w:pPr>
            <w:r w:rsidRPr="003777A9">
              <w:rPr>
                <w:sz w:val="18"/>
                <w:szCs w:val="18"/>
              </w:rPr>
              <w:noBreakHyphen/>
            </w:r>
          </w:p>
        </w:tc>
        <w:tc>
          <w:tcPr>
            <w:tcW w:w="507" w:type="pct"/>
            <w:vAlign w:val="bottom"/>
          </w:tcPr>
          <w:p w:rsidR="00E04353" w:rsidRPr="003777A9" w:rsidRDefault="00E04353" w:rsidP="005151A7">
            <w:pPr>
              <w:pStyle w:val="TableBodyText"/>
              <w:rPr>
                <w:sz w:val="18"/>
                <w:szCs w:val="18"/>
              </w:rPr>
            </w:pPr>
            <w:r w:rsidRPr="003777A9">
              <w:rPr>
                <w:sz w:val="18"/>
                <w:szCs w:val="18"/>
              </w:rPr>
              <w:noBreakHyphen/>
            </w:r>
          </w:p>
        </w:tc>
        <w:tc>
          <w:tcPr>
            <w:tcW w:w="507" w:type="pct"/>
            <w:shd w:val="clear" w:color="auto" w:fill="auto"/>
            <w:vAlign w:val="bottom"/>
          </w:tcPr>
          <w:p w:rsidR="00E04353" w:rsidRPr="003777A9" w:rsidRDefault="00E04353" w:rsidP="005151A7">
            <w:pPr>
              <w:pStyle w:val="TableBodyText"/>
              <w:rPr>
                <w:sz w:val="18"/>
                <w:szCs w:val="18"/>
              </w:rPr>
            </w:pPr>
            <w:r w:rsidRPr="003777A9">
              <w:rPr>
                <w:sz w:val="18"/>
                <w:szCs w:val="18"/>
              </w:rPr>
              <w:noBreakHyphen/>
            </w:r>
          </w:p>
        </w:tc>
        <w:tc>
          <w:tcPr>
            <w:tcW w:w="505" w:type="pct"/>
            <w:shd w:val="clear" w:color="auto" w:fill="auto"/>
            <w:vAlign w:val="bottom"/>
          </w:tcPr>
          <w:p w:rsidR="00E04353" w:rsidRPr="003777A9" w:rsidRDefault="00E04353" w:rsidP="005151A7">
            <w:pPr>
              <w:pStyle w:val="TableBodyText"/>
              <w:rPr>
                <w:sz w:val="18"/>
                <w:szCs w:val="18"/>
              </w:rPr>
            </w:pPr>
            <w:r w:rsidRPr="003777A9">
              <w:rPr>
                <w:sz w:val="18"/>
                <w:szCs w:val="18"/>
              </w:rPr>
              <w:noBreakHyphen/>
            </w:r>
          </w:p>
        </w:tc>
      </w:tr>
      <w:tr w:rsidR="00E04353" w:rsidRPr="006C5A80" w:rsidTr="005151A7">
        <w:tc>
          <w:tcPr>
            <w:tcW w:w="1960" w:type="pct"/>
            <w:tcBorders>
              <w:bottom w:val="single" w:sz="4" w:space="0" w:color="auto"/>
            </w:tcBorders>
            <w:vAlign w:val="bottom"/>
          </w:tcPr>
          <w:p w:rsidR="00E04353" w:rsidRPr="00267504" w:rsidRDefault="00E04353" w:rsidP="005151A7">
            <w:pPr>
              <w:pStyle w:val="TableBodyText"/>
              <w:jc w:val="left"/>
              <w:rPr>
                <w:b/>
                <w:bCs/>
                <w:sz w:val="18"/>
                <w:szCs w:val="18"/>
              </w:rPr>
            </w:pPr>
            <w:r w:rsidRPr="00267504">
              <w:rPr>
                <w:b/>
                <w:bCs/>
                <w:sz w:val="18"/>
                <w:szCs w:val="18"/>
              </w:rPr>
              <w:t>Total</w:t>
            </w:r>
          </w:p>
        </w:tc>
        <w:tc>
          <w:tcPr>
            <w:tcW w:w="507" w:type="pct"/>
            <w:tcBorders>
              <w:bottom w:val="single" w:sz="4" w:space="0" w:color="auto"/>
            </w:tcBorders>
            <w:vAlign w:val="bottom"/>
          </w:tcPr>
          <w:p w:rsidR="00E04353" w:rsidRPr="001D4291" w:rsidRDefault="00E04353" w:rsidP="005151A7">
            <w:pPr>
              <w:pStyle w:val="TableBodyText"/>
              <w:rPr>
                <w:b/>
                <w:sz w:val="18"/>
                <w:szCs w:val="18"/>
              </w:rPr>
            </w:pPr>
            <w:r w:rsidRPr="001D4291">
              <w:rPr>
                <w:b/>
                <w:sz w:val="18"/>
                <w:szCs w:val="18"/>
              </w:rPr>
              <w:t>9.5</w:t>
            </w:r>
          </w:p>
        </w:tc>
        <w:tc>
          <w:tcPr>
            <w:tcW w:w="507" w:type="pct"/>
            <w:tcBorders>
              <w:bottom w:val="single" w:sz="4" w:space="0" w:color="auto"/>
            </w:tcBorders>
            <w:vAlign w:val="bottom"/>
          </w:tcPr>
          <w:p w:rsidR="00E04353" w:rsidRPr="001D4291" w:rsidRDefault="00E04353" w:rsidP="005151A7">
            <w:pPr>
              <w:pStyle w:val="TableBodyText"/>
              <w:rPr>
                <w:b/>
                <w:sz w:val="18"/>
                <w:szCs w:val="18"/>
              </w:rPr>
            </w:pPr>
            <w:r w:rsidRPr="001D4291">
              <w:rPr>
                <w:b/>
                <w:sz w:val="18"/>
                <w:szCs w:val="18"/>
              </w:rPr>
              <w:t>17.2</w:t>
            </w:r>
          </w:p>
        </w:tc>
        <w:tc>
          <w:tcPr>
            <w:tcW w:w="507" w:type="pct"/>
            <w:tcBorders>
              <w:bottom w:val="single" w:sz="4" w:space="0" w:color="auto"/>
            </w:tcBorders>
            <w:vAlign w:val="bottom"/>
          </w:tcPr>
          <w:p w:rsidR="00E04353" w:rsidRPr="001D4291" w:rsidRDefault="00E04353" w:rsidP="005151A7">
            <w:pPr>
              <w:pStyle w:val="TableBodyText"/>
              <w:rPr>
                <w:b/>
                <w:sz w:val="18"/>
                <w:szCs w:val="18"/>
              </w:rPr>
            </w:pPr>
            <w:r w:rsidRPr="001D4291">
              <w:rPr>
                <w:b/>
                <w:sz w:val="18"/>
                <w:szCs w:val="18"/>
              </w:rPr>
              <w:t>18.3</w:t>
            </w:r>
          </w:p>
        </w:tc>
        <w:tc>
          <w:tcPr>
            <w:tcW w:w="507" w:type="pct"/>
            <w:tcBorders>
              <w:bottom w:val="single" w:sz="4" w:space="0" w:color="auto"/>
            </w:tcBorders>
            <w:vAlign w:val="bottom"/>
          </w:tcPr>
          <w:p w:rsidR="00E04353" w:rsidRPr="001D4291" w:rsidRDefault="00E04353" w:rsidP="005151A7">
            <w:pPr>
              <w:pStyle w:val="TableBodyText"/>
              <w:rPr>
                <w:b/>
                <w:sz w:val="18"/>
                <w:szCs w:val="18"/>
              </w:rPr>
            </w:pPr>
            <w:r w:rsidRPr="001D4291">
              <w:rPr>
                <w:b/>
                <w:sz w:val="18"/>
                <w:szCs w:val="18"/>
              </w:rPr>
              <w:t>4.3</w:t>
            </w:r>
          </w:p>
        </w:tc>
        <w:tc>
          <w:tcPr>
            <w:tcW w:w="507" w:type="pct"/>
            <w:tcBorders>
              <w:bottom w:val="single" w:sz="4" w:space="0" w:color="auto"/>
            </w:tcBorders>
            <w:shd w:val="clear" w:color="auto" w:fill="auto"/>
            <w:vAlign w:val="bottom"/>
          </w:tcPr>
          <w:p w:rsidR="00E04353" w:rsidRPr="001D4291" w:rsidRDefault="00E04353" w:rsidP="005151A7">
            <w:pPr>
              <w:pStyle w:val="TableBodyText"/>
              <w:rPr>
                <w:b/>
                <w:sz w:val="18"/>
                <w:szCs w:val="18"/>
              </w:rPr>
            </w:pPr>
            <w:r>
              <w:rPr>
                <w:b/>
                <w:sz w:val="18"/>
                <w:szCs w:val="18"/>
              </w:rPr>
              <w:noBreakHyphen/>
            </w:r>
          </w:p>
        </w:tc>
        <w:tc>
          <w:tcPr>
            <w:tcW w:w="505" w:type="pct"/>
            <w:tcBorders>
              <w:bottom w:val="single" w:sz="4" w:space="0" w:color="auto"/>
            </w:tcBorders>
            <w:shd w:val="clear" w:color="auto" w:fill="auto"/>
            <w:vAlign w:val="bottom"/>
          </w:tcPr>
          <w:p w:rsidR="00E04353" w:rsidRPr="001D4291" w:rsidRDefault="00E04353" w:rsidP="005151A7">
            <w:pPr>
              <w:pStyle w:val="TableBodyText"/>
              <w:rPr>
                <w:b/>
                <w:sz w:val="18"/>
                <w:szCs w:val="18"/>
              </w:rPr>
            </w:pPr>
            <w:r>
              <w:rPr>
                <w:b/>
                <w:sz w:val="18"/>
                <w:szCs w:val="18"/>
              </w:rPr>
              <w:noBreakHyphen/>
            </w:r>
          </w:p>
        </w:tc>
      </w:tr>
    </w:tbl>
    <w:p w:rsidR="00E04353" w:rsidRPr="004D1CDF" w:rsidRDefault="00E04353" w:rsidP="00E04353">
      <w:pPr>
        <w:pStyle w:val="Source"/>
        <w:spacing w:after="0"/>
        <w:rPr>
          <w:i/>
        </w:rPr>
      </w:pPr>
      <w:r w:rsidRPr="00A2379F">
        <w:noBreakHyphen/>
        <w:t xml:space="preserve"> </w:t>
      </w:r>
      <w:r>
        <w:t>Nil</w:t>
      </w:r>
      <w:r w:rsidRPr="00A2379F">
        <w:t>.</w:t>
      </w:r>
      <w:r w:rsidRPr="0082095C">
        <w:t xml:space="preserve"> </w:t>
      </w:r>
      <w:r w:rsidRPr="009B56F1">
        <w:rPr>
          <w:rStyle w:val="NoteLabel"/>
        </w:rPr>
        <w:t>a</w:t>
      </w:r>
      <w:r w:rsidRPr="009B56F1">
        <w:t xml:space="preserve"> Unallocated includes general programs where details of beneficiaries are unknown.</w:t>
      </w:r>
    </w:p>
    <w:p w:rsidR="00E04353" w:rsidRPr="008E77FE" w:rsidRDefault="00E04353" w:rsidP="00E04353">
      <w:pPr>
        <w:pStyle w:val="Source"/>
      </w:pPr>
      <w:r>
        <w:rPr>
          <w:i/>
        </w:rPr>
        <w:t>Source</w:t>
      </w:r>
      <w:r>
        <w:t xml:space="preserve">: Commission estimates based on detailed DIISR data </w:t>
      </w:r>
      <w:r w:rsidRPr="00BE273F">
        <w:t>by ANZSIC industry</w:t>
      </w:r>
      <w:r>
        <w:t>.</w:t>
      </w:r>
    </w:p>
    <w:p w:rsidR="00C84416" w:rsidRDefault="00FA09C3" w:rsidP="00C84416">
      <w:pPr>
        <w:pStyle w:val="Heading2"/>
      </w:pPr>
      <w:r>
        <w:t>A.</w:t>
      </w:r>
      <w:r>
        <w:rPr>
          <w:noProof/>
        </w:rPr>
        <w:t>154</w:t>
      </w:r>
      <w:r w:rsidR="00C84416">
        <w:tab/>
        <w:t>Investment incentive for Holden</w:t>
      </w:r>
    </w:p>
    <w:p w:rsidR="00C84416" w:rsidRDefault="00C84416" w:rsidP="00C84416">
      <w:pPr>
        <w:pStyle w:val="BodyText"/>
      </w:pPr>
      <w:r>
        <w:t>In October 2006, the Australian Government announced that it would provide $6.7 million over four years to General Motors Holden (</w:t>
      </w:r>
      <w:r w:rsidRPr="00C305B5">
        <w:rPr>
          <w:i/>
        </w:rPr>
        <w:t>Trade &amp; Assistance Review 2005</w:t>
      </w:r>
      <w:r w:rsidRPr="00C305B5">
        <w:rPr>
          <w:i/>
        </w:rPr>
        <w:noBreakHyphen/>
        <w:t>06</w:t>
      </w:r>
      <w:r>
        <w:t>, p.</w:t>
      </w:r>
      <w:r w:rsidR="00C057BD">
        <w:t> </w:t>
      </w:r>
      <w:r>
        <w:t>3.17). The funding was earmarked for the introduction of safety and fuel management improvements and for reducing greenhouse gas emissions on Commodore vehicles. The South Australian and Victorian Governments were also to provide $6.7 million for this project.</w:t>
      </w:r>
    </w:p>
    <w:p w:rsidR="00C84416" w:rsidRDefault="00C84416" w:rsidP="00C84416">
      <w:pPr>
        <w:pStyle w:val="BodyText"/>
      </w:pPr>
      <w:r>
        <w:t xml:space="preserve">The Australian Government outlay has been allocated to the </w:t>
      </w:r>
      <w:r w:rsidRPr="00C305B5">
        <w:rPr>
          <w:i/>
        </w:rPr>
        <w:t xml:space="preserve">Motor vehicles </w:t>
      </w:r>
      <w:r>
        <w:rPr>
          <w:i/>
        </w:rPr>
        <w:t>and</w:t>
      </w:r>
      <w:r w:rsidRPr="00C305B5">
        <w:rPr>
          <w:i/>
        </w:rPr>
        <w:t xml:space="preserve"> parts</w:t>
      </w:r>
      <w:r>
        <w:t xml:space="preserve"> industry grouping in the Commission’s ANZSIC-based classification (table A.15</w:t>
      </w:r>
      <w:r w:rsidR="00C065C1">
        <w:t>4</w:t>
      </w:r>
      <w:r>
        <w:t>).</w:t>
      </w:r>
    </w:p>
    <w:p w:rsidR="00C84416" w:rsidRDefault="00C84416" w:rsidP="00C84416">
      <w:pPr>
        <w:pStyle w:val="TableTitle"/>
      </w:pPr>
      <w:r>
        <w:rPr>
          <w:b w:val="0"/>
        </w:rPr>
        <w:t xml:space="preserve">Table </w:t>
      </w:r>
      <w:r w:rsidR="00FA09C3">
        <w:rPr>
          <w:b w:val="0"/>
        </w:rPr>
        <w:t>A.</w:t>
      </w:r>
      <w:r w:rsidR="00FA09C3">
        <w:rPr>
          <w:b w:val="0"/>
          <w:noProof/>
        </w:rPr>
        <w:t>154</w:t>
      </w:r>
      <w:r>
        <w:tab/>
        <w:t>Allocation of Investment incentive for Holden</w:t>
      </w:r>
      <w:r w:rsidR="00E471E2" w:rsidRPr="00E471E2">
        <w:t xml:space="preserve"> to industry</w:t>
      </w:r>
      <w:r>
        <w:t>, 2006</w:t>
      </w:r>
      <w:r>
        <w:noBreakHyphen/>
        <w:t>07 to 2011</w:t>
      </w:r>
      <w:r>
        <w:noBreakHyphen/>
        <w:t>12</w:t>
      </w:r>
    </w:p>
    <w:p w:rsidR="00C84416" w:rsidRDefault="000E1A26" w:rsidP="00C84416">
      <w:pPr>
        <w:pStyle w:val="Subtitle"/>
      </w:pPr>
      <w:r>
        <w:t>$ m</w:t>
      </w:r>
      <w:r w:rsidR="00C84416">
        <w:t xml:space="preserve">illion (nominal) </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F458EE" w:rsidRPr="00AF699A" w:rsidTr="007546E2">
        <w:trPr>
          <w:trHeight w:val="340"/>
        </w:trPr>
        <w:tc>
          <w:tcPr>
            <w:tcW w:w="1958" w:type="pct"/>
            <w:tcBorders>
              <w:top w:val="single" w:sz="6" w:space="0" w:color="auto"/>
              <w:bottom w:val="single" w:sz="6" w:space="0" w:color="auto"/>
            </w:tcBorders>
          </w:tcPr>
          <w:p w:rsidR="00F458EE" w:rsidRPr="00AF699A" w:rsidRDefault="00F458EE" w:rsidP="005151A7">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F458EE" w:rsidRPr="00AF699A" w:rsidRDefault="00F458EE" w:rsidP="005151A7">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F458EE" w:rsidRPr="00AF699A" w:rsidRDefault="00F458EE" w:rsidP="005151A7">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F458EE" w:rsidRPr="00AF699A" w:rsidRDefault="00F458EE" w:rsidP="005151A7">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F458EE" w:rsidRPr="00AF699A" w:rsidRDefault="00F458EE" w:rsidP="005151A7">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F458EE" w:rsidRPr="00AF699A" w:rsidRDefault="00F458EE" w:rsidP="005151A7">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F458EE" w:rsidRPr="00AF699A" w:rsidRDefault="00F458EE" w:rsidP="005151A7">
            <w:pPr>
              <w:pStyle w:val="TableColumnHeading"/>
              <w:ind w:right="28"/>
              <w:rPr>
                <w:rFonts w:cs="Arial"/>
                <w:sz w:val="18"/>
                <w:szCs w:val="18"/>
              </w:rPr>
            </w:pPr>
            <w:r w:rsidRPr="00AF699A">
              <w:rPr>
                <w:rFonts w:cs="Arial"/>
                <w:sz w:val="18"/>
                <w:szCs w:val="18"/>
              </w:rPr>
              <w:t>2011-12</w:t>
            </w:r>
          </w:p>
        </w:tc>
      </w:tr>
      <w:tr w:rsidR="00F458EE" w:rsidRPr="00292427" w:rsidTr="00C305B5">
        <w:tc>
          <w:tcPr>
            <w:tcW w:w="1958" w:type="pct"/>
            <w:tcBorders>
              <w:bottom w:val="single" w:sz="4" w:space="0" w:color="auto"/>
            </w:tcBorders>
            <w:vAlign w:val="bottom"/>
          </w:tcPr>
          <w:p w:rsidR="00F458EE" w:rsidRPr="00292427" w:rsidRDefault="00F458EE" w:rsidP="005151A7">
            <w:pPr>
              <w:pStyle w:val="TableBodyText"/>
              <w:jc w:val="left"/>
            </w:pPr>
            <w:r w:rsidRPr="00292427">
              <w:t>Motor vehicle and parts</w:t>
            </w:r>
          </w:p>
        </w:tc>
        <w:tc>
          <w:tcPr>
            <w:tcW w:w="507" w:type="pct"/>
            <w:tcBorders>
              <w:bottom w:val="single" w:sz="4" w:space="0" w:color="auto"/>
            </w:tcBorders>
            <w:vAlign w:val="bottom"/>
          </w:tcPr>
          <w:p w:rsidR="00F458EE" w:rsidRPr="00292427" w:rsidRDefault="00F458EE" w:rsidP="005151A7">
            <w:pPr>
              <w:pStyle w:val="TableBodyText"/>
            </w:pPr>
            <w:r w:rsidRPr="00292427">
              <w:t>2</w:t>
            </w:r>
            <w:r>
              <w:t>.0</w:t>
            </w:r>
          </w:p>
        </w:tc>
        <w:tc>
          <w:tcPr>
            <w:tcW w:w="507" w:type="pct"/>
            <w:tcBorders>
              <w:bottom w:val="single" w:sz="4" w:space="0" w:color="auto"/>
            </w:tcBorders>
            <w:vAlign w:val="bottom"/>
          </w:tcPr>
          <w:p w:rsidR="00F458EE" w:rsidRPr="00292427" w:rsidRDefault="00F458EE" w:rsidP="005151A7">
            <w:pPr>
              <w:pStyle w:val="TableBodyText"/>
            </w:pPr>
            <w:r>
              <w:t>2.0</w:t>
            </w:r>
          </w:p>
        </w:tc>
        <w:tc>
          <w:tcPr>
            <w:tcW w:w="507" w:type="pct"/>
            <w:tcBorders>
              <w:bottom w:val="single" w:sz="4" w:space="0" w:color="auto"/>
            </w:tcBorders>
            <w:vAlign w:val="bottom"/>
          </w:tcPr>
          <w:p w:rsidR="00F458EE" w:rsidRPr="00292427" w:rsidRDefault="00F458EE" w:rsidP="005151A7">
            <w:pPr>
              <w:pStyle w:val="TableBodyText"/>
            </w:pPr>
            <w:r>
              <w:noBreakHyphen/>
            </w:r>
          </w:p>
        </w:tc>
        <w:tc>
          <w:tcPr>
            <w:tcW w:w="507" w:type="pct"/>
            <w:tcBorders>
              <w:bottom w:val="single" w:sz="4" w:space="0" w:color="auto"/>
            </w:tcBorders>
            <w:vAlign w:val="bottom"/>
          </w:tcPr>
          <w:p w:rsidR="00F458EE" w:rsidRPr="00292427" w:rsidRDefault="00F458EE" w:rsidP="00F458EE">
            <w:pPr>
              <w:pStyle w:val="TableBodyText"/>
            </w:pPr>
            <w:r w:rsidRPr="00292427">
              <w:t>2.7</w:t>
            </w:r>
          </w:p>
        </w:tc>
        <w:tc>
          <w:tcPr>
            <w:tcW w:w="507" w:type="pct"/>
            <w:tcBorders>
              <w:bottom w:val="single" w:sz="4" w:space="0" w:color="auto"/>
            </w:tcBorders>
            <w:shd w:val="clear" w:color="auto" w:fill="auto"/>
            <w:vAlign w:val="bottom"/>
          </w:tcPr>
          <w:p w:rsidR="00F458EE" w:rsidRPr="00292427" w:rsidRDefault="00F458EE" w:rsidP="005151A7">
            <w:pPr>
              <w:pStyle w:val="TableBodyText"/>
            </w:pPr>
            <w:r>
              <w:noBreakHyphen/>
            </w:r>
          </w:p>
        </w:tc>
        <w:tc>
          <w:tcPr>
            <w:tcW w:w="507" w:type="pct"/>
            <w:tcBorders>
              <w:bottom w:val="single" w:sz="4" w:space="0" w:color="auto"/>
            </w:tcBorders>
            <w:shd w:val="clear" w:color="auto" w:fill="auto"/>
            <w:vAlign w:val="bottom"/>
          </w:tcPr>
          <w:p w:rsidR="00F458EE" w:rsidRPr="00292427" w:rsidRDefault="00F458EE" w:rsidP="005151A7">
            <w:pPr>
              <w:pStyle w:val="TableBodyText"/>
            </w:pPr>
            <w:r>
              <w:noBreakHyphen/>
            </w:r>
          </w:p>
        </w:tc>
      </w:tr>
    </w:tbl>
    <w:p w:rsidR="00C84416" w:rsidRDefault="00C84416" w:rsidP="00C84416">
      <w:pPr>
        <w:pStyle w:val="Note"/>
      </w:pPr>
      <w:r w:rsidRPr="00A2379F">
        <w:noBreakHyphen/>
        <w:t xml:space="preserve"> Nil</w:t>
      </w:r>
      <w:r>
        <w:t>.</w:t>
      </w:r>
    </w:p>
    <w:p w:rsidR="00C84416" w:rsidRPr="008E77FE" w:rsidRDefault="00C84416" w:rsidP="00C84416">
      <w:pPr>
        <w:pStyle w:val="Source"/>
      </w:pPr>
      <w:r>
        <w:rPr>
          <w:i/>
        </w:rPr>
        <w:t>Sources</w:t>
      </w:r>
      <w:r>
        <w:t>: Commission estimates based on DIISR Annual Report 2009</w:t>
      </w:r>
      <w:r>
        <w:noBreakHyphen/>
        <w:t>10 (and earlier years); and Department of Industry, Tourism and Resources Annual Report 2006</w:t>
      </w:r>
      <w:r>
        <w:noBreakHyphen/>
        <w:t>07.</w:t>
      </w:r>
    </w:p>
    <w:p w:rsidR="00B62655" w:rsidRDefault="00FA09C3" w:rsidP="00B62655">
      <w:pPr>
        <w:pStyle w:val="Heading2"/>
      </w:pPr>
      <w:r>
        <w:t>A.</w:t>
      </w:r>
      <w:r>
        <w:rPr>
          <w:noProof/>
        </w:rPr>
        <w:t>155</w:t>
      </w:r>
      <w:r w:rsidR="00B62655">
        <w:tab/>
        <w:t>Pharmaceuticals Partnerships Program</w:t>
      </w:r>
    </w:p>
    <w:p w:rsidR="00FF42C0" w:rsidRPr="00C305B5" w:rsidRDefault="00FF42C0" w:rsidP="00C305B5">
      <w:pPr>
        <w:pStyle w:val="BodyText"/>
      </w:pPr>
      <w:r>
        <w:t>T</w:t>
      </w:r>
      <w:r w:rsidRPr="00134BEC">
        <w:t xml:space="preserve">he Pharmaceuticals Partnership Program (PPP) </w:t>
      </w:r>
      <w:r w:rsidRPr="008F3775">
        <w:t>aimed to:</w:t>
      </w:r>
    </w:p>
    <w:p w:rsidR="008F025E" w:rsidRPr="00C305B5" w:rsidRDefault="008F025E" w:rsidP="00C305B5">
      <w:pPr>
        <w:pStyle w:val="ListBullet"/>
      </w:pPr>
      <w:r>
        <w:rPr>
          <w:lang w:val="en"/>
        </w:rPr>
        <w:t>i</w:t>
      </w:r>
      <w:r w:rsidRPr="00DA639E">
        <w:rPr>
          <w:lang w:val="en"/>
        </w:rPr>
        <w:t xml:space="preserve">ncrease the level of new </w:t>
      </w:r>
      <w:r>
        <w:rPr>
          <w:lang w:val="en"/>
        </w:rPr>
        <w:t xml:space="preserve">high quality </w:t>
      </w:r>
      <w:r w:rsidRPr="00DA639E">
        <w:rPr>
          <w:lang w:val="en"/>
        </w:rPr>
        <w:t>pharmaceuticals R&amp;D undertaken in Australia</w:t>
      </w:r>
      <w:r>
        <w:rPr>
          <w:lang w:val="en"/>
        </w:rPr>
        <w:t>;</w:t>
      </w:r>
    </w:p>
    <w:p w:rsidR="008F025E" w:rsidRPr="00C305B5" w:rsidRDefault="008F025E" w:rsidP="00C305B5">
      <w:pPr>
        <w:pStyle w:val="ListBullet"/>
      </w:pPr>
      <w:r>
        <w:rPr>
          <w:lang w:val="en"/>
        </w:rPr>
        <w:t>i</w:t>
      </w:r>
      <w:r w:rsidRPr="00041392">
        <w:rPr>
          <w:lang w:val="en"/>
        </w:rPr>
        <w:t>ncrease the number and quality of linkages within the industry</w:t>
      </w:r>
      <w:r>
        <w:rPr>
          <w:lang w:val="en"/>
        </w:rPr>
        <w:t>;</w:t>
      </w:r>
    </w:p>
    <w:p w:rsidR="008F025E" w:rsidRPr="00C305B5" w:rsidRDefault="008F025E" w:rsidP="00C305B5">
      <w:pPr>
        <w:pStyle w:val="ListBullet"/>
      </w:pPr>
      <w:r>
        <w:rPr>
          <w:lang w:val="en"/>
        </w:rPr>
        <w:t>i</w:t>
      </w:r>
      <w:r w:rsidRPr="00041392">
        <w:rPr>
          <w:lang w:val="en"/>
        </w:rPr>
        <w:t>mprove the international engagement of local firms</w:t>
      </w:r>
      <w:r>
        <w:rPr>
          <w:lang w:val="en"/>
        </w:rPr>
        <w:t>;</w:t>
      </w:r>
    </w:p>
    <w:p w:rsidR="008F025E" w:rsidRPr="00C305B5" w:rsidRDefault="008F025E" w:rsidP="00C305B5">
      <w:pPr>
        <w:pStyle w:val="ListBullet"/>
      </w:pPr>
      <w:r>
        <w:rPr>
          <w:lang w:val="en"/>
        </w:rPr>
        <w:t>i</w:t>
      </w:r>
      <w:r w:rsidRPr="00041392">
        <w:rPr>
          <w:lang w:val="en"/>
        </w:rPr>
        <w:t>ncrease the quality of R&amp;D undertaken and its overall benefit to the Australian economy</w:t>
      </w:r>
      <w:r>
        <w:rPr>
          <w:lang w:val="en"/>
        </w:rPr>
        <w:t>; and</w:t>
      </w:r>
    </w:p>
    <w:p w:rsidR="008F025E" w:rsidRPr="00C305B5" w:rsidRDefault="008F025E" w:rsidP="00C305B5">
      <w:pPr>
        <w:pStyle w:val="ListBullet"/>
      </w:pPr>
      <w:r>
        <w:rPr>
          <w:lang w:val="en"/>
        </w:rPr>
        <w:t>e</w:t>
      </w:r>
      <w:r w:rsidRPr="00041392">
        <w:rPr>
          <w:lang w:val="en"/>
        </w:rPr>
        <w:t>ncourage the development of medicines for the global market</w:t>
      </w:r>
      <w:r>
        <w:rPr>
          <w:lang w:val="en"/>
        </w:rPr>
        <w:t xml:space="preserve"> (Department of Industry 2013a).</w:t>
      </w:r>
    </w:p>
    <w:p w:rsidR="008F025E" w:rsidRDefault="008F025E" w:rsidP="008F025E">
      <w:pPr>
        <w:pStyle w:val="BodyText"/>
      </w:pPr>
      <w:r>
        <w:t>The PPP finished on 30 June 2009.</w:t>
      </w:r>
    </w:p>
    <w:p w:rsidR="008F025E" w:rsidRDefault="008F025E" w:rsidP="008F025E">
      <w:pPr>
        <w:pStyle w:val="BodyText"/>
      </w:pPr>
      <w:r>
        <w:t>Based on information</w:t>
      </w:r>
      <w:r w:rsidR="00391109">
        <w:t xml:space="preserve"> provided by the Department of Innovation, Industry, Science and Research</w:t>
      </w:r>
      <w:r>
        <w:t xml:space="preserve">, payments under PPP have been allocated to the </w:t>
      </w:r>
      <w:r>
        <w:rPr>
          <w:i/>
        </w:rPr>
        <w:t xml:space="preserve">Petroleum, </w:t>
      </w:r>
      <w:r w:rsidRPr="00BD681A">
        <w:rPr>
          <w:i/>
        </w:rPr>
        <w:t>coal</w:t>
      </w:r>
      <w:r>
        <w:rPr>
          <w:i/>
        </w:rPr>
        <w:t>, chemical and rubber</w:t>
      </w:r>
      <w:r w:rsidRPr="00BD681A">
        <w:rPr>
          <w:i/>
        </w:rPr>
        <w:t xml:space="preserve"> products</w:t>
      </w:r>
      <w:r>
        <w:t xml:space="preserve">, the </w:t>
      </w:r>
      <w:r w:rsidRPr="006D71EC">
        <w:rPr>
          <w:i/>
        </w:rPr>
        <w:t>Property, professional and administration</w:t>
      </w:r>
      <w:r w:rsidRPr="00E80A54">
        <w:t>, and</w:t>
      </w:r>
      <w:r>
        <w:t xml:space="preserve"> the </w:t>
      </w:r>
      <w:r w:rsidRPr="00BD681A">
        <w:rPr>
          <w:i/>
        </w:rPr>
        <w:t>Unallocated other</w:t>
      </w:r>
      <w:r>
        <w:t xml:space="preserve"> industry groupings in the Commission’s ANZSIC-based classification (table A.15</w:t>
      </w:r>
      <w:r w:rsidR="00C065C1">
        <w:t>5</w:t>
      </w:r>
      <w:r>
        <w:t>).</w:t>
      </w:r>
    </w:p>
    <w:p w:rsidR="008F025E" w:rsidRDefault="008F025E" w:rsidP="008F025E">
      <w:pPr>
        <w:pStyle w:val="TableTitle"/>
      </w:pPr>
      <w:r>
        <w:rPr>
          <w:b w:val="0"/>
        </w:rPr>
        <w:t xml:space="preserve">Table </w:t>
      </w:r>
      <w:r w:rsidR="00FA09C3">
        <w:rPr>
          <w:b w:val="0"/>
        </w:rPr>
        <w:t>A.</w:t>
      </w:r>
      <w:r w:rsidR="00FA09C3">
        <w:rPr>
          <w:b w:val="0"/>
          <w:noProof/>
        </w:rPr>
        <w:t>155</w:t>
      </w:r>
      <w:r>
        <w:tab/>
        <w:t xml:space="preserve">Allocation of Pharmaceutical Partnerships Program </w:t>
      </w:r>
      <w:r w:rsidR="00E471E2" w:rsidRPr="00E471E2">
        <w:t>to industry</w:t>
      </w:r>
      <w:r>
        <w:t>, 2006</w:t>
      </w:r>
      <w:r>
        <w:noBreakHyphen/>
        <w:t>07 to 2011</w:t>
      </w:r>
      <w:r>
        <w:noBreakHyphen/>
        <w:t>12</w:t>
      </w:r>
    </w:p>
    <w:p w:rsidR="008F025E" w:rsidRDefault="008F025E" w:rsidP="008F025E">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8F025E" w:rsidRPr="00AF699A" w:rsidTr="005151A7">
        <w:tc>
          <w:tcPr>
            <w:tcW w:w="1960" w:type="pct"/>
            <w:tcBorders>
              <w:top w:val="single" w:sz="6" w:space="0" w:color="auto"/>
              <w:bottom w:val="single" w:sz="6" w:space="0" w:color="auto"/>
            </w:tcBorders>
          </w:tcPr>
          <w:p w:rsidR="008F025E" w:rsidRPr="00AF699A" w:rsidRDefault="008F025E" w:rsidP="005151A7">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8F025E" w:rsidRPr="00AF699A" w:rsidRDefault="008F025E" w:rsidP="005151A7">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8F025E" w:rsidRPr="00AF699A" w:rsidRDefault="008F025E" w:rsidP="005151A7">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8F025E" w:rsidRPr="00AF699A" w:rsidRDefault="008F025E" w:rsidP="005151A7">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8F025E" w:rsidRPr="00AF699A" w:rsidRDefault="008F025E" w:rsidP="005151A7">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8F025E" w:rsidRPr="00AF699A" w:rsidRDefault="008F025E" w:rsidP="005151A7">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8F025E" w:rsidRPr="00AF699A" w:rsidRDefault="008F025E" w:rsidP="005151A7">
            <w:pPr>
              <w:pStyle w:val="TableColumnHeading"/>
              <w:ind w:right="28"/>
              <w:rPr>
                <w:rFonts w:cs="Arial"/>
                <w:sz w:val="18"/>
                <w:szCs w:val="18"/>
              </w:rPr>
            </w:pPr>
            <w:r w:rsidRPr="00AF699A">
              <w:rPr>
                <w:rFonts w:cs="Arial"/>
                <w:sz w:val="18"/>
                <w:szCs w:val="18"/>
              </w:rPr>
              <w:t>2011-12</w:t>
            </w:r>
          </w:p>
        </w:tc>
      </w:tr>
      <w:tr w:rsidR="008F025E" w:rsidRPr="006C5A80" w:rsidTr="005151A7">
        <w:tc>
          <w:tcPr>
            <w:tcW w:w="1960" w:type="pct"/>
            <w:vAlign w:val="bottom"/>
          </w:tcPr>
          <w:p w:rsidR="008F025E" w:rsidRPr="006D71EC" w:rsidRDefault="008F025E" w:rsidP="005151A7">
            <w:pPr>
              <w:pStyle w:val="TableBodyText"/>
              <w:jc w:val="left"/>
              <w:rPr>
                <w:b/>
                <w:sz w:val="18"/>
                <w:szCs w:val="18"/>
              </w:rPr>
            </w:pPr>
            <w:r w:rsidRPr="006D71EC">
              <w:rPr>
                <w:b/>
                <w:sz w:val="18"/>
                <w:szCs w:val="18"/>
              </w:rPr>
              <w:t>Manufacturing</w:t>
            </w:r>
          </w:p>
        </w:tc>
        <w:tc>
          <w:tcPr>
            <w:tcW w:w="507" w:type="pct"/>
            <w:vAlign w:val="bottom"/>
          </w:tcPr>
          <w:p w:rsidR="008F025E" w:rsidRPr="00965648" w:rsidRDefault="008F025E" w:rsidP="005151A7">
            <w:pPr>
              <w:pStyle w:val="TableBodyText"/>
              <w:rPr>
                <w:b/>
                <w:sz w:val="18"/>
                <w:szCs w:val="18"/>
              </w:rPr>
            </w:pPr>
            <w:r w:rsidRPr="00965648">
              <w:rPr>
                <w:b/>
                <w:sz w:val="18"/>
                <w:szCs w:val="18"/>
              </w:rPr>
              <w:t>18.4</w:t>
            </w:r>
          </w:p>
        </w:tc>
        <w:tc>
          <w:tcPr>
            <w:tcW w:w="507" w:type="pct"/>
            <w:vAlign w:val="bottom"/>
          </w:tcPr>
          <w:p w:rsidR="008F025E" w:rsidRPr="00965648" w:rsidRDefault="008F025E" w:rsidP="005151A7">
            <w:pPr>
              <w:pStyle w:val="TableBodyText"/>
              <w:rPr>
                <w:b/>
                <w:sz w:val="18"/>
                <w:szCs w:val="18"/>
              </w:rPr>
            </w:pPr>
            <w:r w:rsidRPr="00965648">
              <w:rPr>
                <w:b/>
                <w:sz w:val="18"/>
                <w:szCs w:val="18"/>
              </w:rPr>
              <w:t>18.5</w:t>
            </w:r>
          </w:p>
        </w:tc>
        <w:tc>
          <w:tcPr>
            <w:tcW w:w="507" w:type="pct"/>
            <w:vAlign w:val="bottom"/>
          </w:tcPr>
          <w:p w:rsidR="008F025E" w:rsidRPr="00965648" w:rsidRDefault="008F025E" w:rsidP="005151A7">
            <w:pPr>
              <w:pStyle w:val="TableBodyText"/>
              <w:rPr>
                <w:b/>
                <w:sz w:val="18"/>
                <w:szCs w:val="18"/>
              </w:rPr>
            </w:pPr>
            <w:r w:rsidRPr="00965648">
              <w:rPr>
                <w:b/>
                <w:sz w:val="18"/>
                <w:szCs w:val="18"/>
              </w:rPr>
              <w:t>8.1</w:t>
            </w:r>
          </w:p>
        </w:tc>
        <w:tc>
          <w:tcPr>
            <w:tcW w:w="507" w:type="pct"/>
            <w:vAlign w:val="bottom"/>
          </w:tcPr>
          <w:p w:rsidR="008F025E" w:rsidRPr="00965648" w:rsidRDefault="008F025E" w:rsidP="005151A7">
            <w:pPr>
              <w:pStyle w:val="TableBodyText"/>
              <w:rPr>
                <w:b/>
                <w:sz w:val="18"/>
                <w:szCs w:val="18"/>
              </w:rPr>
            </w:pPr>
            <w:r w:rsidRPr="00965648">
              <w:rPr>
                <w:b/>
                <w:sz w:val="18"/>
                <w:szCs w:val="18"/>
              </w:rPr>
              <w:t>1.7</w:t>
            </w:r>
          </w:p>
        </w:tc>
        <w:tc>
          <w:tcPr>
            <w:tcW w:w="507" w:type="pct"/>
            <w:shd w:val="clear" w:color="auto" w:fill="auto"/>
            <w:vAlign w:val="bottom"/>
          </w:tcPr>
          <w:p w:rsidR="008F025E" w:rsidRPr="00965648" w:rsidRDefault="008F025E" w:rsidP="005151A7">
            <w:pPr>
              <w:pStyle w:val="TableBodyText"/>
              <w:rPr>
                <w:b/>
                <w:sz w:val="18"/>
                <w:szCs w:val="18"/>
              </w:rPr>
            </w:pPr>
            <w:r w:rsidRPr="00965648">
              <w:rPr>
                <w:b/>
                <w:sz w:val="18"/>
                <w:szCs w:val="18"/>
              </w:rPr>
              <w:noBreakHyphen/>
            </w:r>
          </w:p>
        </w:tc>
        <w:tc>
          <w:tcPr>
            <w:tcW w:w="505" w:type="pct"/>
            <w:shd w:val="clear" w:color="auto" w:fill="auto"/>
            <w:vAlign w:val="bottom"/>
          </w:tcPr>
          <w:p w:rsidR="008F025E" w:rsidRPr="00965648" w:rsidRDefault="008F025E" w:rsidP="005151A7">
            <w:pPr>
              <w:pStyle w:val="TableBodyText"/>
              <w:rPr>
                <w:b/>
                <w:sz w:val="18"/>
                <w:szCs w:val="18"/>
              </w:rPr>
            </w:pPr>
            <w:r w:rsidRPr="00965648">
              <w:rPr>
                <w:b/>
                <w:sz w:val="18"/>
                <w:szCs w:val="18"/>
              </w:rPr>
              <w:noBreakHyphen/>
            </w:r>
          </w:p>
        </w:tc>
      </w:tr>
      <w:tr w:rsidR="008F025E" w:rsidRPr="006C5A80" w:rsidTr="005151A7">
        <w:tc>
          <w:tcPr>
            <w:tcW w:w="1960" w:type="pct"/>
            <w:vAlign w:val="bottom"/>
          </w:tcPr>
          <w:p w:rsidR="008F025E" w:rsidRPr="006D71EC" w:rsidRDefault="008F025E" w:rsidP="005151A7">
            <w:pPr>
              <w:pStyle w:val="TableBodyText"/>
              <w:jc w:val="left"/>
              <w:rPr>
                <w:sz w:val="18"/>
                <w:szCs w:val="18"/>
              </w:rPr>
            </w:pPr>
            <w:r w:rsidRPr="006D71EC">
              <w:rPr>
                <w:sz w:val="18"/>
                <w:szCs w:val="18"/>
              </w:rPr>
              <w:t>Petroleum, coal, chemical and rubber products</w:t>
            </w:r>
          </w:p>
        </w:tc>
        <w:tc>
          <w:tcPr>
            <w:tcW w:w="507" w:type="pct"/>
            <w:vAlign w:val="bottom"/>
          </w:tcPr>
          <w:p w:rsidR="008F025E" w:rsidRPr="00965648" w:rsidRDefault="008F025E" w:rsidP="005151A7">
            <w:pPr>
              <w:pStyle w:val="TableBodyText"/>
              <w:rPr>
                <w:sz w:val="18"/>
                <w:szCs w:val="18"/>
              </w:rPr>
            </w:pPr>
            <w:r w:rsidRPr="00965648">
              <w:rPr>
                <w:sz w:val="18"/>
                <w:szCs w:val="18"/>
              </w:rPr>
              <w:t>18.4</w:t>
            </w:r>
          </w:p>
        </w:tc>
        <w:tc>
          <w:tcPr>
            <w:tcW w:w="507" w:type="pct"/>
            <w:vAlign w:val="bottom"/>
          </w:tcPr>
          <w:p w:rsidR="008F025E" w:rsidRPr="00965648" w:rsidRDefault="008F025E" w:rsidP="005151A7">
            <w:pPr>
              <w:pStyle w:val="TableBodyText"/>
              <w:rPr>
                <w:sz w:val="18"/>
                <w:szCs w:val="18"/>
              </w:rPr>
            </w:pPr>
            <w:r w:rsidRPr="00965648">
              <w:rPr>
                <w:sz w:val="18"/>
                <w:szCs w:val="18"/>
              </w:rPr>
              <w:t>18.5</w:t>
            </w:r>
          </w:p>
        </w:tc>
        <w:tc>
          <w:tcPr>
            <w:tcW w:w="507" w:type="pct"/>
            <w:vAlign w:val="bottom"/>
          </w:tcPr>
          <w:p w:rsidR="008F025E" w:rsidRPr="00965648" w:rsidRDefault="008F025E" w:rsidP="005151A7">
            <w:pPr>
              <w:pStyle w:val="TableBodyText"/>
              <w:rPr>
                <w:sz w:val="18"/>
                <w:szCs w:val="18"/>
              </w:rPr>
            </w:pPr>
            <w:r w:rsidRPr="00965648">
              <w:rPr>
                <w:sz w:val="18"/>
                <w:szCs w:val="18"/>
              </w:rPr>
              <w:t>8.1</w:t>
            </w:r>
          </w:p>
        </w:tc>
        <w:tc>
          <w:tcPr>
            <w:tcW w:w="507" w:type="pct"/>
            <w:vAlign w:val="bottom"/>
          </w:tcPr>
          <w:p w:rsidR="008F025E" w:rsidRPr="00965648" w:rsidRDefault="008F025E" w:rsidP="005151A7">
            <w:pPr>
              <w:pStyle w:val="TableBodyText"/>
              <w:rPr>
                <w:sz w:val="18"/>
                <w:szCs w:val="18"/>
              </w:rPr>
            </w:pPr>
            <w:r w:rsidRPr="00965648">
              <w:rPr>
                <w:sz w:val="18"/>
                <w:szCs w:val="18"/>
              </w:rPr>
              <w:t>1.7</w:t>
            </w:r>
          </w:p>
        </w:tc>
        <w:tc>
          <w:tcPr>
            <w:tcW w:w="507" w:type="pct"/>
            <w:shd w:val="clear" w:color="auto" w:fill="auto"/>
            <w:vAlign w:val="bottom"/>
          </w:tcPr>
          <w:p w:rsidR="008F025E" w:rsidRPr="00965648" w:rsidRDefault="008F025E" w:rsidP="005151A7">
            <w:pPr>
              <w:pStyle w:val="TableBodyText"/>
              <w:rPr>
                <w:sz w:val="18"/>
                <w:szCs w:val="18"/>
              </w:rPr>
            </w:pPr>
            <w:r w:rsidRPr="00965648">
              <w:rPr>
                <w:sz w:val="18"/>
                <w:szCs w:val="18"/>
              </w:rPr>
              <w:noBreakHyphen/>
            </w:r>
          </w:p>
        </w:tc>
        <w:tc>
          <w:tcPr>
            <w:tcW w:w="505" w:type="pct"/>
            <w:shd w:val="clear" w:color="auto" w:fill="auto"/>
            <w:vAlign w:val="bottom"/>
          </w:tcPr>
          <w:p w:rsidR="008F025E" w:rsidRPr="00965648" w:rsidRDefault="008F025E" w:rsidP="005151A7">
            <w:pPr>
              <w:pStyle w:val="TableBodyText"/>
              <w:rPr>
                <w:sz w:val="18"/>
                <w:szCs w:val="18"/>
              </w:rPr>
            </w:pPr>
            <w:r w:rsidRPr="00965648">
              <w:rPr>
                <w:sz w:val="18"/>
                <w:szCs w:val="18"/>
              </w:rPr>
              <w:noBreakHyphen/>
            </w:r>
          </w:p>
        </w:tc>
      </w:tr>
      <w:tr w:rsidR="008F025E" w:rsidRPr="006C5A80" w:rsidTr="005151A7">
        <w:tc>
          <w:tcPr>
            <w:tcW w:w="1960" w:type="pct"/>
            <w:vAlign w:val="bottom"/>
          </w:tcPr>
          <w:p w:rsidR="008F025E" w:rsidRPr="006D71EC" w:rsidRDefault="008F025E" w:rsidP="005151A7">
            <w:pPr>
              <w:pStyle w:val="TableBodyText"/>
              <w:jc w:val="left"/>
              <w:rPr>
                <w:b/>
                <w:sz w:val="18"/>
                <w:szCs w:val="18"/>
              </w:rPr>
            </w:pPr>
            <w:r w:rsidRPr="006D71EC">
              <w:rPr>
                <w:b/>
                <w:sz w:val="18"/>
                <w:szCs w:val="18"/>
              </w:rPr>
              <w:t>Services</w:t>
            </w:r>
          </w:p>
        </w:tc>
        <w:tc>
          <w:tcPr>
            <w:tcW w:w="507" w:type="pct"/>
            <w:vAlign w:val="bottom"/>
          </w:tcPr>
          <w:p w:rsidR="008F025E" w:rsidRPr="00965648" w:rsidRDefault="008F025E" w:rsidP="005151A7">
            <w:pPr>
              <w:pStyle w:val="TableBodyText"/>
              <w:rPr>
                <w:b/>
                <w:sz w:val="18"/>
                <w:szCs w:val="18"/>
              </w:rPr>
            </w:pPr>
            <w:r w:rsidRPr="00965648">
              <w:rPr>
                <w:b/>
                <w:sz w:val="18"/>
                <w:szCs w:val="18"/>
              </w:rPr>
              <w:noBreakHyphen/>
            </w:r>
          </w:p>
        </w:tc>
        <w:tc>
          <w:tcPr>
            <w:tcW w:w="507" w:type="pct"/>
            <w:vAlign w:val="bottom"/>
          </w:tcPr>
          <w:p w:rsidR="008F025E" w:rsidRPr="00965648" w:rsidRDefault="008F025E" w:rsidP="005151A7">
            <w:pPr>
              <w:pStyle w:val="TableBodyText"/>
              <w:rPr>
                <w:b/>
                <w:sz w:val="18"/>
                <w:szCs w:val="18"/>
              </w:rPr>
            </w:pPr>
            <w:r w:rsidRPr="00965648">
              <w:rPr>
                <w:b/>
                <w:sz w:val="18"/>
                <w:szCs w:val="18"/>
              </w:rPr>
              <w:noBreakHyphen/>
            </w:r>
          </w:p>
        </w:tc>
        <w:tc>
          <w:tcPr>
            <w:tcW w:w="507" w:type="pct"/>
            <w:vAlign w:val="bottom"/>
          </w:tcPr>
          <w:p w:rsidR="008F025E" w:rsidRPr="00965648" w:rsidRDefault="008F025E" w:rsidP="005151A7">
            <w:pPr>
              <w:pStyle w:val="TableBodyText"/>
              <w:rPr>
                <w:b/>
                <w:sz w:val="18"/>
                <w:szCs w:val="18"/>
              </w:rPr>
            </w:pPr>
            <w:r w:rsidRPr="00965648">
              <w:rPr>
                <w:b/>
                <w:sz w:val="18"/>
                <w:szCs w:val="18"/>
              </w:rPr>
              <w:noBreakHyphen/>
            </w:r>
          </w:p>
        </w:tc>
        <w:tc>
          <w:tcPr>
            <w:tcW w:w="507" w:type="pct"/>
            <w:vAlign w:val="bottom"/>
          </w:tcPr>
          <w:p w:rsidR="008F025E" w:rsidRPr="00965648" w:rsidRDefault="008F025E" w:rsidP="005151A7">
            <w:pPr>
              <w:pStyle w:val="TableBodyText"/>
              <w:rPr>
                <w:b/>
                <w:sz w:val="18"/>
                <w:szCs w:val="18"/>
              </w:rPr>
            </w:pPr>
            <w:r w:rsidRPr="00965648">
              <w:rPr>
                <w:b/>
                <w:sz w:val="18"/>
                <w:szCs w:val="18"/>
              </w:rPr>
              <w:t>0.3</w:t>
            </w:r>
          </w:p>
        </w:tc>
        <w:tc>
          <w:tcPr>
            <w:tcW w:w="507" w:type="pct"/>
            <w:shd w:val="clear" w:color="auto" w:fill="auto"/>
            <w:vAlign w:val="bottom"/>
          </w:tcPr>
          <w:p w:rsidR="008F025E" w:rsidRPr="00965648" w:rsidRDefault="008F025E" w:rsidP="005151A7">
            <w:pPr>
              <w:pStyle w:val="TableBodyText"/>
              <w:rPr>
                <w:b/>
                <w:sz w:val="18"/>
                <w:szCs w:val="18"/>
              </w:rPr>
            </w:pPr>
            <w:r w:rsidRPr="00965648">
              <w:rPr>
                <w:b/>
                <w:sz w:val="18"/>
                <w:szCs w:val="18"/>
              </w:rPr>
              <w:noBreakHyphen/>
            </w:r>
          </w:p>
        </w:tc>
        <w:tc>
          <w:tcPr>
            <w:tcW w:w="505" w:type="pct"/>
            <w:shd w:val="clear" w:color="auto" w:fill="auto"/>
            <w:vAlign w:val="bottom"/>
          </w:tcPr>
          <w:p w:rsidR="008F025E" w:rsidRPr="00965648" w:rsidRDefault="008F025E" w:rsidP="005151A7">
            <w:pPr>
              <w:pStyle w:val="TableBodyText"/>
              <w:rPr>
                <w:b/>
                <w:sz w:val="18"/>
                <w:szCs w:val="18"/>
              </w:rPr>
            </w:pPr>
            <w:r w:rsidRPr="00965648">
              <w:rPr>
                <w:b/>
                <w:sz w:val="18"/>
                <w:szCs w:val="18"/>
              </w:rPr>
              <w:noBreakHyphen/>
            </w:r>
          </w:p>
        </w:tc>
      </w:tr>
      <w:tr w:rsidR="008F025E" w:rsidRPr="006C5A80" w:rsidTr="005151A7">
        <w:tc>
          <w:tcPr>
            <w:tcW w:w="1960" w:type="pct"/>
            <w:vAlign w:val="bottom"/>
          </w:tcPr>
          <w:p w:rsidR="008F025E" w:rsidRPr="006D71EC" w:rsidRDefault="008F025E" w:rsidP="005151A7">
            <w:pPr>
              <w:pStyle w:val="TableBodyText"/>
              <w:jc w:val="left"/>
              <w:rPr>
                <w:sz w:val="18"/>
                <w:szCs w:val="18"/>
              </w:rPr>
            </w:pPr>
            <w:r w:rsidRPr="006D71EC">
              <w:rPr>
                <w:sz w:val="18"/>
                <w:szCs w:val="18"/>
              </w:rPr>
              <w:t>Property, professional and administration services</w:t>
            </w:r>
          </w:p>
        </w:tc>
        <w:tc>
          <w:tcPr>
            <w:tcW w:w="507" w:type="pct"/>
            <w:vAlign w:val="bottom"/>
          </w:tcPr>
          <w:p w:rsidR="008F025E" w:rsidRPr="00965648" w:rsidRDefault="008F025E" w:rsidP="005151A7">
            <w:pPr>
              <w:pStyle w:val="TableBodyText"/>
              <w:rPr>
                <w:sz w:val="18"/>
                <w:szCs w:val="18"/>
              </w:rPr>
            </w:pPr>
            <w:r w:rsidRPr="00965648">
              <w:rPr>
                <w:sz w:val="18"/>
                <w:szCs w:val="18"/>
              </w:rPr>
              <w:noBreakHyphen/>
            </w:r>
          </w:p>
        </w:tc>
        <w:tc>
          <w:tcPr>
            <w:tcW w:w="507" w:type="pct"/>
            <w:vAlign w:val="bottom"/>
          </w:tcPr>
          <w:p w:rsidR="008F025E" w:rsidRPr="00965648" w:rsidRDefault="008F025E" w:rsidP="005151A7">
            <w:pPr>
              <w:pStyle w:val="TableBodyText"/>
              <w:rPr>
                <w:sz w:val="18"/>
                <w:szCs w:val="18"/>
              </w:rPr>
            </w:pPr>
            <w:r w:rsidRPr="00965648">
              <w:rPr>
                <w:sz w:val="18"/>
                <w:szCs w:val="18"/>
              </w:rPr>
              <w:noBreakHyphen/>
            </w:r>
          </w:p>
        </w:tc>
        <w:tc>
          <w:tcPr>
            <w:tcW w:w="507" w:type="pct"/>
            <w:vAlign w:val="bottom"/>
          </w:tcPr>
          <w:p w:rsidR="008F025E" w:rsidRPr="00965648" w:rsidRDefault="008F025E" w:rsidP="005151A7">
            <w:pPr>
              <w:pStyle w:val="TableBodyText"/>
              <w:rPr>
                <w:sz w:val="18"/>
                <w:szCs w:val="18"/>
              </w:rPr>
            </w:pPr>
            <w:r w:rsidRPr="00965648">
              <w:rPr>
                <w:sz w:val="18"/>
                <w:szCs w:val="18"/>
              </w:rPr>
              <w:noBreakHyphen/>
            </w:r>
          </w:p>
        </w:tc>
        <w:tc>
          <w:tcPr>
            <w:tcW w:w="507" w:type="pct"/>
            <w:vAlign w:val="bottom"/>
          </w:tcPr>
          <w:p w:rsidR="008F025E" w:rsidRPr="00965648" w:rsidRDefault="008F025E" w:rsidP="005151A7">
            <w:pPr>
              <w:pStyle w:val="TableBodyText"/>
              <w:rPr>
                <w:sz w:val="18"/>
                <w:szCs w:val="18"/>
              </w:rPr>
            </w:pPr>
            <w:r w:rsidRPr="00965648">
              <w:rPr>
                <w:sz w:val="18"/>
                <w:szCs w:val="18"/>
              </w:rPr>
              <w:t>0.3</w:t>
            </w:r>
          </w:p>
        </w:tc>
        <w:tc>
          <w:tcPr>
            <w:tcW w:w="507" w:type="pct"/>
            <w:shd w:val="clear" w:color="auto" w:fill="auto"/>
            <w:vAlign w:val="bottom"/>
          </w:tcPr>
          <w:p w:rsidR="008F025E" w:rsidRPr="00965648" w:rsidRDefault="008F025E" w:rsidP="005151A7">
            <w:pPr>
              <w:pStyle w:val="TableBodyText"/>
              <w:rPr>
                <w:sz w:val="18"/>
                <w:szCs w:val="18"/>
              </w:rPr>
            </w:pPr>
            <w:r w:rsidRPr="00965648">
              <w:rPr>
                <w:sz w:val="18"/>
                <w:szCs w:val="18"/>
              </w:rPr>
              <w:noBreakHyphen/>
            </w:r>
          </w:p>
        </w:tc>
        <w:tc>
          <w:tcPr>
            <w:tcW w:w="505" w:type="pct"/>
            <w:shd w:val="clear" w:color="auto" w:fill="auto"/>
            <w:vAlign w:val="bottom"/>
          </w:tcPr>
          <w:p w:rsidR="008F025E" w:rsidRPr="00965648" w:rsidRDefault="008F025E" w:rsidP="005151A7">
            <w:pPr>
              <w:pStyle w:val="TableBodyText"/>
              <w:rPr>
                <w:sz w:val="18"/>
                <w:szCs w:val="18"/>
              </w:rPr>
            </w:pPr>
            <w:r w:rsidRPr="00965648">
              <w:rPr>
                <w:sz w:val="18"/>
                <w:szCs w:val="18"/>
              </w:rPr>
              <w:noBreakHyphen/>
            </w:r>
          </w:p>
        </w:tc>
      </w:tr>
      <w:tr w:rsidR="008F025E" w:rsidRPr="006C5A80" w:rsidTr="005151A7">
        <w:tc>
          <w:tcPr>
            <w:tcW w:w="1960" w:type="pct"/>
            <w:vAlign w:val="bottom"/>
          </w:tcPr>
          <w:p w:rsidR="008F025E" w:rsidRPr="006D71EC" w:rsidRDefault="008F025E" w:rsidP="005151A7">
            <w:pPr>
              <w:pStyle w:val="TableBodyText"/>
              <w:jc w:val="left"/>
              <w:rPr>
                <w:sz w:val="18"/>
                <w:szCs w:val="18"/>
              </w:rPr>
            </w:pPr>
            <w:r w:rsidRPr="006D71EC">
              <w:rPr>
                <w:sz w:val="18"/>
                <w:szCs w:val="18"/>
              </w:rPr>
              <w:t>Unallocated other</w:t>
            </w:r>
            <w:r w:rsidRPr="006D71EC">
              <w:rPr>
                <w:rStyle w:val="NoteLabel"/>
                <w:szCs w:val="18"/>
              </w:rPr>
              <w:t>a</w:t>
            </w:r>
          </w:p>
        </w:tc>
        <w:tc>
          <w:tcPr>
            <w:tcW w:w="507" w:type="pct"/>
            <w:vAlign w:val="bottom"/>
          </w:tcPr>
          <w:p w:rsidR="008F025E" w:rsidRPr="00965648" w:rsidRDefault="008F025E" w:rsidP="005151A7">
            <w:pPr>
              <w:pStyle w:val="TableBodyText"/>
              <w:rPr>
                <w:sz w:val="18"/>
                <w:szCs w:val="18"/>
              </w:rPr>
            </w:pPr>
            <w:r w:rsidRPr="00965648">
              <w:rPr>
                <w:sz w:val="18"/>
                <w:szCs w:val="18"/>
              </w:rPr>
              <w:noBreakHyphen/>
            </w:r>
          </w:p>
        </w:tc>
        <w:tc>
          <w:tcPr>
            <w:tcW w:w="507" w:type="pct"/>
            <w:vAlign w:val="bottom"/>
          </w:tcPr>
          <w:p w:rsidR="008F025E" w:rsidRPr="00965648" w:rsidRDefault="008F025E" w:rsidP="005151A7">
            <w:pPr>
              <w:pStyle w:val="TableBodyText"/>
              <w:rPr>
                <w:sz w:val="18"/>
                <w:szCs w:val="18"/>
              </w:rPr>
            </w:pPr>
            <w:r w:rsidRPr="00965648">
              <w:rPr>
                <w:sz w:val="18"/>
                <w:szCs w:val="18"/>
              </w:rPr>
              <w:t>16.6</w:t>
            </w:r>
          </w:p>
        </w:tc>
        <w:tc>
          <w:tcPr>
            <w:tcW w:w="507" w:type="pct"/>
            <w:vAlign w:val="bottom"/>
          </w:tcPr>
          <w:p w:rsidR="008F025E" w:rsidRPr="00965648" w:rsidRDefault="008F025E" w:rsidP="005151A7">
            <w:pPr>
              <w:pStyle w:val="TableBodyText"/>
              <w:rPr>
                <w:sz w:val="18"/>
                <w:szCs w:val="18"/>
              </w:rPr>
            </w:pPr>
            <w:r w:rsidRPr="00965648">
              <w:rPr>
                <w:sz w:val="18"/>
                <w:szCs w:val="18"/>
              </w:rPr>
              <w:t>7.3</w:t>
            </w:r>
          </w:p>
        </w:tc>
        <w:tc>
          <w:tcPr>
            <w:tcW w:w="507" w:type="pct"/>
            <w:vAlign w:val="bottom"/>
          </w:tcPr>
          <w:p w:rsidR="008F025E" w:rsidRPr="00965648" w:rsidRDefault="008F025E" w:rsidP="005151A7">
            <w:pPr>
              <w:pStyle w:val="TableBodyText"/>
              <w:rPr>
                <w:sz w:val="18"/>
                <w:szCs w:val="18"/>
              </w:rPr>
            </w:pPr>
            <w:r w:rsidRPr="00965648">
              <w:rPr>
                <w:sz w:val="18"/>
                <w:szCs w:val="18"/>
              </w:rPr>
              <w:noBreakHyphen/>
            </w:r>
          </w:p>
        </w:tc>
        <w:tc>
          <w:tcPr>
            <w:tcW w:w="507" w:type="pct"/>
            <w:shd w:val="clear" w:color="auto" w:fill="auto"/>
            <w:vAlign w:val="bottom"/>
          </w:tcPr>
          <w:p w:rsidR="008F025E" w:rsidRPr="00965648" w:rsidRDefault="008F025E" w:rsidP="005151A7">
            <w:pPr>
              <w:pStyle w:val="TableBodyText"/>
              <w:rPr>
                <w:sz w:val="18"/>
                <w:szCs w:val="18"/>
              </w:rPr>
            </w:pPr>
            <w:r w:rsidRPr="00965648">
              <w:rPr>
                <w:sz w:val="18"/>
                <w:szCs w:val="18"/>
              </w:rPr>
              <w:noBreakHyphen/>
            </w:r>
          </w:p>
        </w:tc>
        <w:tc>
          <w:tcPr>
            <w:tcW w:w="505" w:type="pct"/>
            <w:shd w:val="clear" w:color="auto" w:fill="auto"/>
            <w:vAlign w:val="bottom"/>
          </w:tcPr>
          <w:p w:rsidR="008F025E" w:rsidRPr="00965648" w:rsidRDefault="008F025E" w:rsidP="005151A7">
            <w:pPr>
              <w:pStyle w:val="TableBodyText"/>
              <w:rPr>
                <w:sz w:val="18"/>
                <w:szCs w:val="18"/>
              </w:rPr>
            </w:pPr>
            <w:r w:rsidRPr="00965648">
              <w:rPr>
                <w:sz w:val="18"/>
                <w:szCs w:val="18"/>
              </w:rPr>
              <w:noBreakHyphen/>
            </w:r>
          </w:p>
        </w:tc>
      </w:tr>
      <w:tr w:rsidR="008F025E" w:rsidRPr="006C5A80" w:rsidTr="005151A7">
        <w:tc>
          <w:tcPr>
            <w:tcW w:w="1960" w:type="pct"/>
            <w:tcBorders>
              <w:bottom w:val="single" w:sz="4" w:space="0" w:color="auto"/>
            </w:tcBorders>
            <w:vAlign w:val="bottom"/>
          </w:tcPr>
          <w:p w:rsidR="008F025E" w:rsidRPr="006D71EC" w:rsidRDefault="008F025E" w:rsidP="005151A7">
            <w:pPr>
              <w:pStyle w:val="TableBodyText"/>
              <w:jc w:val="left"/>
              <w:rPr>
                <w:b/>
                <w:sz w:val="18"/>
                <w:szCs w:val="18"/>
              </w:rPr>
            </w:pPr>
            <w:r w:rsidRPr="006D71EC">
              <w:rPr>
                <w:b/>
                <w:sz w:val="18"/>
                <w:szCs w:val="18"/>
              </w:rPr>
              <w:t>Total</w:t>
            </w:r>
          </w:p>
        </w:tc>
        <w:tc>
          <w:tcPr>
            <w:tcW w:w="507" w:type="pct"/>
            <w:tcBorders>
              <w:bottom w:val="single" w:sz="4" w:space="0" w:color="auto"/>
            </w:tcBorders>
            <w:vAlign w:val="bottom"/>
          </w:tcPr>
          <w:p w:rsidR="008F025E" w:rsidRPr="00965648" w:rsidRDefault="008F025E" w:rsidP="005151A7">
            <w:pPr>
              <w:pStyle w:val="TableBodyText"/>
              <w:rPr>
                <w:b/>
                <w:sz w:val="18"/>
                <w:szCs w:val="18"/>
              </w:rPr>
            </w:pPr>
            <w:r w:rsidRPr="00965648">
              <w:rPr>
                <w:b/>
                <w:sz w:val="18"/>
                <w:szCs w:val="18"/>
              </w:rPr>
              <w:t>18.4</w:t>
            </w:r>
          </w:p>
        </w:tc>
        <w:tc>
          <w:tcPr>
            <w:tcW w:w="507" w:type="pct"/>
            <w:tcBorders>
              <w:bottom w:val="single" w:sz="4" w:space="0" w:color="auto"/>
            </w:tcBorders>
            <w:vAlign w:val="bottom"/>
          </w:tcPr>
          <w:p w:rsidR="008F025E" w:rsidRPr="00965648" w:rsidRDefault="008F025E" w:rsidP="005151A7">
            <w:pPr>
              <w:pStyle w:val="TableBodyText"/>
              <w:rPr>
                <w:b/>
                <w:sz w:val="18"/>
                <w:szCs w:val="18"/>
              </w:rPr>
            </w:pPr>
            <w:r w:rsidRPr="00965648">
              <w:rPr>
                <w:b/>
                <w:sz w:val="18"/>
                <w:szCs w:val="18"/>
              </w:rPr>
              <w:t>35.1</w:t>
            </w:r>
          </w:p>
        </w:tc>
        <w:tc>
          <w:tcPr>
            <w:tcW w:w="507" w:type="pct"/>
            <w:tcBorders>
              <w:bottom w:val="single" w:sz="4" w:space="0" w:color="auto"/>
            </w:tcBorders>
            <w:vAlign w:val="bottom"/>
          </w:tcPr>
          <w:p w:rsidR="008F025E" w:rsidRPr="00965648" w:rsidRDefault="008F025E" w:rsidP="005151A7">
            <w:pPr>
              <w:pStyle w:val="TableBodyText"/>
              <w:rPr>
                <w:b/>
                <w:sz w:val="18"/>
                <w:szCs w:val="18"/>
              </w:rPr>
            </w:pPr>
            <w:r w:rsidRPr="00965648">
              <w:rPr>
                <w:b/>
                <w:sz w:val="18"/>
                <w:szCs w:val="18"/>
              </w:rPr>
              <w:t>15.4</w:t>
            </w:r>
          </w:p>
        </w:tc>
        <w:tc>
          <w:tcPr>
            <w:tcW w:w="507" w:type="pct"/>
            <w:tcBorders>
              <w:bottom w:val="single" w:sz="4" w:space="0" w:color="auto"/>
            </w:tcBorders>
            <w:vAlign w:val="bottom"/>
          </w:tcPr>
          <w:p w:rsidR="008F025E" w:rsidRPr="00965648" w:rsidRDefault="008F025E" w:rsidP="005151A7">
            <w:pPr>
              <w:pStyle w:val="TableBodyText"/>
              <w:rPr>
                <w:b/>
                <w:sz w:val="18"/>
                <w:szCs w:val="18"/>
              </w:rPr>
            </w:pPr>
            <w:r w:rsidRPr="00965648">
              <w:rPr>
                <w:b/>
                <w:sz w:val="18"/>
                <w:szCs w:val="18"/>
              </w:rPr>
              <w:t>2.0</w:t>
            </w:r>
          </w:p>
        </w:tc>
        <w:tc>
          <w:tcPr>
            <w:tcW w:w="507" w:type="pct"/>
            <w:tcBorders>
              <w:bottom w:val="single" w:sz="4" w:space="0" w:color="auto"/>
            </w:tcBorders>
            <w:shd w:val="clear" w:color="auto" w:fill="auto"/>
            <w:vAlign w:val="bottom"/>
          </w:tcPr>
          <w:p w:rsidR="008F025E" w:rsidRPr="00965648" w:rsidRDefault="008F025E" w:rsidP="005151A7">
            <w:pPr>
              <w:pStyle w:val="TableBodyText"/>
              <w:rPr>
                <w:b/>
                <w:sz w:val="18"/>
                <w:szCs w:val="18"/>
              </w:rPr>
            </w:pPr>
            <w:r w:rsidRPr="00965648">
              <w:rPr>
                <w:b/>
                <w:sz w:val="18"/>
                <w:szCs w:val="18"/>
              </w:rPr>
              <w:noBreakHyphen/>
            </w:r>
          </w:p>
        </w:tc>
        <w:tc>
          <w:tcPr>
            <w:tcW w:w="505" w:type="pct"/>
            <w:tcBorders>
              <w:bottom w:val="single" w:sz="4" w:space="0" w:color="auto"/>
            </w:tcBorders>
            <w:shd w:val="clear" w:color="auto" w:fill="auto"/>
            <w:vAlign w:val="bottom"/>
          </w:tcPr>
          <w:p w:rsidR="008F025E" w:rsidRPr="00965648" w:rsidRDefault="008F025E" w:rsidP="005151A7">
            <w:pPr>
              <w:pStyle w:val="TableBodyText"/>
              <w:rPr>
                <w:b/>
                <w:sz w:val="18"/>
                <w:szCs w:val="18"/>
              </w:rPr>
            </w:pPr>
            <w:r w:rsidRPr="00965648">
              <w:rPr>
                <w:b/>
                <w:sz w:val="18"/>
                <w:szCs w:val="18"/>
              </w:rPr>
              <w:noBreakHyphen/>
            </w:r>
          </w:p>
        </w:tc>
      </w:tr>
    </w:tbl>
    <w:p w:rsidR="008F025E" w:rsidRPr="00F60026" w:rsidRDefault="008F025E" w:rsidP="008F025E">
      <w:pPr>
        <w:pStyle w:val="Source"/>
        <w:spacing w:after="0"/>
        <w:rPr>
          <w:i/>
        </w:rPr>
      </w:pPr>
      <w:r w:rsidRPr="00A2379F">
        <w:noBreakHyphen/>
        <w:t xml:space="preserve"> </w:t>
      </w:r>
      <w:r>
        <w:t>Nil</w:t>
      </w:r>
      <w:r w:rsidRPr="00A2379F">
        <w:t>.</w:t>
      </w:r>
      <w:r w:rsidRPr="006D71EC">
        <w:t xml:space="preserve"> </w:t>
      </w:r>
      <w:r w:rsidRPr="009B56F1">
        <w:rPr>
          <w:rStyle w:val="NoteLabel"/>
        </w:rPr>
        <w:t>a</w:t>
      </w:r>
      <w:r w:rsidRPr="009B56F1">
        <w:t xml:space="preserve"> Unallocated includes general programs where detai</w:t>
      </w:r>
      <w:r>
        <w:t>ls of beneficiaries are unknown.</w:t>
      </w:r>
    </w:p>
    <w:p w:rsidR="008F025E" w:rsidRDefault="008F025E" w:rsidP="008F025E">
      <w:pPr>
        <w:pStyle w:val="Source"/>
      </w:pPr>
      <w:r>
        <w:rPr>
          <w:i/>
        </w:rPr>
        <w:t>Sources</w:t>
      </w:r>
      <w:r>
        <w:t>: Commission estimates based on DIISR Annual Report 2007</w:t>
      </w:r>
      <w:r>
        <w:noBreakHyphen/>
        <w:t>08; Department of Industry, Tourism and Resources Annual Report 2006</w:t>
      </w:r>
      <w:r>
        <w:noBreakHyphen/>
        <w:t>07; and detailed DIISR data by ANZSIC industry.</w:t>
      </w:r>
    </w:p>
    <w:p w:rsidR="00C26E82" w:rsidRPr="00C26E82" w:rsidRDefault="00C26E82" w:rsidP="00C26E82">
      <w:r>
        <w:br w:type="page"/>
      </w:r>
    </w:p>
    <w:p w:rsidR="000C2BF4" w:rsidRDefault="00FA09C3" w:rsidP="000C2BF4">
      <w:pPr>
        <w:pStyle w:val="Heading2"/>
      </w:pPr>
      <w:r>
        <w:t>A.</w:t>
      </w:r>
      <w:r>
        <w:rPr>
          <w:noProof/>
        </w:rPr>
        <w:t>156</w:t>
      </w:r>
      <w:r w:rsidR="000C2BF4">
        <w:tab/>
        <w:t>Small Business Program</w:t>
      </w:r>
    </w:p>
    <w:p w:rsidR="000C2BF4" w:rsidRDefault="000C2BF4" w:rsidP="000C2BF4">
      <w:pPr>
        <w:pStyle w:val="BodyText"/>
      </w:pPr>
      <w:r>
        <w:t xml:space="preserve">The Small Business Program, or Building Entrepreneurship in Small Business Program, provided competitive, merit-based grants to organisations to improve the business skills of Australian small business owners and managers. The Australian Government’s intended purpose of the program was to facilitate entrepreneurship to maximise the growth potential and sustainability of small business </w:t>
      </w:r>
      <w:r w:rsidRPr="00EC76CA">
        <w:t>(</w:t>
      </w:r>
      <w:r w:rsidRPr="00C305B5">
        <w:t>DIISR 2010</w:t>
      </w:r>
      <w:r w:rsidRPr="00EC76CA">
        <w:t>)</w:t>
      </w:r>
      <w:r>
        <w:t xml:space="preserve">. </w:t>
      </w:r>
      <w:r w:rsidRPr="00723D00">
        <w:t>The program was not funded for any new grants beyond 30</w:t>
      </w:r>
      <w:r>
        <w:t> </w:t>
      </w:r>
      <w:r w:rsidRPr="00723D00">
        <w:t>June</w:t>
      </w:r>
      <w:r>
        <w:t> </w:t>
      </w:r>
      <w:r w:rsidRPr="00723D00">
        <w:t>2008, and funding for the program terminated on</w:t>
      </w:r>
      <w:r>
        <w:t xml:space="preserve"> </w:t>
      </w:r>
      <w:r w:rsidRPr="00723D00">
        <w:t>30</w:t>
      </w:r>
      <w:r>
        <w:t> </w:t>
      </w:r>
      <w:r w:rsidRPr="00723D00">
        <w:t>June</w:t>
      </w:r>
      <w:r>
        <w:t> </w:t>
      </w:r>
      <w:r w:rsidRPr="00723D00">
        <w:t>2010.</w:t>
      </w:r>
    </w:p>
    <w:p w:rsidR="000C2BF4" w:rsidRDefault="000C2BF4" w:rsidP="000C2BF4">
      <w:pPr>
        <w:pStyle w:val="BodyText"/>
      </w:pPr>
      <w:r>
        <w:t xml:space="preserve">The Commission has obtained information from the Department of Innovation, Industry, Science and Research detailing program funding according to ANZSIC industry. This information has been used to allocate total program expenditure, as published in </w:t>
      </w:r>
      <w:r w:rsidR="00214962">
        <w:t xml:space="preserve">the Department’s </w:t>
      </w:r>
      <w:r>
        <w:t>annual report, to the Commission’s ANZSIC-based industry groupings (table A.15</w:t>
      </w:r>
      <w:r w:rsidR="00C065C1">
        <w:t>6</w:t>
      </w:r>
      <w:r>
        <w:t>).</w:t>
      </w:r>
    </w:p>
    <w:p w:rsidR="000C2BF4" w:rsidRDefault="000C2BF4" w:rsidP="000C2BF4">
      <w:pPr>
        <w:pStyle w:val="TableTitle"/>
      </w:pPr>
      <w:r>
        <w:rPr>
          <w:b w:val="0"/>
        </w:rPr>
        <w:t xml:space="preserve">Table </w:t>
      </w:r>
      <w:r w:rsidR="00FA09C3">
        <w:rPr>
          <w:b w:val="0"/>
        </w:rPr>
        <w:t>A.</w:t>
      </w:r>
      <w:r w:rsidR="00FA09C3">
        <w:rPr>
          <w:b w:val="0"/>
          <w:noProof/>
        </w:rPr>
        <w:t>156</w:t>
      </w:r>
      <w:r>
        <w:tab/>
        <w:t xml:space="preserve">Allocation of Small Business Program </w:t>
      </w:r>
      <w:r w:rsidR="00E471E2" w:rsidRPr="00E471E2">
        <w:t>to industry</w:t>
      </w:r>
      <w:r>
        <w:t>, 2006</w:t>
      </w:r>
      <w:r>
        <w:noBreakHyphen/>
        <w:t>07 to 2011</w:t>
      </w:r>
      <w:r>
        <w:noBreakHyphen/>
        <w:t>12</w:t>
      </w:r>
    </w:p>
    <w:p w:rsidR="000C2BF4" w:rsidRDefault="000C2BF4" w:rsidP="000C2BF4">
      <w:pPr>
        <w:pStyle w:val="Subtitle"/>
      </w:pPr>
      <w:r>
        <w:t>$ million (nominal)</w:t>
      </w:r>
    </w:p>
    <w:tbl>
      <w:tblPr>
        <w:tblW w:w="5000" w:type="pct"/>
        <w:tblCellMar>
          <w:left w:w="0" w:type="dxa"/>
          <w:right w:w="0" w:type="dxa"/>
        </w:tblCellMar>
        <w:tblLook w:val="0000" w:firstRow="0" w:lastRow="0" w:firstColumn="0" w:lastColumn="0" w:noHBand="0" w:noVBand="0"/>
      </w:tblPr>
      <w:tblGrid>
        <w:gridCol w:w="3443"/>
        <w:gridCol w:w="893"/>
        <w:gridCol w:w="893"/>
        <w:gridCol w:w="893"/>
        <w:gridCol w:w="893"/>
        <w:gridCol w:w="893"/>
        <w:gridCol w:w="881"/>
      </w:tblGrid>
      <w:tr w:rsidR="000C2BF4" w:rsidRPr="00A24299" w:rsidTr="005151A7">
        <w:trPr>
          <w:trHeight w:val="227"/>
        </w:trPr>
        <w:tc>
          <w:tcPr>
            <w:tcW w:w="1959" w:type="pct"/>
            <w:tcBorders>
              <w:top w:val="single" w:sz="6" w:space="0" w:color="auto"/>
              <w:bottom w:val="single" w:sz="6" w:space="0" w:color="auto"/>
            </w:tcBorders>
          </w:tcPr>
          <w:p w:rsidR="000C2BF4" w:rsidRPr="00D73AF8" w:rsidRDefault="000C2BF4" w:rsidP="005151A7">
            <w:pPr>
              <w:pStyle w:val="TableColumnHeading"/>
              <w:jc w:val="left"/>
              <w:rPr>
                <w:sz w:val="18"/>
                <w:szCs w:val="18"/>
              </w:rPr>
            </w:pPr>
            <w:r w:rsidRPr="00D73AF8">
              <w:rPr>
                <w:sz w:val="18"/>
                <w:szCs w:val="18"/>
              </w:rPr>
              <w:t>Industry grouping</w:t>
            </w:r>
          </w:p>
        </w:tc>
        <w:tc>
          <w:tcPr>
            <w:tcW w:w="508" w:type="pct"/>
            <w:tcBorders>
              <w:top w:val="single" w:sz="6" w:space="0" w:color="auto"/>
              <w:bottom w:val="single" w:sz="6" w:space="0" w:color="auto"/>
            </w:tcBorders>
          </w:tcPr>
          <w:p w:rsidR="000C2BF4" w:rsidRPr="00D73AF8" w:rsidRDefault="000C2BF4" w:rsidP="005151A7">
            <w:pPr>
              <w:pStyle w:val="TableColumnHeading"/>
              <w:ind w:right="28"/>
              <w:rPr>
                <w:sz w:val="18"/>
                <w:szCs w:val="18"/>
              </w:rPr>
            </w:pPr>
            <w:r w:rsidRPr="00D73AF8">
              <w:rPr>
                <w:sz w:val="18"/>
                <w:szCs w:val="18"/>
              </w:rPr>
              <w:t>2006-07</w:t>
            </w:r>
          </w:p>
        </w:tc>
        <w:tc>
          <w:tcPr>
            <w:tcW w:w="508" w:type="pct"/>
            <w:tcBorders>
              <w:top w:val="single" w:sz="6" w:space="0" w:color="auto"/>
              <w:bottom w:val="single" w:sz="6" w:space="0" w:color="auto"/>
            </w:tcBorders>
          </w:tcPr>
          <w:p w:rsidR="000C2BF4" w:rsidRPr="00D73AF8" w:rsidRDefault="000C2BF4" w:rsidP="005151A7">
            <w:pPr>
              <w:pStyle w:val="TableColumnHeading"/>
              <w:ind w:right="28"/>
              <w:rPr>
                <w:sz w:val="18"/>
                <w:szCs w:val="18"/>
              </w:rPr>
            </w:pPr>
            <w:r w:rsidRPr="00D73AF8">
              <w:rPr>
                <w:sz w:val="18"/>
                <w:szCs w:val="18"/>
              </w:rPr>
              <w:t>2007-08</w:t>
            </w:r>
          </w:p>
        </w:tc>
        <w:tc>
          <w:tcPr>
            <w:tcW w:w="508" w:type="pct"/>
            <w:tcBorders>
              <w:top w:val="single" w:sz="6" w:space="0" w:color="auto"/>
              <w:bottom w:val="single" w:sz="6" w:space="0" w:color="auto"/>
            </w:tcBorders>
          </w:tcPr>
          <w:p w:rsidR="000C2BF4" w:rsidRPr="00D73AF8" w:rsidRDefault="000C2BF4" w:rsidP="005151A7">
            <w:pPr>
              <w:pStyle w:val="TableColumnHeading"/>
              <w:ind w:right="28"/>
              <w:rPr>
                <w:sz w:val="18"/>
                <w:szCs w:val="18"/>
              </w:rPr>
            </w:pPr>
            <w:r w:rsidRPr="00D73AF8">
              <w:rPr>
                <w:sz w:val="18"/>
                <w:szCs w:val="18"/>
              </w:rPr>
              <w:t>2008-09</w:t>
            </w:r>
          </w:p>
        </w:tc>
        <w:tc>
          <w:tcPr>
            <w:tcW w:w="508" w:type="pct"/>
            <w:tcBorders>
              <w:top w:val="single" w:sz="6" w:space="0" w:color="auto"/>
              <w:bottom w:val="single" w:sz="6" w:space="0" w:color="auto"/>
            </w:tcBorders>
            <w:shd w:val="clear" w:color="auto" w:fill="auto"/>
          </w:tcPr>
          <w:p w:rsidR="000C2BF4" w:rsidRPr="00D73AF8" w:rsidRDefault="000C2BF4" w:rsidP="005151A7">
            <w:pPr>
              <w:pStyle w:val="TableColumnHeading"/>
              <w:ind w:right="28"/>
              <w:rPr>
                <w:sz w:val="18"/>
                <w:szCs w:val="18"/>
              </w:rPr>
            </w:pPr>
            <w:r w:rsidRPr="00D73AF8">
              <w:rPr>
                <w:sz w:val="18"/>
                <w:szCs w:val="18"/>
              </w:rPr>
              <w:t>2009-10</w:t>
            </w:r>
          </w:p>
        </w:tc>
        <w:tc>
          <w:tcPr>
            <w:tcW w:w="508" w:type="pct"/>
            <w:tcBorders>
              <w:top w:val="single" w:sz="6" w:space="0" w:color="auto"/>
              <w:bottom w:val="single" w:sz="6" w:space="0" w:color="auto"/>
            </w:tcBorders>
            <w:shd w:val="clear" w:color="auto" w:fill="auto"/>
          </w:tcPr>
          <w:p w:rsidR="000C2BF4" w:rsidRPr="00D73AF8" w:rsidRDefault="000C2BF4" w:rsidP="005151A7">
            <w:pPr>
              <w:pStyle w:val="TableColumnHeading"/>
              <w:ind w:right="28"/>
              <w:rPr>
                <w:sz w:val="18"/>
                <w:szCs w:val="18"/>
              </w:rPr>
            </w:pPr>
            <w:r w:rsidRPr="00D73AF8">
              <w:rPr>
                <w:sz w:val="18"/>
                <w:szCs w:val="18"/>
              </w:rPr>
              <w:t>2010-11</w:t>
            </w:r>
          </w:p>
        </w:tc>
        <w:tc>
          <w:tcPr>
            <w:tcW w:w="501" w:type="pct"/>
            <w:tcBorders>
              <w:top w:val="single" w:sz="6" w:space="0" w:color="auto"/>
              <w:bottom w:val="single" w:sz="6" w:space="0" w:color="auto"/>
            </w:tcBorders>
            <w:shd w:val="clear" w:color="auto" w:fill="auto"/>
          </w:tcPr>
          <w:p w:rsidR="000C2BF4" w:rsidRPr="00D73AF8" w:rsidRDefault="000C2BF4" w:rsidP="005151A7">
            <w:pPr>
              <w:pStyle w:val="TableColumnHeading"/>
              <w:ind w:right="28"/>
              <w:rPr>
                <w:sz w:val="18"/>
                <w:szCs w:val="18"/>
              </w:rPr>
            </w:pPr>
            <w:r w:rsidRPr="00D73AF8">
              <w:rPr>
                <w:sz w:val="18"/>
                <w:szCs w:val="18"/>
              </w:rPr>
              <w:t>2011-12</w:t>
            </w:r>
          </w:p>
        </w:tc>
      </w:tr>
      <w:tr w:rsidR="000C2BF4" w:rsidTr="005151A7">
        <w:trPr>
          <w:trHeight w:val="227"/>
        </w:trPr>
        <w:tc>
          <w:tcPr>
            <w:tcW w:w="1959" w:type="pct"/>
            <w:tcBorders>
              <w:top w:val="single" w:sz="6" w:space="0" w:color="auto"/>
            </w:tcBorders>
            <w:vAlign w:val="bottom"/>
          </w:tcPr>
          <w:p w:rsidR="000C2BF4" w:rsidRPr="007546E2" w:rsidRDefault="000C2BF4" w:rsidP="005151A7">
            <w:pPr>
              <w:pStyle w:val="TableBodyText"/>
              <w:jc w:val="left"/>
              <w:rPr>
                <w:b/>
                <w:sz w:val="18"/>
                <w:szCs w:val="18"/>
              </w:rPr>
            </w:pPr>
            <w:r w:rsidRPr="007546E2">
              <w:rPr>
                <w:b/>
                <w:sz w:val="18"/>
                <w:szCs w:val="18"/>
              </w:rPr>
              <w:t>Services</w:t>
            </w:r>
          </w:p>
        </w:tc>
        <w:tc>
          <w:tcPr>
            <w:tcW w:w="508" w:type="pct"/>
            <w:tcBorders>
              <w:top w:val="single" w:sz="6" w:space="0" w:color="auto"/>
            </w:tcBorders>
            <w:vAlign w:val="bottom"/>
          </w:tcPr>
          <w:p w:rsidR="000C2BF4" w:rsidRPr="00531696" w:rsidRDefault="000C2BF4" w:rsidP="005151A7">
            <w:pPr>
              <w:pStyle w:val="TableBodyText"/>
              <w:rPr>
                <w:b/>
                <w:sz w:val="18"/>
                <w:szCs w:val="18"/>
              </w:rPr>
            </w:pPr>
            <w:r w:rsidRPr="00531696">
              <w:rPr>
                <w:b/>
                <w:sz w:val="18"/>
                <w:szCs w:val="18"/>
              </w:rPr>
              <w:t>17.0</w:t>
            </w:r>
          </w:p>
        </w:tc>
        <w:tc>
          <w:tcPr>
            <w:tcW w:w="508" w:type="pct"/>
            <w:tcBorders>
              <w:top w:val="single" w:sz="6" w:space="0" w:color="auto"/>
            </w:tcBorders>
            <w:vAlign w:val="bottom"/>
          </w:tcPr>
          <w:p w:rsidR="000C2BF4" w:rsidRPr="00531696" w:rsidRDefault="000C2BF4" w:rsidP="005151A7">
            <w:pPr>
              <w:pStyle w:val="TableBodyText"/>
              <w:rPr>
                <w:b/>
                <w:sz w:val="18"/>
                <w:szCs w:val="18"/>
              </w:rPr>
            </w:pPr>
            <w:r w:rsidRPr="00531696">
              <w:rPr>
                <w:b/>
                <w:sz w:val="18"/>
                <w:szCs w:val="18"/>
              </w:rPr>
              <w:t>13.5</w:t>
            </w:r>
          </w:p>
        </w:tc>
        <w:tc>
          <w:tcPr>
            <w:tcW w:w="508" w:type="pct"/>
            <w:tcBorders>
              <w:top w:val="single" w:sz="6" w:space="0" w:color="auto"/>
            </w:tcBorders>
            <w:vAlign w:val="bottom"/>
          </w:tcPr>
          <w:p w:rsidR="000C2BF4" w:rsidRPr="00531696" w:rsidRDefault="000C2BF4" w:rsidP="005151A7">
            <w:pPr>
              <w:pStyle w:val="TableBodyText"/>
              <w:rPr>
                <w:b/>
                <w:sz w:val="18"/>
                <w:szCs w:val="18"/>
              </w:rPr>
            </w:pPr>
            <w:r w:rsidRPr="00531696">
              <w:rPr>
                <w:b/>
                <w:sz w:val="18"/>
                <w:szCs w:val="18"/>
              </w:rPr>
              <w:t>3.5</w:t>
            </w:r>
          </w:p>
        </w:tc>
        <w:tc>
          <w:tcPr>
            <w:tcW w:w="508" w:type="pct"/>
            <w:tcBorders>
              <w:top w:val="single" w:sz="6" w:space="0" w:color="auto"/>
            </w:tcBorders>
            <w:vAlign w:val="bottom"/>
          </w:tcPr>
          <w:p w:rsidR="000C2BF4" w:rsidRPr="00531696" w:rsidRDefault="000C2BF4" w:rsidP="005151A7">
            <w:pPr>
              <w:pStyle w:val="TableBodyText"/>
              <w:rPr>
                <w:b/>
                <w:sz w:val="18"/>
                <w:szCs w:val="18"/>
              </w:rPr>
            </w:pPr>
            <w:r w:rsidRPr="00531696">
              <w:rPr>
                <w:b/>
                <w:sz w:val="18"/>
                <w:szCs w:val="18"/>
              </w:rPr>
              <w:t>1.7</w:t>
            </w:r>
          </w:p>
        </w:tc>
        <w:tc>
          <w:tcPr>
            <w:tcW w:w="508" w:type="pct"/>
            <w:tcBorders>
              <w:top w:val="single" w:sz="6" w:space="0" w:color="auto"/>
            </w:tcBorders>
            <w:vAlign w:val="bottom"/>
          </w:tcPr>
          <w:p w:rsidR="000C2BF4" w:rsidRPr="00531696" w:rsidRDefault="000C2BF4" w:rsidP="005151A7">
            <w:pPr>
              <w:pStyle w:val="TableBodyText"/>
              <w:rPr>
                <w:b/>
                <w:sz w:val="18"/>
                <w:szCs w:val="18"/>
              </w:rPr>
            </w:pPr>
            <w:r w:rsidRPr="00531696">
              <w:rPr>
                <w:b/>
                <w:sz w:val="18"/>
                <w:szCs w:val="18"/>
              </w:rPr>
              <w:noBreakHyphen/>
            </w:r>
          </w:p>
        </w:tc>
        <w:tc>
          <w:tcPr>
            <w:tcW w:w="501" w:type="pct"/>
            <w:tcBorders>
              <w:top w:val="single" w:sz="6" w:space="0" w:color="auto"/>
            </w:tcBorders>
            <w:vAlign w:val="bottom"/>
          </w:tcPr>
          <w:p w:rsidR="000C2BF4" w:rsidRPr="00531696" w:rsidRDefault="000C2BF4" w:rsidP="005151A7">
            <w:pPr>
              <w:pStyle w:val="TableBodyText"/>
              <w:rPr>
                <w:b/>
                <w:sz w:val="18"/>
                <w:szCs w:val="18"/>
              </w:rPr>
            </w:pPr>
            <w:r w:rsidRPr="00531696">
              <w:rPr>
                <w:b/>
                <w:sz w:val="18"/>
                <w:szCs w:val="18"/>
              </w:rPr>
              <w:noBreakHyphen/>
            </w:r>
          </w:p>
        </w:tc>
      </w:tr>
      <w:tr w:rsidR="000C2BF4" w:rsidTr="005151A7">
        <w:trPr>
          <w:trHeight w:val="227"/>
        </w:trPr>
        <w:tc>
          <w:tcPr>
            <w:tcW w:w="1959" w:type="pct"/>
            <w:vAlign w:val="bottom"/>
          </w:tcPr>
          <w:p w:rsidR="000C2BF4" w:rsidRPr="007546E2" w:rsidRDefault="000C2BF4" w:rsidP="007546E2">
            <w:pPr>
              <w:pStyle w:val="TableBodyText"/>
              <w:ind w:left="0"/>
              <w:jc w:val="left"/>
              <w:rPr>
                <w:sz w:val="18"/>
                <w:szCs w:val="18"/>
              </w:rPr>
            </w:pPr>
            <w:r w:rsidRPr="007546E2">
              <w:rPr>
                <w:sz w:val="18"/>
                <w:szCs w:val="18"/>
              </w:rPr>
              <w:t>Construction</w:t>
            </w:r>
          </w:p>
        </w:tc>
        <w:tc>
          <w:tcPr>
            <w:tcW w:w="508" w:type="pct"/>
            <w:vAlign w:val="bottom"/>
          </w:tcPr>
          <w:p w:rsidR="000C2BF4" w:rsidRPr="00531696" w:rsidRDefault="000C2BF4" w:rsidP="005151A7">
            <w:pPr>
              <w:pStyle w:val="TableBodyText"/>
              <w:rPr>
                <w:sz w:val="18"/>
                <w:szCs w:val="18"/>
              </w:rPr>
            </w:pPr>
            <w:r w:rsidRPr="00531696">
              <w:rPr>
                <w:sz w:val="18"/>
                <w:szCs w:val="18"/>
              </w:rPr>
              <w:t>0.9</w:t>
            </w:r>
          </w:p>
        </w:tc>
        <w:tc>
          <w:tcPr>
            <w:tcW w:w="508" w:type="pct"/>
            <w:vAlign w:val="bottom"/>
          </w:tcPr>
          <w:p w:rsidR="000C2BF4" w:rsidRPr="00531696" w:rsidRDefault="000C2BF4" w:rsidP="005151A7">
            <w:pPr>
              <w:pStyle w:val="TableBodyText"/>
              <w:rPr>
                <w:sz w:val="18"/>
                <w:szCs w:val="18"/>
              </w:rPr>
            </w:pPr>
            <w:r>
              <w:rPr>
                <w:sz w:val="18"/>
                <w:szCs w:val="18"/>
              </w:rPr>
              <w:noBreakHyphen/>
            </w:r>
          </w:p>
        </w:tc>
        <w:tc>
          <w:tcPr>
            <w:tcW w:w="508" w:type="pct"/>
            <w:vAlign w:val="bottom"/>
          </w:tcPr>
          <w:p w:rsidR="000C2BF4" w:rsidRPr="00531696" w:rsidRDefault="000C2BF4" w:rsidP="005151A7">
            <w:pPr>
              <w:pStyle w:val="TableBodyText"/>
              <w:rPr>
                <w:sz w:val="18"/>
                <w:szCs w:val="18"/>
              </w:rPr>
            </w:pPr>
            <w:r w:rsidRPr="00531696">
              <w:rPr>
                <w:sz w:val="18"/>
                <w:szCs w:val="18"/>
              </w:rPr>
              <w:t>0.1</w:t>
            </w:r>
          </w:p>
        </w:tc>
        <w:tc>
          <w:tcPr>
            <w:tcW w:w="508" w:type="pct"/>
            <w:shd w:val="clear" w:color="auto" w:fill="auto"/>
            <w:vAlign w:val="bottom"/>
          </w:tcPr>
          <w:p w:rsidR="000C2BF4" w:rsidRPr="00531696" w:rsidRDefault="000C2BF4" w:rsidP="005151A7">
            <w:pPr>
              <w:pStyle w:val="TableBodyText"/>
              <w:rPr>
                <w:sz w:val="18"/>
                <w:szCs w:val="18"/>
              </w:rPr>
            </w:pPr>
            <w:r>
              <w:rPr>
                <w:sz w:val="18"/>
                <w:szCs w:val="18"/>
              </w:rPr>
              <w:t>&lt;</w:t>
            </w:r>
            <w:r w:rsidRPr="00531696">
              <w:rPr>
                <w:sz w:val="18"/>
                <w:szCs w:val="18"/>
              </w:rPr>
              <w:t>0.1</w:t>
            </w:r>
          </w:p>
        </w:tc>
        <w:tc>
          <w:tcPr>
            <w:tcW w:w="508" w:type="pct"/>
            <w:shd w:val="clear" w:color="auto" w:fill="auto"/>
            <w:vAlign w:val="bottom"/>
          </w:tcPr>
          <w:p w:rsidR="000C2BF4" w:rsidRPr="00531696" w:rsidRDefault="000C2BF4" w:rsidP="005151A7">
            <w:pPr>
              <w:pStyle w:val="TableBodyText"/>
              <w:rPr>
                <w:sz w:val="18"/>
                <w:szCs w:val="18"/>
              </w:rPr>
            </w:pPr>
            <w:r>
              <w:rPr>
                <w:sz w:val="18"/>
                <w:szCs w:val="18"/>
              </w:rPr>
              <w:noBreakHyphen/>
            </w:r>
          </w:p>
        </w:tc>
        <w:tc>
          <w:tcPr>
            <w:tcW w:w="501" w:type="pct"/>
            <w:shd w:val="clear" w:color="auto" w:fill="auto"/>
            <w:vAlign w:val="bottom"/>
          </w:tcPr>
          <w:p w:rsidR="000C2BF4" w:rsidRPr="00531696" w:rsidRDefault="000C2BF4" w:rsidP="005151A7">
            <w:pPr>
              <w:pStyle w:val="TableBodyText"/>
              <w:rPr>
                <w:sz w:val="18"/>
                <w:szCs w:val="18"/>
              </w:rPr>
            </w:pPr>
            <w:r>
              <w:rPr>
                <w:sz w:val="18"/>
                <w:szCs w:val="18"/>
              </w:rPr>
              <w:noBreakHyphen/>
            </w:r>
          </w:p>
        </w:tc>
      </w:tr>
      <w:tr w:rsidR="000C2BF4" w:rsidTr="005151A7">
        <w:trPr>
          <w:trHeight w:val="227"/>
        </w:trPr>
        <w:tc>
          <w:tcPr>
            <w:tcW w:w="1959" w:type="pct"/>
            <w:vAlign w:val="bottom"/>
          </w:tcPr>
          <w:p w:rsidR="000C2BF4" w:rsidRPr="007546E2" w:rsidRDefault="000C2BF4" w:rsidP="007546E2">
            <w:pPr>
              <w:pStyle w:val="TableBodyText"/>
              <w:ind w:left="0"/>
              <w:jc w:val="left"/>
              <w:rPr>
                <w:sz w:val="18"/>
                <w:szCs w:val="18"/>
              </w:rPr>
            </w:pPr>
            <w:r w:rsidRPr="007546E2">
              <w:rPr>
                <w:sz w:val="18"/>
                <w:szCs w:val="18"/>
              </w:rPr>
              <w:t>Financial and insurance services</w:t>
            </w:r>
          </w:p>
        </w:tc>
        <w:tc>
          <w:tcPr>
            <w:tcW w:w="508" w:type="pct"/>
            <w:vAlign w:val="bottom"/>
          </w:tcPr>
          <w:p w:rsidR="000C2BF4" w:rsidRPr="00531696" w:rsidRDefault="000C2BF4" w:rsidP="005151A7">
            <w:pPr>
              <w:pStyle w:val="TableBodyText"/>
              <w:rPr>
                <w:sz w:val="18"/>
                <w:szCs w:val="18"/>
              </w:rPr>
            </w:pPr>
            <w:r>
              <w:rPr>
                <w:sz w:val="18"/>
                <w:szCs w:val="18"/>
              </w:rPr>
              <w:noBreakHyphen/>
            </w:r>
          </w:p>
        </w:tc>
        <w:tc>
          <w:tcPr>
            <w:tcW w:w="508" w:type="pct"/>
            <w:vAlign w:val="bottom"/>
          </w:tcPr>
          <w:p w:rsidR="000C2BF4" w:rsidRPr="00531696" w:rsidRDefault="000C2BF4" w:rsidP="005151A7">
            <w:pPr>
              <w:pStyle w:val="TableBodyText"/>
              <w:rPr>
                <w:sz w:val="18"/>
                <w:szCs w:val="18"/>
              </w:rPr>
            </w:pPr>
            <w:r>
              <w:rPr>
                <w:sz w:val="18"/>
                <w:szCs w:val="18"/>
              </w:rPr>
              <w:noBreakHyphen/>
            </w:r>
          </w:p>
        </w:tc>
        <w:tc>
          <w:tcPr>
            <w:tcW w:w="508" w:type="pct"/>
            <w:vAlign w:val="bottom"/>
          </w:tcPr>
          <w:p w:rsidR="000C2BF4" w:rsidRPr="00531696" w:rsidRDefault="000C2BF4" w:rsidP="005151A7">
            <w:pPr>
              <w:pStyle w:val="TableBodyText"/>
              <w:rPr>
                <w:sz w:val="18"/>
                <w:szCs w:val="18"/>
              </w:rPr>
            </w:pPr>
            <w:r w:rsidRPr="00531696">
              <w:rPr>
                <w:sz w:val="18"/>
                <w:szCs w:val="18"/>
              </w:rPr>
              <w:t>0.1</w:t>
            </w:r>
          </w:p>
        </w:tc>
        <w:tc>
          <w:tcPr>
            <w:tcW w:w="508" w:type="pct"/>
            <w:shd w:val="clear" w:color="auto" w:fill="auto"/>
            <w:vAlign w:val="bottom"/>
          </w:tcPr>
          <w:p w:rsidR="000C2BF4" w:rsidRPr="00531696" w:rsidRDefault="000C2BF4" w:rsidP="005151A7">
            <w:pPr>
              <w:pStyle w:val="TableBodyText"/>
              <w:rPr>
                <w:sz w:val="18"/>
                <w:szCs w:val="18"/>
              </w:rPr>
            </w:pPr>
            <w:r>
              <w:rPr>
                <w:sz w:val="18"/>
                <w:szCs w:val="18"/>
              </w:rPr>
              <w:t>&lt;</w:t>
            </w:r>
            <w:r w:rsidRPr="00531696">
              <w:rPr>
                <w:sz w:val="18"/>
                <w:szCs w:val="18"/>
              </w:rPr>
              <w:t>0.1</w:t>
            </w:r>
          </w:p>
        </w:tc>
        <w:tc>
          <w:tcPr>
            <w:tcW w:w="508" w:type="pct"/>
            <w:shd w:val="clear" w:color="auto" w:fill="auto"/>
            <w:vAlign w:val="bottom"/>
          </w:tcPr>
          <w:p w:rsidR="000C2BF4" w:rsidRPr="00531696" w:rsidRDefault="000C2BF4" w:rsidP="005151A7">
            <w:pPr>
              <w:pStyle w:val="TableBodyText"/>
              <w:rPr>
                <w:sz w:val="18"/>
                <w:szCs w:val="18"/>
              </w:rPr>
            </w:pPr>
            <w:r>
              <w:rPr>
                <w:sz w:val="18"/>
                <w:szCs w:val="18"/>
              </w:rPr>
              <w:noBreakHyphen/>
            </w:r>
          </w:p>
        </w:tc>
        <w:tc>
          <w:tcPr>
            <w:tcW w:w="501" w:type="pct"/>
            <w:shd w:val="clear" w:color="auto" w:fill="auto"/>
            <w:vAlign w:val="bottom"/>
          </w:tcPr>
          <w:p w:rsidR="000C2BF4" w:rsidRPr="00531696" w:rsidRDefault="000C2BF4" w:rsidP="005151A7">
            <w:pPr>
              <w:pStyle w:val="TableBodyText"/>
              <w:rPr>
                <w:sz w:val="18"/>
                <w:szCs w:val="18"/>
              </w:rPr>
            </w:pPr>
            <w:r>
              <w:rPr>
                <w:sz w:val="18"/>
                <w:szCs w:val="18"/>
              </w:rPr>
              <w:noBreakHyphen/>
            </w:r>
          </w:p>
        </w:tc>
      </w:tr>
      <w:tr w:rsidR="000C2BF4" w:rsidTr="005151A7">
        <w:trPr>
          <w:trHeight w:val="227"/>
        </w:trPr>
        <w:tc>
          <w:tcPr>
            <w:tcW w:w="1959" w:type="pct"/>
            <w:vAlign w:val="bottom"/>
          </w:tcPr>
          <w:p w:rsidR="000C2BF4" w:rsidRPr="007546E2" w:rsidRDefault="000C2BF4" w:rsidP="007546E2">
            <w:pPr>
              <w:pStyle w:val="TableBodyText"/>
              <w:ind w:left="0"/>
              <w:jc w:val="left"/>
              <w:rPr>
                <w:sz w:val="18"/>
                <w:szCs w:val="18"/>
              </w:rPr>
            </w:pPr>
            <w:r w:rsidRPr="007546E2">
              <w:rPr>
                <w:sz w:val="18"/>
                <w:szCs w:val="18"/>
              </w:rPr>
              <w:t>Property, professional and administrative services</w:t>
            </w:r>
          </w:p>
        </w:tc>
        <w:tc>
          <w:tcPr>
            <w:tcW w:w="508" w:type="pct"/>
            <w:vAlign w:val="bottom"/>
          </w:tcPr>
          <w:p w:rsidR="000C2BF4" w:rsidRPr="00531696" w:rsidRDefault="000C2BF4" w:rsidP="005151A7">
            <w:pPr>
              <w:pStyle w:val="TableBodyText"/>
              <w:rPr>
                <w:sz w:val="18"/>
                <w:szCs w:val="18"/>
              </w:rPr>
            </w:pPr>
            <w:r w:rsidRPr="00531696">
              <w:rPr>
                <w:sz w:val="18"/>
                <w:szCs w:val="18"/>
              </w:rPr>
              <w:t>6.8</w:t>
            </w:r>
          </w:p>
        </w:tc>
        <w:tc>
          <w:tcPr>
            <w:tcW w:w="508" w:type="pct"/>
            <w:vAlign w:val="bottom"/>
          </w:tcPr>
          <w:p w:rsidR="000C2BF4" w:rsidRPr="00531696" w:rsidRDefault="000C2BF4" w:rsidP="005151A7">
            <w:pPr>
              <w:pStyle w:val="TableBodyText"/>
              <w:rPr>
                <w:sz w:val="18"/>
                <w:szCs w:val="18"/>
              </w:rPr>
            </w:pPr>
            <w:r w:rsidRPr="00531696">
              <w:rPr>
                <w:sz w:val="18"/>
                <w:szCs w:val="18"/>
              </w:rPr>
              <w:t>10.6</w:t>
            </w:r>
          </w:p>
        </w:tc>
        <w:tc>
          <w:tcPr>
            <w:tcW w:w="508" w:type="pct"/>
            <w:vAlign w:val="bottom"/>
          </w:tcPr>
          <w:p w:rsidR="000C2BF4" w:rsidRPr="00531696" w:rsidRDefault="000C2BF4" w:rsidP="005151A7">
            <w:pPr>
              <w:pStyle w:val="TableBodyText"/>
              <w:rPr>
                <w:sz w:val="18"/>
                <w:szCs w:val="18"/>
              </w:rPr>
            </w:pPr>
            <w:r w:rsidRPr="00531696">
              <w:rPr>
                <w:sz w:val="18"/>
                <w:szCs w:val="18"/>
              </w:rPr>
              <w:t>1.2</w:t>
            </w:r>
          </w:p>
        </w:tc>
        <w:tc>
          <w:tcPr>
            <w:tcW w:w="508" w:type="pct"/>
            <w:shd w:val="clear" w:color="auto" w:fill="auto"/>
            <w:vAlign w:val="bottom"/>
          </w:tcPr>
          <w:p w:rsidR="000C2BF4" w:rsidRPr="00531696" w:rsidRDefault="000C2BF4" w:rsidP="005151A7">
            <w:pPr>
              <w:pStyle w:val="TableBodyText"/>
              <w:rPr>
                <w:sz w:val="18"/>
                <w:szCs w:val="18"/>
              </w:rPr>
            </w:pPr>
            <w:r w:rsidRPr="00531696">
              <w:rPr>
                <w:sz w:val="18"/>
                <w:szCs w:val="18"/>
              </w:rPr>
              <w:t>0.6</w:t>
            </w:r>
          </w:p>
        </w:tc>
        <w:tc>
          <w:tcPr>
            <w:tcW w:w="508" w:type="pct"/>
            <w:shd w:val="clear" w:color="auto" w:fill="auto"/>
            <w:vAlign w:val="bottom"/>
          </w:tcPr>
          <w:p w:rsidR="000C2BF4" w:rsidRPr="00531696" w:rsidRDefault="000C2BF4" w:rsidP="005151A7">
            <w:pPr>
              <w:pStyle w:val="TableBodyText"/>
              <w:rPr>
                <w:sz w:val="18"/>
                <w:szCs w:val="18"/>
              </w:rPr>
            </w:pPr>
            <w:r>
              <w:rPr>
                <w:sz w:val="18"/>
                <w:szCs w:val="18"/>
              </w:rPr>
              <w:noBreakHyphen/>
            </w:r>
          </w:p>
        </w:tc>
        <w:tc>
          <w:tcPr>
            <w:tcW w:w="501" w:type="pct"/>
            <w:shd w:val="clear" w:color="auto" w:fill="auto"/>
            <w:vAlign w:val="bottom"/>
          </w:tcPr>
          <w:p w:rsidR="000C2BF4" w:rsidRPr="00531696" w:rsidRDefault="000C2BF4" w:rsidP="005151A7">
            <w:pPr>
              <w:pStyle w:val="TableBodyText"/>
              <w:rPr>
                <w:sz w:val="18"/>
                <w:szCs w:val="18"/>
              </w:rPr>
            </w:pPr>
            <w:r>
              <w:rPr>
                <w:sz w:val="18"/>
                <w:szCs w:val="18"/>
              </w:rPr>
              <w:noBreakHyphen/>
            </w:r>
          </w:p>
        </w:tc>
      </w:tr>
      <w:tr w:rsidR="000C2BF4" w:rsidTr="005151A7">
        <w:trPr>
          <w:trHeight w:val="227"/>
        </w:trPr>
        <w:tc>
          <w:tcPr>
            <w:tcW w:w="1959" w:type="pct"/>
            <w:vAlign w:val="bottom"/>
          </w:tcPr>
          <w:p w:rsidR="000C2BF4" w:rsidRPr="007546E2" w:rsidRDefault="000C2BF4" w:rsidP="007546E2">
            <w:pPr>
              <w:pStyle w:val="TableBodyText"/>
              <w:ind w:left="0"/>
              <w:jc w:val="left"/>
              <w:rPr>
                <w:sz w:val="18"/>
                <w:szCs w:val="18"/>
              </w:rPr>
            </w:pPr>
            <w:r w:rsidRPr="007546E2">
              <w:rPr>
                <w:sz w:val="18"/>
                <w:szCs w:val="18"/>
              </w:rPr>
              <w:t>Public administration and safety</w:t>
            </w:r>
          </w:p>
        </w:tc>
        <w:tc>
          <w:tcPr>
            <w:tcW w:w="508" w:type="pct"/>
            <w:vAlign w:val="bottom"/>
          </w:tcPr>
          <w:p w:rsidR="000C2BF4" w:rsidRPr="00531696" w:rsidRDefault="000C2BF4" w:rsidP="005151A7">
            <w:pPr>
              <w:pStyle w:val="TableBodyText"/>
              <w:rPr>
                <w:sz w:val="18"/>
                <w:szCs w:val="18"/>
              </w:rPr>
            </w:pPr>
            <w:r w:rsidRPr="00531696">
              <w:rPr>
                <w:sz w:val="18"/>
                <w:szCs w:val="18"/>
              </w:rPr>
              <w:t>4.3</w:t>
            </w:r>
          </w:p>
        </w:tc>
        <w:tc>
          <w:tcPr>
            <w:tcW w:w="508" w:type="pct"/>
            <w:vAlign w:val="bottom"/>
          </w:tcPr>
          <w:p w:rsidR="000C2BF4" w:rsidRPr="00531696" w:rsidRDefault="000C2BF4" w:rsidP="005151A7">
            <w:pPr>
              <w:pStyle w:val="TableBodyText"/>
              <w:rPr>
                <w:sz w:val="18"/>
                <w:szCs w:val="18"/>
              </w:rPr>
            </w:pPr>
            <w:r w:rsidRPr="00531696">
              <w:rPr>
                <w:sz w:val="18"/>
                <w:szCs w:val="18"/>
              </w:rPr>
              <w:t>1.6</w:t>
            </w:r>
          </w:p>
        </w:tc>
        <w:tc>
          <w:tcPr>
            <w:tcW w:w="508" w:type="pct"/>
            <w:vAlign w:val="bottom"/>
          </w:tcPr>
          <w:p w:rsidR="000C2BF4" w:rsidRPr="00531696" w:rsidRDefault="000C2BF4" w:rsidP="005151A7">
            <w:pPr>
              <w:pStyle w:val="TableBodyText"/>
              <w:rPr>
                <w:sz w:val="18"/>
                <w:szCs w:val="18"/>
              </w:rPr>
            </w:pPr>
            <w:r w:rsidRPr="00531696">
              <w:rPr>
                <w:sz w:val="18"/>
                <w:szCs w:val="18"/>
              </w:rPr>
              <w:t>0.5</w:t>
            </w:r>
          </w:p>
        </w:tc>
        <w:tc>
          <w:tcPr>
            <w:tcW w:w="508" w:type="pct"/>
            <w:shd w:val="clear" w:color="auto" w:fill="auto"/>
            <w:vAlign w:val="bottom"/>
          </w:tcPr>
          <w:p w:rsidR="000C2BF4" w:rsidRPr="00531696" w:rsidRDefault="000C2BF4" w:rsidP="005151A7">
            <w:pPr>
              <w:pStyle w:val="TableBodyText"/>
              <w:rPr>
                <w:sz w:val="18"/>
                <w:szCs w:val="18"/>
              </w:rPr>
            </w:pPr>
            <w:r w:rsidRPr="00531696">
              <w:rPr>
                <w:sz w:val="18"/>
                <w:szCs w:val="18"/>
              </w:rPr>
              <w:t>0.2</w:t>
            </w:r>
          </w:p>
        </w:tc>
        <w:tc>
          <w:tcPr>
            <w:tcW w:w="508" w:type="pct"/>
            <w:shd w:val="clear" w:color="auto" w:fill="auto"/>
            <w:vAlign w:val="bottom"/>
          </w:tcPr>
          <w:p w:rsidR="000C2BF4" w:rsidRPr="00531696" w:rsidRDefault="000C2BF4" w:rsidP="005151A7">
            <w:pPr>
              <w:pStyle w:val="TableBodyText"/>
              <w:rPr>
                <w:sz w:val="18"/>
                <w:szCs w:val="18"/>
              </w:rPr>
            </w:pPr>
            <w:r>
              <w:rPr>
                <w:sz w:val="18"/>
                <w:szCs w:val="18"/>
              </w:rPr>
              <w:noBreakHyphen/>
            </w:r>
          </w:p>
        </w:tc>
        <w:tc>
          <w:tcPr>
            <w:tcW w:w="501" w:type="pct"/>
            <w:shd w:val="clear" w:color="auto" w:fill="auto"/>
            <w:vAlign w:val="bottom"/>
          </w:tcPr>
          <w:p w:rsidR="000C2BF4" w:rsidRPr="00531696" w:rsidRDefault="000C2BF4" w:rsidP="005151A7">
            <w:pPr>
              <w:pStyle w:val="TableBodyText"/>
              <w:rPr>
                <w:sz w:val="18"/>
                <w:szCs w:val="18"/>
              </w:rPr>
            </w:pPr>
            <w:r>
              <w:rPr>
                <w:sz w:val="18"/>
                <w:szCs w:val="18"/>
              </w:rPr>
              <w:noBreakHyphen/>
            </w:r>
          </w:p>
        </w:tc>
      </w:tr>
      <w:tr w:rsidR="000C2BF4" w:rsidTr="005151A7">
        <w:trPr>
          <w:trHeight w:val="227"/>
        </w:trPr>
        <w:tc>
          <w:tcPr>
            <w:tcW w:w="1959" w:type="pct"/>
            <w:vAlign w:val="bottom"/>
          </w:tcPr>
          <w:p w:rsidR="000C2BF4" w:rsidRPr="007546E2" w:rsidRDefault="000C2BF4" w:rsidP="007546E2">
            <w:pPr>
              <w:pStyle w:val="TableBodyText"/>
              <w:ind w:left="0"/>
              <w:jc w:val="left"/>
              <w:rPr>
                <w:sz w:val="18"/>
                <w:szCs w:val="18"/>
              </w:rPr>
            </w:pPr>
            <w:r w:rsidRPr="007546E2">
              <w:rPr>
                <w:sz w:val="18"/>
                <w:szCs w:val="18"/>
              </w:rPr>
              <w:t>Education and training</w:t>
            </w:r>
          </w:p>
        </w:tc>
        <w:tc>
          <w:tcPr>
            <w:tcW w:w="508" w:type="pct"/>
            <w:vAlign w:val="bottom"/>
          </w:tcPr>
          <w:p w:rsidR="000C2BF4" w:rsidRPr="00531696" w:rsidRDefault="000C2BF4" w:rsidP="005151A7">
            <w:pPr>
              <w:pStyle w:val="TableBodyText"/>
              <w:rPr>
                <w:sz w:val="18"/>
                <w:szCs w:val="18"/>
              </w:rPr>
            </w:pPr>
            <w:r w:rsidRPr="00531696">
              <w:rPr>
                <w:sz w:val="18"/>
                <w:szCs w:val="18"/>
              </w:rPr>
              <w:t>2.6</w:t>
            </w:r>
          </w:p>
        </w:tc>
        <w:tc>
          <w:tcPr>
            <w:tcW w:w="508" w:type="pct"/>
            <w:vAlign w:val="bottom"/>
          </w:tcPr>
          <w:p w:rsidR="000C2BF4" w:rsidRPr="00531696" w:rsidRDefault="000C2BF4" w:rsidP="005151A7">
            <w:pPr>
              <w:pStyle w:val="TableBodyText"/>
              <w:rPr>
                <w:sz w:val="18"/>
                <w:szCs w:val="18"/>
              </w:rPr>
            </w:pPr>
            <w:r w:rsidRPr="00531696">
              <w:rPr>
                <w:sz w:val="18"/>
                <w:szCs w:val="18"/>
              </w:rPr>
              <w:t>0.4</w:t>
            </w:r>
          </w:p>
        </w:tc>
        <w:tc>
          <w:tcPr>
            <w:tcW w:w="508" w:type="pct"/>
            <w:vAlign w:val="bottom"/>
          </w:tcPr>
          <w:p w:rsidR="000C2BF4" w:rsidRPr="00531696" w:rsidRDefault="000C2BF4" w:rsidP="005151A7">
            <w:pPr>
              <w:pStyle w:val="TableBodyText"/>
              <w:rPr>
                <w:sz w:val="18"/>
                <w:szCs w:val="18"/>
              </w:rPr>
            </w:pPr>
            <w:r w:rsidRPr="00531696">
              <w:rPr>
                <w:sz w:val="18"/>
                <w:szCs w:val="18"/>
              </w:rPr>
              <w:t>0.8</w:t>
            </w:r>
          </w:p>
        </w:tc>
        <w:tc>
          <w:tcPr>
            <w:tcW w:w="508" w:type="pct"/>
            <w:shd w:val="clear" w:color="auto" w:fill="auto"/>
            <w:vAlign w:val="bottom"/>
          </w:tcPr>
          <w:p w:rsidR="000C2BF4" w:rsidRPr="00531696" w:rsidRDefault="000C2BF4" w:rsidP="005151A7">
            <w:pPr>
              <w:pStyle w:val="TableBodyText"/>
              <w:rPr>
                <w:sz w:val="18"/>
                <w:szCs w:val="18"/>
              </w:rPr>
            </w:pPr>
            <w:r w:rsidRPr="00531696">
              <w:rPr>
                <w:sz w:val="18"/>
                <w:szCs w:val="18"/>
              </w:rPr>
              <w:t>0.4</w:t>
            </w:r>
          </w:p>
        </w:tc>
        <w:tc>
          <w:tcPr>
            <w:tcW w:w="508" w:type="pct"/>
            <w:shd w:val="clear" w:color="auto" w:fill="auto"/>
            <w:vAlign w:val="bottom"/>
          </w:tcPr>
          <w:p w:rsidR="000C2BF4" w:rsidRPr="00531696" w:rsidRDefault="000C2BF4" w:rsidP="005151A7">
            <w:pPr>
              <w:pStyle w:val="TableBodyText"/>
              <w:rPr>
                <w:sz w:val="18"/>
                <w:szCs w:val="18"/>
              </w:rPr>
            </w:pPr>
            <w:r>
              <w:rPr>
                <w:sz w:val="18"/>
                <w:szCs w:val="18"/>
              </w:rPr>
              <w:noBreakHyphen/>
            </w:r>
          </w:p>
        </w:tc>
        <w:tc>
          <w:tcPr>
            <w:tcW w:w="501" w:type="pct"/>
            <w:shd w:val="clear" w:color="auto" w:fill="auto"/>
            <w:vAlign w:val="bottom"/>
          </w:tcPr>
          <w:p w:rsidR="000C2BF4" w:rsidRPr="00531696" w:rsidRDefault="000C2BF4" w:rsidP="005151A7">
            <w:pPr>
              <w:pStyle w:val="TableBodyText"/>
              <w:rPr>
                <w:sz w:val="18"/>
                <w:szCs w:val="18"/>
              </w:rPr>
            </w:pPr>
            <w:r>
              <w:rPr>
                <w:sz w:val="18"/>
                <w:szCs w:val="18"/>
              </w:rPr>
              <w:noBreakHyphen/>
            </w:r>
          </w:p>
        </w:tc>
      </w:tr>
      <w:tr w:rsidR="000C2BF4" w:rsidTr="005151A7">
        <w:trPr>
          <w:trHeight w:val="227"/>
        </w:trPr>
        <w:tc>
          <w:tcPr>
            <w:tcW w:w="1959" w:type="pct"/>
            <w:vAlign w:val="bottom"/>
          </w:tcPr>
          <w:p w:rsidR="000C2BF4" w:rsidRPr="007546E2" w:rsidRDefault="000C2BF4" w:rsidP="007546E2">
            <w:pPr>
              <w:pStyle w:val="TableBodyText"/>
              <w:ind w:left="0"/>
              <w:jc w:val="left"/>
              <w:rPr>
                <w:sz w:val="18"/>
                <w:szCs w:val="18"/>
              </w:rPr>
            </w:pPr>
            <w:r w:rsidRPr="007546E2">
              <w:rPr>
                <w:sz w:val="18"/>
                <w:szCs w:val="18"/>
              </w:rPr>
              <w:t>Health care and social assistance</w:t>
            </w:r>
          </w:p>
        </w:tc>
        <w:tc>
          <w:tcPr>
            <w:tcW w:w="508" w:type="pct"/>
            <w:vAlign w:val="bottom"/>
          </w:tcPr>
          <w:p w:rsidR="000C2BF4" w:rsidRPr="00531696" w:rsidRDefault="000C2BF4" w:rsidP="005151A7">
            <w:pPr>
              <w:pStyle w:val="TableBodyText"/>
              <w:rPr>
                <w:sz w:val="18"/>
                <w:szCs w:val="18"/>
              </w:rPr>
            </w:pPr>
            <w:r>
              <w:rPr>
                <w:sz w:val="18"/>
                <w:szCs w:val="18"/>
              </w:rPr>
              <w:t>&lt;</w:t>
            </w:r>
            <w:r w:rsidRPr="00531696">
              <w:rPr>
                <w:sz w:val="18"/>
                <w:szCs w:val="18"/>
              </w:rPr>
              <w:t>0.1</w:t>
            </w:r>
          </w:p>
        </w:tc>
        <w:tc>
          <w:tcPr>
            <w:tcW w:w="508" w:type="pct"/>
            <w:vAlign w:val="bottom"/>
          </w:tcPr>
          <w:p w:rsidR="000C2BF4" w:rsidRPr="00531696" w:rsidRDefault="000C2BF4" w:rsidP="005151A7">
            <w:pPr>
              <w:pStyle w:val="TableBodyText"/>
              <w:rPr>
                <w:sz w:val="18"/>
                <w:szCs w:val="18"/>
              </w:rPr>
            </w:pPr>
            <w:r>
              <w:rPr>
                <w:sz w:val="18"/>
                <w:szCs w:val="18"/>
              </w:rPr>
              <w:noBreakHyphen/>
            </w:r>
          </w:p>
        </w:tc>
        <w:tc>
          <w:tcPr>
            <w:tcW w:w="508" w:type="pct"/>
            <w:vAlign w:val="bottom"/>
          </w:tcPr>
          <w:p w:rsidR="000C2BF4" w:rsidRPr="00531696" w:rsidRDefault="000C2BF4" w:rsidP="005151A7">
            <w:pPr>
              <w:pStyle w:val="TableBodyText"/>
              <w:rPr>
                <w:sz w:val="18"/>
                <w:szCs w:val="18"/>
              </w:rPr>
            </w:pPr>
            <w:r>
              <w:rPr>
                <w:sz w:val="18"/>
                <w:szCs w:val="18"/>
              </w:rPr>
              <w:noBreakHyphen/>
            </w:r>
          </w:p>
        </w:tc>
        <w:tc>
          <w:tcPr>
            <w:tcW w:w="508" w:type="pct"/>
            <w:shd w:val="clear" w:color="auto" w:fill="auto"/>
            <w:vAlign w:val="bottom"/>
          </w:tcPr>
          <w:p w:rsidR="000C2BF4" w:rsidRPr="00531696" w:rsidRDefault="000C2BF4" w:rsidP="005151A7">
            <w:pPr>
              <w:pStyle w:val="TableBodyText"/>
              <w:rPr>
                <w:sz w:val="18"/>
                <w:szCs w:val="18"/>
              </w:rPr>
            </w:pPr>
            <w:r>
              <w:rPr>
                <w:sz w:val="18"/>
                <w:szCs w:val="18"/>
              </w:rPr>
              <w:noBreakHyphen/>
            </w:r>
          </w:p>
        </w:tc>
        <w:tc>
          <w:tcPr>
            <w:tcW w:w="508" w:type="pct"/>
            <w:shd w:val="clear" w:color="auto" w:fill="auto"/>
            <w:vAlign w:val="bottom"/>
          </w:tcPr>
          <w:p w:rsidR="000C2BF4" w:rsidRPr="00531696" w:rsidRDefault="000C2BF4" w:rsidP="005151A7">
            <w:pPr>
              <w:pStyle w:val="TableBodyText"/>
              <w:rPr>
                <w:sz w:val="18"/>
                <w:szCs w:val="18"/>
              </w:rPr>
            </w:pPr>
            <w:r>
              <w:rPr>
                <w:sz w:val="18"/>
                <w:szCs w:val="18"/>
              </w:rPr>
              <w:noBreakHyphen/>
            </w:r>
          </w:p>
        </w:tc>
        <w:tc>
          <w:tcPr>
            <w:tcW w:w="501" w:type="pct"/>
            <w:shd w:val="clear" w:color="auto" w:fill="auto"/>
            <w:vAlign w:val="bottom"/>
          </w:tcPr>
          <w:p w:rsidR="000C2BF4" w:rsidRPr="00531696" w:rsidRDefault="000C2BF4" w:rsidP="005151A7">
            <w:pPr>
              <w:pStyle w:val="TableBodyText"/>
              <w:rPr>
                <w:sz w:val="18"/>
                <w:szCs w:val="18"/>
              </w:rPr>
            </w:pPr>
            <w:r>
              <w:rPr>
                <w:sz w:val="18"/>
                <w:szCs w:val="18"/>
              </w:rPr>
              <w:noBreakHyphen/>
            </w:r>
          </w:p>
        </w:tc>
      </w:tr>
      <w:tr w:rsidR="000C2BF4" w:rsidTr="005151A7">
        <w:trPr>
          <w:trHeight w:val="227"/>
        </w:trPr>
        <w:tc>
          <w:tcPr>
            <w:tcW w:w="1959" w:type="pct"/>
            <w:vAlign w:val="bottom"/>
          </w:tcPr>
          <w:p w:rsidR="000C2BF4" w:rsidRPr="007546E2" w:rsidRDefault="000C2BF4" w:rsidP="007546E2">
            <w:pPr>
              <w:pStyle w:val="TableBodyText"/>
              <w:ind w:left="0"/>
              <w:jc w:val="left"/>
              <w:rPr>
                <w:sz w:val="18"/>
                <w:szCs w:val="18"/>
              </w:rPr>
            </w:pPr>
            <w:r w:rsidRPr="007546E2">
              <w:rPr>
                <w:sz w:val="18"/>
                <w:szCs w:val="18"/>
              </w:rPr>
              <w:t>Arts and recreation services</w:t>
            </w:r>
          </w:p>
        </w:tc>
        <w:tc>
          <w:tcPr>
            <w:tcW w:w="508" w:type="pct"/>
            <w:vAlign w:val="bottom"/>
          </w:tcPr>
          <w:p w:rsidR="000C2BF4" w:rsidRPr="00531696" w:rsidRDefault="000C2BF4" w:rsidP="005151A7">
            <w:pPr>
              <w:pStyle w:val="TableBodyText"/>
              <w:rPr>
                <w:sz w:val="18"/>
                <w:szCs w:val="18"/>
              </w:rPr>
            </w:pPr>
            <w:r w:rsidRPr="00531696">
              <w:rPr>
                <w:sz w:val="18"/>
                <w:szCs w:val="18"/>
              </w:rPr>
              <w:t>0.7</w:t>
            </w:r>
          </w:p>
        </w:tc>
        <w:tc>
          <w:tcPr>
            <w:tcW w:w="508" w:type="pct"/>
            <w:vAlign w:val="bottom"/>
          </w:tcPr>
          <w:p w:rsidR="000C2BF4" w:rsidRPr="00531696" w:rsidRDefault="000C2BF4" w:rsidP="005151A7">
            <w:pPr>
              <w:pStyle w:val="TableBodyText"/>
              <w:rPr>
                <w:sz w:val="18"/>
                <w:szCs w:val="18"/>
              </w:rPr>
            </w:pPr>
            <w:r>
              <w:rPr>
                <w:sz w:val="18"/>
                <w:szCs w:val="18"/>
              </w:rPr>
              <w:noBreakHyphen/>
            </w:r>
          </w:p>
        </w:tc>
        <w:tc>
          <w:tcPr>
            <w:tcW w:w="508" w:type="pct"/>
            <w:vAlign w:val="bottom"/>
          </w:tcPr>
          <w:p w:rsidR="000C2BF4" w:rsidRPr="00531696" w:rsidRDefault="000C2BF4" w:rsidP="005151A7">
            <w:pPr>
              <w:pStyle w:val="TableBodyText"/>
              <w:rPr>
                <w:sz w:val="18"/>
                <w:szCs w:val="18"/>
              </w:rPr>
            </w:pPr>
            <w:r>
              <w:rPr>
                <w:sz w:val="18"/>
                <w:szCs w:val="18"/>
              </w:rPr>
              <w:noBreakHyphen/>
            </w:r>
          </w:p>
        </w:tc>
        <w:tc>
          <w:tcPr>
            <w:tcW w:w="508" w:type="pct"/>
            <w:shd w:val="clear" w:color="auto" w:fill="auto"/>
            <w:vAlign w:val="bottom"/>
          </w:tcPr>
          <w:p w:rsidR="000C2BF4" w:rsidRPr="00531696" w:rsidRDefault="000C2BF4" w:rsidP="005151A7">
            <w:pPr>
              <w:pStyle w:val="TableBodyText"/>
              <w:rPr>
                <w:sz w:val="18"/>
                <w:szCs w:val="18"/>
              </w:rPr>
            </w:pPr>
            <w:r>
              <w:rPr>
                <w:sz w:val="18"/>
                <w:szCs w:val="18"/>
              </w:rPr>
              <w:noBreakHyphen/>
            </w:r>
          </w:p>
        </w:tc>
        <w:tc>
          <w:tcPr>
            <w:tcW w:w="508" w:type="pct"/>
            <w:shd w:val="clear" w:color="auto" w:fill="auto"/>
            <w:vAlign w:val="bottom"/>
          </w:tcPr>
          <w:p w:rsidR="000C2BF4" w:rsidRPr="00531696" w:rsidRDefault="000C2BF4" w:rsidP="005151A7">
            <w:pPr>
              <w:pStyle w:val="TableBodyText"/>
              <w:rPr>
                <w:sz w:val="18"/>
                <w:szCs w:val="18"/>
              </w:rPr>
            </w:pPr>
            <w:r>
              <w:rPr>
                <w:sz w:val="18"/>
                <w:szCs w:val="18"/>
              </w:rPr>
              <w:noBreakHyphen/>
            </w:r>
          </w:p>
        </w:tc>
        <w:tc>
          <w:tcPr>
            <w:tcW w:w="501" w:type="pct"/>
            <w:shd w:val="clear" w:color="auto" w:fill="auto"/>
            <w:vAlign w:val="bottom"/>
          </w:tcPr>
          <w:p w:rsidR="000C2BF4" w:rsidRPr="00531696" w:rsidRDefault="000C2BF4" w:rsidP="005151A7">
            <w:pPr>
              <w:pStyle w:val="TableBodyText"/>
              <w:rPr>
                <w:sz w:val="18"/>
                <w:szCs w:val="18"/>
              </w:rPr>
            </w:pPr>
            <w:r>
              <w:rPr>
                <w:sz w:val="18"/>
                <w:szCs w:val="18"/>
              </w:rPr>
              <w:noBreakHyphen/>
            </w:r>
          </w:p>
        </w:tc>
      </w:tr>
      <w:tr w:rsidR="000C2BF4" w:rsidTr="005151A7">
        <w:trPr>
          <w:trHeight w:val="227"/>
        </w:trPr>
        <w:tc>
          <w:tcPr>
            <w:tcW w:w="1959" w:type="pct"/>
            <w:vAlign w:val="bottom"/>
          </w:tcPr>
          <w:p w:rsidR="000C2BF4" w:rsidRPr="007546E2" w:rsidRDefault="000C2BF4" w:rsidP="007546E2">
            <w:pPr>
              <w:pStyle w:val="TableBodyText"/>
              <w:ind w:left="0"/>
              <w:jc w:val="left"/>
              <w:rPr>
                <w:sz w:val="18"/>
                <w:szCs w:val="18"/>
              </w:rPr>
            </w:pPr>
            <w:r w:rsidRPr="007546E2">
              <w:rPr>
                <w:sz w:val="18"/>
                <w:szCs w:val="18"/>
              </w:rPr>
              <w:t>Other services</w:t>
            </w:r>
          </w:p>
        </w:tc>
        <w:tc>
          <w:tcPr>
            <w:tcW w:w="508" w:type="pct"/>
            <w:vAlign w:val="bottom"/>
          </w:tcPr>
          <w:p w:rsidR="000C2BF4" w:rsidRPr="00531696" w:rsidRDefault="000C2BF4" w:rsidP="005151A7">
            <w:pPr>
              <w:pStyle w:val="TableBodyText"/>
              <w:rPr>
                <w:sz w:val="18"/>
                <w:szCs w:val="18"/>
              </w:rPr>
            </w:pPr>
            <w:r w:rsidRPr="00531696">
              <w:rPr>
                <w:sz w:val="18"/>
                <w:szCs w:val="18"/>
              </w:rPr>
              <w:t>1.6</w:t>
            </w:r>
          </w:p>
        </w:tc>
        <w:tc>
          <w:tcPr>
            <w:tcW w:w="508" w:type="pct"/>
            <w:vAlign w:val="bottom"/>
          </w:tcPr>
          <w:p w:rsidR="000C2BF4" w:rsidRPr="00531696" w:rsidRDefault="000C2BF4" w:rsidP="005151A7">
            <w:pPr>
              <w:pStyle w:val="TableBodyText"/>
              <w:rPr>
                <w:sz w:val="18"/>
                <w:szCs w:val="18"/>
              </w:rPr>
            </w:pPr>
            <w:r w:rsidRPr="00531696">
              <w:rPr>
                <w:sz w:val="18"/>
                <w:szCs w:val="18"/>
              </w:rPr>
              <w:t>0.8</w:t>
            </w:r>
          </w:p>
        </w:tc>
        <w:tc>
          <w:tcPr>
            <w:tcW w:w="508" w:type="pct"/>
            <w:vAlign w:val="bottom"/>
          </w:tcPr>
          <w:p w:rsidR="000C2BF4" w:rsidRPr="00531696" w:rsidRDefault="000C2BF4" w:rsidP="005151A7">
            <w:pPr>
              <w:pStyle w:val="TableBodyText"/>
              <w:rPr>
                <w:sz w:val="18"/>
                <w:szCs w:val="18"/>
              </w:rPr>
            </w:pPr>
            <w:r w:rsidRPr="00531696">
              <w:rPr>
                <w:sz w:val="18"/>
                <w:szCs w:val="18"/>
              </w:rPr>
              <w:t>0.7</w:t>
            </w:r>
          </w:p>
        </w:tc>
        <w:tc>
          <w:tcPr>
            <w:tcW w:w="508" w:type="pct"/>
            <w:shd w:val="clear" w:color="auto" w:fill="auto"/>
            <w:vAlign w:val="bottom"/>
          </w:tcPr>
          <w:p w:rsidR="000C2BF4" w:rsidRPr="00531696" w:rsidRDefault="000C2BF4" w:rsidP="005151A7">
            <w:pPr>
              <w:pStyle w:val="TableBodyText"/>
              <w:rPr>
                <w:sz w:val="18"/>
                <w:szCs w:val="18"/>
              </w:rPr>
            </w:pPr>
            <w:r w:rsidRPr="00531696">
              <w:rPr>
                <w:sz w:val="18"/>
                <w:szCs w:val="18"/>
              </w:rPr>
              <w:t>0.4</w:t>
            </w:r>
          </w:p>
        </w:tc>
        <w:tc>
          <w:tcPr>
            <w:tcW w:w="508" w:type="pct"/>
            <w:shd w:val="clear" w:color="auto" w:fill="auto"/>
            <w:vAlign w:val="bottom"/>
          </w:tcPr>
          <w:p w:rsidR="000C2BF4" w:rsidRPr="00531696" w:rsidRDefault="000C2BF4" w:rsidP="005151A7">
            <w:pPr>
              <w:pStyle w:val="TableBodyText"/>
              <w:rPr>
                <w:sz w:val="18"/>
                <w:szCs w:val="18"/>
              </w:rPr>
            </w:pPr>
            <w:r>
              <w:rPr>
                <w:sz w:val="18"/>
                <w:szCs w:val="18"/>
              </w:rPr>
              <w:noBreakHyphen/>
            </w:r>
          </w:p>
        </w:tc>
        <w:tc>
          <w:tcPr>
            <w:tcW w:w="501" w:type="pct"/>
            <w:shd w:val="clear" w:color="auto" w:fill="auto"/>
            <w:vAlign w:val="bottom"/>
          </w:tcPr>
          <w:p w:rsidR="000C2BF4" w:rsidRPr="00531696" w:rsidRDefault="000C2BF4" w:rsidP="005151A7">
            <w:pPr>
              <w:pStyle w:val="TableBodyText"/>
              <w:rPr>
                <w:sz w:val="18"/>
                <w:szCs w:val="18"/>
              </w:rPr>
            </w:pPr>
            <w:r>
              <w:rPr>
                <w:sz w:val="18"/>
                <w:szCs w:val="18"/>
              </w:rPr>
              <w:noBreakHyphen/>
            </w:r>
          </w:p>
        </w:tc>
      </w:tr>
      <w:tr w:rsidR="000C2BF4" w:rsidTr="005151A7">
        <w:trPr>
          <w:trHeight w:val="227"/>
        </w:trPr>
        <w:tc>
          <w:tcPr>
            <w:tcW w:w="1959" w:type="pct"/>
            <w:vAlign w:val="bottom"/>
          </w:tcPr>
          <w:p w:rsidR="000C2BF4" w:rsidRPr="007546E2" w:rsidRDefault="000C2BF4" w:rsidP="005151A7">
            <w:pPr>
              <w:pStyle w:val="TableBodyText"/>
              <w:jc w:val="left"/>
              <w:rPr>
                <w:sz w:val="18"/>
                <w:szCs w:val="18"/>
              </w:rPr>
            </w:pPr>
            <w:r w:rsidRPr="007546E2">
              <w:rPr>
                <w:sz w:val="18"/>
                <w:szCs w:val="18"/>
              </w:rPr>
              <w:t>Unallocated other</w:t>
            </w:r>
            <w:r w:rsidRPr="007546E2">
              <w:rPr>
                <w:rStyle w:val="NoteLabel"/>
                <w:szCs w:val="18"/>
              </w:rPr>
              <w:t>a</w:t>
            </w:r>
          </w:p>
        </w:tc>
        <w:tc>
          <w:tcPr>
            <w:tcW w:w="508" w:type="pct"/>
            <w:vAlign w:val="bottom"/>
          </w:tcPr>
          <w:p w:rsidR="000C2BF4" w:rsidRPr="00531696" w:rsidRDefault="000C2BF4" w:rsidP="005151A7">
            <w:pPr>
              <w:pStyle w:val="TableBodyText"/>
              <w:rPr>
                <w:sz w:val="18"/>
                <w:szCs w:val="18"/>
              </w:rPr>
            </w:pPr>
            <w:r w:rsidRPr="00531696">
              <w:rPr>
                <w:sz w:val="18"/>
                <w:szCs w:val="18"/>
              </w:rPr>
              <w:t>0.5</w:t>
            </w:r>
          </w:p>
        </w:tc>
        <w:tc>
          <w:tcPr>
            <w:tcW w:w="508" w:type="pct"/>
            <w:vAlign w:val="bottom"/>
          </w:tcPr>
          <w:p w:rsidR="000C2BF4" w:rsidRPr="00531696" w:rsidRDefault="000C2BF4" w:rsidP="005151A7">
            <w:pPr>
              <w:pStyle w:val="TableBodyText"/>
              <w:rPr>
                <w:sz w:val="18"/>
                <w:szCs w:val="18"/>
              </w:rPr>
            </w:pPr>
            <w:r>
              <w:rPr>
                <w:sz w:val="18"/>
                <w:szCs w:val="18"/>
              </w:rPr>
              <w:noBreakHyphen/>
            </w:r>
          </w:p>
        </w:tc>
        <w:tc>
          <w:tcPr>
            <w:tcW w:w="508" w:type="pct"/>
            <w:vAlign w:val="bottom"/>
          </w:tcPr>
          <w:p w:rsidR="000C2BF4" w:rsidRPr="00531696" w:rsidRDefault="000C2BF4" w:rsidP="005151A7">
            <w:pPr>
              <w:pStyle w:val="TableBodyText"/>
              <w:rPr>
                <w:sz w:val="18"/>
                <w:szCs w:val="18"/>
              </w:rPr>
            </w:pPr>
            <w:r w:rsidRPr="00531696">
              <w:rPr>
                <w:sz w:val="18"/>
                <w:szCs w:val="18"/>
              </w:rPr>
              <w:t>0.3</w:t>
            </w:r>
          </w:p>
        </w:tc>
        <w:tc>
          <w:tcPr>
            <w:tcW w:w="508" w:type="pct"/>
            <w:shd w:val="clear" w:color="auto" w:fill="auto"/>
            <w:vAlign w:val="bottom"/>
          </w:tcPr>
          <w:p w:rsidR="000C2BF4" w:rsidRPr="00531696" w:rsidRDefault="000C2BF4" w:rsidP="005151A7">
            <w:pPr>
              <w:pStyle w:val="TableBodyText"/>
              <w:rPr>
                <w:sz w:val="18"/>
                <w:szCs w:val="18"/>
              </w:rPr>
            </w:pPr>
            <w:r w:rsidRPr="00531696">
              <w:rPr>
                <w:sz w:val="18"/>
                <w:szCs w:val="18"/>
              </w:rPr>
              <w:t>0.2</w:t>
            </w:r>
          </w:p>
        </w:tc>
        <w:tc>
          <w:tcPr>
            <w:tcW w:w="508" w:type="pct"/>
            <w:shd w:val="clear" w:color="auto" w:fill="auto"/>
            <w:vAlign w:val="bottom"/>
          </w:tcPr>
          <w:p w:rsidR="000C2BF4" w:rsidRPr="00531696" w:rsidRDefault="000C2BF4" w:rsidP="005151A7">
            <w:pPr>
              <w:pStyle w:val="TableBodyText"/>
              <w:rPr>
                <w:sz w:val="18"/>
                <w:szCs w:val="18"/>
              </w:rPr>
            </w:pPr>
            <w:r>
              <w:rPr>
                <w:sz w:val="18"/>
                <w:szCs w:val="18"/>
              </w:rPr>
              <w:noBreakHyphen/>
            </w:r>
          </w:p>
        </w:tc>
        <w:tc>
          <w:tcPr>
            <w:tcW w:w="501" w:type="pct"/>
            <w:shd w:val="clear" w:color="auto" w:fill="auto"/>
            <w:vAlign w:val="bottom"/>
          </w:tcPr>
          <w:p w:rsidR="000C2BF4" w:rsidRPr="00531696" w:rsidRDefault="000C2BF4" w:rsidP="005151A7">
            <w:pPr>
              <w:pStyle w:val="TableBodyText"/>
              <w:rPr>
                <w:sz w:val="18"/>
                <w:szCs w:val="18"/>
              </w:rPr>
            </w:pPr>
            <w:r>
              <w:rPr>
                <w:sz w:val="18"/>
                <w:szCs w:val="18"/>
              </w:rPr>
              <w:noBreakHyphen/>
            </w:r>
          </w:p>
        </w:tc>
      </w:tr>
      <w:tr w:rsidR="000C2BF4" w:rsidTr="005151A7">
        <w:trPr>
          <w:trHeight w:val="227"/>
        </w:trPr>
        <w:tc>
          <w:tcPr>
            <w:tcW w:w="1959" w:type="pct"/>
            <w:tcBorders>
              <w:bottom w:val="single" w:sz="4" w:space="0" w:color="auto"/>
            </w:tcBorders>
            <w:vAlign w:val="bottom"/>
          </w:tcPr>
          <w:p w:rsidR="000C2BF4" w:rsidRPr="007546E2" w:rsidRDefault="000C2BF4" w:rsidP="005151A7">
            <w:pPr>
              <w:pStyle w:val="TableBodyText"/>
              <w:jc w:val="left"/>
              <w:rPr>
                <w:b/>
                <w:bCs/>
                <w:sz w:val="18"/>
                <w:szCs w:val="18"/>
              </w:rPr>
            </w:pPr>
            <w:r w:rsidRPr="007546E2">
              <w:rPr>
                <w:b/>
                <w:bCs/>
                <w:sz w:val="18"/>
                <w:szCs w:val="18"/>
              </w:rPr>
              <w:t>Total</w:t>
            </w:r>
          </w:p>
        </w:tc>
        <w:tc>
          <w:tcPr>
            <w:tcW w:w="508" w:type="pct"/>
            <w:tcBorders>
              <w:bottom w:val="single" w:sz="4" w:space="0" w:color="auto"/>
            </w:tcBorders>
            <w:vAlign w:val="bottom"/>
          </w:tcPr>
          <w:p w:rsidR="000C2BF4" w:rsidRPr="00531696" w:rsidRDefault="000C2BF4" w:rsidP="005151A7">
            <w:pPr>
              <w:pStyle w:val="TableBodyText"/>
              <w:rPr>
                <w:b/>
                <w:sz w:val="18"/>
                <w:szCs w:val="18"/>
              </w:rPr>
            </w:pPr>
            <w:r w:rsidRPr="00531696">
              <w:rPr>
                <w:b/>
                <w:sz w:val="18"/>
                <w:szCs w:val="18"/>
              </w:rPr>
              <w:t>17.5</w:t>
            </w:r>
          </w:p>
        </w:tc>
        <w:tc>
          <w:tcPr>
            <w:tcW w:w="508" w:type="pct"/>
            <w:tcBorders>
              <w:bottom w:val="single" w:sz="4" w:space="0" w:color="auto"/>
            </w:tcBorders>
            <w:vAlign w:val="bottom"/>
          </w:tcPr>
          <w:p w:rsidR="000C2BF4" w:rsidRPr="00531696" w:rsidRDefault="000C2BF4" w:rsidP="005151A7">
            <w:pPr>
              <w:pStyle w:val="TableBodyText"/>
              <w:rPr>
                <w:b/>
                <w:sz w:val="18"/>
                <w:szCs w:val="18"/>
              </w:rPr>
            </w:pPr>
            <w:r w:rsidRPr="00531696">
              <w:rPr>
                <w:b/>
                <w:sz w:val="18"/>
                <w:szCs w:val="18"/>
              </w:rPr>
              <w:t>13.5</w:t>
            </w:r>
          </w:p>
        </w:tc>
        <w:tc>
          <w:tcPr>
            <w:tcW w:w="508" w:type="pct"/>
            <w:tcBorders>
              <w:bottom w:val="single" w:sz="4" w:space="0" w:color="auto"/>
            </w:tcBorders>
            <w:vAlign w:val="bottom"/>
          </w:tcPr>
          <w:p w:rsidR="000C2BF4" w:rsidRPr="00531696" w:rsidRDefault="000C2BF4" w:rsidP="005151A7">
            <w:pPr>
              <w:pStyle w:val="TableBodyText"/>
              <w:rPr>
                <w:b/>
                <w:sz w:val="18"/>
                <w:szCs w:val="18"/>
              </w:rPr>
            </w:pPr>
            <w:r w:rsidRPr="00531696">
              <w:rPr>
                <w:b/>
                <w:sz w:val="18"/>
                <w:szCs w:val="18"/>
              </w:rPr>
              <w:t>3.8</w:t>
            </w:r>
          </w:p>
        </w:tc>
        <w:tc>
          <w:tcPr>
            <w:tcW w:w="508" w:type="pct"/>
            <w:tcBorders>
              <w:bottom w:val="single" w:sz="4" w:space="0" w:color="auto"/>
            </w:tcBorders>
            <w:shd w:val="clear" w:color="auto" w:fill="auto"/>
            <w:vAlign w:val="bottom"/>
          </w:tcPr>
          <w:p w:rsidR="000C2BF4" w:rsidRPr="00531696" w:rsidRDefault="000C2BF4" w:rsidP="005151A7">
            <w:pPr>
              <w:pStyle w:val="TableBodyText"/>
              <w:rPr>
                <w:b/>
                <w:sz w:val="18"/>
                <w:szCs w:val="18"/>
              </w:rPr>
            </w:pPr>
            <w:r w:rsidRPr="00531696">
              <w:rPr>
                <w:b/>
                <w:sz w:val="18"/>
                <w:szCs w:val="18"/>
              </w:rPr>
              <w:t>1.9</w:t>
            </w:r>
          </w:p>
        </w:tc>
        <w:tc>
          <w:tcPr>
            <w:tcW w:w="508" w:type="pct"/>
            <w:tcBorders>
              <w:bottom w:val="single" w:sz="4" w:space="0" w:color="auto"/>
            </w:tcBorders>
            <w:shd w:val="clear" w:color="auto" w:fill="auto"/>
            <w:vAlign w:val="bottom"/>
          </w:tcPr>
          <w:p w:rsidR="000C2BF4" w:rsidRPr="00531696" w:rsidRDefault="000C2BF4" w:rsidP="005151A7">
            <w:pPr>
              <w:pStyle w:val="TableBodyText"/>
              <w:rPr>
                <w:b/>
                <w:sz w:val="18"/>
                <w:szCs w:val="18"/>
              </w:rPr>
            </w:pPr>
            <w:r w:rsidRPr="00531696">
              <w:rPr>
                <w:b/>
                <w:sz w:val="18"/>
                <w:szCs w:val="18"/>
              </w:rPr>
              <w:noBreakHyphen/>
            </w:r>
          </w:p>
        </w:tc>
        <w:tc>
          <w:tcPr>
            <w:tcW w:w="501" w:type="pct"/>
            <w:tcBorders>
              <w:bottom w:val="single" w:sz="4" w:space="0" w:color="auto"/>
            </w:tcBorders>
            <w:shd w:val="clear" w:color="auto" w:fill="auto"/>
            <w:vAlign w:val="bottom"/>
          </w:tcPr>
          <w:p w:rsidR="000C2BF4" w:rsidRPr="00531696" w:rsidRDefault="000C2BF4" w:rsidP="005151A7">
            <w:pPr>
              <w:pStyle w:val="TableBodyText"/>
              <w:rPr>
                <w:b/>
                <w:sz w:val="18"/>
                <w:szCs w:val="18"/>
              </w:rPr>
            </w:pPr>
            <w:r w:rsidRPr="00531696">
              <w:rPr>
                <w:b/>
                <w:sz w:val="18"/>
                <w:szCs w:val="18"/>
              </w:rPr>
              <w:noBreakHyphen/>
            </w:r>
          </w:p>
        </w:tc>
      </w:tr>
    </w:tbl>
    <w:p w:rsidR="000C2BF4" w:rsidRDefault="000C2BF4" w:rsidP="000C2BF4">
      <w:pPr>
        <w:pStyle w:val="Note"/>
      </w:pPr>
      <w:r w:rsidRPr="00EC408E">
        <w:t xml:space="preserve">– </w:t>
      </w:r>
      <w:r>
        <w:t>Nil</w:t>
      </w:r>
      <w:r w:rsidRPr="00EC408E">
        <w:t xml:space="preserve">. </w:t>
      </w:r>
      <w:r w:rsidRPr="008E77FE">
        <w:rPr>
          <w:rStyle w:val="NoteLabel"/>
        </w:rPr>
        <w:t>a</w:t>
      </w:r>
      <w:r w:rsidRPr="00EC408E">
        <w:t xml:space="preserve"> Unallocated includes general programs where details of beneficiaries are unknown</w:t>
      </w:r>
      <w:r>
        <w:t>.</w:t>
      </w:r>
    </w:p>
    <w:p w:rsidR="00216629" w:rsidRPr="00216629" w:rsidRDefault="000C2BF4" w:rsidP="00216629">
      <w:pPr>
        <w:pStyle w:val="Source"/>
      </w:pPr>
      <w:r>
        <w:rPr>
          <w:i/>
        </w:rPr>
        <w:t>Source</w:t>
      </w:r>
      <w:r>
        <w:t>: Commission estimates based on DIISR Annual Report 2009</w:t>
      </w:r>
      <w:r>
        <w:noBreakHyphen/>
        <w:t>10 (and earlier years); Department of Industry, Tourism and Resources Annual Report 2006</w:t>
      </w:r>
      <w:r>
        <w:noBreakHyphen/>
        <w:t>07; and detailed DIISR data by ANZSIC industry.</w:t>
      </w:r>
    </w:p>
    <w:p w:rsidR="003C631E" w:rsidRDefault="00FA09C3" w:rsidP="003C631E">
      <w:pPr>
        <w:pStyle w:val="Heading2"/>
      </w:pPr>
      <w:r>
        <w:t>A.</w:t>
      </w:r>
      <w:r>
        <w:rPr>
          <w:noProof/>
        </w:rPr>
        <w:t>157</w:t>
      </w:r>
      <w:r w:rsidR="003C631E">
        <w:tab/>
        <w:t>North East Tasmania Innovation and Investment Fund</w:t>
      </w:r>
    </w:p>
    <w:p w:rsidR="003C631E" w:rsidRDefault="003C631E" w:rsidP="003C631E">
      <w:pPr>
        <w:pStyle w:val="BodyText"/>
      </w:pPr>
      <w:r>
        <w:t>Announced by the Australian Government in August 2008, the North East Tasmania Innovation and Investment Fund (NETIIF) aimed to support the establishment and maintenance of employment opportunities in the north-east of Tasmania following the closure of the Tonganah softwood sawmill in Scottsdale. Following a competitive merit-based process, $3.7 million was committed to 19 projects to support the creation of new jobs in the region. The NETIIF also replaced the previous Scottsdale Industry and Community Development Fund (SICDF) (</w:t>
      </w:r>
      <w:r w:rsidRPr="00C305B5">
        <w:t>DIISR 2010</w:t>
      </w:r>
      <w:r>
        <w:t>).</w:t>
      </w:r>
    </w:p>
    <w:p w:rsidR="003C631E" w:rsidRDefault="003C631E" w:rsidP="003C631E">
      <w:pPr>
        <w:pStyle w:val="BodyText"/>
      </w:pPr>
      <w:r>
        <w:t>The NETIIF concluded during 2009</w:t>
      </w:r>
      <w:r>
        <w:noBreakHyphen/>
        <w:t>10.</w:t>
      </w:r>
    </w:p>
    <w:p w:rsidR="003C631E" w:rsidRDefault="003C631E" w:rsidP="003C631E">
      <w:pPr>
        <w:pStyle w:val="BodyText"/>
      </w:pPr>
      <w:r>
        <w:t>T</w:t>
      </w:r>
      <w:r w:rsidRPr="006B6393">
        <w:t xml:space="preserve">he Department of Innovation, Industry, Science and Research </w:t>
      </w:r>
      <w:r>
        <w:t xml:space="preserve">has provided data </w:t>
      </w:r>
      <w:r w:rsidRPr="006B6393">
        <w:t>detailing expenditure for the N</w:t>
      </w:r>
      <w:r>
        <w:t>E</w:t>
      </w:r>
      <w:r w:rsidRPr="006B6393">
        <w:t>TIIF by ANZSIC industry. Th</w:t>
      </w:r>
      <w:r>
        <w:t>is</w:t>
      </w:r>
      <w:r w:rsidRPr="006B6393">
        <w:t xml:space="preserve"> </w:t>
      </w:r>
      <w:r w:rsidR="00C305B5">
        <w:t>information</w:t>
      </w:r>
      <w:r w:rsidR="00C305B5" w:rsidRPr="006B6393">
        <w:t xml:space="preserve"> </w:t>
      </w:r>
      <w:r w:rsidRPr="006B6393">
        <w:t>ha</w:t>
      </w:r>
      <w:r>
        <w:t>s</w:t>
      </w:r>
      <w:r w:rsidRPr="006B6393">
        <w:t xml:space="preserve"> been used to allocate total </w:t>
      </w:r>
      <w:r>
        <w:t xml:space="preserve">NETIIF </w:t>
      </w:r>
      <w:r w:rsidRPr="006B6393">
        <w:t xml:space="preserve">funding </w:t>
      </w:r>
      <w:r>
        <w:t>according to</w:t>
      </w:r>
      <w:r w:rsidRPr="006B6393">
        <w:t xml:space="preserve"> the Commission’s ANZSIC-based industry groupings (table A.</w:t>
      </w:r>
      <w:r>
        <w:t>15</w:t>
      </w:r>
      <w:r w:rsidR="00C065C1">
        <w:t>7</w:t>
      </w:r>
      <w:r w:rsidRPr="006B6393">
        <w:t>).</w:t>
      </w:r>
    </w:p>
    <w:p w:rsidR="003C631E" w:rsidRDefault="003C631E" w:rsidP="003C631E">
      <w:pPr>
        <w:pStyle w:val="TableTitle"/>
      </w:pPr>
      <w:r>
        <w:rPr>
          <w:b w:val="0"/>
        </w:rPr>
        <w:t xml:space="preserve">Table </w:t>
      </w:r>
      <w:r w:rsidR="00FA09C3">
        <w:rPr>
          <w:b w:val="0"/>
        </w:rPr>
        <w:t>A.</w:t>
      </w:r>
      <w:r w:rsidR="00FA09C3">
        <w:rPr>
          <w:b w:val="0"/>
          <w:noProof/>
        </w:rPr>
        <w:t>157</w:t>
      </w:r>
      <w:r>
        <w:tab/>
        <w:t xml:space="preserve">Allocation of North East Tasmania Innovation and Investment Fund </w:t>
      </w:r>
      <w:r w:rsidR="00E471E2" w:rsidRPr="00E471E2">
        <w:t>to industry</w:t>
      </w:r>
      <w:r>
        <w:t>, 2006</w:t>
      </w:r>
      <w:r>
        <w:noBreakHyphen/>
        <w:t>07 to 2011</w:t>
      </w:r>
      <w:r>
        <w:noBreakHyphen/>
        <w:t>12</w:t>
      </w:r>
    </w:p>
    <w:p w:rsidR="003C631E" w:rsidRDefault="000E1A26" w:rsidP="003C631E">
      <w:pPr>
        <w:pStyle w:val="Subtitle"/>
      </w:pPr>
      <w:r>
        <w:t>$ m</w:t>
      </w:r>
      <w:r w:rsidR="003C631E">
        <w:t>illion (nominal)</w:t>
      </w:r>
    </w:p>
    <w:tbl>
      <w:tblPr>
        <w:tblW w:w="5000" w:type="pct"/>
        <w:tblCellMar>
          <w:left w:w="0" w:type="dxa"/>
          <w:right w:w="0" w:type="dxa"/>
        </w:tblCellMar>
        <w:tblLook w:val="0000" w:firstRow="0" w:lastRow="0" w:firstColumn="0" w:lastColumn="0" w:noHBand="0" w:noVBand="0"/>
      </w:tblPr>
      <w:tblGrid>
        <w:gridCol w:w="3445"/>
        <w:gridCol w:w="891"/>
        <w:gridCol w:w="891"/>
        <w:gridCol w:w="891"/>
        <w:gridCol w:w="891"/>
        <w:gridCol w:w="891"/>
        <w:gridCol w:w="889"/>
      </w:tblGrid>
      <w:tr w:rsidR="003C631E" w:rsidRPr="00AF699A" w:rsidTr="007546E2">
        <w:trPr>
          <w:trHeight w:val="340"/>
        </w:trPr>
        <w:tc>
          <w:tcPr>
            <w:tcW w:w="1959" w:type="pct"/>
            <w:tcBorders>
              <w:top w:val="single" w:sz="6" w:space="0" w:color="auto"/>
              <w:bottom w:val="single" w:sz="6" w:space="0" w:color="auto"/>
            </w:tcBorders>
          </w:tcPr>
          <w:p w:rsidR="003C631E" w:rsidRPr="00AF699A" w:rsidRDefault="003C631E" w:rsidP="005151A7">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3C631E" w:rsidRPr="00AF699A" w:rsidRDefault="003C631E" w:rsidP="005151A7">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3C631E" w:rsidRPr="00AF699A" w:rsidRDefault="003C631E" w:rsidP="005151A7">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3C631E" w:rsidRPr="00AF699A" w:rsidRDefault="003C631E" w:rsidP="005151A7">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3C631E" w:rsidRPr="00AF699A" w:rsidRDefault="003C631E" w:rsidP="005151A7">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3C631E" w:rsidRPr="00AF699A" w:rsidRDefault="003C631E" w:rsidP="005151A7">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3C631E" w:rsidRPr="00AF699A" w:rsidRDefault="003C631E" w:rsidP="005151A7">
            <w:pPr>
              <w:pStyle w:val="TableColumnHeading"/>
              <w:ind w:right="28"/>
              <w:rPr>
                <w:rFonts w:cs="Arial"/>
                <w:sz w:val="18"/>
                <w:szCs w:val="18"/>
              </w:rPr>
            </w:pPr>
            <w:r w:rsidRPr="00AF699A">
              <w:rPr>
                <w:rFonts w:cs="Arial"/>
                <w:sz w:val="18"/>
                <w:szCs w:val="18"/>
              </w:rPr>
              <w:t>2011-12</w:t>
            </w:r>
          </w:p>
        </w:tc>
      </w:tr>
      <w:tr w:rsidR="003C631E" w:rsidRPr="002A328F" w:rsidTr="005151A7">
        <w:tc>
          <w:tcPr>
            <w:tcW w:w="1959" w:type="pct"/>
            <w:vAlign w:val="bottom"/>
          </w:tcPr>
          <w:p w:rsidR="003C631E" w:rsidRPr="00FF0BDA" w:rsidRDefault="003C631E" w:rsidP="005151A7">
            <w:pPr>
              <w:pStyle w:val="TableBodyText"/>
              <w:jc w:val="left"/>
              <w:rPr>
                <w:b/>
                <w:sz w:val="18"/>
                <w:szCs w:val="18"/>
              </w:rPr>
            </w:pPr>
            <w:r w:rsidRPr="00FF0BDA">
              <w:rPr>
                <w:b/>
                <w:sz w:val="18"/>
                <w:szCs w:val="18"/>
              </w:rPr>
              <w:t>Primary production</w:t>
            </w:r>
          </w:p>
        </w:tc>
        <w:tc>
          <w:tcPr>
            <w:tcW w:w="507" w:type="pct"/>
            <w:vAlign w:val="bottom"/>
          </w:tcPr>
          <w:p w:rsidR="003C631E" w:rsidRPr="00465A9F" w:rsidRDefault="003C631E" w:rsidP="005151A7">
            <w:pPr>
              <w:pStyle w:val="TableBodyText"/>
              <w:rPr>
                <w:b/>
                <w:sz w:val="18"/>
                <w:szCs w:val="18"/>
              </w:rPr>
            </w:pPr>
            <w:r w:rsidRPr="00465A9F">
              <w:rPr>
                <w:b/>
                <w:sz w:val="18"/>
                <w:szCs w:val="18"/>
              </w:rPr>
              <w:noBreakHyphen/>
            </w:r>
          </w:p>
        </w:tc>
        <w:tc>
          <w:tcPr>
            <w:tcW w:w="507" w:type="pct"/>
            <w:vAlign w:val="bottom"/>
          </w:tcPr>
          <w:p w:rsidR="003C631E" w:rsidRPr="00465A9F" w:rsidRDefault="003C631E" w:rsidP="005151A7">
            <w:pPr>
              <w:pStyle w:val="TableBodyText"/>
              <w:rPr>
                <w:b/>
                <w:sz w:val="18"/>
                <w:szCs w:val="18"/>
              </w:rPr>
            </w:pPr>
            <w:r w:rsidRPr="00465A9F">
              <w:rPr>
                <w:b/>
                <w:sz w:val="18"/>
                <w:szCs w:val="18"/>
              </w:rPr>
              <w:noBreakHyphen/>
            </w:r>
          </w:p>
        </w:tc>
        <w:tc>
          <w:tcPr>
            <w:tcW w:w="507" w:type="pct"/>
            <w:vAlign w:val="bottom"/>
          </w:tcPr>
          <w:p w:rsidR="003C631E" w:rsidRPr="00465A9F" w:rsidRDefault="003C631E" w:rsidP="005151A7">
            <w:pPr>
              <w:pStyle w:val="TableBodyText"/>
              <w:rPr>
                <w:b/>
                <w:sz w:val="18"/>
                <w:szCs w:val="18"/>
              </w:rPr>
            </w:pPr>
            <w:r w:rsidRPr="00465A9F">
              <w:rPr>
                <w:b/>
                <w:sz w:val="18"/>
                <w:szCs w:val="18"/>
              </w:rPr>
              <w:noBreakHyphen/>
            </w:r>
          </w:p>
        </w:tc>
        <w:tc>
          <w:tcPr>
            <w:tcW w:w="507" w:type="pct"/>
            <w:vAlign w:val="bottom"/>
          </w:tcPr>
          <w:p w:rsidR="003C631E" w:rsidRPr="00465A9F" w:rsidRDefault="003C631E" w:rsidP="005151A7">
            <w:pPr>
              <w:pStyle w:val="TableBodyText"/>
              <w:rPr>
                <w:b/>
                <w:sz w:val="18"/>
                <w:szCs w:val="18"/>
              </w:rPr>
            </w:pPr>
            <w:r w:rsidRPr="00465A9F">
              <w:rPr>
                <w:b/>
                <w:sz w:val="18"/>
                <w:szCs w:val="18"/>
              </w:rPr>
              <w:t>0.7</w:t>
            </w:r>
          </w:p>
        </w:tc>
        <w:tc>
          <w:tcPr>
            <w:tcW w:w="507" w:type="pct"/>
            <w:shd w:val="clear" w:color="auto" w:fill="auto"/>
            <w:vAlign w:val="bottom"/>
          </w:tcPr>
          <w:p w:rsidR="003C631E" w:rsidRPr="00465A9F" w:rsidRDefault="003C631E" w:rsidP="005151A7">
            <w:pPr>
              <w:pStyle w:val="TableBodyText"/>
              <w:rPr>
                <w:b/>
                <w:sz w:val="18"/>
                <w:szCs w:val="18"/>
              </w:rPr>
            </w:pPr>
            <w:r w:rsidRPr="00465A9F">
              <w:rPr>
                <w:b/>
                <w:sz w:val="18"/>
                <w:szCs w:val="18"/>
              </w:rPr>
              <w:noBreakHyphen/>
            </w:r>
          </w:p>
        </w:tc>
        <w:tc>
          <w:tcPr>
            <w:tcW w:w="507" w:type="pct"/>
            <w:shd w:val="clear" w:color="auto" w:fill="auto"/>
            <w:vAlign w:val="bottom"/>
          </w:tcPr>
          <w:p w:rsidR="003C631E" w:rsidRPr="00465A9F" w:rsidRDefault="003C631E" w:rsidP="005151A7">
            <w:pPr>
              <w:pStyle w:val="TableBodyText"/>
              <w:rPr>
                <w:b/>
                <w:sz w:val="18"/>
                <w:szCs w:val="18"/>
              </w:rPr>
            </w:pPr>
            <w:r w:rsidRPr="00465A9F">
              <w:rPr>
                <w:b/>
                <w:sz w:val="18"/>
                <w:szCs w:val="18"/>
              </w:rPr>
              <w:noBreakHyphen/>
            </w:r>
          </w:p>
        </w:tc>
      </w:tr>
      <w:tr w:rsidR="003C631E" w:rsidRPr="002A328F" w:rsidTr="005151A7">
        <w:tc>
          <w:tcPr>
            <w:tcW w:w="1959" w:type="pct"/>
            <w:vAlign w:val="bottom"/>
          </w:tcPr>
          <w:p w:rsidR="003C631E" w:rsidRPr="00FF0BDA" w:rsidRDefault="003C631E" w:rsidP="005151A7">
            <w:pPr>
              <w:pStyle w:val="TableBodyText"/>
              <w:jc w:val="left"/>
              <w:rPr>
                <w:sz w:val="18"/>
                <w:szCs w:val="18"/>
              </w:rPr>
            </w:pPr>
            <w:r w:rsidRPr="00FF0BDA">
              <w:rPr>
                <w:sz w:val="18"/>
                <w:szCs w:val="18"/>
              </w:rPr>
              <w:t>Horticulture and fruit growing</w:t>
            </w:r>
          </w:p>
        </w:tc>
        <w:tc>
          <w:tcPr>
            <w:tcW w:w="507" w:type="pct"/>
            <w:vAlign w:val="bottom"/>
          </w:tcPr>
          <w:p w:rsidR="003C631E" w:rsidRPr="00465A9F" w:rsidRDefault="003C631E" w:rsidP="005151A7">
            <w:pPr>
              <w:pStyle w:val="TableBodyText"/>
              <w:rPr>
                <w:sz w:val="18"/>
                <w:szCs w:val="18"/>
              </w:rPr>
            </w:pPr>
            <w:r w:rsidRPr="00465A9F">
              <w:rPr>
                <w:sz w:val="18"/>
                <w:szCs w:val="18"/>
              </w:rPr>
              <w:noBreakHyphen/>
            </w:r>
          </w:p>
        </w:tc>
        <w:tc>
          <w:tcPr>
            <w:tcW w:w="507" w:type="pct"/>
            <w:vAlign w:val="bottom"/>
          </w:tcPr>
          <w:p w:rsidR="003C631E" w:rsidRPr="00465A9F" w:rsidRDefault="003C631E" w:rsidP="005151A7">
            <w:pPr>
              <w:pStyle w:val="TableBodyText"/>
              <w:rPr>
                <w:sz w:val="18"/>
                <w:szCs w:val="18"/>
              </w:rPr>
            </w:pPr>
            <w:r w:rsidRPr="00465A9F">
              <w:rPr>
                <w:sz w:val="18"/>
                <w:szCs w:val="18"/>
              </w:rPr>
              <w:noBreakHyphen/>
            </w:r>
          </w:p>
        </w:tc>
        <w:tc>
          <w:tcPr>
            <w:tcW w:w="507" w:type="pct"/>
            <w:vAlign w:val="bottom"/>
          </w:tcPr>
          <w:p w:rsidR="003C631E" w:rsidRPr="00465A9F" w:rsidRDefault="003C631E" w:rsidP="005151A7">
            <w:pPr>
              <w:pStyle w:val="TableBodyText"/>
              <w:rPr>
                <w:sz w:val="18"/>
                <w:szCs w:val="18"/>
              </w:rPr>
            </w:pPr>
            <w:r w:rsidRPr="00465A9F">
              <w:rPr>
                <w:sz w:val="18"/>
                <w:szCs w:val="18"/>
              </w:rPr>
              <w:noBreakHyphen/>
            </w:r>
          </w:p>
        </w:tc>
        <w:tc>
          <w:tcPr>
            <w:tcW w:w="507" w:type="pct"/>
            <w:vAlign w:val="bottom"/>
          </w:tcPr>
          <w:p w:rsidR="003C631E" w:rsidRPr="00465A9F" w:rsidRDefault="003C631E" w:rsidP="005151A7">
            <w:pPr>
              <w:pStyle w:val="TableBodyText"/>
              <w:rPr>
                <w:sz w:val="18"/>
                <w:szCs w:val="18"/>
              </w:rPr>
            </w:pPr>
            <w:r w:rsidRPr="00465A9F">
              <w:rPr>
                <w:sz w:val="18"/>
                <w:szCs w:val="18"/>
              </w:rPr>
              <w:t>0.4</w:t>
            </w:r>
          </w:p>
        </w:tc>
        <w:tc>
          <w:tcPr>
            <w:tcW w:w="507" w:type="pct"/>
            <w:shd w:val="clear" w:color="auto" w:fill="auto"/>
            <w:vAlign w:val="bottom"/>
          </w:tcPr>
          <w:p w:rsidR="003C631E" w:rsidRPr="00465A9F" w:rsidRDefault="003C631E" w:rsidP="005151A7">
            <w:pPr>
              <w:pStyle w:val="TableBodyText"/>
              <w:rPr>
                <w:sz w:val="18"/>
                <w:szCs w:val="18"/>
              </w:rPr>
            </w:pPr>
            <w:r w:rsidRPr="00465A9F">
              <w:rPr>
                <w:sz w:val="18"/>
                <w:szCs w:val="18"/>
              </w:rPr>
              <w:noBreakHyphen/>
            </w:r>
          </w:p>
        </w:tc>
        <w:tc>
          <w:tcPr>
            <w:tcW w:w="507" w:type="pct"/>
            <w:shd w:val="clear" w:color="auto" w:fill="auto"/>
            <w:vAlign w:val="bottom"/>
          </w:tcPr>
          <w:p w:rsidR="003C631E" w:rsidRPr="00465A9F" w:rsidRDefault="003C631E" w:rsidP="005151A7">
            <w:pPr>
              <w:pStyle w:val="TableBodyText"/>
              <w:rPr>
                <w:sz w:val="18"/>
                <w:szCs w:val="18"/>
              </w:rPr>
            </w:pPr>
            <w:r w:rsidRPr="00465A9F">
              <w:rPr>
                <w:sz w:val="18"/>
                <w:szCs w:val="18"/>
              </w:rPr>
              <w:noBreakHyphen/>
            </w:r>
          </w:p>
        </w:tc>
      </w:tr>
      <w:tr w:rsidR="003C631E" w:rsidRPr="002A328F" w:rsidTr="005151A7">
        <w:tc>
          <w:tcPr>
            <w:tcW w:w="1959" w:type="pct"/>
            <w:vAlign w:val="bottom"/>
          </w:tcPr>
          <w:p w:rsidR="003C631E" w:rsidRPr="00FF0BDA" w:rsidRDefault="003C631E" w:rsidP="005151A7">
            <w:pPr>
              <w:pStyle w:val="TableBodyText"/>
              <w:jc w:val="left"/>
              <w:rPr>
                <w:sz w:val="18"/>
                <w:szCs w:val="18"/>
              </w:rPr>
            </w:pPr>
            <w:r w:rsidRPr="00FF0BDA">
              <w:rPr>
                <w:sz w:val="18"/>
                <w:szCs w:val="18"/>
              </w:rPr>
              <w:t>Dairy cattle farming</w:t>
            </w:r>
          </w:p>
        </w:tc>
        <w:tc>
          <w:tcPr>
            <w:tcW w:w="507" w:type="pct"/>
            <w:vAlign w:val="bottom"/>
          </w:tcPr>
          <w:p w:rsidR="003C631E" w:rsidRPr="00465A9F" w:rsidRDefault="003C631E" w:rsidP="005151A7">
            <w:pPr>
              <w:pStyle w:val="TableBodyText"/>
              <w:rPr>
                <w:sz w:val="18"/>
                <w:szCs w:val="18"/>
              </w:rPr>
            </w:pPr>
            <w:r w:rsidRPr="00465A9F">
              <w:rPr>
                <w:sz w:val="18"/>
                <w:szCs w:val="18"/>
              </w:rPr>
              <w:noBreakHyphen/>
            </w:r>
          </w:p>
        </w:tc>
        <w:tc>
          <w:tcPr>
            <w:tcW w:w="507" w:type="pct"/>
            <w:vAlign w:val="bottom"/>
          </w:tcPr>
          <w:p w:rsidR="003C631E" w:rsidRPr="00465A9F" w:rsidRDefault="003C631E" w:rsidP="005151A7">
            <w:pPr>
              <w:pStyle w:val="TableBodyText"/>
              <w:rPr>
                <w:sz w:val="18"/>
                <w:szCs w:val="18"/>
              </w:rPr>
            </w:pPr>
            <w:r w:rsidRPr="00465A9F">
              <w:rPr>
                <w:sz w:val="18"/>
                <w:szCs w:val="18"/>
              </w:rPr>
              <w:noBreakHyphen/>
            </w:r>
          </w:p>
        </w:tc>
        <w:tc>
          <w:tcPr>
            <w:tcW w:w="507" w:type="pct"/>
            <w:vAlign w:val="bottom"/>
          </w:tcPr>
          <w:p w:rsidR="003C631E" w:rsidRPr="00465A9F" w:rsidRDefault="003C631E" w:rsidP="005151A7">
            <w:pPr>
              <w:pStyle w:val="TableBodyText"/>
              <w:rPr>
                <w:sz w:val="18"/>
                <w:szCs w:val="18"/>
              </w:rPr>
            </w:pPr>
            <w:r w:rsidRPr="00465A9F">
              <w:rPr>
                <w:sz w:val="18"/>
                <w:szCs w:val="18"/>
              </w:rPr>
              <w:noBreakHyphen/>
            </w:r>
          </w:p>
        </w:tc>
        <w:tc>
          <w:tcPr>
            <w:tcW w:w="507" w:type="pct"/>
            <w:vAlign w:val="bottom"/>
          </w:tcPr>
          <w:p w:rsidR="003C631E" w:rsidRPr="00465A9F" w:rsidRDefault="003C631E" w:rsidP="005151A7">
            <w:pPr>
              <w:pStyle w:val="TableBodyText"/>
              <w:rPr>
                <w:sz w:val="18"/>
                <w:szCs w:val="18"/>
              </w:rPr>
            </w:pPr>
            <w:r w:rsidRPr="00465A9F">
              <w:rPr>
                <w:sz w:val="18"/>
                <w:szCs w:val="18"/>
              </w:rPr>
              <w:t>&lt;0.1</w:t>
            </w:r>
          </w:p>
        </w:tc>
        <w:tc>
          <w:tcPr>
            <w:tcW w:w="507" w:type="pct"/>
            <w:shd w:val="clear" w:color="auto" w:fill="auto"/>
            <w:vAlign w:val="bottom"/>
          </w:tcPr>
          <w:p w:rsidR="003C631E" w:rsidRPr="00465A9F" w:rsidRDefault="003C631E" w:rsidP="005151A7">
            <w:pPr>
              <w:pStyle w:val="TableBodyText"/>
              <w:rPr>
                <w:sz w:val="18"/>
                <w:szCs w:val="18"/>
              </w:rPr>
            </w:pPr>
            <w:r w:rsidRPr="00465A9F">
              <w:rPr>
                <w:sz w:val="18"/>
                <w:szCs w:val="18"/>
              </w:rPr>
              <w:noBreakHyphen/>
            </w:r>
          </w:p>
        </w:tc>
        <w:tc>
          <w:tcPr>
            <w:tcW w:w="507" w:type="pct"/>
            <w:shd w:val="clear" w:color="auto" w:fill="auto"/>
            <w:vAlign w:val="bottom"/>
          </w:tcPr>
          <w:p w:rsidR="003C631E" w:rsidRPr="00465A9F" w:rsidRDefault="003C631E" w:rsidP="005151A7">
            <w:pPr>
              <w:pStyle w:val="TableBodyText"/>
              <w:rPr>
                <w:sz w:val="18"/>
                <w:szCs w:val="18"/>
              </w:rPr>
            </w:pPr>
            <w:r w:rsidRPr="00465A9F">
              <w:rPr>
                <w:sz w:val="18"/>
                <w:szCs w:val="18"/>
              </w:rPr>
              <w:noBreakHyphen/>
            </w:r>
          </w:p>
        </w:tc>
      </w:tr>
      <w:tr w:rsidR="003C631E" w:rsidRPr="002A328F" w:rsidTr="005151A7">
        <w:tc>
          <w:tcPr>
            <w:tcW w:w="1959" w:type="pct"/>
            <w:vAlign w:val="bottom"/>
          </w:tcPr>
          <w:p w:rsidR="003C631E" w:rsidRPr="00FF0BDA" w:rsidRDefault="003C631E" w:rsidP="005151A7">
            <w:pPr>
              <w:pStyle w:val="TableBodyText"/>
              <w:jc w:val="left"/>
              <w:rPr>
                <w:sz w:val="18"/>
                <w:szCs w:val="18"/>
              </w:rPr>
            </w:pPr>
            <w:r w:rsidRPr="00FF0BDA">
              <w:rPr>
                <w:sz w:val="18"/>
                <w:szCs w:val="18"/>
              </w:rPr>
              <w:t>Other livestock farming</w:t>
            </w:r>
          </w:p>
        </w:tc>
        <w:tc>
          <w:tcPr>
            <w:tcW w:w="507" w:type="pct"/>
            <w:vAlign w:val="bottom"/>
          </w:tcPr>
          <w:p w:rsidR="003C631E" w:rsidRPr="00465A9F" w:rsidRDefault="003C631E" w:rsidP="005151A7">
            <w:pPr>
              <w:pStyle w:val="TableBodyText"/>
              <w:rPr>
                <w:sz w:val="18"/>
                <w:szCs w:val="18"/>
              </w:rPr>
            </w:pPr>
            <w:r w:rsidRPr="00465A9F">
              <w:rPr>
                <w:sz w:val="18"/>
                <w:szCs w:val="18"/>
              </w:rPr>
              <w:noBreakHyphen/>
            </w:r>
          </w:p>
        </w:tc>
        <w:tc>
          <w:tcPr>
            <w:tcW w:w="507" w:type="pct"/>
            <w:vAlign w:val="bottom"/>
          </w:tcPr>
          <w:p w:rsidR="003C631E" w:rsidRPr="00465A9F" w:rsidRDefault="003C631E" w:rsidP="005151A7">
            <w:pPr>
              <w:pStyle w:val="TableBodyText"/>
              <w:rPr>
                <w:sz w:val="18"/>
                <w:szCs w:val="18"/>
              </w:rPr>
            </w:pPr>
            <w:r w:rsidRPr="00465A9F">
              <w:rPr>
                <w:sz w:val="18"/>
                <w:szCs w:val="18"/>
              </w:rPr>
              <w:noBreakHyphen/>
            </w:r>
          </w:p>
        </w:tc>
        <w:tc>
          <w:tcPr>
            <w:tcW w:w="507" w:type="pct"/>
            <w:vAlign w:val="bottom"/>
          </w:tcPr>
          <w:p w:rsidR="003C631E" w:rsidRPr="00465A9F" w:rsidRDefault="003C631E" w:rsidP="005151A7">
            <w:pPr>
              <w:pStyle w:val="TableBodyText"/>
              <w:rPr>
                <w:sz w:val="18"/>
                <w:szCs w:val="18"/>
              </w:rPr>
            </w:pPr>
            <w:r w:rsidRPr="00465A9F">
              <w:rPr>
                <w:sz w:val="18"/>
                <w:szCs w:val="18"/>
              </w:rPr>
              <w:noBreakHyphen/>
            </w:r>
          </w:p>
        </w:tc>
        <w:tc>
          <w:tcPr>
            <w:tcW w:w="507" w:type="pct"/>
            <w:vAlign w:val="bottom"/>
          </w:tcPr>
          <w:p w:rsidR="003C631E" w:rsidRPr="00465A9F" w:rsidRDefault="003C631E" w:rsidP="005151A7">
            <w:pPr>
              <w:pStyle w:val="TableBodyText"/>
              <w:rPr>
                <w:sz w:val="18"/>
                <w:szCs w:val="18"/>
              </w:rPr>
            </w:pPr>
            <w:r w:rsidRPr="00465A9F">
              <w:rPr>
                <w:sz w:val="18"/>
                <w:szCs w:val="18"/>
              </w:rPr>
              <w:t>&lt;0.1</w:t>
            </w:r>
          </w:p>
        </w:tc>
        <w:tc>
          <w:tcPr>
            <w:tcW w:w="507" w:type="pct"/>
            <w:shd w:val="clear" w:color="auto" w:fill="auto"/>
            <w:vAlign w:val="bottom"/>
          </w:tcPr>
          <w:p w:rsidR="003C631E" w:rsidRPr="00465A9F" w:rsidRDefault="003C631E" w:rsidP="005151A7">
            <w:pPr>
              <w:pStyle w:val="TableBodyText"/>
              <w:rPr>
                <w:sz w:val="18"/>
                <w:szCs w:val="18"/>
              </w:rPr>
            </w:pPr>
            <w:r w:rsidRPr="00465A9F">
              <w:rPr>
                <w:sz w:val="18"/>
                <w:szCs w:val="18"/>
              </w:rPr>
              <w:noBreakHyphen/>
            </w:r>
          </w:p>
        </w:tc>
        <w:tc>
          <w:tcPr>
            <w:tcW w:w="507" w:type="pct"/>
            <w:shd w:val="clear" w:color="auto" w:fill="auto"/>
            <w:vAlign w:val="bottom"/>
          </w:tcPr>
          <w:p w:rsidR="003C631E" w:rsidRPr="00465A9F" w:rsidRDefault="003C631E" w:rsidP="005151A7">
            <w:pPr>
              <w:pStyle w:val="TableBodyText"/>
              <w:rPr>
                <w:sz w:val="18"/>
                <w:szCs w:val="18"/>
              </w:rPr>
            </w:pPr>
            <w:r w:rsidRPr="00465A9F">
              <w:rPr>
                <w:sz w:val="18"/>
                <w:szCs w:val="18"/>
              </w:rPr>
              <w:noBreakHyphen/>
            </w:r>
          </w:p>
        </w:tc>
      </w:tr>
      <w:tr w:rsidR="003C631E" w:rsidRPr="002A328F" w:rsidTr="005151A7">
        <w:tc>
          <w:tcPr>
            <w:tcW w:w="1959" w:type="pct"/>
            <w:vAlign w:val="bottom"/>
          </w:tcPr>
          <w:p w:rsidR="003C631E" w:rsidRPr="00FF0BDA" w:rsidRDefault="003C631E" w:rsidP="005151A7">
            <w:pPr>
              <w:pStyle w:val="TableBodyText"/>
              <w:jc w:val="left"/>
              <w:rPr>
                <w:sz w:val="18"/>
                <w:szCs w:val="18"/>
              </w:rPr>
            </w:pPr>
            <w:r w:rsidRPr="00FF0BDA">
              <w:rPr>
                <w:sz w:val="18"/>
                <w:szCs w:val="18"/>
              </w:rPr>
              <w:t>Forestry and logging</w:t>
            </w:r>
          </w:p>
        </w:tc>
        <w:tc>
          <w:tcPr>
            <w:tcW w:w="507" w:type="pct"/>
            <w:vAlign w:val="bottom"/>
          </w:tcPr>
          <w:p w:rsidR="003C631E" w:rsidRPr="00465A9F" w:rsidRDefault="003C631E" w:rsidP="005151A7">
            <w:pPr>
              <w:pStyle w:val="TableBodyText"/>
              <w:rPr>
                <w:sz w:val="18"/>
                <w:szCs w:val="18"/>
              </w:rPr>
            </w:pPr>
            <w:r w:rsidRPr="00465A9F">
              <w:rPr>
                <w:sz w:val="18"/>
                <w:szCs w:val="18"/>
              </w:rPr>
              <w:noBreakHyphen/>
            </w:r>
          </w:p>
        </w:tc>
        <w:tc>
          <w:tcPr>
            <w:tcW w:w="507" w:type="pct"/>
            <w:vAlign w:val="bottom"/>
          </w:tcPr>
          <w:p w:rsidR="003C631E" w:rsidRPr="00465A9F" w:rsidRDefault="003C631E" w:rsidP="005151A7">
            <w:pPr>
              <w:pStyle w:val="TableBodyText"/>
              <w:rPr>
                <w:sz w:val="18"/>
                <w:szCs w:val="18"/>
              </w:rPr>
            </w:pPr>
            <w:r w:rsidRPr="00465A9F">
              <w:rPr>
                <w:sz w:val="18"/>
                <w:szCs w:val="18"/>
              </w:rPr>
              <w:noBreakHyphen/>
            </w:r>
          </w:p>
        </w:tc>
        <w:tc>
          <w:tcPr>
            <w:tcW w:w="507" w:type="pct"/>
            <w:vAlign w:val="bottom"/>
          </w:tcPr>
          <w:p w:rsidR="003C631E" w:rsidRPr="00465A9F" w:rsidRDefault="003C631E" w:rsidP="005151A7">
            <w:pPr>
              <w:pStyle w:val="TableBodyText"/>
              <w:rPr>
                <w:sz w:val="18"/>
                <w:szCs w:val="18"/>
              </w:rPr>
            </w:pPr>
            <w:r w:rsidRPr="00465A9F">
              <w:rPr>
                <w:sz w:val="18"/>
                <w:szCs w:val="18"/>
              </w:rPr>
              <w:noBreakHyphen/>
            </w:r>
          </w:p>
        </w:tc>
        <w:tc>
          <w:tcPr>
            <w:tcW w:w="507" w:type="pct"/>
            <w:vAlign w:val="bottom"/>
          </w:tcPr>
          <w:p w:rsidR="003C631E" w:rsidRPr="00465A9F" w:rsidRDefault="003C631E" w:rsidP="005151A7">
            <w:pPr>
              <w:pStyle w:val="TableBodyText"/>
              <w:rPr>
                <w:sz w:val="18"/>
                <w:szCs w:val="18"/>
              </w:rPr>
            </w:pPr>
            <w:r w:rsidRPr="00465A9F">
              <w:rPr>
                <w:sz w:val="18"/>
                <w:szCs w:val="18"/>
              </w:rPr>
              <w:t>0.2</w:t>
            </w:r>
          </w:p>
        </w:tc>
        <w:tc>
          <w:tcPr>
            <w:tcW w:w="507" w:type="pct"/>
            <w:shd w:val="clear" w:color="auto" w:fill="auto"/>
            <w:vAlign w:val="bottom"/>
          </w:tcPr>
          <w:p w:rsidR="003C631E" w:rsidRPr="00465A9F" w:rsidRDefault="003C631E" w:rsidP="005151A7">
            <w:pPr>
              <w:pStyle w:val="TableBodyText"/>
              <w:rPr>
                <w:sz w:val="18"/>
                <w:szCs w:val="18"/>
              </w:rPr>
            </w:pPr>
            <w:r w:rsidRPr="00465A9F">
              <w:rPr>
                <w:sz w:val="18"/>
                <w:szCs w:val="18"/>
              </w:rPr>
              <w:noBreakHyphen/>
            </w:r>
          </w:p>
        </w:tc>
        <w:tc>
          <w:tcPr>
            <w:tcW w:w="507" w:type="pct"/>
            <w:shd w:val="clear" w:color="auto" w:fill="auto"/>
            <w:vAlign w:val="bottom"/>
          </w:tcPr>
          <w:p w:rsidR="003C631E" w:rsidRPr="00465A9F" w:rsidRDefault="003C631E" w:rsidP="005151A7">
            <w:pPr>
              <w:pStyle w:val="TableBodyText"/>
              <w:rPr>
                <w:sz w:val="18"/>
                <w:szCs w:val="18"/>
              </w:rPr>
            </w:pPr>
            <w:r w:rsidRPr="00465A9F">
              <w:rPr>
                <w:sz w:val="18"/>
                <w:szCs w:val="18"/>
              </w:rPr>
              <w:noBreakHyphen/>
            </w:r>
          </w:p>
        </w:tc>
      </w:tr>
      <w:tr w:rsidR="003C631E" w:rsidRPr="002A328F" w:rsidTr="005151A7">
        <w:tc>
          <w:tcPr>
            <w:tcW w:w="1959" w:type="pct"/>
            <w:vAlign w:val="bottom"/>
          </w:tcPr>
          <w:p w:rsidR="003C631E" w:rsidRPr="00FF0BDA" w:rsidRDefault="003C631E" w:rsidP="005151A7">
            <w:pPr>
              <w:pStyle w:val="TableBodyText"/>
              <w:jc w:val="left"/>
              <w:rPr>
                <w:b/>
                <w:sz w:val="18"/>
                <w:szCs w:val="18"/>
              </w:rPr>
            </w:pPr>
            <w:r w:rsidRPr="00FF0BDA">
              <w:rPr>
                <w:b/>
                <w:sz w:val="18"/>
                <w:szCs w:val="18"/>
              </w:rPr>
              <w:t>Manufacturing</w:t>
            </w:r>
          </w:p>
        </w:tc>
        <w:tc>
          <w:tcPr>
            <w:tcW w:w="507" w:type="pct"/>
            <w:vAlign w:val="bottom"/>
          </w:tcPr>
          <w:p w:rsidR="003C631E" w:rsidRPr="00465A9F" w:rsidRDefault="003C631E" w:rsidP="005151A7">
            <w:pPr>
              <w:pStyle w:val="TableBodyText"/>
              <w:rPr>
                <w:b/>
                <w:sz w:val="18"/>
                <w:szCs w:val="18"/>
              </w:rPr>
            </w:pPr>
            <w:r w:rsidRPr="00465A9F">
              <w:rPr>
                <w:b/>
                <w:sz w:val="18"/>
                <w:szCs w:val="18"/>
              </w:rPr>
              <w:noBreakHyphen/>
            </w:r>
          </w:p>
        </w:tc>
        <w:tc>
          <w:tcPr>
            <w:tcW w:w="507" w:type="pct"/>
            <w:vAlign w:val="bottom"/>
          </w:tcPr>
          <w:p w:rsidR="003C631E" w:rsidRPr="00465A9F" w:rsidRDefault="003C631E" w:rsidP="005151A7">
            <w:pPr>
              <w:pStyle w:val="TableBodyText"/>
              <w:rPr>
                <w:b/>
                <w:sz w:val="18"/>
                <w:szCs w:val="18"/>
              </w:rPr>
            </w:pPr>
            <w:r w:rsidRPr="00465A9F">
              <w:rPr>
                <w:b/>
                <w:sz w:val="18"/>
                <w:szCs w:val="18"/>
              </w:rPr>
              <w:noBreakHyphen/>
            </w:r>
          </w:p>
        </w:tc>
        <w:tc>
          <w:tcPr>
            <w:tcW w:w="507" w:type="pct"/>
            <w:vAlign w:val="bottom"/>
          </w:tcPr>
          <w:p w:rsidR="003C631E" w:rsidRPr="00465A9F" w:rsidRDefault="003C631E" w:rsidP="005151A7">
            <w:pPr>
              <w:pStyle w:val="TableBodyText"/>
              <w:rPr>
                <w:b/>
                <w:sz w:val="18"/>
                <w:szCs w:val="18"/>
              </w:rPr>
            </w:pPr>
            <w:r w:rsidRPr="00465A9F">
              <w:rPr>
                <w:b/>
                <w:sz w:val="18"/>
                <w:szCs w:val="18"/>
              </w:rPr>
              <w:noBreakHyphen/>
            </w:r>
          </w:p>
        </w:tc>
        <w:tc>
          <w:tcPr>
            <w:tcW w:w="507" w:type="pct"/>
            <w:vAlign w:val="bottom"/>
          </w:tcPr>
          <w:p w:rsidR="003C631E" w:rsidRPr="00465A9F" w:rsidRDefault="003C631E" w:rsidP="005151A7">
            <w:pPr>
              <w:pStyle w:val="TableBodyText"/>
              <w:rPr>
                <w:b/>
                <w:sz w:val="18"/>
                <w:szCs w:val="18"/>
              </w:rPr>
            </w:pPr>
            <w:r w:rsidRPr="00465A9F">
              <w:rPr>
                <w:b/>
                <w:sz w:val="18"/>
                <w:szCs w:val="18"/>
              </w:rPr>
              <w:t>0.3</w:t>
            </w:r>
          </w:p>
        </w:tc>
        <w:tc>
          <w:tcPr>
            <w:tcW w:w="507" w:type="pct"/>
            <w:shd w:val="clear" w:color="auto" w:fill="auto"/>
            <w:vAlign w:val="bottom"/>
          </w:tcPr>
          <w:p w:rsidR="003C631E" w:rsidRPr="00465A9F" w:rsidRDefault="003C631E" w:rsidP="005151A7">
            <w:pPr>
              <w:pStyle w:val="TableBodyText"/>
              <w:rPr>
                <w:b/>
                <w:sz w:val="18"/>
                <w:szCs w:val="18"/>
              </w:rPr>
            </w:pPr>
            <w:r w:rsidRPr="00465A9F">
              <w:rPr>
                <w:b/>
                <w:sz w:val="18"/>
                <w:szCs w:val="18"/>
              </w:rPr>
              <w:noBreakHyphen/>
            </w:r>
          </w:p>
        </w:tc>
        <w:tc>
          <w:tcPr>
            <w:tcW w:w="507" w:type="pct"/>
            <w:shd w:val="clear" w:color="auto" w:fill="auto"/>
            <w:vAlign w:val="bottom"/>
          </w:tcPr>
          <w:p w:rsidR="003C631E" w:rsidRPr="00465A9F" w:rsidRDefault="003C631E" w:rsidP="005151A7">
            <w:pPr>
              <w:pStyle w:val="TableBodyText"/>
              <w:rPr>
                <w:b/>
                <w:sz w:val="18"/>
                <w:szCs w:val="18"/>
              </w:rPr>
            </w:pPr>
            <w:r w:rsidRPr="00465A9F">
              <w:rPr>
                <w:b/>
                <w:sz w:val="18"/>
                <w:szCs w:val="18"/>
              </w:rPr>
              <w:noBreakHyphen/>
            </w:r>
          </w:p>
        </w:tc>
      </w:tr>
      <w:tr w:rsidR="003C631E" w:rsidRPr="002A328F" w:rsidTr="005151A7">
        <w:tc>
          <w:tcPr>
            <w:tcW w:w="1959" w:type="pct"/>
            <w:vAlign w:val="bottom"/>
          </w:tcPr>
          <w:p w:rsidR="003C631E" w:rsidRPr="00FF0BDA" w:rsidRDefault="003C631E" w:rsidP="005151A7">
            <w:pPr>
              <w:pStyle w:val="TableBodyText"/>
              <w:jc w:val="left"/>
              <w:rPr>
                <w:sz w:val="18"/>
                <w:szCs w:val="18"/>
              </w:rPr>
            </w:pPr>
            <w:r w:rsidRPr="00FF0BDA">
              <w:rPr>
                <w:sz w:val="18"/>
                <w:szCs w:val="18"/>
              </w:rPr>
              <w:t>Wood and paper products</w:t>
            </w:r>
          </w:p>
        </w:tc>
        <w:tc>
          <w:tcPr>
            <w:tcW w:w="507" w:type="pct"/>
            <w:vAlign w:val="bottom"/>
          </w:tcPr>
          <w:p w:rsidR="003C631E" w:rsidRPr="00465A9F" w:rsidRDefault="003C631E" w:rsidP="005151A7">
            <w:pPr>
              <w:pStyle w:val="TableBodyText"/>
              <w:rPr>
                <w:sz w:val="18"/>
                <w:szCs w:val="18"/>
              </w:rPr>
            </w:pPr>
            <w:r w:rsidRPr="00465A9F">
              <w:rPr>
                <w:sz w:val="18"/>
                <w:szCs w:val="18"/>
              </w:rPr>
              <w:noBreakHyphen/>
            </w:r>
          </w:p>
        </w:tc>
        <w:tc>
          <w:tcPr>
            <w:tcW w:w="507" w:type="pct"/>
            <w:vAlign w:val="bottom"/>
          </w:tcPr>
          <w:p w:rsidR="003C631E" w:rsidRPr="00465A9F" w:rsidRDefault="003C631E" w:rsidP="005151A7">
            <w:pPr>
              <w:pStyle w:val="TableBodyText"/>
              <w:rPr>
                <w:sz w:val="18"/>
                <w:szCs w:val="18"/>
              </w:rPr>
            </w:pPr>
            <w:r w:rsidRPr="00465A9F">
              <w:rPr>
                <w:sz w:val="18"/>
                <w:szCs w:val="18"/>
              </w:rPr>
              <w:noBreakHyphen/>
            </w:r>
          </w:p>
        </w:tc>
        <w:tc>
          <w:tcPr>
            <w:tcW w:w="507" w:type="pct"/>
            <w:vAlign w:val="bottom"/>
          </w:tcPr>
          <w:p w:rsidR="003C631E" w:rsidRPr="00465A9F" w:rsidRDefault="003C631E" w:rsidP="005151A7">
            <w:pPr>
              <w:pStyle w:val="TableBodyText"/>
              <w:rPr>
                <w:sz w:val="18"/>
                <w:szCs w:val="18"/>
              </w:rPr>
            </w:pPr>
            <w:r w:rsidRPr="00465A9F">
              <w:rPr>
                <w:sz w:val="18"/>
                <w:szCs w:val="18"/>
              </w:rPr>
              <w:noBreakHyphen/>
            </w:r>
          </w:p>
        </w:tc>
        <w:tc>
          <w:tcPr>
            <w:tcW w:w="507" w:type="pct"/>
            <w:vAlign w:val="bottom"/>
          </w:tcPr>
          <w:p w:rsidR="003C631E" w:rsidRPr="00465A9F" w:rsidRDefault="003C631E" w:rsidP="005151A7">
            <w:pPr>
              <w:pStyle w:val="TableBodyText"/>
              <w:rPr>
                <w:sz w:val="18"/>
                <w:szCs w:val="18"/>
              </w:rPr>
            </w:pPr>
            <w:r w:rsidRPr="00465A9F">
              <w:rPr>
                <w:sz w:val="18"/>
                <w:szCs w:val="18"/>
              </w:rPr>
              <w:t>&lt;0.1</w:t>
            </w:r>
          </w:p>
        </w:tc>
        <w:tc>
          <w:tcPr>
            <w:tcW w:w="507" w:type="pct"/>
            <w:shd w:val="clear" w:color="auto" w:fill="auto"/>
            <w:vAlign w:val="bottom"/>
          </w:tcPr>
          <w:p w:rsidR="003C631E" w:rsidRPr="00465A9F" w:rsidRDefault="003C631E" w:rsidP="005151A7">
            <w:pPr>
              <w:pStyle w:val="TableBodyText"/>
              <w:rPr>
                <w:sz w:val="18"/>
                <w:szCs w:val="18"/>
              </w:rPr>
            </w:pPr>
            <w:r w:rsidRPr="00465A9F">
              <w:rPr>
                <w:sz w:val="18"/>
                <w:szCs w:val="18"/>
              </w:rPr>
              <w:noBreakHyphen/>
            </w:r>
          </w:p>
        </w:tc>
        <w:tc>
          <w:tcPr>
            <w:tcW w:w="507" w:type="pct"/>
            <w:shd w:val="clear" w:color="auto" w:fill="auto"/>
            <w:vAlign w:val="bottom"/>
          </w:tcPr>
          <w:p w:rsidR="003C631E" w:rsidRPr="00465A9F" w:rsidRDefault="003C631E" w:rsidP="005151A7">
            <w:pPr>
              <w:pStyle w:val="TableBodyText"/>
              <w:rPr>
                <w:sz w:val="18"/>
                <w:szCs w:val="18"/>
              </w:rPr>
            </w:pPr>
            <w:r w:rsidRPr="00465A9F">
              <w:rPr>
                <w:sz w:val="18"/>
                <w:szCs w:val="18"/>
              </w:rPr>
              <w:noBreakHyphen/>
            </w:r>
          </w:p>
        </w:tc>
      </w:tr>
      <w:tr w:rsidR="003C631E" w:rsidRPr="002A328F" w:rsidTr="005151A7">
        <w:tc>
          <w:tcPr>
            <w:tcW w:w="1959" w:type="pct"/>
            <w:vAlign w:val="bottom"/>
          </w:tcPr>
          <w:p w:rsidR="003C631E" w:rsidRPr="00FF0BDA" w:rsidRDefault="003C631E" w:rsidP="005151A7">
            <w:pPr>
              <w:pStyle w:val="TableBodyText"/>
              <w:jc w:val="left"/>
              <w:rPr>
                <w:sz w:val="18"/>
                <w:szCs w:val="18"/>
              </w:rPr>
            </w:pPr>
            <w:r w:rsidRPr="00FF0BDA">
              <w:rPr>
                <w:sz w:val="18"/>
                <w:szCs w:val="18"/>
              </w:rPr>
              <w:t>Metal and fabricated metal products</w:t>
            </w:r>
          </w:p>
        </w:tc>
        <w:tc>
          <w:tcPr>
            <w:tcW w:w="507" w:type="pct"/>
            <w:vAlign w:val="bottom"/>
          </w:tcPr>
          <w:p w:rsidR="003C631E" w:rsidRPr="00465A9F" w:rsidRDefault="003C631E" w:rsidP="005151A7">
            <w:pPr>
              <w:pStyle w:val="TableBodyText"/>
              <w:rPr>
                <w:sz w:val="18"/>
                <w:szCs w:val="18"/>
              </w:rPr>
            </w:pPr>
            <w:r w:rsidRPr="00465A9F">
              <w:rPr>
                <w:sz w:val="18"/>
                <w:szCs w:val="18"/>
              </w:rPr>
              <w:noBreakHyphen/>
            </w:r>
          </w:p>
        </w:tc>
        <w:tc>
          <w:tcPr>
            <w:tcW w:w="507" w:type="pct"/>
            <w:vAlign w:val="bottom"/>
          </w:tcPr>
          <w:p w:rsidR="003C631E" w:rsidRPr="00465A9F" w:rsidRDefault="003C631E" w:rsidP="005151A7">
            <w:pPr>
              <w:pStyle w:val="TableBodyText"/>
              <w:rPr>
                <w:sz w:val="18"/>
                <w:szCs w:val="18"/>
              </w:rPr>
            </w:pPr>
            <w:r w:rsidRPr="00465A9F">
              <w:rPr>
                <w:sz w:val="18"/>
                <w:szCs w:val="18"/>
              </w:rPr>
              <w:noBreakHyphen/>
            </w:r>
          </w:p>
        </w:tc>
        <w:tc>
          <w:tcPr>
            <w:tcW w:w="507" w:type="pct"/>
            <w:vAlign w:val="bottom"/>
          </w:tcPr>
          <w:p w:rsidR="003C631E" w:rsidRPr="00465A9F" w:rsidRDefault="003C631E" w:rsidP="005151A7">
            <w:pPr>
              <w:pStyle w:val="TableBodyText"/>
              <w:rPr>
                <w:sz w:val="18"/>
                <w:szCs w:val="18"/>
              </w:rPr>
            </w:pPr>
            <w:r w:rsidRPr="00465A9F">
              <w:rPr>
                <w:sz w:val="18"/>
                <w:szCs w:val="18"/>
              </w:rPr>
              <w:noBreakHyphen/>
            </w:r>
          </w:p>
        </w:tc>
        <w:tc>
          <w:tcPr>
            <w:tcW w:w="507" w:type="pct"/>
            <w:vAlign w:val="bottom"/>
          </w:tcPr>
          <w:p w:rsidR="003C631E" w:rsidRPr="00465A9F" w:rsidRDefault="003C631E" w:rsidP="005151A7">
            <w:pPr>
              <w:pStyle w:val="TableBodyText"/>
              <w:rPr>
                <w:sz w:val="18"/>
                <w:szCs w:val="18"/>
              </w:rPr>
            </w:pPr>
            <w:r w:rsidRPr="00465A9F">
              <w:rPr>
                <w:sz w:val="18"/>
                <w:szCs w:val="18"/>
              </w:rPr>
              <w:t>&lt;0.1</w:t>
            </w:r>
          </w:p>
        </w:tc>
        <w:tc>
          <w:tcPr>
            <w:tcW w:w="507" w:type="pct"/>
            <w:shd w:val="clear" w:color="auto" w:fill="auto"/>
            <w:vAlign w:val="bottom"/>
          </w:tcPr>
          <w:p w:rsidR="003C631E" w:rsidRPr="00465A9F" w:rsidRDefault="003C631E" w:rsidP="005151A7">
            <w:pPr>
              <w:pStyle w:val="TableBodyText"/>
              <w:rPr>
                <w:sz w:val="18"/>
                <w:szCs w:val="18"/>
              </w:rPr>
            </w:pPr>
            <w:r w:rsidRPr="00465A9F">
              <w:rPr>
                <w:sz w:val="18"/>
                <w:szCs w:val="18"/>
              </w:rPr>
              <w:noBreakHyphen/>
            </w:r>
          </w:p>
        </w:tc>
        <w:tc>
          <w:tcPr>
            <w:tcW w:w="507" w:type="pct"/>
            <w:shd w:val="clear" w:color="auto" w:fill="auto"/>
            <w:vAlign w:val="bottom"/>
          </w:tcPr>
          <w:p w:rsidR="003C631E" w:rsidRPr="00465A9F" w:rsidRDefault="003C631E" w:rsidP="005151A7">
            <w:pPr>
              <w:pStyle w:val="TableBodyText"/>
              <w:rPr>
                <w:sz w:val="18"/>
                <w:szCs w:val="18"/>
              </w:rPr>
            </w:pPr>
            <w:r w:rsidRPr="00465A9F">
              <w:rPr>
                <w:sz w:val="18"/>
                <w:szCs w:val="18"/>
              </w:rPr>
              <w:noBreakHyphen/>
            </w:r>
          </w:p>
        </w:tc>
      </w:tr>
      <w:tr w:rsidR="003C631E" w:rsidRPr="002A328F" w:rsidTr="005151A7">
        <w:tc>
          <w:tcPr>
            <w:tcW w:w="1959" w:type="pct"/>
            <w:vAlign w:val="bottom"/>
          </w:tcPr>
          <w:p w:rsidR="003C631E" w:rsidRPr="00FF0BDA" w:rsidRDefault="003C631E" w:rsidP="005151A7">
            <w:pPr>
              <w:pStyle w:val="TableBodyText"/>
              <w:jc w:val="left"/>
              <w:rPr>
                <w:sz w:val="18"/>
                <w:szCs w:val="18"/>
              </w:rPr>
            </w:pPr>
            <w:r w:rsidRPr="00FF0BDA">
              <w:rPr>
                <w:sz w:val="18"/>
                <w:szCs w:val="18"/>
              </w:rPr>
              <w:t>Other transport equipment</w:t>
            </w:r>
          </w:p>
        </w:tc>
        <w:tc>
          <w:tcPr>
            <w:tcW w:w="507" w:type="pct"/>
            <w:vAlign w:val="bottom"/>
          </w:tcPr>
          <w:p w:rsidR="003C631E" w:rsidRPr="00465A9F" w:rsidRDefault="003C631E" w:rsidP="005151A7">
            <w:pPr>
              <w:pStyle w:val="TableBodyText"/>
              <w:rPr>
                <w:sz w:val="18"/>
                <w:szCs w:val="18"/>
              </w:rPr>
            </w:pPr>
            <w:r w:rsidRPr="00465A9F">
              <w:rPr>
                <w:sz w:val="18"/>
                <w:szCs w:val="18"/>
              </w:rPr>
              <w:noBreakHyphen/>
            </w:r>
          </w:p>
        </w:tc>
        <w:tc>
          <w:tcPr>
            <w:tcW w:w="507" w:type="pct"/>
            <w:vAlign w:val="bottom"/>
          </w:tcPr>
          <w:p w:rsidR="003C631E" w:rsidRPr="00465A9F" w:rsidRDefault="003C631E" w:rsidP="005151A7">
            <w:pPr>
              <w:pStyle w:val="TableBodyText"/>
              <w:rPr>
                <w:sz w:val="18"/>
                <w:szCs w:val="18"/>
              </w:rPr>
            </w:pPr>
            <w:r w:rsidRPr="00465A9F">
              <w:rPr>
                <w:sz w:val="18"/>
                <w:szCs w:val="18"/>
              </w:rPr>
              <w:noBreakHyphen/>
            </w:r>
          </w:p>
        </w:tc>
        <w:tc>
          <w:tcPr>
            <w:tcW w:w="507" w:type="pct"/>
            <w:vAlign w:val="bottom"/>
          </w:tcPr>
          <w:p w:rsidR="003C631E" w:rsidRPr="00465A9F" w:rsidRDefault="003C631E" w:rsidP="005151A7">
            <w:pPr>
              <w:pStyle w:val="TableBodyText"/>
              <w:rPr>
                <w:sz w:val="18"/>
                <w:szCs w:val="18"/>
              </w:rPr>
            </w:pPr>
            <w:r w:rsidRPr="00465A9F">
              <w:rPr>
                <w:sz w:val="18"/>
                <w:szCs w:val="18"/>
              </w:rPr>
              <w:noBreakHyphen/>
            </w:r>
          </w:p>
        </w:tc>
        <w:tc>
          <w:tcPr>
            <w:tcW w:w="507" w:type="pct"/>
            <w:vAlign w:val="bottom"/>
          </w:tcPr>
          <w:p w:rsidR="003C631E" w:rsidRPr="00465A9F" w:rsidRDefault="003C631E" w:rsidP="005151A7">
            <w:pPr>
              <w:pStyle w:val="TableBodyText"/>
              <w:rPr>
                <w:sz w:val="18"/>
                <w:szCs w:val="18"/>
              </w:rPr>
            </w:pPr>
            <w:r w:rsidRPr="00465A9F">
              <w:rPr>
                <w:sz w:val="18"/>
                <w:szCs w:val="18"/>
              </w:rPr>
              <w:t>0.2</w:t>
            </w:r>
          </w:p>
        </w:tc>
        <w:tc>
          <w:tcPr>
            <w:tcW w:w="507" w:type="pct"/>
            <w:shd w:val="clear" w:color="auto" w:fill="auto"/>
            <w:vAlign w:val="bottom"/>
          </w:tcPr>
          <w:p w:rsidR="003C631E" w:rsidRPr="00465A9F" w:rsidRDefault="003C631E" w:rsidP="005151A7">
            <w:pPr>
              <w:pStyle w:val="TableBodyText"/>
              <w:rPr>
                <w:sz w:val="18"/>
                <w:szCs w:val="18"/>
              </w:rPr>
            </w:pPr>
            <w:r w:rsidRPr="00465A9F">
              <w:rPr>
                <w:sz w:val="18"/>
                <w:szCs w:val="18"/>
              </w:rPr>
              <w:noBreakHyphen/>
            </w:r>
          </w:p>
        </w:tc>
        <w:tc>
          <w:tcPr>
            <w:tcW w:w="507" w:type="pct"/>
            <w:shd w:val="clear" w:color="auto" w:fill="auto"/>
            <w:vAlign w:val="bottom"/>
          </w:tcPr>
          <w:p w:rsidR="003C631E" w:rsidRPr="00465A9F" w:rsidRDefault="003C631E" w:rsidP="005151A7">
            <w:pPr>
              <w:pStyle w:val="TableBodyText"/>
              <w:rPr>
                <w:sz w:val="18"/>
                <w:szCs w:val="18"/>
              </w:rPr>
            </w:pPr>
            <w:r w:rsidRPr="00465A9F">
              <w:rPr>
                <w:sz w:val="18"/>
                <w:szCs w:val="18"/>
              </w:rPr>
              <w:noBreakHyphen/>
            </w:r>
          </w:p>
        </w:tc>
      </w:tr>
      <w:tr w:rsidR="003C631E" w:rsidRPr="002A328F" w:rsidTr="005151A7">
        <w:tc>
          <w:tcPr>
            <w:tcW w:w="1959" w:type="pct"/>
            <w:vAlign w:val="bottom"/>
          </w:tcPr>
          <w:p w:rsidR="003C631E" w:rsidRPr="00FF0BDA" w:rsidRDefault="003C631E" w:rsidP="005151A7">
            <w:pPr>
              <w:pStyle w:val="TableBodyText"/>
              <w:jc w:val="left"/>
              <w:rPr>
                <w:sz w:val="18"/>
                <w:szCs w:val="18"/>
              </w:rPr>
            </w:pPr>
            <w:r w:rsidRPr="00FF0BDA">
              <w:rPr>
                <w:sz w:val="18"/>
                <w:szCs w:val="18"/>
              </w:rPr>
              <w:t>Machinery and equipment manufacturing</w:t>
            </w:r>
          </w:p>
        </w:tc>
        <w:tc>
          <w:tcPr>
            <w:tcW w:w="507" w:type="pct"/>
            <w:vAlign w:val="bottom"/>
          </w:tcPr>
          <w:p w:rsidR="003C631E" w:rsidRPr="00465A9F" w:rsidRDefault="003C631E" w:rsidP="005151A7">
            <w:pPr>
              <w:pStyle w:val="TableBodyText"/>
              <w:rPr>
                <w:sz w:val="18"/>
                <w:szCs w:val="18"/>
              </w:rPr>
            </w:pPr>
            <w:r w:rsidRPr="00465A9F">
              <w:rPr>
                <w:sz w:val="18"/>
                <w:szCs w:val="18"/>
              </w:rPr>
              <w:noBreakHyphen/>
            </w:r>
          </w:p>
        </w:tc>
        <w:tc>
          <w:tcPr>
            <w:tcW w:w="507" w:type="pct"/>
            <w:vAlign w:val="bottom"/>
          </w:tcPr>
          <w:p w:rsidR="003C631E" w:rsidRPr="00465A9F" w:rsidRDefault="003C631E" w:rsidP="005151A7">
            <w:pPr>
              <w:pStyle w:val="TableBodyText"/>
              <w:rPr>
                <w:sz w:val="18"/>
                <w:szCs w:val="18"/>
              </w:rPr>
            </w:pPr>
            <w:r w:rsidRPr="00465A9F">
              <w:rPr>
                <w:sz w:val="18"/>
                <w:szCs w:val="18"/>
              </w:rPr>
              <w:noBreakHyphen/>
            </w:r>
          </w:p>
        </w:tc>
        <w:tc>
          <w:tcPr>
            <w:tcW w:w="507" w:type="pct"/>
            <w:vAlign w:val="bottom"/>
          </w:tcPr>
          <w:p w:rsidR="003C631E" w:rsidRPr="00465A9F" w:rsidRDefault="003C631E" w:rsidP="005151A7">
            <w:pPr>
              <w:pStyle w:val="TableBodyText"/>
              <w:rPr>
                <w:sz w:val="18"/>
                <w:szCs w:val="18"/>
              </w:rPr>
            </w:pPr>
            <w:r w:rsidRPr="00465A9F">
              <w:rPr>
                <w:sz w:val="18"/>
                <w:szCs w:val="18"/>
              </w:rPr>
              <w:noBreakHyphen/>
            </w:r>
          </w:p>
        </w:tc>
        <w:tc>
          <w:tcPr>
            <w:tcW w:w="507" w:type="pct"/>
            <w:vAlign w:val="bottom"/>
          </w:tcPr>
          <w:p w:rsidR="003C631E" w:rsidRPr="00465A9F" w:rsidRDefault="003C631E" w:rsidP="005151A7">
            <w:pPr>
              <w:pStyle w:val="TableBodyText"/>
              <w:rPr>
                <w:sz w:val="18"/>
                <w:szCs w:val="18"/>
              </w:rPr>
            </w:pPr>
            <w:r w:rsidRPr="00465A9F">
              <w:rPr>
                <w:sz w:val="18"/>
                <w:szCs w:val="18"/>
              </w:rPr>
              <w:t>&lt;0.1</w:t>
            </w:r>
          </w:p>
        </w:tc>
        <w:tc>
          <w:tcPr>
            <w:tcW w:w="507" w:type="pct"/>
            <w:shd w:val="clear" w:color="auto" w:fill="auto"/>
            <w:vAlign w:val="bottom"/>
          </w:tcPr>
          <w:p w:rsidR="003C631E" w:rsidRPr="00465A9F" w:rsidRDefault="003C631E" w:rsidP="005151A7">
            <w:pPr>
              <w:pStyle w:val="TableBodyText"/>
              <w:rPr>
                <w:sz w:val="18"/>
                <w:szCs w:val="18"/>
              </w:rPr>
            </w:pPr>
            <w:r w:rsidRPr="00465A9F">
              <w:rPr>
                <w:sz w:val="18"/>
                <w:szCs w:val="18"/>
              </w:rPr>
              <w:noBreakHyphen/>
            </w:r>
          </w:p>
        </w:tc>
        <w:tc>
          <w:tcPr>
            <w:tcW w:w="507" w:type="pct"/>
            <w:shd w:val="clear" w:color="auto" w:fill="auto"/>
            <w:vAlign w:val="bottom"/>
          </w:tcPr>
          <w:p w:rsidR="003C631E" w:rsidRPr="00465A9F" w:rsidRDefault="003C631E" w:rsidP="005151A7">
            <w:pPr>
              <w:pStyle w:val="TableBodyText"/>
              <w:rPr>
                <w:sz w:val="18"/>
                <w:szCs w:val="18"/>
              </w:rPr>
            </w:pPr>
            <w:r w:rsidRPr="00465A9F">
              <w:rPr>
                <w:sz w:val="18"/>
                <w:szCs w:val="18"/>
              </w:rPr>
              <w:noBreakHyphen/>
            </w:r>
          </w:p>
        </w:tc>
      </w:tr>
      <w:tr w:rsidR="003C631E" w:rsidRPr="002A328F" w:rsidTr="005151A7">
        <w:tc>
          <w:tcPr>
            <w:tcW w:w="1959" w:type="pct"/>
            <w:vAlign w:val="bottom"/>
          </w:tcPr>
          <w:p w:rsidR="003C631E" w:rsidRPr="00FF0BDA" w:rsidRDefault="003C631E" w:rsidP="005151A7">
            <w:pPr>
              <w:pStyle w:val="TableBodyText"/>
              <w:jc w:val="left"/>
              <w:rPr>
                <w:b/>
                <w:sz w:val="18"/>
                <w:szCs w:val="18"/>
              </w:rPr>
            </w:pPr>
            <w:r w:rsidRPr="00FF0BDA">
              <w:rPr>
                <w:b/>
                <w:sz w:val="18"/>
                <w:szCs w:val="18"/>
              </w:rPr>
              <w:t>Services</w:t>
            </w:r>
          </w:p>
        </w:tc>
        <w:tc>
          <w:tcPr>
            <w:tcW w:w="507" w:type="pct"/>
            <w:vAlign w:val="bottom"/>
          </w:tcPr>
          <w:p w:rsidR="003C631E" w:rsidRPr="00465A9F" w:rsidRDefault="003C631E" w:rsidP="005151A7">
            <w:pPr>
              <w:pStyle w:val="TableBodyText"/>
              <w:rPr>
                <w:b/>
                <w:sz w:val="18"/>
                <w:szCs w:val="18"/>
              </w:rPr>
            </w:pPr>
            <w:r w:rsidRPr="00465A9F">
              <w:rPr>
                <w:b/>
                <w:sz w:val="18"/>
                <w:szCs w:val="18"/>
              </w:rPr>
              <w:noBreakHyphen/>
            </w:r>
          </w:p>
        </w:tc>
        <w:tc>
          <w:tcPr>
            <w:tcW w:w="507" w:type="pct"/>
            <w:vAlign w:val="bottom"/>
          </w:tcPr>
          <w:p w:rsidR="003C631E" w:rsidRPr="00465A9F" w:rsidRDefault="003C631E" w:rsidP="005151A7">
            <w:pPr>
              <w:pStyle w:val="TableBodyText"/>
              <w:rPr>
                <w:b/>
                <w:sz w:val="18"/>
                <w:szCs w:val="18"/>
              </w:rPr>
            </w:pPr>
            <w:r w:rsidRPr="00465A9F">
              <w:rPr>
                <w:b/>
                <w:sz w:val="18"/>
                <w:szCs w:val="18"/>
              </w:rPr>
              <w:noBreakHyphen/>
            </w:r>
          </w:p>
        </w:tc>
        <w:tc>
          <w:tcPr>
            <w:tcW w:w="507" w:type="pct"/>
            <w:vAlign w:val="bottom"/>
          </w:tcPr>
          <w:p w:rsidR="003C631E" w:rsidRPr="00465A9F" w:rsidRDefault="003C631E" w:rsidP="005151A7">
            <w:pPr>
              <w:pStyle w:val="TableBodyText"/>
              <w:rPr>
                <w:b/>
                <w:sz w:val="18"/>
                <w:szCs w:val="18"/>
              </w:rPr>
            </w:pPr>
            <w:r w:rsidRPr="00465A9F">
              <w:rPr>
                <w:b/>
                <w:sz w:val="18"/>
                <w:szCs w:val="18"/>
              </w:rPr>
              <w:noBreakHyphen/>
            </w:r>
          </w:p>
        </w:tc>
        <w:tc>
          <w:tcPr>
            <w:tcW w:w="507" w:type="pct"/>
            <w:vAlign w:val="bottom"/>
          </w:tcPr>
          <w:p w:rsidR="003C631E" w:rsidRPr="00465A9F" w:rsidRDefault="003C631E" w:rsidP="005151A7">
            <w:pPr>
              <w:pStyle w:val="TableBodyText"/>
              <w:rPr>
                <w:b/>
                <w:sz w:val="18"/>
                <w:szCs w:val="18"/>
              </w:rPr>
            </w:pPr>
            <w:r w:rsidRPr="00465A9F">
              <w:rPr>
                <w:b/>
                <w:sz w:val="18"/>
                <w:szCs w:val="18"/>
              </w:rPr>
              <w:t>0.4</w:t>
            </w:r>
          </w:p>
        </w:tc>
        <w:tc>
          <w:tcPr>
            <w:tcW w:w="507" w:type="pct"/>
            <w:shd w:val="clear" w:color="auto" w:fill="auto"/>
            <w:vAlign w:val="bottom"/>
          </w:tcPr>
          <w:p w:rsidR="003C631E" w:rsidRPr="00465A9F" w:rsidRDefault="003C631E" w:rsidP="005151A7">
            <w:pPr>
              <w:pStyle w:val="TableBodyText"/>
              <w:rPr>
                <w:b/>
                <w:sz w:val="18"/>
                <w:szCs w:val="18"/>
              </w:rPr>
            </w:pPr>
            <w:r w:rsidRPr="00465A9F">
              <w:rPr>
                <w:b/>
                <w:sz w:val="18"/>
                <w:szCs w:val="18"/>
              </w:rPr>
              <w:noBreakHyphen/>
            </w:r>
          </w:p>
        </w:tc>
        <w:tc>
          <w:tcPr>
            <w:tcW w:w="507" w:type="pct"/>
            <w:shd w:val="clear" w:color="auto" w:fill="auto"/>
            <w:vAlign w:val="bottom"/>
          </w:tcPr>
          <w:p w:rsidR="003C631E" w:rsidRPr="00465A9F" w:rsidRDefault="003C631E" w:rsidP="005151A7">
            <w:pPr>
              <w:pStyle w:val="TableBodyText"/>
              <w:rPr>
                <w:b/>
                <w:sz w:val="18"/>
                <w:szCs w:val="18"/>
              </w:rPr>
            </w:pPr>
            <w:r w:rsidRPr="00465A9F">
              <w:rPr>
                <w:b/>
                <w:sz w:val="18"/>
                <w:szCs w:val="18"/>
              </w:rPr>
              <w:noBreakHyphen/>
            </w:r>
          </w:p>
        </w:tc>
      </w:tr>
      <w:tr w:rsidR="003C631E" w:rsidRPr="002A328F" w:rsidTr="005151A7">
        <w:tc>
          <w:tcPr>
            <w:tcW w:w="1959" w:type="pct"/>
            <w:vAlign w:val="bottom"/>
          </w:tcPr>
          <w:p w:rsidR="003C631E" w:rsidRPr="00FF0BDA" w:rsidRDefault="003C631E" w:rsidP="005151A7">
            <w:pPr>
              <w:pStyle w:val="TableBodyText"/>
              <w:jc w:val="left"/>
              <w:rPr>
                <w:sz w:val="18"/>
                <w:szCs w:val="18"/>
              </w:rPr>
            </w:pPr>
            <w:r w:rsidRPr="00FF0BDA">
              <w:rPr>
                <w:sz w:val="18"/>
                <w:szCs w:val="18"/>
              </w:rPr>
              <w:t>Construction</w:t>
            </w:r>
          </w:p>
        </w:tc>
        <w:tc>
          <w:tcPr>
            <w:tcW w:w="507" w:type="pct"/>
            <w:vAlign w:val="bottom"/>
          </w:tcPr>
          <w:p w:rsidR="003C631E" w:rsidRPr="00465A9F" w:rsidRDefault="003C631E" w:rsidP="005151A7">
            <w:pPr>
              <w:pStyle w:val="TableBodyText"/>
              <w:rPr>
                <w:sz w:val="18"/>
                <w:szCs w:val="18"/>
              </w:rPr>
            </w:pPr>
            <w:r w:rsidRPr="00465A9F">
              <w:rPr>
                <w:sz w:val="18"/>
                <w:szCs w:val="18"/>
              </w:rPr>
              <w:noBreakHyphen/>
            </w:r>
          </w:p>
        </w:tc>
        <w:tc>
          <w:tcPr>
            <w:tcW w:w="507" w:type="pct"/>
            <w:vAlign w:val="bottom"/>
          </w:tcPr>
          <w:p w:rsidR="003C631E" w:rsidRPr="00465A9F" w:rsidRDefault="003C631E" w:rsidP="005151A7">
            <w:pPr>
              <w:pStyle w:val="TableBodyText"/>
              <w:rPr>
                <w:sz w:val="18"/>
                <w:szCs w:val="18"/>
              </w:rPr>
            </w:pPr>
            <w:r w:rsidRPr="00465A9F">
              <w:rPr>
                <w:sz w:val="18"/>
                <w:szCs w:val="18"/>
              </w:rPr>
              <w:noBreakHyphen/>
            </w:r>
          </w:p>
        </w:tc>
        <w:tc>
          <w:tcPr>
            <w:tcW w:w="507" w:type="pct"/>
            <w:vAlign w:val="bottom"/>
          </w:tcPr>
          <w:p w:rsidR="003C631E" w:rsidRPr="00465A9F" w:rsidRDefault="003C631E" w:rsidP="005151A7">
            <w:pPr>
              <w:pStyle w:val="TableBodyText"/>
              <w:rPr>
                <w:sz w:val="18"/>
                <w:szCs w:val="18"/>
              </w:rPr>
            </w:pPr>
            <w:r w:rsidRPr="00465A9F">
              <w:rPr>
                <w:sz w:val="18"/>
                <w:szCs w:val="18"/>
              </w:rPr>
              <w:noBreakHyphen/>
            </w:r>
          </w:p>
        </w:tc>
        <w:tc>
          <w:tcPr>
            <w:tcW w:w="507" w:type="pct"/>
            <w:vAlign w:val="bottom"/>
          </w:tcPr>
          <w:p w:rsidR="003C631E" w:rsidRPr="00465A9F" w:rsidRDefault="003C631E" w:rsidP="005151A7">
            <w:pPr>
              <w:pStyle w:val="TableBodyText"/>
              <w:rPr>
                <w:sz w:val="18"/>
                <w:szCs w:val="18"/>
              </w:rPr>
            </w:pPr>
            <w:r w:rsidRPr="00465A9F">
              <w:rPr>
                <w:sz w:val="18"/>
                <w:szCs w:val="18"/>
              </w:rPr>
              <w:t>&lt;0.1</w:t>
            </w:r>
          </w:p>
        </w:tc>
        <w:tc>
          <w:tcPr>
            <w:tcW w:w="507" w:type="pct"/>
            <w:shd w:val="clear" w:color="auto" w:fill="auto"/>
            <w:vAlign w:val="bottom"/>
          </w:tcPr>
          <w:p w:rsidR="003C631E" w:rsidRPr="00465A9F" w:rsidRDefault="003C631E" w:rsidP="005151A7">
            <w:pPr>
              <w:pStyle w:val="TableBodyText"/>
              <w:rPr>
                <w:sz w:val="18"/>
                <w:szCs w:val="18"/>
              </w:rPr>
            </w:pPr>
            <w:r w:rsidRPr="00465A9F">
              <w:rPr>
                <w:sz w:val="18"/>
                <w:szCs w:val="18"/>
              </w:rPr>
              <w:noBreakHyphen/>
            </w:r>
          </w:p>
        </w:tc>
        <w:tc>
          <w:tcPr>
            <w:tcW w:w="507" w:type="pct"/>
            <w:shd w:val="clear" w:color="auto" w:fill="auto"/>
            <w:vAlign w:val="bottom"/>
          </w:tcPr>
          <w:p w:rsidR="003C631E" w:rsidRPr="00465A9F" w:rsidRDefault="003C631E" w:rsidP="005151A7">
            <w:pPr>
              <w:pStyle w:val="TableBodyText"/>
              <w:rPr>
                <w:sz w:val="18"/>
                <w:szCs w:val="18"/>
              </w:rPr>
            </w:pPr>
            <w:r w:rsidRPr="00465A9F">
              <w:rPr>
                <w:sz w:val="18"/>
                <w:szCs w:val="18"/>
              </w:rPr>
              <w:noBreakHyphen/>
            </w:r>
          </w:p>
        </w:tc>
      </w:tr>
      <w:tr w:rsidR="003C631E" w:rsidRPr="002A328F" w:rsidTr="005151A7">
        <w:tc>
          <w:tcPr>
            <w:tcW w:w="1959" w:type="pct"/>
            <w:vAlign w:val="bottom"/>
          </w:tcPr>
          <w:p w:rsidR="003C631E" w:rsidRPr="00FF0BDA" w:rsidRDefault="003C631E" w:rsidP="005151A7">
            <w:pPr>
              <w:pStyle w:val="TableBodyText"/>
              <w:jc w:val="left"/>
              <w:rPr>
                <w:sz w:val="18"/>
                <w:szCs w:val="18"/>
              </w:rPr>
            </w:pPr>
            <w:r w:rsidRPr="00FF0BDA">
              <w:rPr>
                <w:sz w:val="18"/>
                <w:szCs w:val="18"/>
              </w:rPr>
              <w:t>Retail trade</w:t>
            </w:r>
          </w:p>
        </w:tc>
        <w:tc>
          <w:tcPr>
            <w:tcW w:w="507" w:type="pct"/>
            <w:vAlign w:val="bottom"/>
          </w:tcPr>
          <w:p w:rsidR="003C631E" w:rsidRPr="00465A9F" w:rsidRDefault="003C631E" w:rsidP="005151A7">
            <w:pPr>
              <w:pStyle w:val="TableBodyText"/>
              <w:rPr>
                <w:sz w:val="18"/>
                <w:szCs w:val="18"/>
              </w:rPr>
            </w:pPr>
            <w:r w:rsidRPr="00465A9F">
              <w:rPr>
                <w:sz w:val="18"/>
                <w:szCs w:val="18"/>
              </w:rPr>
              <w:noBreakHyphen/>
            </w:r>
          </w:p>
        </w:tc>
        <w:tc>
          <w:tcPr>
            <w:tcW w:w="507" w:type="pct"/>
            <w:vAlign w:val="bottom"/>
          </w:tcPr>
          <w:p w:rsidR="003C631E" w:rsidRPr="00465A9F" w:rsidRDefault="003C631E" w:rsidP="005151A7">
            <w:pPr>
              <w:pStyle w:val="TableBodyText"/>
              <w:rPr>
                <w:sz w:val="18"/>
                <w:szCs w:val="18"/>
              </w:rPr>
            </w:pPr>
            <w:r w:rsidRPr="00465A9F">
              <w:rPr>
                <w:sz w:val="18"/>
                <w:szCs w:val="18"/>
              </w:rPr>
              <w:noBreakHyphen/>
            </w:r>
          </w:p>
        </w:tc>
        <w:tc>
          <w:tcPr>
            <w:tcW w:w="507" w:type="pct"/>
            <w:vAlign w:val="bottom"/>
          </w:tcPr>
          <w:p w:rsidR="003C631E" w:rsidRPr="00465A9F" w:rsidRDefault="003C631E" w:rsidP="005151A7">
            <w:pPr>
              <w:pStyle w:val="TableBodyText"/>
              <w:rPr>
                <w:sz w:val="18"/>
                <w:szCs w:val="18"/>
              </w:rPr>
            </w:pPr>
            <w:r w:rsidRPr="00465A9F">
              <w:rPr>
                <w:sz w:val="18"/>
                <w:szCs w:val="18"/>
              </w:rPr>
              <w:noBreakHyphen/>
            </w:r>
          </w:p>
        </w:tc>
        <w:tc>
          <w:tcPr>
            <w:tcW w:w="507" w:type="pct"/>
            <w:vAlign w:val="bottom"/>
          </w:tcPr>
          <w:p w:rsidR="003C631E" w:rsidRPr="00465A9F" w:rsidRDefault="003C631E" w:rsidP="005151A7">
            <w:pPr>
              <w:pStyle w:val="TableBodyText"/>
              <w:rPr>
                <w:sz w:val="18"/>
                <w:szCs w:val="18"/>
              </w:rPr>
            </w:pPr>
            <w:r w:rsidRPr="00465A9F">
              <w:rPr>
                <w:sz w:val="18"/>
                <w:szCs w:val="18"/>
              </w:rPr>
              <w:t>0.1</w:t>
            </w:r>
          </w:p>
        </w:tc>
        <w:tc>
          <w:tcPr>
            <w:tcW w:w="507" w:type="pct"/>
            <w:shd w:val="clear" w:color="auto" w:fill="auto"/>
            <w:vAlign w:val="bottom"/>
          </w:tcPr>
          <w:p w:rsidR="003C631E" w:rsidRPr="00465A9F" w:rsidRDefault="003C631E" w:rsidP="005151A7">
            <w:pPr>
              <w:pStyle w:val="TableBodyText"/>
              <w:rPr>
                <w:sz w:val="18"/>
                <w:szCs w:val="18"/>
              </w:rPr>
            </w:pPr>
            <w:r w:rsidRPr="00465A9F">
              <w:rPr>
                <w:sz w:val="18"/>
                <w:szCs w:val="18"/>
              </w:rPr>
              <w:noBreakHyphen/>
            </w:r>
          </w:p>
        </w:tc>
        <w:tc>
          <w:tcPr>
            <w:tcW w:w="507" w:type="pct"/>
            <w:shd w:val="clear" w:color="auto" w:fill="auto"/>
            <w:vAlign w:val="bottom"/>
          </w:tcPr>
          <w:p w:rsidR="003C631E" w:rsidRPr="00465A9F" w:rsidRDefault="003C631E" w:rsidP="005151A7">
            <w:pPr>
              <w:pStyle w:val="TableBodyText"/>
              <w:rPr>
                <w:sz w:val="18"/>
                <w:szCs w:val="18"/>
              </w:rPr>
            </w:pPr>
            <w:r w:rsidRPr="00465A9F">
              <w:rPr>
                <w:sz w:val="18"/>
                <w:szCs w:val="18"/>
              </w:rPr>
              <w:noBreakHyphen/>
            </w:r>
          </w:p>
        </w:tc>
      </w:tr>
      <w:tr w:rsidR="003C631E" w:rsidRPr="002A328F" w:rsidTr="005151A7">
        <w:tc>
          <w:tcPr>
            <w:tcW w:w="1959" w:type="pct"/>
            <w:vAlign w:val="bottom"/>
          </w:tcPr>
          <w:p w:rsidR="003C631E" w:rsidRPr="00FF0BDA" w:rsidRDefault="003C631E" w:rsidP="005151A7">
            <w:pPr>
              <w:pStyle w:val="TableBodyText"/>
              <w:jc w:val="left"/>
              <w:rPr>
                <w:sz w:val="18"/>
                <w:szCs w:val="18"/>
              </w:rPr>
            </w:pPr>
            <w:r w:rsidRPr="00FF0BDA">
              <w:rPr>
                <w:sz w:val="18"/>
                <w:szCs w:val="18"/>
              </w:rPr>
              <w:t>Accommodation and food services</w:t>
            </w:r>
          </w:p>
        </w:tc>
        <w:tc>
          <w:tcPr>
            <w:tcW w:w="507" w:type="pct"/>
            <w:vAlign w:val="bottom"/>
          </w:tcPr>
          <w:p w:rsidR="003C631E" w:rsidRPr="00465A9F" w:rsidRDefault="003C631E" w:rsidP="005151A7">
            <w:pPr>
              <w:pStyle w:val="TableBodyText"/>
              <w:rPr>
                <w:sz w:val="18"/>
                <w:szCs w:val="18"/>
              </w:rPr>
            </w:pPr>
            <w:r w:rsidRPr="00465A9F">
              <w:rPr>
                <w:sz w:val="18"/>
                <w:szCs w:val="18"/>
              </w:rPr>
              <w:noBreakHyphen/>
            </w:r>
          </w:p>
        </w:tc>
        <w:tc>
          <w:tcPr>
            <w:tcW w:w="507" w:type="pct"/>
            <w:vAlign w:val="bottom"/>
          </w:tcPr>
          <w:p w:rsidR="003C631E" w:rsidRPr="00465A9F" w:rsidRDefault="003C631E" w:rsidP="005151A7">
            <w:pPr>
              <w:pStyle w:val="TableBodyText"/>
              <w:rPr>
                <w:sz w:val="18"/>
                <w:szCs w:val="18"/>
              </w:rPr>
            </w:pPr>
            <w:r w:rsidRPr="00465A9F">
              <w:rPr>
                <w:sz w:val="18"/>
                <w:szCs w:val="18"/>
              </w:rPr>
              <w:noBreakHyphen/>
            </w:r>
          </w:p>
        </w:tc>
        <w:tc>
          <w:tcPr>
            <w:tcW w:w="507" w:type="pct"/>
            <w:vAlign w:val="bottom"/>
          </w:tcPr>
          <w:p w:rsidR="003C631E" w:rsidRPr="00465A9F" w:rsidRDefault="003C631E" w:rsidP="005151A7">
            <w:pPr>
              <w:pStyle w:val="TableBodyText"/>
              <w:rPr>
                <w:sz w:val="18"/>
                <w:szCs w:val="18"/>
              </w:rPr>
            </w:pPr>
            <w:r w:rsidRPr="00465A9F">
              <w:rPr>
                <w:sz w:val="18"/>
                <w:szCs w:val="18"/>
              </w:rPr>
              <w:noBreakHyphen/>
            </w:r>
          </w:p>
        </w:tc>
        <w:tc>
          <w:tcPr>
            <w:tcW w:w="507" w:type="pct"/>
            <w:vAlign w:val="bottom"/>
          </w:tcPr>
          <w:p w:rsidR="003C631E" w:rsidRPr="00465A9F" w:rsidRDefault="003C631E" w:rsidP="005151A7">
            <w:pPr>
              <w:pStyle w:val="TableBodyText"/>
              <w:rPr>
                <w:sz w:val="18"/>
                <w:szCs w:val="18"/>
              </w:rPr>
            </w:pPr>
            <w:r w:rsidRPr="00465A9F">
              <w:rPr>
                <w:sz w:val="18"/>
                <w:szCs w:val="18"/>
              </w:rPr>
              <w:t>0.1</w:t>
            </w:r>
          </w:p>
        </w:tc>
        <w:tc>
          <w:tcPr>
            <w:tcW w:w="507" w:type="pct"/>
            <w:shd w:val="clear" w:color="auto" w:fill="auto"/>
            <w:vAlign w:val="bottom"/>
          </w:tcPr>
          <w:p w:rsidR="003C631E" w:rsidRPr="00465A9F" w:rsidRDefault="003C631E" w:rsidP="005151A7">
            <w:pPr>
              <w:pStyle w:val="TableBodyText"/>
              <w:rPr>
                <w:sz w:val="18"/>
                <w:szCs w:val="18"/>
              </w:rPr>
            </w:pPr>
            <w:r w:rsidRPr="00465A9F">
              <w:rPr>
                <w:sz w:val="18"/>
                <w:szCs w:val="18"/>
              </w:rPr>
              <w:noBreakHyphen/>
            </w:r>
          </w:p>
        </w:tc>
        <w:tc>
          <w:tcPr>
            <w:tcW w:w="507" w:type="pct"/>
            <w:shd w:val="clear" w:color="auto" w:fill="auto"/>
            <w:vAlign w:val="bottom"/>
          </w:tcPr>
          <w:p w:rsidR="003C631E" w:rsidRPr="00465A9F" w:rsidRDefault="003C631E" w:rsidP="005151A7">
            <w:pPr>
              <w:pStyle w:val="TableBodyText"/>
              <w:rPr>
                <w:sz w:val="18"/>
                <w:szCs w:val="18"/>
              </w:rPr>
            </w:pPr>
            <w:r w:rsidRPr="00465A9F">
              <w:rPr>
                <w:sz w:val="18"/>
                <w:szCs w:val="18"/>
              </w:rPr>
              <w:noBreakHyphen/>
            </w:r>
          </w:p>
        </w:tc>
      </w:tr>
      <w:tr w:rsidR="003C631E" w:rsidRPr="002A328F" w:rsidTr="005151A7">
        <w:tc>
          <w:tcPr>
            <w:tcW w:w="1959" w:type="pct"/>
            <w:vAlign w:val="bottom"/>
          </w:tcPr>
          <w:p w:rsidR="003C631E" w:rsidRPr="00FF0BDA" w:rsidRDefault="003C631E" w:rsidP="005151A7">
            <w:pPr>
              <w:pStyle w:val="TableBodyText"/>
              <w:jc w:val="left"/>
              <w:rPr>
                <w:sz w:val="18"/>
                <w:szCs w:val="18"/>
              </w:rPr>
            </w:pPr>
            <w:r w:rsidRPr="00FF0BDA">
              <w:rPr>
                <w:sz w:val="18"/>
                <w:szCs w:val="18"/>
              </w:rPr>
              <w:t>Transport, postal and warehousing</w:t>
            </w:r>
          </w:p>
        </w:tc>
        <w:tc>
          <w:tcPr>
            <w:tcW w:w="507" w:type="pct"/>
            <w:vAlign w:val="bottom"/>
          </w:tcPr>
          <w:p w:rsidR="003C631E" w:rsidRPr="00465A9F" w:rsidRDefault="003C631E" w:rsidP="005151A7">
            <w:pPr>
              <w:pStyle w:val="TableBodyText"/>
              <w:rPr>
                <w:sz w:val="18"/>
                <w:szCs w:val="18"/>
              </w:rPr>
            </w:pPr>
            <w:r w:rsidRPr="00465A9F">
              <w:rPr>
                <w:sz w:val="18"/>
                <w:szCs w:val="18"/>
              </w:rPr>
              <w:noBreakHyphen/>
            </w:r>
          </w:p>
        </w:tc>
        <w:tc>
          <w:tcPr>
            <w:tcW w:w="507" w:type="pct"/>
            <w:vAlign w:val="bottom"/>
          </w:tcPr>
          <w:p w:rsidR="003C631E" w:rsidRPr="00465A9F" w:rsidRDefault="003C631E" w:rsidP="005151A7">
            <w:pPr>
              <w:pStyle w:val="TableBodyText"/>
              <w:rPr>
                <w:sz w:val="18"/>
                <w:szCs w:val="18"/>
              </w:rPr>
            </w:pPr>
            <w:r w:rsidRPr="00465A9F">
              <w:rPr>
                <w:sz w:val="18"/>
                <w:szCs w:val="18"/>
              </w:rPr>
              <w:noBreakHyphen/>
            </w:r>
          </w:p>
        </w:tc>
        <w:tc>
          <w:tcPr>
            <w:tcW w:w="507" w:type="pct"/>
            <w:vAlign w:val="bottom"/>
          </w:tcPr>
          <w:p w:rsidR="003C631E" w:rsidRPr="00465A9F" w:rsidRDefault="003C631E" w:rsidP="005151A7">
            <w:pPr>
              <w:pStyle w:val="TableBodyText"/>
              <w:rPr>
                <w:sz w:val="18"/>
                <w:szCs w:val="18"/>
              </w:rPr>
            </w:pPr>
            <w:r w:rsidRPr="00465A9F">
              <w:rPr>
                <w:sz w:val="18"/>
                <w:szCs w:val="18"/>
              </w:rPr>
              <w:noBreakHyphen/>
            </w:r>
          </w:p>
        </w:tc>
        <w:tc>
          <w:tcPr>
            <w:tcW w:w="507" w:type="pct"/>
            <w:vAlign w:val="bottom"/>
          </w:tcPr>
          <w:p w:rsidR="003C631E" w:rsidRPr="00465A9F" w:rsidRDefault="003C631E" w:rsidP="005151A7">
            <w:pPr>
              <w:pStyle w:val="TableBodyText"/>
              <w:rPr>
                <w:sz w:val="18"/>
                <w:szCs w:val="18"/>
              </w:rPr>
            </w:pPr>
            <w:r w:rsidRPr="00465A9F">
              <w:rPr>
                <w:sz w:val="18"/>
                <w:szCs w:val="18"/>
              </w:rPr>
              <w:t>&lt;0.1</w:t>
            </w:r>
          </w:p>
        </w:tc>
        <w:tc>
          <w:tcPr>
            <w:tcW w:w="507" w:type="pct"/>
            <w:shd w:val="clear" w:color="auto" w:fill="auto"/>
            <w:vAlign w:val="bottom"/>
          </w:tcPr>
          <w:p w:rsidR="003C631E" w:rsidRPr="00465A9F" w:rsidRDefault="003C631E" w:rsidP="005151A7">
            <w:pPr>
              <w:pStyle w:val="TableBodyText"/>
              <w:rPr>
                <w:sz w:val="18"/>
                <w:szCs w:val="18"/>
              </w:rPr>
            </w:pPr>
            <w:r w:rsidRPr="00465A9F">
              <w:rPr>
                <w:sz w:val="18"/>
                <w:szCs w:val="18"/>
              </w:rPr>
              <w:noBreakHyphen/>
            </w:r>
          </w:p>
        </w:tc>
        <w:tc>
          <w:tcPr>
            <w:tcW w:w="507" w:type="pct"/>
            <w:shd w:val="clear" w:color="auto" w:fill="auto"/>
            <w:vAlign w:val="bottom"/>
          </w:tcPr>
          <w:p w:rsidR="003C631E" w:rsidRPr="00465A9F" w:rsidRDefault="003C631E" w:rsidP="005151A7">
            <w:pPr>
              <w:pStyle w:val="TableBodyText"/>
              <w:rPr>
                <w:sz w:val="18"/>
                <w:szCs w:val="18"/>
              </w:rPr>
            </w:pPr>
            <w:r w:rsidRPr="00465A9F">
              <w:rPr>
                <w:sz w:val="18"/>
                <w:szCs w:val="18"/>
              </w:rPr>
              <w:noBreakHyphen/>
            </w:r>
          </w:p>
        </w:tc>
      </w:tr>
      <w:tr w:rsidR="003C631E" w:rsidRPr="002A328F" w:rsidTr="005151A7">
        <w:tc>
          <w:tcPr>
            <w:tcW w:w="1959" w:type="pct"/>
            <w:tcBorders>
              <w:bottom w:val="single" w:sz="4" w:space="0" w:color="auto"/>
            </w:tcBorders>
            <w:vAlign w:val="bottom"/>
          </w:tcPr>
          <w:p w:rsidR="003C631E" w:rsidRPr="00FF0BDA" w:rsidRDefault="003C631E" w:rsidP="005151A7">
            <w:pPr>
              <w:pStyle w:val="TableBodyText"/>
              <w:jc w:val="left"/>
              <w:rPr>
                <w:b/>
                <w:bCs/>
                <w:sz w:val="18"/>
                <w:szCs w:val="18"/>
              </w:rPr>
            </w:pPr>
            <w:r w:rsidRPr="00FF0BDA">
              <w:rPr>
                <w:b/>
                <w:bCs/>
                <w:sz w:val="18"/>
                <w:szCs w:val="18"/>
              </w:rPr>
              <w:t>Total</w:t>
            </w:r>
          </w:p>
        </w:tc>
        <w:tc>
          <w:tcPr>
            <w:tcW w:w="507" w:type="pct"/>
            <w:tcBorders>
              <w:bottom w:val="single" w:sz="4" w:space="0" w:color="auto"/>
            </w:tcBorders>
            <w:vAlign w:val="bottom"/>
          </w:tcPr>
          <w:p w:rsidR="003C631E" w:rsidRPr="00465A9F" w:rsidRDefault="003C631E" w:rsidP="005151A7">
            <w:pPr>
              <w:pStyle w:val="TableBodyText"/>
              <w:rPr>
                <w:b/>
                <w:bCs/>
                <w:sz w:val="18"/>
                <w:szCs w:val="18"/>
              </w:rPr>
            </w:pPr>
            <w:r w:rsidRPr="00465A9F">
              <w:rPr>
                <w:b/>
                <w:bCs/>
                <w:sz w:val="18"/>
                <w:szCs w:val="18"/>
              </w:rPr>
              <w:noBreakHyphen/>
            </w:r>
          </w:p>
        </w:tc>
        <w:tc>
          <w:tcPr>
            <w:tcW w:w="507" w:type="pct"/>
            <w:tcBorders>
              <w:bottom w:val="single" w:sz="4" w:space="0" w:color="auto"/>
            </w:tcBorders>
            <w:vAlign w:val="bottom"/>
          </w:tcPr>
          <w:p w:rsidR="003C631E" w:rsidRPr="00465A9F" w:rsidRDefault="003C631E" w:rsidP="005151A7">
            <w:pPr>
              <w:pStyle w:val="TableBodyText"/>
              <w:rPr>
                <w:b/>
                <w:bCs/>
                <w:sz w:val="18"/>
                <w:szCs w:val="18"/>
              </w:rPr>
            </w:pPr>
            <w:r w:rsidRPr="00465A9F">
              <w:rPr>
                <w:b/>
                <w:bCs/>
                <w:sz w:val="18"/>
                <w:szCs w:val="18"/>
              </w:rPr>
              <w:noBreakHyphen/>
            </w:r>
          </w:p>
        </w:tc>
        <w:tc>
          <w:tcPr>
            <w:tcW w:w="507" w:type="pct"/>
            <w:tcBorders>
              <w:bottom w:val="single" w:sz="4" w:space="0" w:color="auto"/>
            </w:tcBorders>
            <w:vAlign w:val="bottom"/>
          </w:tcPr>
          <w:p w:rsidR="003C631E" w:rsidRPr="00465A9F" w:rsidRDefault="003C631E" w:rsidP="005151A7">
            <w:pPr>
              <w:pStyle w:val="TableBodyText"/>
              <w:rPr>
                <w:b/>
                <w:bCs/>
                <w:sz w:val="18"/>
                <w:szCs w:val="18"/>
              </w:rPr>
            </w:pPr>
            <w:r w:rsidRPr="00465A9F">
              <w:rPr>
                <w:b/>
                <w:bCs/>
                <w:sz w:val="18"/>
                <w:szCs w:val="18"/>
              </w:rPr>
              <w:noBreakHyphen/>
            </w:r>
          </w:p>
        </w:tc>
        <w:tc>
          <w:tcPr>
            <w:tcW w:w="507" w:type="pct"/>
            <w:tcBorders>
              <w:bottom w:val="single" w:sz="4" w:space="0" w:color="auto"/>
            </w:tcBorders>
            <w:vAlign w:val="bottom"/>
          </w:tcPr>
          <w:p w:rsidR="003C631E" w:rsidRPr="00465A9F" w:rsidRDefault="003C631E" w:rsidP="005151A7">
            <w:pPr>
              <w:pStyle w:val="TableBodyText"/>
              <w:rPr>
                <w:b/>
                <w:bCs/>
                <w:sz w:val="18"/>
                <w:szCs w:val="18"/>
              </w:rPr>
            </w:pPr>
            <w:r w:rsidRPr="00465A9F">
              <w:rPr>
                <w:b/>
                <w:bCs/>
                <w:sz w:val="18"/>
                <w:szCs w:val="18"/>
              </w:rPr>
              <w:t>1.4</w:t>
            </w:r>
          </w:p>
        </w:tc>
        <w:tc>
          <w:tcPr>
            <w:tcW w:w="507" w:type="pct"/>
            <w:tcBorders>
              <w:bottom w:val="single" w:sz="4" w:space="0" w:color="auto"/>
            </w:tcBorders>
            <w:shd w:val="clear" w:color="auto" w:fill="auto"/>
            <w:vAlign w:val="bottom"/>
          </w:tcPr>
          <w:p w:rsidR="003C631E" w:rsidRPr="00465A9F" w:rsidRDefault="003C631E" w:rsidP="005151A7">
            <w:pPr>
              <w:pStyle w:val="TableBodyText"/>
              <w:rPr>
                <w:b/>
                <w:bCs/>
                <w:sz w:val="18"/>
                <w:szCs w:val="18"/>
              </w:rPr>
            </w:pPr>
            <w:r w:rsidRPr="00465A9F">
              <w:rPr>
                <w:b/>
                <w:bCs/>
                <w:sz w:val="18"/>
                <w:szCs w:val="18"/>
              </w:rPr>
              <w:noBreakHyphen/>
            </w:r>
          </w:p>
        </w:tc>
        <w:tc>
          <w:tcPr>
            <w:tcW w:w="507" w:type="pct"/>
            <w:tcBorders>
              <w:bottom w:val="single" w:sz="4" w:space="0" w:color="auto"/>
            </w:tcBorders>
            <w:shd w:val="clear" w:color="auto" w:fill="auto"/>
            <w:vAlign w:val="bottom"/>
          </w:tcPr>
          <w:p w:rsidR="003C631E" w:rsidRPr="00465A9F" w:rsidRDefault="003C631E" w:rsidP="005151A7">
            <w:pPr>
              <w:pStyle w:val="TableBodyText"/>
              <w:rPr>
                <w:b/>
                <w:bCs/>
                <w:sz w:val="18"/>
                <w:szCs w:val="18"/>
              </w:rPr>
            </w:pPr>
            <w:r w:rsidRPr="00465A9F">
              <w:rPr>
                <w:b/>
                <w:bCs/>
                <w:sz w:val="18"/>
                <w:szCs w:val="18"/>
              </w:rPr>
              <w:noBreakHyphen/>
            </w:r>
          </w:p>
        </w:tc>
      </w:tr>
    </w:tbl>
    <w:p w:rsidR="003C631E" w:rsidRDefault="003C631E" w:rsidP="003C631E">
      <w:pPr>
        <w:pStyle w:val="Note"/>
      </w:pPr>
      <w:r w:rsidRPr="00A2379F">
        <w:noBreakHyphen/>
        <w:t xml:space="preserve"> Nil</w:t>
      </w:r>
      <w:r>
        <w:t>.</w:t>
      </w:r>
    </w:p>
    <w:p w:rsidR="003C631E" w:rsidRPr="008E77FE" w:rsidRDefault="003C631E" w:rsidP="003C631E">
      <w:pPr>
        <w:pStyle w:val="Source"/>
      </w:pPr>
      <w:r>
        <w:rPr>
          <w:i/>
        </w:rPr>
        <w:t>Source</w:t>
      </w:r>
      <w:r>
        <w:t>: Commission estimates based on detailed DIISR data by ANZSIC industry.</w:t>
      </w:r>
    </w:p>
    <w:p w:rsidR="004C4BCC" w:rsidRDefault="00FA09C3" w:rsidP="004C4BCC">
      <w:pPr>
        <w:pStyle w:val="Heading2"/>
      </w:pPr>
      <w:r>
        <w:t>A.</w:t>
      </w:r>
      <w:r>
        <w:rPr>
          <w:noProof/>
        </w:rPr>
        <w:t>158</w:t>
      </w:r>
      <w:r w:rsidR="004C4BCC">
        <w:tab/>
        <w:t>Small Business Support Line</w:t>
      </w:r>
    </w:p>
    <w:p w:rsidR="004C4BCC" w:rsidRDefault="004C4BCC" w:rsidP="004C4BCC">
      <w:pPr>
        <w:pStyle w:val="BodyText"/>
      </w:pPr>
      <w:r>
        <w:t>Established in 2009</w:t>
      </w:r>
      <w:r>
        <w:noBreakHyphen/>
        <w:t xml:space="preserve">10, the Small Business Support Line </w:t>
      </w:r>
      <w:r w:rsidR="008B649A">
        <w:t xml:space="preserve">aimed </w:t>
      </w:r>
      <w:r>
        <w:t xml:space="preserve">to assist small businesses to better manage the impacts of the (then) global recession </w:t>
      </w:r>
      <w:r w:rsidRPr="00BB1C0A">
        <w:t>(</w:t>
      </w:r>
      <w:r w:rsidRPr="00C305B5">
        <w:t>DIISR 2010</w:t>
      </w:r>
      <w:r w:rsidRPr="00BB1C0A">
        <w:t>)</w:t>
      </w:r>
      <w:r>
        <w:t xml:space="preserve">. The support line aimed to provide a single point of contact for small businesses to access information and advice on matters such as: obtaining finance; cash flow management; retail leasing; marketing; and personal stress and hardship counselling. The support line also </w:t>
      </w:r>
      <w:r w:rsidR="00214962">
        <w:t xml:space="preserve">aimed </w:t>
      </w:r>
      <w:r>
        <w:t>to put small businesses in touch with specialist advisers for more complex or detailed advice on these issues.</w:t>
      </w:r>
    </w:p>
    <w:p w:rsidR="004C4BCC" w:rsidRDefault="004C4BCC" w:rsidP="004C4BCC">
      <w:pPr>
        <w:pStyle w:val="BodyText"/>
      </w:pPr>
      <w:r>
        <w:t xml:space="preserve">Information on the </w:t>
      </w:r>
      <w:r w:rsidRPr="002B3C12">
        <w:t xml:space="preserve">industry incidence of the </w:t>
      </w:r>
      <w:r>
        <w:t>program</w:t>
      </w:r>
      <w:r w:rsidRPr="002B3C12">
        <w:t xml:space="preserve"> </w:t>
      </w:r>
      <w:r>
        <w:t xml:space="preserve">has not been readily available. Accordingly, the budget outlay </w:t>
      </w:r>
      <w:r w:rsidRPr="002B3C12">
        <w:t xml:space="preserve">has been </w:t>
      </w:r>
      <w:r>
        <w:t>classifi</w:t>
      </w:r>
      <w:r w:rsidRPr="002B3C12">
        <w:t xml:space="preserve">ed to the </w:t>
      </w:r>
      <w:r w:rsidRPr="002B3C12">
        <w:rPr>
          <w:i/>
        </w:rPr>
        <w:t>Unallocated other</w:t>
      </w:r>
      <w:r w:rsidRPr="002B3C12">
        <w:t xml:space="preserve"> </w:t>
      </w:r>
      <w:r>
        <w:t xml:space="preserve">industry </w:t>
      </w:r>
      <w:r w:rsidRPr="002B3C12">
        <w:t>grouping in the Commission’s ANZSIC-based classification (table A.</w:t>
      </w:r>
      <w:r>
        <w:t>15</w:t>
      </w:r>
      <w:r w:rsidR="00C065C1">
        <w:t>8</w:t>
      </w:r>
      <w:r w:rsidRPr="002B3C12">
        <w:t>).</w:t>
      </w:r>
    </w:p>
    <w:p w:rsidR="004C4BCC" w:rsidRDefault="004C4BCC" w:rsidP="004C4BCC">
      <w:pPr>
        <w:pStyle w:val="TableTitle"/>
      </w:pPr>
      <w:r>
        <w:rPr>
          <w:b w:val="0"/>
        </w:rPr>
        <w:t xml:space="preserve">Table </w:t>
      </w:r>
      <w:r w:rsidR="00FA09C3">
        <w:rPr>
          <w:b w:val="0"/>
        </w:rPr>
        <w:t>A.</w:t>
      </w:r>
      <w:r w:rsidR="00FA09C3">
        <w:rPr>
          <w:b w:val="0"/>
          <w:noProof/>
        </w:rPr>
        <w:t>158</w:t>
      </w:r>
      <w:r>
        <w:tab/>
        <w:t>Allocation of Small Business Support Line</w:t>
      </w:r>
      <w:r w:rsidR="00E471E2" w:rsidRPr="00E471E2">
        <w:t xml:space="preserve"> to industry</w:t>
      </w:r>
      <w:r>
        <w:t>, 2006</w:t>
      </w:r>
      <w:r>
        <w:noBreakHyphen/>
        <w:t>07 to 2011</w:t>
      </w:r>
      <w:r>
        <w:noBreakHyphen/>
        <w:t>12</w:t>
      </w:r>
    </w:p>
    <w:p w:rsidR="004C4BCC" w:rsidRDefault="004C4BCC" w:rsidP="004C4BCC">
      <w:pPr>
        <w:pStyle w:val="Subtitle"/>
      </w:pPr>
      <w:r>
        <w:t>$</w:t>
      </w:r>
      <w:r w:rsidR="00214962">
        <w:t xml:space="preserve"> </w:t>
      </w:r>
      <w:r>
        <w:t xml:space="preserve">million (nominal) </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F458EE" w:rsidRPr="00AF699A" w:rsidTr="007546E2">
        <w:trPr>
          <w:trHeight w:val="340"/>
        </w:trPr>
        <w:tc>
          <w:tcPr>
            <w:tcW w:w="1958" w:type="pct"/>
            <w:tcBorders>
              <w:top w:val="single" w:sz="6" w:space="0" w:color="auto"/>
              <w:bottom w:val="single" w:sz="6" w:space="0" w:color="auto"/>
            </w:tcBorders>
          </w:tcPr>
          <w:p w:rsidR="00F458EE" w:rsidRPr="00AF699A" w:rsidRDefault="00F458EE" w:rsidP="005151A7">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F458EE" w:rsidRPr="00AF699A" w:rsidRDefault="00F458EE" w:rsidP="005151A7">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F458EE" w:rsidRPr="00AF699A" w:rsidRDefault="00F458EE" w:rsidP="005151A7">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F458EE" w:rsidRPr="00AF699A" w:rsidRDefault="00F458EE" w:rsidP="005151A7">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F458EE" w:rsidRPr="00AF699A" w:rsidRDefault="00F458EE" w:rsidP="005151A7">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F458EE" w:rsidRPr="00AF699A" w:rsidRDefault="00F458EE" w:rsidP="005151A7">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F458EE" w:rsidRPr="00AF699A" w:rsidRDefault="00F458EE" w:rsidP="005151A7">
            <w:pPr>
              <w:pStyle w:val="TableColumnHeading"/>
              <w:ind w:right="28"/>
              <w:rPr>
                <w:rFonts w:cs="Arial"/>
                <w:sz w:val="18"/>
                <w:szCs w:val="18"/>
              </w:rPr>
            </w:pPr>
            <w:r w:rsidRPr="00AF699A">
              <w:rPr>
                <w:rFonts w:cs="Arial"/>
                <w:sz w:val="18"/>
                <w:szCs w:val="18"/>
              </w:rPr>
              <w:t>2011-12</w:t>
            </w:r>
          </w:p>
        </w:tc>
      </w:tr>
      <w:tr w:rsidR="00F458EE" w:rsidRPr="006720B3" w:rsidTr="007546E2">
        <w:trPr>
          <w:trHeight w:val="340"/>
        </w:trPr>
        <w:tc>
          <w:tcPr>
            <w:tcW w:w="1958" w:type="pct"/>
            <w:tcBorders>
              <w:bottom w:val="single" w:sz="4" w:space="0" w:color="auto"/>
            </w:tcBorders>
            <w:vAlign w:val="bottom"/>
          </w:tcPr>
          <w:p w:rsidR="00F458EE" w:rsidRPr="006720B3" w:rsidRDefault="00F458EE" w:rsidP="005151A7">
            <w:pPr>
              <w:pStyle w:val="TableBodyText"/>
              <w:jc w:val="left"/>
            </w:pPr>
            <w:r w:rsidRPr="006720B3">
              <w:t>Unallocated other</w:t>
            </w:r>
            <w:r w:rsidRPr="007546E2">
              <w:rPr>
                <w:rStyle w:val="NoteLabel"/>
                <w:szCs w:val="18"/>
              </w:rPr>
              <w:t>a</w:t>
            </w:r>
          </w:p>
        </w:tc>
        <w:tc>
          <w:tcPr>
            <w:tcW w:w="507" w:type="pct"/>
            <w:tcBorders>
              <w:bottom w:val="single" w:sz="4" w:space="0" w:color="auto"/>
            </w:tcBorders>
            <w:vAlign w:val="bottom"/>
          </w:tcPr>
          <w:p w:rsidR="00F458EE" w:rsidRPr="006720B3" w:rsidRDefault="00F458EE" w:rsidP="005151A7">
            <w:pPr>
              <w:pStyle w:val="TableBodyText"/>
            </w:pPr>
            <w:r>
              <w:noBreakHyphen/>
            </w:r>
          </w:p>
        </w:tc>
        <w:tc>
          <w:tcPr>
            <w:tcW w:w="507" w:type="pct"/>
            <w:tcBorders>
              <w:bottom w:val="single" w:sz="4" w:space="0" w:color="auto"/>
            </w:tcBorders>
            <w:vAlign w:val="bottom"/>
          </w:tcPr>
          <w:p w:rsidR="00F458EE" w:rsidRPr="006720B3" w:rsidRDefault="00F458EE" w:rsidP="005151A7">
            <w:pPr>
              <w:pStyle w:val="TableBodyText"/>
            </w:pPr>
            <w:r>
              <w:noBreakHyphen/>
            </w:r>
          </w:p>
        </w:tc>
        <w:tc>
          <w:tcPr>
            <w:tcW w:w="507" w:type="pct"/>
            <w:tcBorders>
              <w:bottom w:val="single" w:sz="4" w:space="0" w:color="auto"/>
            </w:tcBorders>
            <w:vAlign w:val="bottom"/>
          </w:tcPr>
          <w:p w:rsidR="00F458EE" w:rsidRPr="006720B3" w:rsidRDefault="00F458EE" w:rsidP="005151A7">
            <w:pPr>
              <w:pStyle w:val="TableBodyText"/>
            </w:pPr>
            <w:r>
              <w:noBreakHyphen/>
            </w:r>
          </w:p>
        </w:tc>
        <w:tc>
          <w:tcPr>
            <w:tcW w:w="507" w:type="pct"/>
            <w:tcBorders>
              <w:bottom w:val="single" w:sz="4" w:space="0" w:color="auto"/>
            </w:tcBorders>
            <w:vAlign w:val="bottom"/>
          </w:tcPr>
          <w:p w:rsidR="00F458EE" w:rsidRPr="006720B3" w:rsidRDefault="00F458EE" w:rsidP="005151A7">
            <w:pPr>
              <w:pStyle w:val="TableBodyText"/>
            </w:pPr>
            <w:r w:rsidRPr="006720B3">
              <w:t>1.3</w:t>
            </w:r>
          </w:p>
        </w:tc>
        <w:tc>
          <w:tcPr>
            <w:tcW w:w="507" w:type="pct"/>
            <w:tcBorders>
              <w:bottom w:val="single" w:sz="4" w:space="0" w:color="auto"/>
            </w:tcBorders>
            <w:shd w:val="clear" w:color="auto" w:fill="auto"/>
            <w:vAlign w:val="bottom"/>
          </w:tcPr>
          <w:p w:rsidR="00F458EE" w:rsidRPr="006720B3" w:rsidRDefault="00F458EE" w:rsidP="005151A7">
            <w:pPr>
              <w:pStyle w:val="TableBodyText"/>
            </w:pPr>
            <w:r>
              <w:noBreakHyphen/>
            </w:r>
          </w:p>
        </w:tc>
        <w:tc>
          <w:tcPr>
            <w:tcW w:w="507" w:type="pct"/>
            <w:tcBorders>
              <w:bottom w:val="single" w:sz="4" w:space="0" w:color="auto"/>
            </w:tcBorders>
            <w:shd w:val="clear" w:color="auto" w:fill="auto"/>
            <w:vAlign w:val="bottom"/>
          </w:tcPr>
          <w:p w:rsidR="00F458EE" w:rsidRPr="006720B3" w:rsidRDefault="00F458EE" w:rsidP="005151A7">
            <w:pPr>
              <w:pStyle w:val="TableBodyText"/>
            </w:pPr>
            <w:r>
              <w:noBreakHyphen/>
            </w:r>
          </w:p>
        </w:tc>
      </w:tr>
    </w:tbl>
    <w:p w:rsidR="004C4BCC" w:rsidRDefault="004C4BCC" w:rsidP="004C4BCC">
      <w:pPr>
        <w:pStyle w:val="Note"/>
      </w:pPr>
      <w:r w:rsidRPr="00A2379F">
        <w:noBreakHyphen/>
        <w:t xml:space="preserve"> Nil</w:t>
      </w:r>
      <w:r>
        <w:t>.</w:t>
      </w:r>
      <w:r w:rsidRPr="008E77FE">
        <w:rPr>
          <w:rStyle w:val="NoteLabel"/>
        </w:rPr>
        <w:t xml:space="preserve"> a</w:t>
      </w:r>
      <w:r>
        <w:t xml:space="preserve"> </w:t>
      </w:r>
      <w:r w:rsidRPr="009B56F1">
        <w:t>Unallocated includes general programs where detai</w:t>
      </w:r>
      <w:r>
        <w:t>ls of beneficiaries are unknown.</w:t>
      </w:r>
    </w:p>
    <w:p w:rsidR="004C4BCC" w:rsidRPr="008E77FE" w:rsidRDefault="004C4BCC" w:rsidP="004C4BCC">
      <w:pPr>
        <w:pStyle w:val="Source"/>
      </w:pPr>
      <w:r>
        <w:rPr>
          <w:i/>
        </w:rPr>
        <w:t>Source</w:t>
      </w:r>
      <w:r>
        <w:t>: Commission estimates based on DIISR Annual Report 2009</w:t>
      </w:r>
      <w:r>
        <w:noBreakHyphen/>
        <w:t>10.</w:t>
      </w:r>
    </w:p>
    <w:p w:rsidR="00AB3B39" w:rsidRDefault="00FA09C3" w:rsidP="00AB3B39">
      <w:pPr>
        <w:pStyle w:val="Heading2"/>
      </w:pPr>
      <w:r>
        <w:t>A.</w:t>
      </w:r>
      <w:r>
        <w:rPr>
          <w:noProof/>
        </w:rPr>
        <w:t>159</w:t>
      </w:r>
      <w:r w:rsidR="00AB3B39">
        <w:tab/>
        <w:t>Australian Made Campaign – Export Marketing Strategy</w:t>
      </w:r>
    </w:p>
    <w:p w:rsidR="00AB3B39" w:rsidRDefault="00AB3B39" w:rsidP="00AB3B39">
      <w:pPr>
        <w:pStyle w:val="BodyText"/>
      </w:pPr>
      <w:r>
        <w:t xml:space="preserve">In September 2004, the Australian Government announced a $2 million grant, to be provided over three years, to help strengthen the profile and marketing effectiveness of the </w:t>
      </w:r>
      <w:r w:rsidR="00F87DE7">
        <w:t>‘</w:t>
      </w:r>
      <w:r>
        <w:t>Australian Made</w:t>
      </w:r>
      <w:r w:rsidR="00F87DE7">
        <w:t>’</w:t>
      </w:r>
      <w:r>
        <w:t xml:space="preserve"> logo for small to medium sized Australian companies in export markets. The grant was used to fund research and benchmarking projects, an international project to test the effectiveness of the logo in international markets, and an awareness-raising campaign within the industry on how to best use the logo as a marketing tool (</w:t>
      </w:r>
      <w:r w:rsidRPr="00C305B5">
        <w:t>MacFarlane 2004</w:t>
      </w:r>
      <w:r>
        <w:t>).</w:t>
      </w:r>
    </w:p>
    <w:p w:rsidR="00AB3B39" w:rsidRDefault="00AB3B39" w:rsidP="00AB3B39">
      <w:pPr>
        <w:pStyle w:val="BodyText"/>
      </w:pPr>
      <w:r>
        <w:t>In June 2007, the Australian Government announced the launch of the ‘Australian Grown’ logo. The objective of the initiative was to help Australian consumers to quickly identify packaged foods that have been grown on Australian farms. Australian exporters would also be able to make use of the logo in overseas markets. An extension of the ‘Australian Made’ logo, the Government committed up to $1.7 million to support the initiative (</w:t>
      </w:r>
      <w:r w:rsidRPr="00C305B5">
        <w:t>McGauran 2007</w:t>
      </w:r>
      <w:r>
        <w:t>).</w:t>
      </w:r>
    </w:p>
    <w:p w:rsidR="00AB3B39" w:rsidRDefault="00AB3B39" w:rsidP="00AB3B39">
      <w:pPr>
        <w:pStyle w:val="BodyText"/>
      </w:pPr>
      <w:r>
        <w:t xml:space="preserve">The industry grouping of the businesses </w:t>
      </w:r>
      <w:r w:rsidR="00F87DE7">
        <w:t xml:space="preserve">that </w:t>
      </w:r>
      <w:r>
        <w:t xml:space="preserve">conducted the logo research are part of the </w:t>
      </w:r>
      <w:r w:rsidRPr="009D6073">
        <w:rPr>
          <w:i/>
        </w:rPr>
        <w:t>Property, professional and administrative services</w:t>
      </w:r>
      <w:r>
        <w:t xml:space="preserve"> industry grouping in the Commission’s ANZSIC-based industry classification (table A.15</w:t>
      </w:r>
      <w:r w:rsidR="00C065C1">
        <w:t>9</w:t>
      </w:r>
      <w:r>
        <w:t xml:space="preserve">). (This is a re-classification since </w:t>
      </w:r>
      <w:r>
        <w:rPr>
          <w:i/>
        </w:rPr>
        <w:t>Trade &amp; Assistance Review</w:t>
      </w:r>
      <w:r w:rsidRPr="00C305B5">
        <w:rPr>
          <w:i/>
        </w:rPr>
        <w:t xml:space="preserve"> 2011</w:t>
      </w:r>
      <w:r w:rsidRPr="00C305B5">
        <w:rPr>
          <w:i/>
        </w:rPr>
        <w:noBreakHyphen/>
        <w:t>12</w:t>
      </w:r>
      <w:r>
        <w:t xml:space="preserve"> was published, in which the program was allocated to </w:t>
      </w:r>
      <w:r w:rsidRPr="00B21A45">
        <w:rPr>
          <w:i/>
        </w:rPr>
        <w:t>Unallocated other</w:t>
      </w:r>
      <w:r>
        <w:t xml:space="preserve"> grouping)</w:t>
      </w:r>
      <w:r w:rsidR="00F87DE7">
        <w:t>.</w:t>
      </w:r>
    </w:p>
    <w:p w:rsidR="00AB3B39" w:rsidRDefault="00AB3B39" w:rsidP="00AB3B39">
      <w:pPr>
        <w:pStyle w:val="TableTitle"/>
      </w:pPr>
      <w:r>
        <w:rPr>
          <w:b w:val="0"/>
        </w:rPr>
        <w:t xml:space="preserve">Table </w:t>
      </w:r>
      <w:r w:rsidR="00FA09C3">
        <w:rPr>
          <w:b w:val="0"/>
        </w:rPr>
        <w:t>A.</w:t>
      </w:r>
      <w:r w:rsidR="00FA09C3">
        <w:rPr>
          <w:b w:val="0"/>
          <w:noProof/>
        </w:rPr>
        <w:t>159</w:t>
      </w:r>
      <w:r>
        <w:tab/>
        <w:t>Allocation of Australian Made Campaign – Export Marketing Strategy</w:t>
      </w:r>
      <w:r w:rsidR="00E471E2" w:rsidRPr="00E471E2">
        <w:t xml:space="preserve"> to industry</w:t>
      </w:r>
      <w:r>
        <w:t>, 2006</w:t>
      </w:r>
      <w:r>
        <w:noBreakHyphen/>
        <w:t>07 to 2011</w:t>
      </w:r>
      <w:r>
        <w:noBreakHyphen/>
        <w:t>12</w:t>
      </w:r>
    </w:p>
    <w:p w:rsidR="00AB3B39" w:rsidRDefault="00AB3B39" w:rsidP="00AB3B39">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AB3B39" w:rsidRPr="00AF699A" w:rsidTr="005151A7">
        <w:tc>
          <w:tcPr>
            <w:tcW w:w="1960" w:type="pct"/>
            <w:tcBorders>
              <w:top w:val="single" w:sz="6" w:space="0" w:color="auto"/>
              <w:bottom w:val="single" w:sz="6" w:space="0" w:color="auto"/>
            </w:tcBorders>
          </w:tcPr>
          <w:p w:rsidR="00AB3B39" w:rsidRPr="00AF699A" w:rsidRDefault="00AB3B39" w:rsidP="005151A7">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AB3B39" w:rsidRPr="00AF699A" w:rsidRDefault="00AB3B39" w:rsidP="005151A7">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AB3B39" w:rsidRPr="00AF699A" w:rsidRDefault="00AB3B39" w:rsidP="005151A7">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AB3B39" w:rsidRPr="00AF699A" w:rsidRDefault="00AB3B39" w:rsidP="005151A7">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AB3B39" w:rsidRPr="00AF699A" w:rsidRDefault="00AB3B39" w:rsidP="005151A7">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AB3B39" w:rsidRPr="00AF699A" w:rsidRDefault="00AB3B39" w:rsidP="005151A7">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AB3B39" w:rsidRPr="00AF699A" w:rsidRDefault="00AB3B39" w:rsidP="005151A7">
            <w:pPr>
              <w:pStyle w:val="TableColumnHeading"/>
              <w:ind w:right="28"/>
              <w:rPr>
                <w:rFonts w:cs="Arial"/>
                <w:sz w:val="18"/>
                <w:szCs w:val="18"/>
              </w:rPr>
            </w:pPr>
            <w:r w:rsidRPr="00AF699A">
              <w:rPr>
                <w:rFonts w:cs="Arial"/>
                <w:sz w:val="18"/>
                <w:szCs w:val="18"/>
              </w:rPr>
              <w:t>2011-12</w:t>
            </w:r>
          </w:p>
        </w:tc>
      </w:tr>
      <w:tr w:rsidR="00AB3B39" w:rsidRPr="006C5A80" w:rsidTr="005151A7">
        <w:tc>
          <w:tcPr>
            <w:tcW w:w="1960" w:type="pct"/>
            <w:tcBorders>
              <w:bottom w:val="single" w:sz="4" w:space="0" w:color="auto"/>
            </w:tcBorders>
            <w:vAlign w:val="bottom"/>
          </w:tcPr>
          <w:p w:rsidR="00AB3B39" w:rsidRPr="00C944BA" w:rsidRDefault="00AB3B39" w:rsidP="005151A7">
            <w:pPr>
              <w:pStyle w:val="TableBodyText"/>
              <w:jc w:val="left"/>
            </w:pPr>
            <w:r>
              <w:t>Property, professional and administrative services</w:t>
            </w:r>
            <w:r w:rsidRPr="007546E2">
              <w:rPr>
                <w:rStyle w:val="NoteLabel"/>
                <w:szCs w:val="18"/>
              </w:rPr>
              <w:t>a</w:t>
            </w:r>
          </w:p>
        </w:tc>
        <w:tc>
          <w:tcPr>
            <w:tcW w:w="507" w:type="pct"/>
            <w:tcBorders>
              <w:bottom w:val="single" w:sz="4" w:space="0" w:color="auto"/>
            </w:tcBorders>
            <w:vAlign w:val="bottom"/>
          </w:tcPr>
          <w:p w:rsidR="00AB3B39" w:rsidRPr="0078553F" w:rsidRDefault="00AB3B39" w:rsidP="005151A7">
            <w:pPr>
              <w:pStyle w:val="TableBodyText"/>
            </w:pPr>
            <w:r>
              <w:t>0.5</w:t>
            </w:r>
          </w:p>
        </w:tc>
        <w:tc>
          <w:tcPr>
            <w:tcW w:w="507" w:type="pct"/>
            <w:tcBorders>
              <w:bottom w:val="single" w:sz="4" w:space="0" w:color="auto"/>
            </w:tcBorders>
            <w:vAlign w:val="bottom"/>
          </w:tcPr>
          <w:p w:rsidR="00AB3B39" w:rsidRPr="0078553F" w:rsidRDefault="00AB3B39" w:rsidP="005151A7">
            <w:pPr>
              <w:pStyle w:val="TableBodyText"/>
            </w:pPr>
            <w:r>
              <w:t>0.9</w:t>
            </w:r>
          </w:p>
        </w:tc>
        <w:tc>
          <w:tcPr>
            <w:tcW w:w="507" w:type="pct"/>
            <w:tcBorders>
              <w:bottom w:val="single" w:sz="4" w:space="0" w:color="auto"/>
            </w:tcBorders>
            <w:vAlign w:val="bottom"/>
          </w:tcPr>
          <w:p w:rsidR="00AB3B39" w:rsidRPr="0078553F" w:rsidRDefault="00AB3B39" w:rsidP="005151A7">
            <w:pPr>
              <w:pStyle w:val="TableBodyText"/>
            </w:pPr>
            <w:r>
              <w:t>0.4</w:t>
            </w:r>
          </w:p>
        </w:tc>
        <w:tc>
          <w:tcPr>
            <w:tcW w:w="507" w:type="pct"/>
            <w:tcBorders>
              <w:bottom w:val="single" w:sz="4" w:space="0" w:color="auto"/>
            </w:tcBorders>
            <w:vAlign w:val="bottom"/>
          </w:tcPr>
          <w:p w:rsidR="00AB3B39" w:rsidRPr="0078553F" w:rsidRDefault="00AB3B39" w:rsidP="005151A7">
            <w:pPr>
              <w:pStyle w:val="TableBodyText"/>
            </w:pPr>
            <w:r>
              <w:t>1.1</w:t>
            </w:r>
          </w:p>
        </w:tc>
        <w:tc>
          <w:tcPr>
            <w:tcW w:w="507" w:type="pct"/>
            <w:tcBorders>
              <w:bottom w:val="single" w:sz="4" w:space="0" w:color="auto"/>
            </w:tcBorders>
            <w:shd w:val="clear" w:color="auto" w:fill="auto"/>
            <w:vAlign w:val="bottom"/>
          </w:tcPr>
          <w:p w:rsidR="00AB3B39" w:rsidRPr="0078553F" w:rsidRDefault="00AB3B39" w:rsidP="005151A7">
            <w:pPr>
              <w:pStyle w:val="TableBodyText"/>
            </w:pPr>
            <w:r>
              <w:noBreakHyphen/>
            </w:r>
          </w:p>
        </w:tc>
        <w:tc>
          <w:tcPr>
            <w:tcW w:w="505" w:type="pct"/>
            <w:tcBorders>
              <w:bottom w:val="single" w:sz="4" w:space="0" w:color="auto"/>
            </w:tcBorders>
            <w:shd w:val="clear" w:color="auto" w:fill="auto"/>
            <w:vAlign w:val="bottom"/>
          </w:tcPr>
          <w:p w:rsidR="00AB3B39" w:rsidRPr="0078553F" w:rsidRDefault="00AB3B39" w:rsidP="005151A7">
            <w:pPr>
              <w:pStyle w:val="TableBodyText"/>
            </w:pPr>
            <w:r>
              <w:noBreakHyphen/>
            </w:r>
          </w:p>
        </w:tc>
      </w:tr>
    </w:tbl>
    <w:p w:rsidR="00AB3B39" w:rsidRPr="00F60026" w:rsidRDefault="00AB3B39" w:rsidP="00AB3B39">
      <w:pPr>
        <w:pStyle w:val="Source"/>
        <w:spacing w:after="0"/>
        <w:rPr>
          <w:i/>
        </w:rPr>
      </w:pPr>
      <w:r w:rsidRPr="00A2379F">
        <w:noBreakHyphen/>
        <w:t xml:space="preserve"> </w:t>
      </w:r>
      <w:r>
        <w:t>Nil</w:t>
      </w:r>
      <w:r w:rsidRPr="00A2379F">
        <w:t>.</w:t>
      </w:r>
      <w:r w:rsidRPr="00B1392F">
        <w:t xml:space="preserve"> </w:t>
      </w:r>
      <w:r w:rsidRPr="009B56F1">
        <w:rPr>
          <w:rStyle w:val="NoteLabel"/>
        </w:rPr>
        <w:t>a</w:t>
      </w:r>
      <w:r w:rsidRPr="009B56F1">
        <w:t xml:space="preserve"> </w:t>
      </w:r>
      <w:r>
        <w:t>In TAR 2011</w:t>
      </w:r>
      <w:r>
        <w:noBreakHyphen/>
        <w:t xml:space="preserve">12 this funding was allocated to </w:t>
      </w:r>
      <w:r w:rsidRPr="009D6073">
        <w:rPr>
          <w:i/>
        </w:rPr>
        <w:t>Unallocated other</w:t>
      </w:r>
      <w:r>
        <w:t xml:space="preserve">. </w:t>
      </w:r>
    </w:p>
    <w:p w:rsidR="00AB3B39" w:rsidRDefault="00AB3B39" w:rsidP="00AB3B39">
      <w:pPr>
        <w:pStyle w:val="Source"/>
      </w:pPr>
      <w:r>
        <w:rPr>
          <w:i/>
        </w:rPr>
        <w:t>Sources</w:t>
      </w:r>
      <w:r>
        <w:t>: Commission estimates based on DIISR Annual Report 2009</w:t>
      </w:r>
      <w:r>
        <w:noBreakHyphen/>
        <w:t>10 (and earlier years); Department of Industry, Tourism and Resources Annual Report 2006</w:t>
      </w:r>
      <w:r>
        <w:noBreakHyphen/>
        <w:t>07; and detailed DIISR data by ANZSIC industry.</w:t>
      </w:r>
    </w:p>
    <w:p w:rsidR="00AD77E3" w:rsidRDefault="00FA09C3" w:rsidP="00AD77E3">
      <w:pPr>
        <w:pStyle w:val="Heading2"/>
      </w:pPr>
      <w:r>
        <w:t>A.</w:t>
      </w:r>
      <w:r>
        <w:rPr>
          <w:noProof/>
        </w:rPr>
        <w:t>160</w:t>
      </w:r>
      <w:r w:rsidR="00AD77E3">
        <w:tab/>
        <w:t xml:space="preserve">Drought Assistance – </w:t>
      </w:r>
      <w:r w:rsidR="00F87DE7">
        <w:t>Murray-</w:t>
      </w:r>
      <w:r w:rsidR="00AD77E3">
        <w:t>Darling Basin Grants to Irrigators</w:t>
      </w:r>
    </w:p>
    <w:p w:rsidR="00AD77E3" w:rsidRDefault="00AD77E3" w:rsidP="00AD77E3">
      <w:pPr>
        <w:pStyle w:val="BodyText"/>
      </w:pPr>
      <w:r>
        <w:t>In September 2007, the Australian Government announced a drought assistance package for irrigators, dryland farmers and small businesses severely affected by the drought. As part of the package, grants of up to $20 000 were made available to eligible Murray-Darling Basin irrigation businesses to help implement water management strategies</w:t>
      </w:r>
      <w:r w:rsidR="00F87DE7">
        <w:t>,</w:t>
      </w:r>
      <w:r>
        <w:t xml:space="preserve"> including responses to temporarily reduced water allocations and improvements to on-farm practices</w:t>
      </w:r>
      <w:r w:rsidR="00F87DE7">
        <w:t>,</w:t>
      </w:r>
      <w:r>
        <w:t xml:space="preserve"> to maximise production from the available water </w:t>
      </w:r>
      <w:r w:rsidRPr="000138D9">
        <w:t>(</w:t>
      </w:r>
      <w:r w:rsidRPr="00C305B5">
        <w:t>PC 2011</w:t>
      </w:r>
      <w:r w:rsidRPr="000138D9">
        <w:t>)</w:t>
      </w:r>
      <w:r>
        <w:t xml:space="preserve">. The </w:t>
      </w:r>
      <w:r w:rsidR="00F87DE7">
        <w:t>Murray-</w:t>
      </w:r>
      <w:r>
        <w:t>Darling Basin Grants to Irrigators program ceased in 2009</w:t>
      </w:r>
      <w:r>
        <w:noBreakHyphen/>
        <w:t xml:space="preserve">10 </w:t>
      </w:r>
      <w:r w:rsidRPr="000138D9">
        <w:t>(</w:t>
      </w:r>
      <w:r w:rsidRPr="00C305B5">
        <w:t>DAFF 2010b</w:t>
      </w:r>
      <w:r w:rsidRPr="000138D9">
        <w:t>)</w:t>
      </w:r>
      <w:r>
        <w:t>.</w:t>
      </w:r>
    </w:p>
    <w:p w:rsidR="00AD77E3" w:rsidRDefault="00AD77E3" w:rsidP="00AD77E3">
      <w:pPr>
        <w:pStyle w:val="BodyText"/>
      </w:pPr>
      <w:r>
        <w:t xml:space="preserve">The grants were targeted towards producers in the primary production sector. However, information on the specific industry incidence of the program has not been readily available. Accordingly, the budget outlay has been classified to the </w:t>
      </w:r>
      <w:r w:rsidRPr="00261320">
        <w:rPr>
          <w:i/>
        </w:rPr>
        <w:t>Unallocated primary production</w:t>
      </w:r>
      <w:r>
        <w:t xml:space="preserve"> industry grouping in the Commission’s ANZSIC-based classification (table A.1</w:t>
      </w:r>
      <w:r w:rsidR="00C065C1">
        <w:t>60</w:t>
      </w:r>
      <w:r>
        <w:t>).</w:t>
      </w:r>
    </w:p>
    <w:p w:rsidR="00AD77E3" w:rsidRDefault="00AD77E3" w:rsidP="00AD77E3">
      <w:pPr>
        <w:pStyle w:val="TableTitle"/>
      </w:pPr>
      <w:r>
        <w:rPr>
          <w:b w:val="0"/>
        </w:rPr>
        <w:t xml:space="preserve">Table </w:t>
      </w:r>
      <w:r w:rsidR="00FA09C3">
        <w:rPr>
          <w:b w:val="0"/>
        </w:rPr>
        <w:t>A.</w:t>
      </w:r>
      <w:r w:rsidR="00FA09C3">
        <w:rPr>
          <w:b w:val="0"/>
          <w:noProof/>
        </w:rPr>
        <w:t>160</w:t>
      </w:r>
      <w:r>
        <w:tab/>
        <w:t xml:space="preserve">Allocation of Drought Assistance – </w:t>
      </w:r>
      <w:r w:rsidR="00F87DE7">
        <w:t>Murray-</w:t>
      </w:r>
      <w:r>
        <w:t xml:space="preserve">Darling Basin Grants to Irrigators </w:t>
      </w:r>
      <w:r w:rsidR="00E471E2" w:rsidRPr="00E471E2">
        <w:t>to industry</w:t>
      </w:r>
      <w:r>
        <w:t>, 2006</w:t>
      </w:r>
      <w:r>
        <w:noBreakHyphen/>
        <w:t>07 to 2011</w:t>
      </w:r>
      <w:r>
        <w:noBreakHyphen/>
        <w:t>12</w:t>
      </w:r>
    </w:p>
    <w:p w:rsidR="00AD77E3" w:rsidRDefault="00AD77E3" w:rsidP="00AD77E3">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AD77E3" w:rsidRPr="00AF699A" w:rsidTr="005151A7">
        <w:tc>
          <w:tcPr>
            <w:tcW w:w="1960" w:type="pct"/>
            <w:tcBorders>
              <w:top w:val="single" w:sz="6" w:space="0" w:color="auto"/>
              <w:bottom w:val="single" w:sz="6" w:space="0" w:color="auto"/>
            </w:tcBorders>
          </w:tcPr>
          <w:p w:rsidR="00AD77E3" w:rsidRPr="00AF699A" w:rsidRDefault="00AD77E3" w:rsidP="005151A7">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AD77E3" w:rsidRPr="00AF699A" w:rsidRDefault="00AD77E3" w:rsidP="005151A7">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AD77E3" w:rsidRPr="00AF699A" w:rsidRDefault="00AD77E3" w:rsidP="005151A7">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AD77E3" w:rsidRPr="00AF699A" w:rsidRDefault="00AD77E3" w:rsidP="005151A7">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AD77E3" w:rsidRPr="00AF699A" w:rsidRDefault="00AD77E3" w:rsidP="005151A7">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AD77E3" w:rsidRPr="00AF699A" w:rsidRDefault="00AD77E3" w:rsidP="005151A7">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AD77E3" w:rsidRPr="00AF699A" w:rsidRDefault="00AD77E3" w:rsidP="005151A7">
            <w:pPr>
              <w:pStyle w:val="TableColumnHeading"/>
              <w:ind w:right="28"/>
              <w:rPr>
                <w:rFonts w:cs="Arial"/>
                <w:sz w:val="18"/>
                <w:szCs w:val="18"/>
              </w:rPr>
            </w:pPr>
            <w:r w:rsidRPr="00AF699A">
              <w:rPr>
                <w:rFonts w:cs="Arial"/>
                <w:sz w:val="18"/>
                <w:szCs w:val="18"/>
              </w:rPr>
              <w:t>2011-12</w:t>
            </w:r>
          </w:p>
        </w:tc>
      </w:tr>
      <w:tr w:rsidR="00AD77E3" w:rsidRPr="006C5A80" w:rsidTr="005151A7">
        <w:tc>
          <w:tcPr>
            <w:tcW w:w="1960" w:type="pct"/>
            <w:tcBorders>
              <w:bottom w:val="single" w:sz="4" w:space="0" w:color="auto"/>
            </w:tcBorders>
            <w:vAlign w:val="bottom"/>
          </w:tcPr>
          <w:p w:rsidR="00AD77E3" w:rsidRPr="00C944BA" w:rsidRDefault="00AD77E3" w:rsidP="005151A7">
            <w:pPr>
              <w:pStyle w:val="TableBodyText"/>
              <w:jc w:val="left"/>
            </w:pPr>
            <w:r>
              <w:t>Unallocated primary production</w:t>
            </w:r>
            <w:r w:rsidRPr="007546E2">
              <w:rPr>
                <w:rStyle w:val="NoteLabel"/>
                <w:szCs w:val="18"/>
              </w:rPr>
              <w:t>a</w:t>
            </w:r>
          </w:p>
        </w:tc>
        <w:tc>
          <w:tcPr>
            <w:tcW w:w="507" w:type="pct"/>
            <w:tcBorders>
              <w:bottom w:val="single" w:sz="4" w:space="0" w:color="auto"/>
            </w:tcBorders>
            <w:vAlign w:val="bottom"/>
          </w:tcPr>
          <w:p w:rsidR="00AD77E3" w:rsidRPr="00970C0B" w:rsidRDefault="00AD77E3" w:rsidP="005151A7">
            <w:pPr>
              <w:pStyle w:val="TableBodyText"/>
            </w:pPr>
            <w:r>
              <w:noBreakHyphen/>
            </w:r>
          </w:p>
        </w:tc>
        <w:tc>
          <w:tcPr>
            <w:tcW w:w="507" w:type="pct"/>
            <w:tcBorders>
              <w:bottom w:val="single" w:sz="4" w:space="0" w:color="auto"/>
            </w:tcBorders>
            <w:vAlign w:val="bottom"/>
          </w:tcPr>
          <w:p w:rsidR="00AD77E3" w:rsidRPr="00970C0B" w:rsidRDefault="00AD77E3" w:rsidP="005151A7">
            <w:pPr>
              <w:pStyle w:val="TableBodyText"/>
            </w:pPr>
            <w:r w:rsidRPr="00970C0B">
              <w:t>144.3</w:t>
            </w:r>
          </w:p>
        </w:tc>
        <w:tc>
          <w:tcPr>
            <w:tcW w:w="507" w:type="pct"/>
            <w:tcBorders>
              <w:bottom w:val="single" w:sz="4" w:space="0" w:color="auto"/>
            </w:tcBorders>
            <w:vAlign w:val="bottom"/>
          </w:tcPr>
          <w:p w:rsidR="00AD77E3" w:rsidRPr="00970C0B" w:rsidRDefault="00AD77E3" w:rsidP="005151A7">
            <w:pPr>
              <w:pStyle w:val="TableBodyText"/>
            </w:pPr>
            <w:r w:rsidRPr="00970C0B">
              <w:t>60.4</w:t>
            </w:r>
          </w:p>
        </w:tc>
        <w:tc>
          <w:tcPr>
            <w:tcW w:w="507" w:type="pct"/>
            <w:tcBorders>
              <w:bottom w:val="single" w:sz="4" w:space="0" w:color="auto"/>
            </w:tcBorders>
            <w:vAlign w:val="bottom"/>
          </w:tcPr>
          <w:p w:rsidR="00AD77E3" w:rsidRPr="00970C0B" w:rsidRDefault="00AD77E3" w:rsidP="005151A7">
            <w:pPr>
              <w:pStyle w:val="TableBodyText"/>
            </w:pPr>
            <w:r w:rsidRPr="00970C0B">
              <w:t>0.8</w:t>
            </w:r>
          </w:p>
        </w:tc>
        <w:tc>
          <w:tcPr>
            <w:tcW w:w="507" w:type="pct"/>
            <w:tcBorders>
              <w:bottom w:val="single" w:sz="4" w:space="0" w:color="auto"/>
            </w:tcBorders>
            <w:shd w:val="clear" w:color="auto" w:fill="auto"/>
            <w:vAlign w:val="bottom"/>
          </w:tcPr>
          <w:p w:rsidR="00AD77E3" w:rsidRPr="00970C0B" w:rsidRDefault="00AD77E3" w:rsidP="005151A7">
            <w:pPr>
              <w:pStyle w:val="TableBodyText"/>
            </w:pPr>
            <w:r>
              <w:noBreakHyphen/>
            </w:r>
          </w:p>
        </w:tc>
        <w:tc>
          <w:tcPr>
            <w:tcW w:w="505" w:type="pct"/>
            <w:tcBorders>
              <w:bottom w:val="single" w:sz="4" w:space="0" w:color="auto"/>
            </w:tcBorders>
            <w:shd w:val="clear" w:color="auto" w:fill="auto"/>
            <w:vAlign w:val="bottom"/>
          </w:tcPr>
          <w:p w:rsidR="00AD77E3" w:rsidRPr="00970C0B" w:rsidRDefault="00AD77E3" w:rsidP="005151A7">
            <w:pPr>
              <w:pStyle w:val="TableBodyText"/>
            </w:pPr>
            <w:r>
              <w:noBreakHyphen/>
            </w:r>
          </w:p>
        </w:tc>
      </w:tr>
    </w:tbl>
    <w:p w:rsidR="00AD77E3" w:rsidRPr="00F60026" w:rsidRDefault="00AD77E3" w:rsidP="00AD77E3">
      <w:pPr>
        <w:pStyle w:val="Source"/>
        <w:spacing w:after="0"/>
        <w:rPr>
          <w:i/>
        </w:rPr>
      </w:pPr>
      <w:r w:rsidRPr="00A2379F">
        <w:noBreakHyphen/>
        <w:t xml:space="preserve"> </w:t>
      </w:r>
      <w:r>
        <w:t>Nil</w:t>
      </w:r>
      <w:r w:rsidRPr="00A2379F">
        <w:t>.</w:t>
      </w:r>
      <w:r>
        <w:t xml:space="preserve"> </w:t>
      </w:r>
      <w:r w:rsidRPr="008E77FE">
        <w:rPr>
          <w:rStyle w:val="NoteLabel"/>
        </w:rPr>
        <w:t>a</w:t>
      </w:r>
      <w:r>
        <w:t xml:space="preserve"> </w:t>
      </w:r>
      <w:r w:rsidRPr="002476ED">
        <w:t>Unallocated includes general programs where details of beneficiaries are unknown</w:t>
      </w:r>
      <w:r>
        <w:t>.</w:t>
      </w:r>
    </w:p>
    <w:p w:rsidR="00AD77E3" w:rsidRDefault="00AD77E3" w:rsidP="00AD77E3">
      <w:pPr>
        <w:pStyle w:val="Source"/>
      </w:pPr>
      <w:r>
        <w:rPr>
          <w:i/>
        </w:rPr>
        <w:t>Source</w:t>
      </w:r>
      <w:r>
        <w:t>: Commission estimates based on DAFF Annual Report 2009</w:t>
      </w:r>
      <w:r>
        <w:noBreakHyphen/>
        <w:t>10 (and earlier years).</w:t>
      </w:r>
    </w:p>
    <w:p w:rsidR="00C26E82" w:rsidRPr="00C26E82" w:rsidRDefault="00C26E82" w:rsidP="00C26E82">
      <w:r>
        <w:br w:type="page"/>
      </w:r>
    </w:p>
    <w:p w:rsidR="00CB0F31" w:rsidRDefault="00FA09C3" w:rsidP="00CB0F31">
      <w:pPr>
        <w:pStyle w:val="Heading2"/>
      </w:pPr>
      <w:r>
        <w:t>A.</w:t>
      </w:r>
      <w:r>
        <w:rPr>
          <w:noProof/>
        </w:rPr>
        <w:t>161</w:t>
      </w:r>
      <w:r w:rsidR="00CB0F31">
        <w:tab/>
        <w:t>R&amp;D Start</w:t>
      </w:r>
    </w:p>
    <w:p w:rsidR="00CB0F31" w:rsidRDefault="00CB0F31" w:rsidP="00CB0F31">
      <w:pPr>
        <w:pStyle w:val="BodyText"/>
      </w:pPr>
      <w:r>
        <w:t xml:space="preserve">The R&amp;D Start program was a competitive merit-based program designed to assist Australian industry to undertake R&amp;D and its commercialisation through a range of grants and loans </w:t>
      </w:r>
      <w:r w:rsidRPr="00EC76CA">
        <w:t>(</w:t>
      </w:r>
      <w:r w:rsidRPr="00C305B5">
        <w:t>AusIndustry 2013d</w:t>
      </w:r>
      <w:r w:rsidRPr="00EC76CA">
        <w:t xml:space="preserve">). The program closed in September 2004 (with </w:t>
      </w:r>
      <w:r w:rsidR="00481DE5" w:rsidRPr="00EC76CA">
        <w:t>committed</w:t>
      </w:r>
      <w:r w:rsidRPr="00EC76CA">
        <w:t xml:space="preserve"> funds continuing through to 2008</w:t>
      </w:r>
      <w:r w:rsidRPr="00EC76CA">
        <w:noBreakHyphen/>
        <w:t>09)</w:t>
      </w:r>
      <w:r>
        <w:t xml:space="preserve"> and was replaced by the Commercial Ready program </w:t>
      </w:r>
      <w:r w:rsidRPr="00C305B5">
        <w:t>(see A.</w:t>
      </w:r>
      <w:r w:rsidR="003B7FF9">
        <w:t>113</w:t>
      </w:r>
      <w:r w:rsidRPr="00C305B5">
        <w:t>).</w:t>
      </w:r>
    </w:p>
    <w:p w:rsidR="00CB0F31" w:rsidRDefault="00CB0F31" w:rsidP="00CB0F31">
      <w:pPr>
        <w:pStyle w:val="BodyText"/>
      </w:pPr>
      <w:r>
        <w:t>Funding from the program has been allocated across the Commission’s ANZSIC-based industry groupings based on information received annually from the Department of Innovation, Industry, Science and Research (table A.16</w:t>
      </w:r>
      <w:r w:rsidR="00C065C1">
        <w:t>1</w:t>
      </w:r>
      <w:r>
        <w:t>).</w:t>
      </w:r>
    </w:p>
    <w:p w:rsidR="00CB0F31" w:rsidRDefault="00CB0F31" w:rsidP="00CB0F31">
      <w:pPr>
        <w:pStyle w:val="TableTitle"/>
      </w:pPr>
      <w:r>
        <w:rPr>
          <w:b w:val="0"/>
        </w:rPr>
        <w:t xml:space="preserve">Table </w:t>
      </w:r>
      <w:r w:rsidR="00FA09C3">
        <w:rPr>
          <w:b w:val="0"/>
        </w:rPr>
        <w:t>A.</w:t>
      </w:r>
      <w:r w:rsidR="00FA09C3">
        <w:rPr>
          <w:b w:val="0"/>
          <w:noProof/>
        </w:rPr>
        <w:t>161</w:t>
      </w:r>
      <w:r>
        <w:tab/>
        <w:t xml:space="preserve">Allocation of R&amp;D Start </w:t>
      </w:r>
      <w:r w:rsidR="00E471E2" w:rsidRPr="00E471E2">
        <w:t>to industry</w:t>
      </w:r>
      <w:r>
        <w:t>, 2006</w:t>
      </w:r>
      <w:r>
        <w:noBreakHyphen/>
        <w:t>07 to 2011</w:t>
      </w:r>
      <w:r>
        <w:noBreakHyphen/>
        <w:t>12</w:t>
      </w:r>
    </w:p>
    <w:p w:rsidR="00CB0F31" w:rsidRDefault="00CB0F31" w:rsidP="00CB0F31">
      <w:pPr>
        <w:pStyle w:val="Subtitle"/>
      </w:pPr>
      <w:r>
        <w:t>$ million (nominal)</w:t>
      </w:r>
    </w:p>
    <w:tbl>
      <w:tblPr>
        <w:tblW w:w="5000" w:type="pct"/>
        <w:tblCellMar>
          <w:left w:w="0" w:type="dxa"/>
          <w:right w:w="0" w:type="dxa"/>
        </w:tblCellMar>
        <w:tblLook w:val="0000" w:firstRow="0" w:lastRow="0" w:firstColumn="0" w:lastColumn="0" w:noHBand="0" w:noVBand="0"/>
      </w:tblPr>
      <w:tblGrid>
        <w:gridCol w:w="3421"/>
        <w:gridCol w:w="1030"/>
        <w:gridCol w:w="870"/>
        <w:gridCol w:w="870"/>
        <w:gridCol w:w="870"/>
        <w:gridCol w:w="870"/>
        <w:gridCol w:w="858"/>
      </w:tblGrid>
      <w:tr w:rsidR="00CB0F31" w:rsidRPr="003758FD" w:rsidTr="005151A7">
        <w:trPr>
          <w:trHeight w:val="227"/>
        </w:trPr>
        <w:tc>
          <w:tcPr>
            <w:tcW w:w="1946" w:type="pct"/>
            <w:tcBorders>
              <w:top w:val="single" w:sz="6" w:space="0" w:color="auto"/>
              <w:bottom w:val="single" w:sz="6" w:space="0" w:color="auto"/>
            </w:tcBorders>
          </w:tcPr>
          <w:p w:rsidR="00CB0F31" w:rsidRPr="003758FD" w:rsidRDefault="00CB0F31" w:rsidP="005151A7">
            <w:pPr>
              <w:pStyle w:val="TableColumnHeading"/>
              <w:jc w:val="left"/>
              <w:rPr>
                <w:sz w:val="18"/>
                <w:szCs w:val="18"/>
              </w:rPr>
            </w:pPr>
            <w:r w:rsidRPr="003758FD">
              <w:rPr>
                <w:sz w:val="18"/>
                <w:szCs w:val="18"/>
              </w:rPr>
              <w:t>Industry grouping</w:t>
            </w:r>
          </w:p>
        </w:tc>
        <w:tc>
          <w:tcPr>
            <w:tcW w:w="586" w:type="pct"/>
            <w:tcBorders>
              <w:top w:val="single" w:sz="6" w:space="0" w:color="auto"/>
              <w:bottom w:val="single" w:sz="6" w:space="0" w:color="auto"/>
            </w:tcBorders>
          </w:tcPr>
          <w:p w:rsidR="00CB0F31" w:rsidRPr="003758FD" w:rsidRDefault="00CB0F31" w:rsidP="005151A7">
            <w:pPr>
              <w:pStyle w:val="TableColumnHeading"/>
              <w:ind w:right="28"/>
              <w:rPr>
                <w:sz w:val="18"/>
                <w:szCs w:val="18"/>
              </w:rPr>
            </w:pPr>
            <w:r w:rsidRPr="003758FD">
              <w:rPr>
                <w:sz w:val="18"/>
                <w:szCs w:val="18"/>
              </w:rPr>
              <w:t>2006-07</w:t>
            </w:r>
          </w:p>
        </w:tc>
        <w:tc>
          <w:tcPr>
            <w:tcW w:w="495" w:type="pct"/>
            <w:tcBorders>
              <w:top w:val="single" w:sz="6" w:space="0" w:color="auto"/>
              <w:bottom w:val="single" w:sz="6" w:space="0" w:color="auto"/>
            </w:tcBorders>
          </w:tcPr>
          <w:p w:rsidR="00CB0F31" w:rsidRPr="003758FD" w:rsidRDefault="00CB0F31" w:rsidP="005151A7">
            <w:pPr>
              <w:pStyle w:val="TableColumnHeading"/>
              <w:ind w:right="28"/>
              <w:rPr>
                <w:sz w:val="18"/>
                <w:szCs w:val="18"/>
              </w:rPr>
            </w:pPr>
            <w:r w:rsidRPr="003758FD">
              <w:rPr>
                <w:sz w:val="18"/>
                <w:szCs w:val="18"/>
              </w:rPr>
              <w:t>2007-08</w:t>
            </w:r>
          </w:p>
        </w:tc>
        <w:tc>
          <w:tcPr>
            <w:tcW w:w="495" w:type="pct"/>
            <w:tcBorders>
              <w:top w:val="single" w:sz="6" w:space="0" w:color="auto"/>
              <w:bottom w:val="single" w:sz="6" w:space="0" w:color="auto"/>
            </w:tcBorders>
          </w:tcPr>
          <w:p w:rsidR="00CB0F31" w:rsidRPr="003758FD" w:rsidRDefault="00CB0F31" w:rsidP="005151A7">
            <w:pPr>
              <w:pStyle w:val="TableColumnHeading"/>
              <w:ind w:right="28"/>
              <w:rPr>
                <w:sz w:val="18"/>
                <w:szCs w:val="18"/>
              </w:rPr>
            </w:pPr>
            <w:r w:rsidRPr="003758FD">
              <w:rPr>
                <w:sz w:val="18"/>
                <w:szCs w:val="18"/>
              </w:rPr>
              <w:t>2008-09</w:t>
            </w:r>
          </w:p>
        </w:tc>
        <w:tc>
          <w:tcPr>
            <w:tcW w:w="495" w:type="pct"/>
            <w:tcBorders>
              <w:top w:val="single" w:sz="6" w:space="0" w:color="auto"/>
              <w:bottom w:val="single" w:sz="6" w:space="0" w:color="auto"/>
            </w:tcBorders>
            <w:shd w:val="clear" w:color="auto" w:fill="auto"/>
          </w:tcPr>
          <w:p w:rsidR="00CB0F31" w:rsidRPr="003758FD" w:rsidRDefault="00CB0F31" w:rsidP="005151A7">
            <w:pPr>
              <w:pStyle w:val="TableColumnHeading"/>
              <w:ind w:right="28"/>
              <w:rPr>
                <w:sz w:val="18"/>
                <w:szCs w:val="18"/>
              </w:rPr>
            </w:pPr>
            <w:r w:rsidRPr="003758FD">
              <w:rPr>
                <w:sz w:val="18"/>
                <w:szCs w:val="18"/>
              </w:rPr>
              <w:t>2009-10</w:t>
            </w:r>
          </w:p>
        </w:tc>
        <w:tc>
          <w:tcPr>
            <w:tcW w:w="495" w:type="pct"/>
            <w:tcBorders>
              <w:top w:val="single" w:sz="6" w:space="0" w:color="auto"/>
              <w:bottom w:val="single" w:sz="6" w:space="0" w:color="auto"/>
            </w:tcBorders>
            <w:shd w:val="clear" w:color="auto" w:fill="auto"/>
          </w:tcPr>
          <w:p w:rsidR="00CB0F31" w:rsidRPr="003758FD" w:rsidRDefault="00CB0F31" w:rsidP="005151A7">
            <w:pPr>
              <w:pStyle w:val="TableColumnHeading"/>
              <w:ind w:right="28"/>
              <w:rPr>
                <w:sz w:val="18"/>
                <w:szCs w:val="18"/>
              </w:rPr>
            </w:pPr>
            <w:r w:rsidRPr="003758FD">
              <w:rPr>
                <w:sz w:val="18"/>
                <w:szCs w:val="18"/>
              </w:rPr>
              <w:t>2010-11</w:t>
            </w:r>
          </w:p>
        </w:tc>
        <w:tc>
          <w:tcPr>
            <w:tcW w:w="488" w:type="pct"/>
            <w:tcBorders>
              <w:top w:val="single" w:sz="6" w:space="0" w:color="auto"/>
              <w:bottom w:val="single" w:sz="6" w:space="0" w:color="auto"/>
            </w:tcBorders>
            <w:shd w:val="clear" w:color="auto" w:fill="auto"/>
          </w:tcPr>
          <w:p w:rsidR="00CB0F31" w:rsidRPr="003758FD" w:rsidRDefault="00CB0F31" w:rsidP="005151A7">
            <w:pPr>
              <w:pStyle w:val="TableColumnHeading"/>
              <w:ind w:right="28"/>
              <w:rPr>
                <w:sz w:val="18"/>
                <w:szCs w:val="18"/>
              </w:rPr>
            </w:pPr>
            <w:r w:rsidRPr="003758FD">
              <w:rPr>
                <w:sz w:val="18"/>
                <w:szCs w:val="18"/>
              </w:rPr>
              <w:t>2011-12</w:t>
            </w:r>
          </w:p>
        </w:tc>
      </w:tr>
      <w:tr w:rsidR="00CB0F31" w:rsidTr="005151A7">
        <w:trPr>
          <w:trHeight w:val="227"/>
        </w:trPr>
        <w:tc>
          <w:tcPr>
            <w:tcW w:w="1946" w:type="pct"/>
            <w:tcBorders>
              <w:top w:val="single" w:sz="6" w:space="0" w:color="auto"/>
            </w:tcBorders>
            <w:vAlign w:val="bottom"/>
          </w:tcPr>
          <w:p w:rsidR="00CB0F31" w:rsidRPr="00DC145C" w:rsidRDefault="00CB0F31" w:rsidP="005151A7">
            <w:pPr>
              <w:pStyle w:val="TableBodyText"/>
              <w:jc w:val="left"/>
              <w:rPr>
                <w:b/>
                <w:sz w:val="18"/>
                <w:szCs w:val="18"/>
              </w:rPr>
            </w:pPr>
            <w:r w:rsidRPr="00DC145C">
              <w:rPr>
                <w:b/>
                <w:sz w:val="18"/>
                <w:szCs w:val="18"/>
              </w:rPr>
              <w:t>Primary production</w:t>
            </w:r>
          </w:p>
        </w:tc>
        <w:tc>
          <w:tcPr>
            <w:tcW w:w="586" w:type="pct"/>
            <w:tcBorders>
              <w:top w:val="single" w:sz="6" w:space="0" w:color="auto"/>
            </w:tcBorders>
            <w:vAlign w:val="bottom"/>
          </w:tcPr>
          <w:p w:rsidR="00CB0F31" w:rsidRPr="003541EB" w:rsidRDefault="00CB0F31" w:rsidP="005151A7">
            <w:pPr>
              <w:pStyle w:val="TableBodyText"/>
              <w:rPr>
                <w:b/>
                <w:sz w:val="18"/>
                <w:szCs w:val="18"/>
              </w:rPr>
            </w:pPr>
            <w:r w:rsidRPr="003541EB">
              <w:rPr>
                <w:b/>
                <w:sz w:val="18"/>
                <w:szCs w:val="18"/>
              </w:rPr>
              <w:t>0.3</w:t>
            </w:r>
          </w:p>
        </w:tc>
        <w:tc>
          <w:tcPr>
            <w:tcW w:w="495" w:type="pct"/>
            <w:tcBorders>
              <w:top w:val="single" w:sz="6" w:space="0" w:color="auto"/>
            </w:tcBorders>
            <w:vAlign w:val="bottom"/>
          </w:tcPr>
          <w:p w:rsidR="00CB0F31" w:rsidRPr="003541EB" w:rsidRDefault="00CB0F31" w:rsidP="005151A7">
            <w:pPr>
              <w:pStyle w:val="TableBodyText"/>
              <w:rPr>
                <w:b/>
                <w:sz w:val="18"/>
                <w:szCs w:val="18"/>
              </w:rPr>
            </w:pPr>
            <w:r w:rsidRPr="004E2DBC">
              <w:rPr>
                <w:b/>
                <w:sz w:val="18"/>
                <w:szCs w:val="18"/>
              </w:rPr>
              <w:t>&lt;0.1</w:t>
            </w:r>
          </w:p>
        </w:tc>
        <w:tc>
          <w:tcPr>
            <w:tcW w:w="495" w:type="pct"/>
            <w:tcBorders>
              <w:top w:val="single" w:sz="6" w:space="0" w:color="auto"/>
            </w:tcBorders>
            <w:vAlign w:val="bottom"/>
          </w:tcPr>
          <w:p w:rsidR="00CB0F31" w:rsidRPr="003541EB" w:rsidRDefault="00CB0F31" w:rsidP="005151A7">
            <w:pPr>
              <w:pStyle w:val="TableBodyText"/>
              <w:rPr>
                <w:b/>
                <w:sz w:val="18"/>
                <w:szCs w:val="18"/>
              </w:rPr>
            </w:pPr>
            <w:r>
              <w:rPr>
                <w:sz w:val="18"/>
                <w:szCs w:val="18"/>
              </w:rPr>
              <w:noBreakHyphen/>
            </w:r>
          </w:p>
        </w:tc>
        <w:tc>
          <w:tcPr>
            <w:tcW w:w="495" w:type="pct"/>
            <w:tcBorders>
              <w:top w:val="single" w:sz="6" w:space="0" w:color="auto"/>
            </w:tcBorders>
            <w:vAlign w:val="bottom"/>
          </w:tcPr>
          <w:p w:rsidR="00CB0F31" w:rsidRPr="003541EB" w:rsidRDefault="00CB0F31" w:rsidP="005151A7">
            <w:pPr>
              <w:pStyle w:val="TableBodyText"/>
              <w:rPr>
                <w:b/>
                <w:sz w:val="18"/>
                <w:szCs w:val="18"/>
              </w:rPr>
            </w:pPr>
            <w:r>
              <w:rPr>
                <w:sz w:val="18"/>
                <w:szCs w:val="18"/>
              </w:rPr>
              <w:noBreakHyphen/>
            </w:r>
          </w:p>
        </w:tc>
        <w:tc>
          <w:tcPr>
            <w:tcW w:w="495" w:type="pct"/>
            <w:tcBorders>
              <w:top w:val="single" w:sz="6" w:space="0" w:color="auto"/>
            </w:tcBorders>
            <w:vAlign w:val="bottom"/>
          </w:tcPr>
          <w:p w:rsidR="00CB0F31" w:rsidRPr="003541EB" w:rsidRDefault="00CB0F31" w:rsidP="005151A7">
            <w:pPr>
              <w:pStyle w:val="TableBodyText"/>
              <w:rPr>
                <w:b/>
                <w:sz w:val="18"/>
                <w:szCs w:val="18"/>
              </w:rPr>
            </w:pPr>
            <w:r>
              <w:rPr>
                <w:sz w:val="18"/>
                <w:szCs w:val="18"/>
              </w:rPr>
              <w:noBreakHyphen/>
            </w:r>
          </w:p>
        </w:tc>
        <w:tc>
          <w:tcPr>
            <w:tcW w:w="488" w:type="pct"/>
            <w:tcBorders>
              <w:top w:val="single" w:sz="6" w:space="0" w:color="auto"/>
            </w:tcBorders>
            <w:vAlign w:val="bottom"/>
          </w:tcPr>
          <w:p w:rsidR="00CB0F31" w:rsidRPr="003541EB" w:rsidRDefault="00CB0F31" w:rsidP="005151A7">
            <w:pPr>
              <w:pStyle w:val="TableBodyText"/>
              <w:rPr>
                <w:b/>
                <w:sz w:val="18"/>
                <w:szCs w:val="18"/>
              </w:rPr>
            </w:pPr>
            <w:r>
              <w:rPr>
                <w:b/>
                <w:sz w:val="18"/>
                <w:szCs w:val="18"/>
              </w:rPr>
              <w:noBreakHyphen/>
            </w:r>
          </w:p>
        </w:tc>
      </w:tr>
      <w:tr w:rsidR="00CB0F31" w:rsidTr="005151A7">
        <w:trPr>
          <w:trHeight w:val="227"/>
        </w:trPr>
        <w:tc>
          <w:tcPr>
            <w:tcW w:w="1946" w:type="pct"/>
            <w:vAlign w:val="bottom"/>
          </w:tcPr>
          <w:p w:rsidR="00CB0F31" w:rsidRPr="007758AB" w:rsidRDefault="00CB0F31" w:rsidP="005151A7">
            <w:pPr>
              <w:pStyle w:val="TableBodyText"/>
              <w:jc w:val="left"/>
              <w:rPr>
                <w:sz w:val="18"/>
                <w:szCs w:val="18"/>
              </w:rPr>
            </w:pPr>
            <w:r>
              <w:rPr>
                <w:sz w:val="18"/>
                <w:szCs w:val="18"/>
              </w:rPr>
              <w:t>Horticulture and fruit growing</w:t>
            </w:r>
          </w:p>
        </w:tc>
        <w:tc>
          <w:tcPr>
            <w:tcW w:w="586" w:type="pct"/>
            <w:vAlign w:val="bottom"/>
          </w:tcPr>
          <w:p w:rsidR="00CB0F31" w:rsidRPr="003541EB" w:rsidRDefault="00CB0F31" w:rsidP="005151A7">
            <w:pPr>
              <w:pStyle w:val="TableBodyText"/>
              <w:rPr>
                <w:sz w:val="18"/>
                <w:szCs w:val="18"/>
              </w:rPr>
            </w:pPr>
            <w:r>
              <w:rPr>
                <w:sz w:val="18"/>
                <w:szCs w:val="18"/>
              </w:rPr>
              <w:t>&lt;</w:t>
            </w:r>
            <w:r w:rsidRPr="00E17EEF">
              <w:rPr>
                <w:sz w:val="18"/>
                <w:szCs w:val="18"/>
              </w:rPr>
              <w:t>0.</w:t>
            </w:r>
            <w:r>
              <w:rPr>
                <w:sz w:val="18"/>
                <w:szCs w:val="18"/>
              </w:rPr>
              <w:t>1</w:t>
            </w:r>
          </w:p>
        </w:tc>
        <w:tc>
          <w:tcPr>
            <w:tcW w:w="495" w:type="pct"/>
            <w:vAlign w:val="bottom"/>
          </w:tcPr>
          <w:p w:rsidR="00CB0F31" w:rsidRPr="003541EB" w:rsidRDefault="00CB0F31" w:rsidP="005151A7">
            <w:pPr>
              <w:pStyle w:val="TableBodyText"/>
              <w:rPr>
                <w:sz w:val="18"/>
                <w:szCs w:val="18"/>
              </w:rPr>
            </w:pPr>
            <w:r>
              <w:rPr>
                <w:sz w:val="18"/>
                <w:szCs w:val="18"/>
              </w:rPr>
              <w:noBreakHyphen/>
            </w:r>
          </w:p>
        </w:tc>
        <w:tc>
          <w:tcPr>
            <w:tcW w:w="495" w:type="pct"/>
            <w:vAlign w:val="bottom"/>
          </w:tcPr>
          <w:p w:rsidR="00CB0F31" w:rsidRPr="003541EB" w:rsidRDefault="00CB0F31" w:rsidP="005151A7">
            <w:pPr>
              <w:pStyle w:val="TableBodyText"/>
              <w:rPr>
                <w:sz w:val="18"/>
                <w:szCs w:val="18"/>
              </w:rPr>
            </w:pPr>
            <w:r>
              <w:rPr>
                <w:sz w:val="18"/>
                <w:szCs w:val="18"/>
              </w:rPr>
              <w:noBreakHyphen/>
            </w:r>
          </w:p>
        </w:tc>
        <w:tc>
          <w:tcPr>
            <w:tcW w:w="495" w:type="pct"/>
            <w:vAlign w:val="bottom"/>
          </w:tcPr>
          <w:p w:rsidR="00CB0F31" w:rsidRPr="003541EB" w:rsidRDefault="00CB0F31" w:rsidP="005151A7">
            <w:pPr>
              <w:pStyle w:val="TableBodyText"/>
              <w:rPr>
                <w:sz w:val="18"/>
                <w:szCs w:val="18"/>
              </w:rPr>
            </w:pPr>
            <w:r>
              <w:rPr>
                <w:sz w:val="18"/>
                <w:szCs w:val="18"/>
              </w:rPr>
              <w:noBreakHyphen/>
            </w:r>
          </w:p>
        </w:tc>
        <w:tc>
          <w:tcPr>
            <w:tcW w:w="495" w:type="pct"/>
            <w:vAlign w:val="bottom"/>
          </w:tcPr>
          <w:p w:rsidR="00CB0F31" w:rsidRPr="003541EB" w:rsidRDefault="00CB0F31" w:rsidP="005151A7">
            <w:pPr>
              <w:pStyle w:val="TableBodyText"/>
              <w:rPr>
                <w:sz w:val="18"/>
                <w:szCs w:val="18"/>
              </w:rPr>
            </w:pPr>
            <w:r>
              <w:rPr>
                <w:sz w:val="18"/>
                <w:szCs w:val="18"/>
              </w:rPr>
              <w:noBreakHyphen/>
            </w:r>
          </w:p>
        </w:tc>
        <w:tc>
          <w:tcPr>
            <w:tcW w:w="488" w:type="pct"/>
            <w:vAlign w:val="bottom"/>
          </w:tcPr>
          <w:p w:rsidR="00CB0F31" w:rsidRPr="003541EB" w:rsidRDefault="00CB0F31" w:rsidP="005151A7">
            <w:pPr>
              <w:pStyle w:val="TableBodyText"/>
              <w:rPr>
                <w:sz w:val="18"/>
                <w:szCs w:val="18"/>
              </w:rPr>
            </w:pPr>
            <w:r>
              <w:rPr>
                <w:sz w:val="18"/>
                <w:szCs w:val="18"/>
              </w:rPr>
              <w:noBreakHyphen/>
            </w:r>
          </w:p>
        </w:tc>
      </w:tr>
      <w:tr w:rsidR="00CB0F31" w:rsidTr="005151A7">
        <w:trPr>
          <w:trHeight w:val="227"/>
        </w:trPr>
        <w:tc>
          <w:tcPr>
            <w:tcW w:w="1946" w:type="pct"/>
            <w:vAlign w:val="bottom"/>
          </w:tcPr>
          <w:p w:rsidR="00CB0F31" w:rsidRPr="007758AB" w:rsidRDefault="00CB0F31" w:rsidP="005151A7">
            <w:pPr>
              <w:pStyle w:val="TableBodyText"/>
              <w:jc w:val="left"/>
              <w:rPr>
                <w:sz w:val="18"/>
                <w:szCs w:val="18"/>
              </w:rPr>
            </w:pPr>
            <w:r w:rsidRPr="007758AB">
              <w:rPr>
                <w:sz w:val="18"/>
                <w:szCs w:val="18"/>
              </w:rPr>
              <w:t>Aquaculture and fishing</w:t>
            </w:r>
          </w:p>
        </w:tc>
        <w:tc>
          <w:tcPr>
            <w:tcW w:w="586" w:type="pct"/>
            <w:vAlign w:val="bottom"/>
          </w:tcPr>
          <w:p w:rsidR="00CB0F31" w:rsidRPr="003541EB" w:rsidRDefault="00CB0F31" w:rsidP="005151A7">
            <w:pPr>
              <w:pStyle w:val="TableBodyText"/>
              <w:rPr>
                <w:sz w:val="18"/>
                <w:szCs w:val="18"/>
              </w:rPr>
            </w:pPr>
            <w:r w:rsidRPr="003541EB">
              <w:rPr>
                <w:sz w:val="18"/>
                <w:szCs w:val="18"/>
              </w:rPr>
              <w:t>0.3</w:t>
            </w:r>
          </w:p>
        </w:tc>
        <w:tc>
          <w:tcPr>
            <w:tcW w:w="495" w:type="pct"/>
            <w:vAlign w:val="bottom"/>
          </w:tcPr>
          <w:p w:rsidR="00CB0F31" w:rsidRPr="003541EB" w:rsidRDefault="00CB0F31" w:rsidP="005151A7">
            <w:pPr>
              <w:pStyle w:val="TableBodyText"/>
              <w:rPr>
                <w:sz w:val="18"/>
                <w:szCs w:val="18"/>
              </w:rPr>
            </w:pPr>
            <w:r>
              <w:rPr>
                <w:sz w:val="18"/>
                <w:szCs w:val="18"/>
              </w:rPr>
              <w:t>&lt;</w:t>
            </w:r>
            <w:r w:rsidRPr="00E17EEF">
              <w:rPr>
                <w:sz w:val="18"/>
                <w:szCs w:val="18"/>
              </w:rPr>
              <w:t>0.</w:t>
            </w:r>
            <w:r>
              <w:rPr>
                <w:sz w:val="18"/>
                <w:szCs w:val="18"/>
              </w:rPr>
              <w:t>1</w:t>
            </w:r>
          </w:p>
        </w:tc>
        <w:tc>
          <w:tcPr>
            <w:tcW w:w="495" w:type="pct"/>
            <w:vAlign w:val="bottom"/>
          </w:tcPr>
          <w:p w:rsidR="00CB0F31" w:rsidRPr="003541EB" w:rsidRDefault="00CB0F31" w:rsidP="005151A7">
            <w:pPr>
              <w:pStyle w:val="TableBodyText"/>
              <w:rPr>
                <w:sz w:val="18"/>
                <w:szCs w:val="18"/>
              </w:rPr>
            </w:pPr>
            <w:r>
              <w:rPr>
                <w:sz w:val="18"/>
                <w:szCs w:val="18"/>
              </w:rPr>
              <w:noBreakHyphen/>
            </w:r>
          </w:p>
        </w:tc>
        <w:tc>
          <w:tcPr>
            <w:tcW w:w="495" w:type="pct"/>
            <w:shd w:val="clear" w:color="auto" w:fill="auto"/>
            <w:vAlign w:val="bottom"/>
          </w:tcPr>
          <w:p w:rsidR="00CB0F31" w:rsidRPr="003541EB" w:rsidRDefault="00CB0F31" w:rsidP="005151A7">
            <w:pPr>
              <w:pStyle w:val="TableBodyText"/>
              <w:rPr>
                <w:sz w:val="18"/>
                <w:szCs w:val="18"/>
              </w:rPr>
            </w:pPr>
            <w:r>
              <w:rPr>
                <w:sz w:val="18"/>
                <w:szCs w:val="18"/>
              </w:rPr>
              <w:noBreakHyphen/>
            </w:r>
          </w:p>
        </w:tc>
        <w:tc>
          <w:tcPr>
            <w:tcW w:w="495" w:type="pct"/>
            <w:shd w:val="clear" w:color="auto" w:fill="auto"/>
            <w:vAlign w:val="bottom"/>
          </w:tcPr>
          <w:p w:rsidR="00CB0F31" w:rsidRPr="003541EB" w:rsidRDefault="00CB0F31" w:rsidP="005151A7">
            <w:pPr>
              <w:pStyle w:val="TableBodyText"/>
              <w:rPr>
                <w:sz w:val="18"/>
                <w:szCs w:val="18"/>
              </w:rPr>
            </w:pPr>
            <w:r>
              <w:rPr>
                <w:sz w:val="18"/>
                <w:szCs w:val="18"/>
              </w:rPr>
              <w:noBreakHyphen/>
            </w:r>
          </w:p>
        </w:tc>
        <w:tc>
          <w:tcPr>
            <w:tcW w:w="488" w:type="pct"/>
            <w:shd w:val="clear" w:color="auto" w:fill="auto"/>
            <w:vAlign w:val="bottom"/>
          </w:tcPr>
          <w:p w:rsidR="00CB0F31" w:rsidRPr="003541EB" w:rsidRDefault="00CB0F31" w:rsidP="005151A7">
            <w:pPr>
              <w:pStyle w:val="TableBodyText"/>
              <w:rPr>
                <w:sz w:val="18"/>
                <w:szCs w:val="18"/>
              </w:rPr>
            </w:pPr>
            <w:r>
              <w:rPr>
                <w:sz w:val="18"/>
                <w:szCs w:val="18"/>
              </w:rPr>
              <w:noBreakHyphen/>
            </w:r>
          </w:p>
        </w:tc>
      </w:tr>
      <w:tr w:rsidR="00CB0F31" w:rsidTr="005151A7">
        <w:trPr>
          <w:trHeight w:val="227"/>
        </w:trPr>
        <w:tc>
          <w:tcPr>
            <w:tcW w:w="1946" w:type="pct"/>
            <w:vAlign w:val="bottom"/>
          </w:tcPr>
          <w:p w:rsidR="00CB0F31" w:rsidRPr="007758AB" w:rsidRDefault="00CB0F31" w:rsidP="005151A7">
            <w:pPr>
              <w:pStyle w:val="TableBodyText"/>
              <w:jc w:val="left"/>
              <w:rPr>
                <w:sz w:val="18"/>
                <w:szCs w:val="18"/>
              </w:rPr>
            </w:pPr>
            <w:r>
              <w:rPr>
                <w:sz w:val="18"/>
                <w:szCs w:val="18"/>
              </w:rPr>
              <w:t>Primary production support services</w:t>
            </w:r>
          </w:p>
        </w:tc>
        <w:tc>
          <w:tcPr>
            <w:tcW w:w="586" w:type="pct"/>
            <w:vAlign w:val="bottom"/>
          </w:tcPr>
          <w:p w:rsidR="00CB0F31" w:rsidRPr="003541EB" w:rsidRDefault="00CB0F31" w:rsidP="005151A7">
            <w:pPr>
              <w:pStyle w:val="TableBodyText"/>
              <w:rPr>
                <w:sz w:val="18"/>
                <w:szCs w:val="18"/>
              </w:rPr>
            </w:pPr>
            <w:r>
              <w:rPr>
                <w:sz w:val="18"/>
                <w:szCs w:val="18"/>
              </w:rPr>
              <w:t>&lt;</w:t>
            </w:r>
            <w:r w:rsidRPr="00E17EEF">
              <w:rPr>
                <w:sz w:val="18"/>
                <w:szCs w:val="18"/>
              </w:rPr>
              <w:t>0.</w:t>
            </w:r>
            <w:r>
              <w:rPr>
                <w:sz w:val="18"/>
                <w:szCs w:val="18"/>
              </w:rPr>
              <w:t>1</w:t>
            </w:r>
          </w:p>
        </w:tc>
        <w:tc>
          <w:tcPr>
            <w:tcW w:w="495" w:type="pct"/>
            <w:vAlign w:val="bottom"/>
          </w:tcPr>
          <w:p w:rsidR="00CB0F31" w:rsidRPr="003541EB" w:rsidRDefault="00CB0F31" w:rsidP="005151A7">
            <w:pPr>
              <w:pStyle w:val="TableBodyText"/>
              <w:rPr>
                <w:sz w:val="18"/>
                <w:szCs w:val="18"/>
              </w:rPr>
            </w:pPr>
            <w:r>
              <w:rPr>
                <w:sz w:val="18"/>
                <w:szCs w:val="18"/>
              </w:rPr>
              <w:noBreakHyphen/>
            </w:r>
          </w:p>
        </w:tc>
        <w:tc>
          <w:tcPr>
            <w:tcW w:w="495" w:type="pct"/>
            <w:vAlign w:val="bottom"/>
          </w:tcPr>
          <w:p w:rsidR="00CB0F31" w:rsidRPr="003541EB" w:rsidRDefault="00CB0F31" w:rsidP="005151A7">
            <w:pPr>
              <w:pStyle w:val="TableBodyText"/>
              <w:rPr>
                <w:sz w:val="18"/>
                <w:szCs w:val="18"/>
              </w:rPr>
            </w:pPr>
            <w:r>
              <w:rPr>
                <w:sz w:val="18"/>
                <w:szCs w:val="18"/>
              </w:rPr>
              <w:noBreakHyphen/>
            </w:r>
          </w:p>
        </w:tc>
        <w:tc>
          <w:tcPr>
            <w:tcW w:w="495" w:type="pct"/>
            <w:shd w:val="clear" w:color="auto" w:fill="auto"/>
            <w:vAlign w:val="bottom"/>
          </w:tcPr>
          <w:p w:rsidR="00CB0F31" w:rsidRPr="003541EB" w:rsidRDefault="00CB0F31" w:rsidP="005151A7">
            <w:pPr>
              <w:pStyle w:val="TableBodyText"/>
              <w:rPr>
                <w:sz w:val="18"/>
                <w:szCs w:val="18"/>
              </w:rPr>
            </w:pPr>
            <w:r>
              <w:rPr>
                <w:sz w:val="18"/>
                <w:szCs w:val="18"/>
              </w:rPr>
              <w:noBreakHyphen/>
            </w:r>
          </w:p>
        </w:tc>
        <w:tc>
          <w:tcPr>
            <w:tcW w:w="495" w:type="pct"/>
            <w:shd w:val="clear" w:color="auto" w:fill="auto"/>
            <w:vAlign w:val="bottom"/>
          </w:tcPr>
          <w:p w:rsidR="00CB0F31" w:rsidRPr="003541EB" w:rsidRDefault="00CB0F31" w:rsidP="005151A7">
            <w:pPr>
              <w:pStyle w:val="TableBodyText"/>
              <w:rPr>
                <w:sz w:val="18"/>
                <w:szCs w:val="18"/>
              </w:rPr>
            </w:pPr>
            <w:r>
              <w:rPr>
                <w:sz w:val="18"/>
                <w:szCs w:val="18"/>
              </w:rPr>
              <w:noBreakHyphen/>
            </w:r>
          </w:p>
        </w:tc>
        <w:tc>
          <w:tcPr>
            <w:tcW w:w="488" w:type="pct"/>
            <w:shd w:val="clear" w:color="auto" w:fill="auto"/>
            <w:vAlign w:val="bottom"/>
          </w:tcPr>
          <w:p w:rsidR="00CB0F31" w:rsidRPr="003541EB" w:rsidRDefault="00CB0F31" w:rsidP="005151A7">
            <w:pPr>
              <w:pStyle w:val="TableBodyText"/>
              <w:rPr>
                <w:sz w:val="18"/>
                <w:szCs w:val="18"/>
              </w:rPr>
            </w:pPr>
            <w:r>
              <w:rPr>
                <w:sz w:val="18"/>
                <w:szCs w:val="18"/>
              </w:rPr>
              <w:noBreakHyphen/>
            </w:r>
          </w:p>
        </w:tc>
      </w:tr>
      <w:tr w:rsidR="00CB0F31" w:rsidTr="005151A7">
        <w:trPr>
          <w:trHeight w:val="227"/>
        </w:trPr>
        <w:tc>
          <w:tcPr>
            <w:tcW w:w="1946" w:type="pct"/>
            <w:vAlign w:val="bottom"/>
          </w:tcPr>
          <w:p w:rsidR="00CB0F31" w:rsidRPr="00DC145C" w:rsidRDefault="00CB0F31" w:rsidP="005151A7">
            <w:pPr>
              <w:pStyle w:val="TableBodyText"/>
              <w:jc w:val="left"/>
              <w:rPr>
                <w:b/>
                <w:sz w:val="18"/>
                <w:szCs w:val="18"/>
              </w:rPr>
            </w:pPr>
            <w:r w:rsidRPr="00DC145C">
              <w:rPr>
                <w:b/>
                <w:sz w:val="18"/>
                <w:szCs w:val="18"/>
              </w:rPr>
              <w:t>Mining</w:t>
            </w:r>
          </w:p>
        </w:tc>
        <w:tc>
          <w:tcPr>
            <w:tcW w:w="586" w:type="pct"/>
            <w:vAlign w:val="bottom"/>
          </w:tcPr>
          <w:p w:rsidR="00CB0F31" w:rsidRPr="003541EB" w:rsidRDefault="00CB0F31" w:rsidP="005151A7">
            <w:pPr>
              <w:pStyle w:val="TableBodyText"/>
              <w:rPr>
                <w:b/>
                <w:sz w:val="18"/>
                <w:szCs w:val="18"/>
              </w:rPr>
            </w:pPr>
            <w:r w:rsidRPr="003541EB">
              <w:rPr>
                <w:b/>
                <w:sz w:val="18"/>
                <w:szCs w:val="18"/>
              </w:rPr>
              <w:t>1.2</w:t>
            </w:r>
          </w:p>
        </w:tc>
        <w:tc>
          <w:tcPr>
            <w:tcW w:w="495" w:type="pct"/>
            <w:vAlign w:val="bottom"/>
          </w:tcPr>
          <w:p w:rsidR="00CB0F31" w:rsidRPr="003541EB" w:rsidRDefault="00CB0F31" w:rsidP="005151A7">
            <w:pPr>
              <w:pStyle w:val="TableBodyText"/>
              <w:rPr>
                <w:b/>
                <w:sz w:val="18"/>
                <w:szCs w:val="18"/>
              </w:rPr>
            </w:pPr>
            <w:r w:rsidRPr="003541EB">
              <w:rPr>
                <w:b/>
                <w:sz w:val="18"/>
                <w:szCs w:val="18"/>
              </w:rPr>
              <w:t>0.1</w:t>
            </w:r>
          </w:p>
        </w:tc>
        <w:tc>
          <w:tcPr>
            <w:tcW w:w="495" w:type="pct"/>
            <w:vAlign w:val="bottom"/>
          </w:tcPr>
          <w:p w:rsidR="00CB0F31" w:rsidRPr="003541EB" w:rsidRDefault="00CB0F31" w:rsidP="005151A7">
            <w:pPr>
              <w:pStyle w:val="TableBodyText"/>
              <w:rPr>
                <w:b/>
                <w:sz w:val="18"/>
                <w:szCs w:val="18"/>
              </w:rPr>
            </w:pPr>
            <w:r w:rsidRPr="004E2DBC">
              <w:rPr>
                <w:b/>
                <w:sz w:val="18"/>
                <w:szCs w:val="18"/>
              </w:rPr>
              <w:t>&lt;0.1</w:t>
            </w:r>
          </w:p>
        </w:tc>
        <w:tc>
          <w:tcPr>
            <w:tcW w:w="495" w:type="pct"/>
            <w:shd w:val="clear" w:color="auto" w:fill="auto"/>
            <w:vAlign w:val="bottom"/>
          </w:tcPr>
          <w:p w:rsidR="00CB0F31" w:rsidRPr="003541EB" w:rsidRDefault="00CB0F31" w:rsidP="005151A7">
            <w:pPr>
              <w:pStyle w:val="TableBodyText"/>
              <w:rPr>
                <w:b/>
                <w:sz w:val="18"/>
                <w:szCs w:val="18"/>
              </w:rPr>
            </w:pPr>
            <w:r>
              <w:rPr>
                <w:sz w:val="18"/>
                <w:szCs w:val="18"/>
              </w:rPr>
              <w:noBreakHyphen/>
            </w:r>
          </w:p>
        </w:tc>
        <w:tc>
          <w:tcPr>
            <w:tcW w:w="495" w:type="pct"/>
            <w:shd w:val="clear" w:color="auto" w:fill="auto"/>
            <w:vAlign w:val="bottom"/>
          </w:tcPr>
          <w:p w:rsidR="00CB0F31" w:rsidRPr="003541EB" w:rsidRDefault="00CB0F31" w:rsidP="005151A7">
            <w:pPr>
              <w:pStyle w:val="TableBodyText"/>
              <w:rPr>
                <w:b/>
                <w:sz w:val="18"/>
                <w:szCs w:val="18"/>
              </w:rPr>
            </w:pPr>
            <w:r>
              <w:rPr>
                <w:sz w:val="18"/>
                <w:szCs w:val="18"/>
              </w:rPr>
              <w:noBreakHyphen/>
            </w:r>
          </w:p>
        </w:tc>
        <w:tc>
          <w:tcPr>
            <w:tcW w:w="488" w:type="pct"/>
            <w:shd w:val="clear" w:color="auto" w:fill="auto"/>
            <w:vAlign w:val="bottom"/>
          </w:tcPr>
          <w:p w:rsidR="00CB0F31" w:rsidRPr="003541EB" w:rsidRDefault="00CB0F31" w:rsidP="005151A7">
            <w:pPr>
              <w:pStyle w:val="TableBodyText"/>
              <w:rPr>
                <w:b/>
                <w:sz w:val="18"/>
                <w:szCs w:val="18"/>
              </w:rPr>
            </w:pPr>
            <w:r>
              <w:rPr>
                <w:b/>
                <w:sz w:val="18"/>
                <w:szCs w:val="18"/>
              </w:rPr>
              <w:noBreakHyphen/>
            </w:r>
          </w:p>
        </w:tc>
      </w:tr>
      <w:tr w:rsidR="00CB0F31" w:rsidTr="005151A7">
        <w:trPr>
          <w:trHeight w:val="227"/>
        </w:trPr>
        <w:tc>
          <w:tcPr>
            <w:tcW w:w="1946" w:type="pct"/>
            <w:vAlign w:val="bottom"/>
          </w:tcPr>
          <w:p w:rsidR="00CB0F31" w:rsidRPr="00DC145C" w:rsidRDefault="00CB0F31" w:rsidP="005151A7">
            <w:pPr>
              <w:pStyle w:val="TableBodyText"/>
              <w:jc w:val="left"/>
              <w:rPr>
                <w:b/>
                <w:sz w:val="18"/>
                <w:szCs w:val="18"/>
              </w:rPr>
            </w:pPr>
            <w:r w:rsidRPr="00DC145C">
              <w:rPr>
                <w:b/>
                <w:sz w:val="18"/>
                <w:szCs w:val="18"/>
              </w:rPr>
              <w:t>Manufacturing</w:t>
            </w:r>
          </w:p>
        </w:tc>
        <w:tc>
          <w:tcPr>
            <w:tcW w:w="586" w:type="pct"/>
            <w:vAlign w:val="bottom"/>
          </w:tcPr>
          <w:p w:rsidR="00CB0F31" w:rsidRPr="003541EB" w:rsidRDefault="00CB0F31" w:rsidP="005151A7">
            <w:pPr>
              <w:pStyle w:val="TableBodyText"/>
              <w:rPr>
                <w:b/>
                <w:sz w:val="18"/>
                <w:szCs w:val="18"/>
              </w:rPr>
            </w:pPr>
            <w:r w:rsidRPr="003541EB">
              <w:rPr>
                <w:b/>
                <w:sz w:val="18"/>
                <w:szCs w:val="18"/>
              </w:rPr>
              <w:t>22.9</w:t>
            </w:r>
          </w:p>
        </w:tc>
        <w:tc>
          <w:tcPr>
            <w:tcW w:w="495" w:type="pct"/>
            <w:vAlign w:val="bottom"/>
          </w:tcPr>
          <w:p w:rsidR="00CB0F31" w:rsidRPr="003541EB" w:rsidRDefault="00CB0F31" w:rsidP="005151A7">
            <w:pPr>
              <w:pStyle w:val="TableBodyText"/>
              <w:rPr>
                <w:b/>
                <w:sz w:val="18"/>
                <w:szCs w:val="18"/>
              </w:rPr>
            </w:pPr>
            <w:r w:rsidRPr="003541EB">
              <w:rPr>
                <w:b/>
                <w:sz w:val="18"/>
                <w:szCs w:val="18"/>
              </w:rPr>
              <w:t>10.1</w:t>
            </w:r>
          </w:p>
        </w:tc>
        <w:tc>
          <w:tcPr>
            <w:tcW w:w="495" w:type="pct"/>
            <w:vAlign w:val="bottom"/>
          </w:tcPr>
          <w:p w:rsidR="00CB0F31" w:rsidRPr="003541EB" w:rsidRDefault="00CB0F31" w:rsidP="005151A7">
            <w:pPr>
              <w:pStyle w:val="TableBodyText"/>
              <w:rPr>
                <w:b/>
                <w:sz w:val="18"/>
                <w:szCs w:val="18"/>
              </w:rPr>
            </w:pPr>
            <w:r w:rsidRPr="003541EB">
              <w:rPr>
                <w:b/>
                <w:sz w:val="18"/>
                <w:szCs w:val="18"/>
              </w:rPr>
              <w:t>0.6</w:t>
            </w:r>
          </w:p>
        </w:tc>
        <w:tc>
          <w:tcPr>
            <w:tcW w:w="495" w:type="pct"/>
            <w:shd w:val="clear" w:color="auto" w:fill="auto"/>
            <w:vAlign w:val="bottom"/>
          </w:tcPr>
          <w:p w:rsidR="00CB0F31" w:rsidRPr="003541EB" w:rsidRDefault="00CB0F31" w:rsidP="005151A7">
            <w:pPr>
              <w:pStyle w:val="TableBodyText"/>
              <w:rPr>
                <w:b/>
                <w:sz w:val="18"/>
                <w:szCs w:val="18"/>
              </w:rPr>
            </w:pPr>
            <w:r w:rsidRPr="003541EB">
              <w:rPr>
                <w:b/>
                <w:sz w:val="18"/>
                <w:szCs w:val="18"/>
              </w:rPr>
              <w:t>0.1</w:t>
            </w:r>
          </w:p>
        </w:tc>
        <w:tc>
          <w:tcPr>
            <w:tcW w:w="495" w:type="pct"/>
            <w:shd w:val="clear" w:color="auto" w:fill="auto"/>
            <w:vAlign w:val="bottom"/>
          </w:tcPr>
          <w:p w:rsidR="00CB0F31" w:rsidRPr="003541EB" w:rsidRDefault="00CB0F31" w:rsidP="005151A7">
            <w:pPr>
              <w:pStyle w:val="TableBodyText"/>
              <w:rPr>
                <w:b/>
                <w:sz w:val="18"/>
                <w:szCs w:val="18"/>
              </w:rPr>
            </w:pPr>
            <w:r>
              <w:rPr>
                <w:sz w:val="18"/>
                <w:szCs w:val="18"/>
              </w:rPr>
              <w:noBreakHyphen/>
            </w:r>
          </w:p>
        </w:tc>
        <w:tc>
          <w:tcPr>
            <w:tcW w:w="488" w:type="pct"/>
            <w:shd w:val="clear" w:color="auto" w:fill="auto"/>
            <w:vAlign w:val="bottom"/>
          </w:tcPr>
          <w:p w:rsidR="00CB0F31" w:rsidRPr="003541EB" w:rsidRDefault="00CB0F31" w:rsidP="005151A7">
            <w:pPr>
              <w:pStyle w:val="TableBodyText"/>
              <w:rPr>
                <w:b/>
                <w:sz w:val="18"/>
                <w:szCs w:val="18"/>
              </w:rPr>
            </w:pPr>
            <w:r>
              <w:rPr>
                <w:b/>
                <w:sz w:val="18"/>
                <w:szCs w:val="18"/>
              </w:rPr>
              <w:noBreakHyphen/>
            </w:r>
          </w:p>
        </w:tc>
      </w:tr>
      <w:tr w:rsidR="00CB0F31" w:rsidTr="005151A7">
        <w:trPr>
          <w:trHeight w:val="227"/>
        </w:trPr>
        <w:tc>
          <w:tcPr>
            <w:tcW w:w="1946" w:type="pct"/>
            <w:vAlign w:val="bottom"/>
          </w:tcPr>
          <w:p w:rsidR="00CB0F31" w:rsidRPr="007758AB" w:rsidRDefault="00CB0F31" w:rsidP="005151A7">
            <w:pPr>
              <w:pStyle w:val="TableBodyText"/>
              <w:jc w:val="left"/>
              <w:rPr>
                <w:sz w:val="18"/>
                <w:szCs w:val="18"/>
              </w:rPr>
            </w:pPr>
            <w:r w:rsidRPr="007758AB">
              <w:rPr>
                <w:sz w:val="18"/>
                <w:szCs w:val="18"/>
              </w:rPr>
              <w:t>Food, beverages and tobacco</w:t>
            </w:r>
          </w:p>
        </w:tc>
        <w:tc>
          <w:tcPr>
            <w:tcW w:w="586" w:type="pct"/>
            <w:vAlign w:val="bottom"/>
          </w:tcPr>
          <w:p w:rsidR="00CB0F31" w:rsidRPr="003541EB" w:rsidRDefault="00CB0F31" w:rsidP="005151A7">
            <w:pPr>
              <w:pStyle w:val="TableBodyText"/>
              <w:rPr>
                <w:sz w:val="18"/>
                <w:szCs w:val="18"/>
              </w:rPr>
            </w:pPr>
            <w:r w:rsidRPr="003541EB">
              <w:rPr>
                <w:sz w:val="18"/>
                <w:szCs w:val="18"/>
              </w:rPr>
              <w:t>2.3</w:t>
            </w:r>
          </w:p>
        </w:tc>
        <w:tc>
          <w:tcPr>
            <w:tcW w:w="495" w:type="pct"/>
            <w:vAlign w:val="bottom"/>
          </w:tcPr>
          <w:p w:rsidR="00CB0F31" w:rsidRPr="003541EB" w:rsidRDefault="00CB0F31" w:rsidP="005151A7">
            <w:pPr>
              <w:pStyle w:val="TableBodyText"/>
              <w:rPr>
                <w:sz w:val="18"/>
                <w:szCs w:val="18"/>
              </w:rPr>
            </w:pPr>
            <w:r w:rsidRPr="003541EB">
              <w:rPr>
                <w:sz w:val="18"/>
                <w:szCs w:val="18"/>
              </w:rPr>
              <w:t>0.2</w:t>
            </w:r>
          </w:p>
        </w:tc>
        <w:tc>
          <w:tcPr>
            <w:tcW w:w="495" w:type="pct"/>
            <w:vAlign w:val="bottom"/>
          </w:tcPr>
          <w:p w:rsidR="00CB0F31" w:rsidRPr="003541EB" w:rsidRDefault="00CB0F31" w:rsidP="005151A7">
            <w:pPr>
              <w:pStyle w:val="TableBodyText"/>
              <w:rPr>
                <w:sz w:val="18"/>
                <w:szCs w:val="18"/>
              </w:rPr>
            </w:pPr>
            <w:r w:rsidRPr="003541EB">
              <w:rPr>
                <w:sz w:val="18"/>
                <w:szCs w:val="18"/>
              </w:rPr>
              <w:t>0.3</w:t>
            </w:r>
          </w:p>
        </w:tc>
        <w:tc>
          <w:tcPr>
            <w:tcW w:w="495" w:type="pct"/>
            <w:shd w:val="clear" w:color="auto" w:fill="auto"/>
            <w:vAlign w:val="bottom"/>
          </w:tcPr>
          <w:p w:rsidR="00CB0F31" w:rsidRPr="003541EB" w:rsidRDefault="00CB0F31" w:rsidP="005151A7">
            <w:pPr>
              <w:pStyle w:val="TableBodyText"/>
              <w:rPr>
                <w:sz w:val="18"/>
                <w:szCs w:val="18"/>
              </w:rPr>
            </w:pPr>
            <w:r>
              <w:rPr>
                <w:sz w:val="18"/>
                <w:szCs w:val="18"/>
              </w:rPr>
              <w:noBreakHyphen/>
            </w:r>
          </w:p>
        </w:tc>
        <w:tc>
          <w:tcPr>
            <w:tcW w:w="495" w:type="pct"/>
            <w:shd w:val="clear" w:color="auto" w:fill="auto"/>
            <w:vAlign w:val="bottom"/>
          </w:tcPr>
          <w:p w:rsidR="00CB0F31" w:rsidRPr="003541EB" w:rsidRDefault="00CB0F31" w:rsidP="005151A7">
            <w:pPr>
              <w:pStyle w:val="TableBodyText"/>
              <w:rPr>
                <w:sz w:val="18"/>
                <w:szCs w:val="18"/>
              </w:rPr>
            </w:pPr>
            <w:r>
              <w:rPr>
                <w:sz w:val="18"/>
                <w:szCs w:val="18"/>
              </w:rPr>
              <w:noBreakHyphen/>
            </w:r>
          </w:p>
        </w:tc>
        <w:tc>
          <w:tcPr>
            <w:tcW w:w="488" w:type="pct"/>
            <w:shd w:val="clear" w:color="auto" w:fill="auto"/>
            <w:vAlign w:val="bottom"/>
          </w:tcPr>
          <w:p w:rsidR="00CB0F31" w:rsidRPr="003541EB" w:rsidRDefault="00CB0F31" w:rsidP="005151A7">
            <w:pPr>
              <w:pStyle w:val="TableBodyText"/>
              <w:rPr>
                <w:sz w:val="18"/>
                <w:szCs w:val="18"/>
              </w:rPr>
            </w:pPr>
            <w:r>
              <w:rPr>
                <w:sz w:val="18"/>
                <w:szCs w:val="18"/>
              </w:rPr>
              <w:noBreakHyphen/>
            </w:r>
          </w:p>
        </w:tc>
      </w:tr>
      <w:tr w:rsidR="00CB0F31" w:rsidTr="005151A7">
        <w:trPr>
          <w:trHeight w:val="227"/>
        </w:trPr>
        <w:tc>
          <w:tcPr>
            <w:tcW w:w="1946" w:type="pct"/>
            <w:vAlign w:val="bottom"/>
          </w:tcPr>
          <w:p w:rsidR="00CB0F31" w:rsidRPr="007758AB" w:rsidRDefault="00CB0F31" w:rsidP="005151A7">
            <w:pPr>
              <w:pStyle w:val="TableBodyText"/>
              <w:jc w:val="left"/>
              <w:rPr>
                <w:sz w:val="18"/>
                <w:szCs w:val="18"/>
              </w:rPr>
            </w:pPr>
            <w:r w:rsidRPr="007758AB">
              <w:rPr>
                <w:sz w:val="18"/>
                <w:szCs w:val="18"/>
              </w:rPr>
              <w:t>Wood and paper products</w:t>
            </w:r>
          </w:p>
        </w:tc>
        <w:tc>
          <w:tcPr>
            <w:tcW w:w="586" w:type="pct"/>
            <w:vAlign w:val="bottom"/>
          </w:tcPr>
          <w:p w:rsidR="00CB0F31" w:rsidRPr="003541EB" w:rsidRDefault="00CB0F31" w:rsidP="005151A7">
            <w:pPr>
              <w:pStyle w:val="TableBodyText"/>
              <w:rPr>
                <w:sz w:val="18"/>
                <w:szCs w:val="18"/>
              </w:rPr>
            </w:pPr>
            <w:r w:rsidRPr="003541EB">
              <w:rPr>
                <w:sz w:val="18"/>
                <w:szCs w:val="18"/>
              </w:rPr>
              <w:t>0.1</w:t>
            </w:r>
          </w:p>
        </w:tc>
        <w:tc>
          <w:tcPr>
            <w:tcW w:w="495" w:type="pct"/>
            <w:vAlign w:val="bottom"/>
          </w:tcPr>
          <w:p w:rsidR="00CB0F31" w:rsidRPr="003541EB" w:rsidRDefault="00CB0F31" w:rsidP="005151A7">
            <w:pPr>
              <w:pStyle w:val="TableBodyText"/>
              <w:rPr>
                <w:sz w:val="18"/>
                <w:szCs w:val="18"/>
              </w:rPr>
            </w:pPr>
            <w:r>
              <w:rPr>
                <w:sz w:val="18"/>
                <w:szCs w:val="18"/>
              </w:rPr>
              <w:noBreakHyphen/>
            </w:r>
          </w:p>
        </w:tc>
        <w:tc>
          <w:tcPr>
            <w:tcW w:w="495" w:type="pct"/>
            <w:vAlign w:val="bottom"/>
          </w:tcPr>
          <w:p w:rsidR="00CB0F31" w:rsidRPr="003541EB" w:rsidRDefault="00CB0F31" w:rsidP="005151A7">
            <w:pPr>
              <w:pStyle w:val="TableBodyText"/>
              <w:rPr>
                <w:sz w:val="18"/>
                <w:szCs w:val="18"/>
              </w:rPr>
            </w:pPr>
            <w:r>
              <w:rPr>
                <w:sz w:val="18"/>
                <w:szCs w:val="18"/>
              </w:rPr>
              <w:noBreakHyphen/>
            </w:r>
          </w:p>
        </w:tc>
        <w:tc>
          <w:tcPr>
            <w:tcW w:w="495" w:type="pct"/>
            <w:shd w:val="clear" w:color="auto" w:fill="auto"/>
            <w:vAlign w:val="bottom"/>
          </w:tcPr>
          <w:p w:rsidR="00CB0F31" w:rsidRPr="003541EB" w:rsidRDefault="00CB0F31" w:rsidP="005151A7">
            <w:pPr>
              <w:pStyle w:val="TableBodyText"/>
              <w:rPr>
                <w:sz w:val="18"/>
                <w:szCs w:val="18"/>
              </w:rPr>
            </w:pPr>
            <w:r>
              <w:rPr>
                <w:sz w:val="18"/>
                <w:szCs w:val="18"/>
              </w:rPr>
              <w:noBreakHyphen/>
            </w:r>
          </w:p>
        </w:tc>
        <w:tc>
          <w:tcPr>
            <w:tcW w:w="495" w:type="pct"/>
            <w:shd w:val="clear" w:color="auto" w:fill="auto"/>
            <w:vAlign w:val="bottom"/>
          </w:tcPr>
          <w:p w:rsidR="00CB0F31" w:rsidRPr="003541EB" w:rsidRDefault="00CB0F31" w:rsidP="005151A7">
            <w:pPr>
              <w:pStyle w:val="TableBodyText"/>
              <w:rPr>
                <w:sz w:val="18"/>
                <w:szCs w:val="18"/>
              </w:rPr>
            </w:pPr>
            <w:r>
              <w:rPr>
                <w:sz w:val="18"/>
                <w:szCs w:val="18"/>
              </w:rPr>
              <w:noBreakHyphen/>
            </w:r>
          </w:p>
        </w:tc>
        <w:tc>
          <w:tcPr>
            <w:tcW w:w="488" w:type="pct"/>
            <w:shd w:val="clear" w:color="auto" w:fill="auto"/>
            <w:vAlign w:val="bottom"/>
          </w:tcPr>
          <w:p w:rsidR="00CB0F31" w:rsidRPr="003541EB" w:rsidRDefault="00CB0F31" w:rsidP="005151A7">
            <w:pPr>
              <w:pStyle w:val="TableBodyText"/>
              <w:rPr>
                <w:sz w:val="18"/>
                <w:szCs w:val="18"/>
              </w:rPr>
            </w:pPr>
            <w:r>
              <w:rPr>
                <w:sz w:val="18"/>
                <w:szCs w:val="18"/>
              </w:rPr>
              <w:noBreakHyphen/>
            </w:r>
          </w:p>
        </w:tc>
      </w:tr>
      <w:tr w:rsidR="00CB0F31" w:rsidTr="005151A7">
        <w:trPr>
          <w:trHeight w:val="227"/>
        </w:trPr>
        <w:tc>
          <w:tcPr>
            <w:tcW w:w="1946" w:type="pct"/>
            <w:vAlign w:val="bottom"/>
          </w:tcPr>
          <w:p w:rsidR="00CB0F31" w:rsidRPr="007758AB" w:rsidRDefault="00CB0F31" w:rsidP="005151A7">
            <w:pPr>
              <w:pStyle w:val="TableBodyText"/>
              <w:jc w:val="left"/>
              <w:rPr>
                <w:sz w:val="18"/>
                <w:szCs w:val="18"/>
              </w:rPr>
            </w:pPr>
            <w:r>
              <w:rPr>
                <w:sz w:val="18"/>
                <w:szCs w:val="18"/>
              </w:rPr>
              <w:t>Printing and recorded media</w:t>
            </w:r>
          </w:p>
        </w:tc>
        <w:tc>
          <w:tcPr>
            <w:tcW w:w="586" w:type="pct"/>
            <w:vAlign w:val="bottom"/>
          </w:tcPr>
          <w:p w:rsidR="00CB0F31" w:rsidRPr="003541EB" w:rsidRDefault="00CB0F31" w:rsidP="005151A7">
            <w:pPr>
              <w:pStyle w:val="TableBodyText"/>
              <w:rPr>
                <w:sz w:val="18"/>
                <w:szCs w:val="18"/>
              </w:rPr>
            </w:pPr>
            <w:r w:rsidRPr="003541EB">
              <w:rPr>
                <w:sz w:val="18"/>
                <w:szCs w:val="18"/>
              </w:rPr>
              <w:t>0.3</w:t>
            </w:r>
          </w:p>
        </w:tc>
        <w:tc>
          <w:tcPr>
            <w:tcW w:w="495" w:type="pct"/>
            <w:vAlign w:val="bottom"/>
          </w:tcPr>
          <w:p w:rsidR="00CB0F31" w:rsidRPr="003541EB" w:rsidRDefault="00CB0F31" w:rsidP="005151A7">
            <w:pPr>
              <w:pStyle w:val="TableBodyText"/>
              <w:rPr>
                <w:sz w:val="18"/>
                <w:szCs w:val="18"/>
              </w:rPr>
            </w:pPr>
            <w:r w:rsidRPr="003541EB">
              <w:rPr>
                <w:sz w:val="18"/>
                <w:szCs w:val="18"/>
              </w:rPr>
              <w:t>0.9</w:t>
            </w:r>
          </w:p>
        </w:tc>
        <w:tc>
          <w:tcPr>
            <w:tcW w:w="495" w:type="pct"/>
            <w:vAlign w:val="bottom"/>
          </w:tcPr>
          <w:p w:rsidR="00CB0F31" w:rsidRPr="003541EB" w:rsidRDefault="00CB0F31" w:rsidP="005151A7">
            <w:pPr>
              <w:pStyle w:val="TableBodyText"/>
              <w:rPr>
                <w:sz w:val="18"/>
                <w:szCs w:val="18"/>
              </w:rPr>
            </w:pPr>
            <w:r>
              <w:rPr>
                <w:sz w:val="18"/>
                <w:szCs w:val="18"/>
              </w:rPr>
              <w:noBreakHyphen/>
            </w:r>
          </w:p>
        </w:tc>
        <w:tc>
          <w:tcPr>
            <w:tcW w:w="495" w:type="pct"/>
            <w:shd w:val="clear" w:color="auto" w:fill="auto"/>
            <w:vAlign w:val="bottom"/>
          </w:tcPr>
          <w:p w:rsidR="00CB0F31" w:rsidRPr="003541EB" w:rsidRDefault="00CB0F31" w:rsidP="005151A7">
            <w:pPr>
              <w:pStyle w:val="TableBodyText"/>
              <w:rPr>
                <w:sz w:val="18"/>
                <w:szCs w:val="18"/>
              </w:rPr>
            </w:pPr>
            <w:r>
              <w:rPr>
                <w:sz w:val="18"/>
                <w:szCs w:val="18"/>
              </w:rPr>
              <w:noBreakHyphen/>
            </w:r>
          </w:p>
        </w:tc>
        <w:tc>
          <w:tcPr>
            <w:tcW w:w="495" w:type="pct"/>
            <w:shd w:val="clear" w:color="auto" w:fill="auto"/>
            <w:vAlign w:val="bottom"/>
          </w:tcPr>
          <w:p w:rsidR="00CB0F31" w:rsidRPr="003541EB" w:rsidRDefault="00CB0F31" w:rsidP="005151A7">
            <w:pPr>
              <w:pStyle w:val="TableBodyText"/>
              <w:rPr>
                <w:sz w:val="18"/>
                <w:szCs w:val="18"/>
              </w:rPr>
            </w:pPr>
            <w:r>
              <w:rPr>
                <w:sz w:val="18"/>
                <w:szCs w:val="18"/>
              </w:rPr>
              <w:noBreakHyphen/>
            </w:r>
          </w:p>
        </w:tc>
        <w:tc>
          <w:tcPr>
            <w:tcW w:w="488" w:type="pct"/>
            <w:shd w:val="clear" w:color="auto" w:fill="auto"/>
            <w:vAlign w:val="bottom"/>
          </w:tcPr>
          <w:p w:rsidR="00CB0F31" w:rsidRPr="003541EB" w:rsidRDefault="00CB0F31" w:rsidP="005151A7">
            <w:pPr>
              <w:pStyle w:val="TableBodyText"/>
              <w:rPr>
                <w:sz w:val="18"/>
                <w:szCs w:val="18"/>
              </w:rPr>
            </w:pPr>
            <w:r>
              <w:rPr>
                <w:sz w:val="18"/>
                <w:szCs w:val="18"/>
              </w:rPr>
              <w:noBreakHyphen/>
            </w:r>
          </w:p>
        </w:tc>
      </w:tr>
      <w:tr w:rsidR="00CB0F31" w:rsidTr="005151A7">
        <w:trPr>
          <w:trHeight w:val="227"/>
        </w:trPr>
        <w:tc>
          <w:tcPr>
            <w:tcW w:w="1946" w:type="pct"/>
            <w:vAlign w:val="bottom"/>
          </w:tcPr>
          <w:p w:rsidR="00CB0F31" w:rsidRPr="007758AB" w:rsidRDefault="00CB0F31" w:rsidP="005151A7">
            <w:pPr>
              <w:pStyle w:val="TableBodyText"/>
              <w:jc w:val="left"/>
              <w:rPr>
                <w:sz w:val="18"/>
                <w:szCs w:val="18"/>
              </w:rPr>
            </w:pPr>
            <w:r w:rsidRPr="007758AB">
              <w:rPr>
                <w:sz w:val="18"/>
                <w:szCs w:val="18"/>
              </w:rPr>
              <w:t>Petroleum, coal, chemical and rubber products</w:t>
            </w:r>
          </w:p>
        </w:tc>
        <w:tc>
          <w:tcPr>
            <w:tcW w:w="586" w:type="pct"/>
            <w:vAlign w:val="bottom"/>
          </w:tcPr>
          <w:p w:rsidR="00CB0F31" w:rsidRPr="003541EB" w:rsidRDefault="00CB0F31" w:rsidP="005151A7">
            <w:pPr>
              <w:pStyle w:val="TableBodyText"/>
              <w:rPr>
                <w:sz w:val="18"/>
                <w:szCs w:val="18"/>
              </w:rPr>
            </w:pPr>
            <w:r w:rsidRPr="003541EB">
              <w:rPr>
                <w:sz w:val="18"/>
                <w:szCs w:val="18"/>
              </w:rPr>
              <w:t>1.7</w:t>
            </w:r>
          </w:p>
        </w:tc>
        <w:tc>
          <w:tcPr>
            <w:tcW w:w="495" w:type="pct"/>
            <w:vAlign w:val="bottom"/>
          </w:tcPr>
          <w:p w:rsidR="00CB0F31" w:rsidRPr="003541EB" w:rsidRDefault="00CB0F31" w:rsidP="005151A7">
            <w:pPr>
              <w:pStyle w:val="TableBodyText"/>
              <w:rPr>
                <w:sz w:val="18"/>
                <w:szCs w:val="18"/>
              </w:rPr>
            </w:pPr>
            <w:r w:rsidRPr="003541EB">
              <w:rPr>
                <w:sz w:val="18"/>
                <w:szCs w:val="18"/>
              </w:rPr>
              <w:t>0.4</w:t>
            </w:r>
          </w:p>
        </w:tc>
        <w:tc>
          <w:tcPr>
            <w:tcW w:w="495" w:type="pct"/>
            <w:vAlign w:val="bottom"/>
          </w:tcPr>
          <w:p w:rsidR="00CB0F31" w:rsidRPr="003541EB" w:rsidRDefault="00CB0F31" w:rsidP="005151A7">
            <w:pPr>
              <w:pStyle w:val="TableBodyText"/>
              <w:rPr>
                <w:sz w:val="18"/>
                <w:szCs w:val="18"/>
              </w:rPr>
            </w:pPr>
            <w:r w:rsidRPr="003541EB">
              <w:rPr>
                <w:sz w:val="18"/>
                <w:szCs w:val="18"/>
              </w:rPr>
              <w:t>0.1</w:t>
            </w:r>
          </w:p>
        </w:tc>
        <w:tc>
          <w:tcPr>
            <w:tcW w:w="495" w:type="pct"/>
            <w:shd w:val="clear" w:color="auto" w:fill="auto"/>
            <w:vAlign w:val="bottom"/>
          </w:tcPr>
          <w:p w:rsidR="00CB0F31" w:rsidRPr="003541EB" w:rsidRDefault="00CB0F31" w:rsidP="005151A7">
            <w:pPr>
              <w:pStyle w:val="TableBodyText"/>
              <w:rPr>
                <w:sz w:val="18"/>
                <w:szCs w:val="18"/>
              </w:rPr>
            </w:pPr>
            <w:r>
              <w:rPr>
                <w:sz w:val="18"/>
                <w:szCs w:val="18"/>
              </w:rPr>
              <w:noBreakHyphen/>
            </w:r>
          </w:p>
        </w:tc>
        <w:tc>
          <w:tcPr>
            <w:tcW w:w="495" w:type="pct"/>
            <w:shd w:val="clear" w:color="auto" w:fill="auto"/>
            <w:vAlign w:val="bottom"/>
          </w:tcPr>
          <w:p w:rsidR="00CB0F31" w:rsidRPr="003541EB" w:rsidRDefault="00CB0F31" w:rsidP="005151A7">
            <w:pPr>
              <w:pStyle w:val="TableBodyText"/>
              <w:rPr>
                <w:sz w:val="18"/>
                <w:szCs w:val="18"/>
              </w:rPr>
            </w:pPr>
            <w:r>
              <w:rPr>
                <w:sz w:val="18"/>
                <w:szCs w:val="18"/>
              </w:rPr>
              <w:noBreakHyphen/>
            </w:r>
          </w:p>
        </w:tc>
        <w:tc>
          <w:tcPr>
            <w:tcW w:w="488" w:type="pct"/>
            <w:shd w:val="clear" w:color="auto" w:fill="auto"/>
            <w:vAlign w:val="bottom"/>
          </w:tcPr>
          <w:p w:rsidR="00CB0F31" w:rsidRPr="003541EB" w:rsidRDefault="00CB0F31" w:rsidP="005151A7">
            <w:pPr>
              <w:pStyle w:val="TableBodyText"/>
              <w:rPr>
                <w:sz w:val="18"/>
                <w:szCs w:val="18"/>
              </w:rPr>
            </w:pPr>
            <w:r>
              <w:rPr>
                <w:sz w:val="18"/>
                <w:szCs w:val="18"/>
              </w:rPr>
              <w:noBreakHyphen/>
            </w:r>
          </w:p>
        </w:tc>
      </w:tr>
      <w:tr w:rsidR="00CB0F31" w:rsidTr="005151A7">
        <w:trPr>
          <w:trHeight w:val="227"/>
        </w:trPr>
        <w:tc>
          <w:tcPr>
            <w:tcW w:w="1946" w:type="pct"/>
            <w:vAlign w:val="bottom"/>
          </w:tcPr>
          <w:p w:rsidR="00CB0F31" w:rsidRPr="007758AB" w:rsidRDefault="00CB0F31" w:rsidP="005151A7">
            <w:pPr>
              <w:pStyle w:val="TableBodyText"/>
              <w:jc w:val="left"/>
              <w:rPr>
                <w:sz w:val="18"/>
                <w:szCs w:val="18"/>
              </w:rPr>
            </w:pPr>
            <w:r>
              <w:rPr>
                <w:sz w:val="18"/>
                <w:szCs w:val="18"/>
              </w:rPr>
              <w:t>Non-metallic mineral products</w:t>
            </w:r>
          </w:p>
        </w:tc>
        <w:tc>
          <w:tcPr>
            <w:tcW w:w="586" w:type="pct"/>
            <w:vAlign w:val="bottom"/>
          </w:tcPr>
          <w:p w:rsidR="00CB0F31" w:rsidRPr="003541EB" w:rsidRDefault="00CB0F31" w:rsidP="005151A7">
            <w:pPr>
              <w:pStyle w:val="TableBodyText"/>
              <w:rPr>
                <w:sz w:val="18"/>
                <w:szCs w:val="18"/>
              </w:rPr>
            </w:pPr>
            <w:r w:rsidRPr="003541EB">
              <w:rPr>
                <w:sz w:val="18"/>
                <w:szCs w:val="18"/>
              </w:rPr>
              <w:t>1.2</w:t>
            </w:r>
          </w:p>
        </w:tc>
        <w:tc>
          <w:tcPr>
            <w:tcW w:w="495" w:type="pct"/>
            <w:vAlign w:val="bottom"/>
          </w:tcPr>
          <w:p w:rsidR="00CB0F31" w:rsidRPr="003541EB" w:rsidRDefault="00CB0F31" w:rsidP="005151A7">
            <w:pPr>
              <w:pStyle w:val="TableBodyText"/>
              <w:rPr>
                <w:sz w:val="18"/>
                <w:szCs w:val="18"/>
              </w:rPr>
            </w:pPr>
            <w:r w:rsidRPr="003541EB">
              <w:rPr>
                <w:sz w:val="18"/>
                <w:szCs w:val="18"/>
              </w:rPr>
              <w:t>0.1</w:t>
            </w:r>
          </w:p>
        </w:tc>
        <w:tc>
          <w:tcPr>
            <w:tcW w:w="495" w:type="pct"/>
            <w:vAlign w:val="bottom"/>
          </w:tcPr>
          <w:p w:rsidR="00CB0F31" w:rsidRPr="003541EB" w:rsidRDefault="00CB0F31" w:rsidP="005151A7">
            <w:pPr>
              <w:pStyle w:val="TableBodyText"/>
              <w:rPr>
                <w:sz w:val="18"/>
                <w:szCs w:val="18"/>
              </w:rPr>
            </w:pPr>
            <w:r>
              <w:rPr>
                <w:sz w:val="18"/>
                <w:szCs w:val="18"/>
              </w:rPr>
              <w:t>&lt;</w:t>
            </w:r>
            <w:r w:rsidRPr="00E17EEF">
              <w:rPr>
                <w:sz w:val="18"/>
                <w:szCs w:val="18"/>
              </w:rPr>
              <w:t>0.</w:t>
            </w:r>
            <w:r>
              <w:rPr>
                <w:sz w:val="18"/>
                <w:szCs w:val="18"/>
              </w:rPr>
              <w:t>1</w:t>
            </w:r>
          </w:p>
        </w:tc>
        <w:tc>
          <w:tcPr>
            <w:tcW w:w="495" w:type="pct"/>
            <w:shd w:val="clear" w:color="auto" w:fill="auto"/>
            <w:vAlign w:val="bottom"/>
          </w:tcPr>
          <w:p w:rsidR="00CB0F31" w:rsidRPr="003541EB" w:rsidRDefault="00CB0F31" w:rsidP="005151A7">
            <w:pPr>
              <w:pStyle w:val="TableBodyText"/>
              <w:rPr>
                <w:sz w:val="18"/>
                <w:szCs w:val="18"/>
              </w:rPr>
            </w:pPr>
            <w:r>
              <w:rPr>
                <w:sz w:val="18"/>
                <w:szCs w:val="18"/>
              </w:rPr>
              <w:noBreakHyphen/>
            </w:r>
          </w:p>
        </w:tc>
        <w:tc>
          <w:tcPr>
            <w:tcW w:w="495" w:type="pct"/>
            <w:shd w:val="clear" w:color="auto" w:fill="auto"/>
            <w:vAlign w:val="bottom"/>
          </w:tcPr>
          <w:p w:rsidR="00CB0F31" w:rsidRPr="003541EB" w:rsidRDefault="00CB0F31" w:rsidP="005151A7">
            <w:pPr>
              <w:pStyle w:val="TableBodyText"/>
              <w:rPr>
                <w:sz w:val="18"/>
                <w:szCs w:val="18"/>
              </w:rPr>
            </w:pPr>
            <w:r>
              <w:rPr>
                <w:sz w:val="18"/>
                <w:szCs w:val="18"/>
              </w:rPr>
              <w:noBreakHyphen/>
            </w:r>
          </w:p>
        </w:tc>
        <w:tc>
          <w:tcPr>
            <w:tcW w:w="488" w:type="pct"/>
            <w:shd w:val="clear" w:color="auto" w:fill="auto"/>
            <w:vAlign w:val="bottom"/>
          </w:tcPr>
          <w:p w:rsidR="00CB0F31" w:rsidRPr="003541EB" w:rsidRDefault="00CB0F31" w:rsidP="005151A7">
            <w:pPr>
              <w:pStyle w:val="TableBodyText"/>
              <w:rPr>
                <w:sz w:val="18"/>
                <w:szCs w:val="18"/>
              </w:rPr>
            </w:pPr>
            <w:r>
              <w:rPr>
                <w:sz w:val="18"/>
                <w:szCs w:val="18"/>
              </w:rPr>
              <w:noBreakHyphen/>
            </w:r>
          </w:p>
        </w:tc>
      </w:tr>
      <w:tr w:rsidR="00CB0F31" w:rsidTr="005151A7">
        <w:trPr>
          <w:trHeight w:val="227"/>
        </w:trPr>
        <w:tc>
          <w:tcPr>
            <w:tcW w:w="1946" w:type="pct"/>
            <w:vAlign w:val="bottom"/>
          </w:tcPr>
          <w:p w:rsidR="00CB0F31" w:rsidRPr="007758AB" w:rsidRDefault="00CB0F31" w:rsidP="005151A7">
            <w:pPr>
              <w:pStyle w:val="TableBodyText"/>
              <w:jc w:val="left"/>
              <w:rPr>
                <w:sz w:val="18"/>
                <w:szCs w:val="18"/>
              </w:rPr>
            </w:pPr>
            <w:r w:rsidRPr="007758AB">
              <w:rPr>
                <w:sz w:val="18"/>
                <w:szCs w:val="18"/>
              </w:rPr>
              <w:t>Metal and fabricated metal products</w:t>
            </w:r>
          </w:p>
        </w:tc>
        <w:tc>
          <w:tcPr>
            <w:tcW w:w="586" w:type="pct"/>
            <w:vAlign w:val="bottom"/>
          </w:tcPr>
          <w:p w:rsidR="00CB0F31" w:rsidRPr="003541EB" w:rsidRDefault="00CB0F31" w:rsidP="005151A7">
            <w:pPr>
              <w:pStyle w:val="TableBodyText"/>
              <w:rPr>
                <w:sz w:val="18"/>
                <w:szCs w:val="18"/>
              </w:rPr>
            </w:pPr>
            <w:r w:rsidRPr="003541EB">
              <w:rPr>
                <w:sz w:val="18"/>
                <w:szCs w:val="18"/>
              </w:rPr>
              <w:t>1.4</w:t>
            </w:r>
          </w:p>
        </w:tc>
        <w:tc>
          <w:tcPr>
            <w:tcW w:w="495" w:type="pct"/>
            <w:vAlign w:val="bottom"/>
          </w:tcPr>
          <w:p w:rsidR="00CB0F31" w:rsidRPr="003541EB" w:rsidRDefault="00CB0F31" w:rsidP="005151A7">
            <w:pPr>
              <w:pStyle w:val="TableBodyText"/>
              <w:rPr>
                <w:sz w:val="18"/>
                <w:szCs w:val="18"/>
              </w:rPr>
            </w:pPr>
            <w:r w:rsidRPr="003541EB">
              <w:rPr>
                <w:sz w:val="18"/>
                <w:szCs w:val="18"/>
              </w:rPr>
              <w:t>1.1</w:t>
            </w:r>
          </w:p>
        </w:tc>
        <w:tc>
          <w:tcPr>
            <w:tcW w:w="495" w:type="pct"/>
            <w:vAlign w:val="bottom"/>
          </w:tcPr>
          <w:p w:rsidR="00CB0F31" w:rsidRPr="003541EB" w:rsidRDefault="00CB0F31" w:rsidP="005151A7">
            <w:pPr>
              <w:pStyle w:val="TableBodyText"/>
              <w:rPr>
                <w:sz w:val="18"/>
                <w:szCs w:val="18"/>
              </w:rPr>
            </w:pPr>
            <w:r>
              <w:rPr>
                <w:sz w:val="18"/>
                <w:szCs w:val="18"/>
              </w:rPr>
              <w:noBreakHyphen/>
            </w:r>
          </w:p>
        </w:tc>
        <w:tc>
          <w:tcPr>
            <w:tcW w:w="495" w:type="pct"/>
            <w:shd w:val="clear" w:color="auto" w:fill="auto"/>
            <w:vAlign w:val="bottom"/>
          </w:tcPr>
          <w:p w:rsidR="00CB0F31" w:rsidRPr="003541EB" w:rsidRDefault="00CB0F31" w:rsidP="005151A7">
            <w:pPr>
              <w:pStyle w:val="TableBodyText"/>
              <w:rPr>
                <w:sz w:val="18"/>
                <w:szCs w:val="18"/>
              </w:rPr>
            </w:pPr>
            <w:r>
              <w:rPr>
                <w:sz w:val="18"/>
                <w:szCs w:val="18"/>
              </w:rPr>
              <w:noBreakHyphen/>
            </w:r>
          </w:p>
        </w:tc>
        <w:tc>
          <w:tcPr>
            <w:tcW w:w="495" w:type="pct"/>
            <w:shd w:val="clear" w:color="auto" w:fill="auto"/>
            <w:vAlign w:val="bottom"/>
          </w:tcPr>
          <w:p w:rsidR="00CB0F31" w:rsidRPr="003541EB" w:rsidRDefault="00CB0F31" w:rsidP="005151A7">
            <w:pPr>
              <w:pStyle w:val="TableBodyText"/>
              <w:rPr>
                <w:sz w:val="18"/>
                <w:szCs w:val="18"/>
              </w:rPr>
            </w:pPr>
            <w:r>
              <w:rPr>
                <w:sz w:val="18"/>
                <w:szCs w:val="18"/>
              </w:rPr>
              <w:noBreakHyphen/>
            </w:r>
          </w:p>
        </w:tc>
        <w:tc>
          <w:tcPr>
            <w:tcW w:w="488" w:type="pct"/>
            <w:shd w:val="clear" w:color="auto" w:fill="auto"/>
            <w:vAlign w:val="bottom"/>
          </w:tcPr>
          <w:p w:rsidR="00CB0F31" w:rsidRPr="003541EB" w:rsidRDefault="00CB0F31" w:rsidP="005151A7">
            <w:pPr>
              <w:pStyle w:val="TableBodyText"/>
              <w:rPr>
                <w:sz w:val="18"/>
                <w:szCs w:val="18"/>
              </w:rPr>
            </w:pPr>
            <w:r>
              <w:rPr>
                <w:sz w:val="18"/>
                <w:szCs w:val="18"/>
              </w:rPr>
              <w:noBreakHyphen/>
            </w:r>
          </w:p>
        </w:tc>
      </w:tr>
      <w:tr w:rsidR="00CB0F31" w:rsidTr="005151A7">
        <w:trPr>
          <w:trHeight w:val="227"/>
        </w:trPr>
        <w:tc>
          <w:tcPr>
            <w:tcW w:w="1946" w:type="pct"/>
            <w:vAlign w:val="bottom"/>
          </w:tcPr>
          <w:p w:rsidR="00CB0F31" w:rsidRPr="007758AB" w:rsidRDefault="00CB0F31" w:rsidP="005151A7">
            <w:pPr>
              <w:pStyle w:val="TableBodyText"/>
              <w:jc w:val="left"/>
              <w:rPr>
                <w:sz w:val="18"/>
                <w:szCs w:val="18"/>
              </w:rPr>
            </w:pPr>
            <w:r w:rsidRPr="007758AB">
              <w:rPr>
                <w:sz w:val="18"/>
                <w:szCs w:val="18"/>
              </w:rPr>
              <w:t>Motor vehicle and parts</w:t>
            </w:r>
          </w:p>
        </w:tc>
        <w:tc>
          <w:tcPr>
            <w:tcW w:w="586" w:type="pct"/>
            <w:vAlign w:val="bottom"/>
          </w:tcPr>
          <w:p w:rsidR="00CB0F31" w:rsidRPr="003541EB" w:rsidRDefault="00CB0F31" w:rsidP="005151A7">
            <w:pPr>
              <w:pStyle w:val="TableBodyText"/>
              <w:rPr>
                <w:sz w:val="18"/>
                <w:szCs w:val="18"/>
              </w:rPr>
            </w:pPr>
            <w:r>
              <w:rPr>
                <w:sz w:val="18"/>
                <w:szCs w:val="18"/>
              </w:rPr>
              <w:noBreakHyphen/>
            </w:r>
          </w:p>
        </w:tc>
        <w:tc>
          <w:tcPr>
            <w:tcW w:w="495" w:type="pct"/>
            <w:vAlign w:val="bottom"/>
          </w:tcPr>
          <w:p w:rsidR="00CB0F31" w:rsidRPr="003541EB" w:rsidRDefault="00CB0F31" w:rsidP="005151A7">
            <w:pPr>
              <w:pStyle w:val="TableBodyText"/>
              <w:rPr>
                <w:sz w:val="18"/>
                <w:szCs w:val="18"/>
              </w:rPr>
            </w:pPr>
            <w:r>
              <w:rPr>
                <w:sz w:val="18"/>
                <w:szCs w:val="18"/>
              </w:rPr>
              <w:noBreakHyphen/>
            </w:r>
          </w:p>
        </w:tc>
        <w:tc>
          <w:tcPr>
            <w:tcW w:w="495" w:type="pct"/>
            <w:vAlign w:val="bottom"/>
          </w:tcPr>
          <w:p w:rsidR="00CB0F31" w:rsidRPr="003541EB" w:rsidRDefault="00CB0F31" w:rsidP="005151A7">
            <w:pPr>
              <w:pStyle w:val="TableBodyText"/>
              <w:rPr>
                <w:sz w:val="18"/>
                <w:szCs w:val="18"/>
              </w:rPr>
            </w:pPr>
            <w:r>
              <w:rPr>
                <w:sz w:val="18"/>
                <w:szCs w:val="18"/>
              </w:rPr>
              <w:t>&lt;</w:t>
            </w:r>
            <w:r w:rsidRPr="00E17EEF">
              <w:rPr>
                <w:sz w:val="18"/>
                <w:szCs w:val="18"/>
              </w:rPr>
              <w:t>0.</w:t>
            </w:r>
            <w:r>
              <w:rPr>
                <w:sz w:val="18"/>
                <w:szCs w:val="18"/>
              </w:rPr>
              <w:t>1</w:t>
            </w:r>
          </w:p>
        </w:tc>
        <w:tc>
          <w:tcPr>
            <w:tcW w:w="495" w:type="pct"/>
            <w:shd w:val="clear" w:color="auto" w:fill="auto"/>
            <w:vAlign w:val="bottom"/>
          </w:tcPr>
          <w:p w:rsidR="00CB0F31" w:rsidRPr="003541EB" w:rsidRDefault="00CB0F31" w:rsidP="005151A7">
            <w:pPr>
              <w:pStyle w:val="TableBodyText"/>
              <w:rPr>
                <w:sz w:val="18"/>
                <w:szCs w:val="18"/>
              </w:rPr>
            </w:pPr>
            <w:r>
              <w:rPr>
                <w:sz w:val="18"/>
                <w:szCs w:val="18"/>
              </w:rPr>
              <w:noBreakHyphen/>
            </w:r>
          </w:p>
        </w:tc>
        <w:tc>
          <w:tcPr>
            <w:tcW w:w="495" w:type="pct"/>
            <w:shd w:val="clear" w:color="auto" w:fill="auto"/>
            <w:vAlign w:val="bottom"/>
          </w:tcPr>
          <w:p w:rsidR="00CB0F31" w:rsidRPr="003541EB" w:rsidRDefault="00CB0F31" w:rsidP="005151A7">
            <w:pPr>
              <w:pStyle w:val="TableBodyText"/>
              <w:rPr>
                <w:sz w:val="18"/>
                <w:szCs w:val="18"/>
              </w:rPr>
            </w:pPr>
            <w:r>
              <w:rPr>
                <w:sz w:val="18"/>
                <w:szCs w:val="18"/>
              </w:rPr>
              <w:noBreakHyphen/>
            </w:r>
          </w:p>
        </w:tc>
        <w:tc>
          <w:tcPr>
            <w:tcW w:w="488" w:type="pct"/>
            <w:shd w:val="clear" w:color="auto" w:fill="auto"/>
            <w:vAlign w:val="bottom"/>
          </w:tcPr>
          <w:p w:rsidR="00CB0F31" w:rsidRPr="003541EB" w:rsidRDefault="00CB0F31" w:rsidP="005151A7">
            <w:pPr>
              <w:pStyle w:val="TableBodyText"/>
              <w:rPr>
                <w:sz w:val="18"/>
                <w:szCs w:val="18"/>
              </w:rPr>
            </w:pPr>
            <w:r>
              <w:rPr>
                <w:sz w:val="18"/>
                <w:szCs w:val="18"/>
              </w:rPr>
              <w:noBreakHyphen/>
            </w:r>
          </w:p>
        </w:tc>
      </w:tr>
      <w:tr w:rsidR="00CB0F31" w:rsidTr="005151A7">
        <w:trPr>
          <w:trHeight w:val="227"/>
        </w:trPr>
        <w:tc>
          <w:tcPr>
            <w:tcW w:w="1946" w:type="pct"/>
            <w:vAlign w:val="bottom"/>
          </w:tcPr>
          <w:p w:rsidR="00CB0F31" w:rsidRPr="007758AB" w:rsidRDefault="00CB0F31" w:rsidP="005151A7">
            <w:pPr>
              <w:pStyle w:val="TableBodyText"/>
              <w:jc w:val="left"/>
              <w:rPr>
                <w:sz w:val="18"/>
                <w:szCs w:val="18"/>
              </w:rPr>
            </w:pPr>
            <w:r w:rsidRPr="007758AB">
              <w:rPr>
                <w:sz w:val="18"/>
                <w:szCs w:val="18"/>
              </w:rPr>
              <w:t>Other transport equipment</w:t>
            </w:r>
          </w:p>
        </w:tc>
        <w:tc>
          <w:tcPr>
            <w:tcW w:w="586" w:type="pct"/>
            <w:vAlign w:val="bottom"/>
          </w:tcPr>
          <w:p w:rsidR="00CB0F31" w:rsidRPr="003541EB" w:rsidRDefault="00CB0F31" w:rsidP="005151A7">
            <w:pPr>
              <w:pStyle w:val="TableBodyText"/>
              <w:rPr>
                <w:sz w:val="18"/>
                <w:szCs w:val="18"/>
              </w:rPr>
            </w:pPr>
            <w:r>
              <w:rPr>
                <w:sz w:val="18"/>
                <w:szCs w:val="18"/>
              </w:rPr>
              <w:t>&lt;</w:t>
            </w:r>
            <w:r w:rsidRPr="00E17EEF">
              <w:rPr>
                <w:sz w:val="18"/>
                <w:szCs w:val="18"/>
              </w:rPr>
              <w:t>0.</w:t>
            </w:r>
            <w:r>
              <w:rPr>
                <w:sz w:val="18"/>
                <w:szCs w:val="18"/>
              </w:rPr>
              <w:t>1</w:t>
            </w:r>
          </w:p>
        </w:tc>
        <w:tc>
          <w:tcPr>
            <w:tcW w:w="495" w:type="pct"/>
            <w:vAlign w:val="bottom"/>
          </w:tcPr>
          <w:p w:rsidR="00CB0F31" w:rsidRPr="003541EB" w:rsidRDefault="00CB0F31" w:rsidP="005151A7">
            <w:pPr>
              <w:pStyle w:val="TableBodyText"/>
              <w:rPr>
                <w:sz w:val="18"/>
                <w:szCs w:val="18"/>
              </w:rPr>
            </w:pPr>
            <w:r>
              <w:rPr>
                <w:sz w:val="18"/>
                <w:szCs w:val="18"/>
              </w:rPr>
              <w:t>&lt;</w:t>
            </w:r>
            <w:r w:rsidRPr="00E17EEF">
              <w:rPr>
                <w:sz w:val="18"/>
                <w:szCs w:val="18"/>
              </w:rPr>
              <w:t>0.</w:t>
            </w:r>
            <w:r>
              <w:rPr>
                <w:sz w:val="18"/>
                <w:szCs w:val="18"/>
              </w:rPr>
              <w:t>1</w:t>
            </w:r>
          </w:p>
        </w:tc>
        <w:tc>
          <w:tcPr>
            <w:tcW w:w="495" w:type="pct"/>
            <w:vAlign w:val="bottom"/>
          </w:tcPr>
          <w:p w:rsidR="00CB0F31" w:rsidRPr="003541EB" w:rsidRDefault="00CB0F31" w:rsidP="005151A7">
            <w:pPr>
              <w:pStyle w:val="TableBodyText"/>
              <w:rPr>
                <w:sz w:val="18"/>
                <w:szCs w:val="18"/>
              </w:rPr>
            </w:pPr>
            <w:r>
              <w:rPr>
                <w:sz w:val="18"/>
                <w:szCs w:val="18"/>
              </w:rPr>
              <w:noBreakHyphen/>
            </w:r>
          </w:p>
        </w:tc>
        <w:tc>
          <w:tcPr>
            <w:tcW w:w="495" w:type="pct"/>
            <w:shd w:val="clear" w:color="auto" w:fill="auto"/>
            <w:vAlign w:val="bottom"/>
          </w:tcPr>
          <w:p w:rsidR="00CB0F31" w:rsidRPr="003541EB" w:rsidRDefault="00CB0F31" w:rsidP="005151A7">
            <w:pPr>
              <w:pStyle w:val="TableBodyText"/>
              <w:rPr>
                <w:sz w:val="18"/>
                <w:szCs w:val="18"/>
              </w:rPr>
            </w:pPr>
            <w:r>
              <w:rPr>
                <w:sz w:val="18"/>
                <w:szCs w:val="18"/>
              </w:rPr>
              <w:noBreakHyphen/>
            </w:r>
          </w:p>
        </w:tc>
        <w:tc>
          <w:tcPr>
            <w:tcW w:w="495" w:type="pct"/>
            <w:shd w:val="clear" w:color="auto" w:fill="auto"/>
            <w:vAlign w:val="bottom"/>
          </w:tcPr>
          <w:p w:rsidR="00CB0F31" w:rsidRPr="003541EB" w:rsidRDefault="00CB0F31" w:rsidP="005151A7">
            <w:pPr>
              <w:pStyle w:val="TableBodyText"/>
              <w:rPr>
                <w:sz w:val="18"/>
                <w:szCs w:val="18"/>
              </w:rPr>
            </w:pPr>
            <w:r>
              <w:rPr>
                <w:sz w:val="18"/>
                <w:szCs w:val="18"/>
              </w:rPr>
              <w:noBreakHyphen/>
            </w:r>
          </w:p>
        </w:tc>
        <w:tc>
          <w:tcPr>
            <w:tcW w:w="488" w:type="pct"/>
            <w:shd w:val="clear" w:color="auto" w:fill="auto"/>
            <w:vAlign w:val="bottom"/>
          </w:tcPr>
          <w:p w:rsidR="00CB0F31" w:rsidRPr="003541EB" w:rsidRDefault="00CB0F31" w:rsidP="005151A7">
            <w:pPr>
              <w:pStyle w:val="TableBodyText"/>
              <w:rPr>
                <w:sz w:val="18"/>
                <w:szCs w:val="18"/>
              </w:rPr>
            </w:pPr>
            <w:r>
              <w:rPr>
                <w:sz w:val="18"/>
                <w:szCs w:val="18"/>
              </w:rPr>
              <w:noBreakHyphen/>
            </w:r>
          </w:p>
        </w:tc>
      </w:tr>
      <w:tr w:rsidR="00CB0F31" w:rsidTr="005151A7">
        <w:trPr>
          <w:trHeight w:val="227"/>
        </w:trPr>
        <w:tc>
          <w:tcPr>
            <w:tcW w:w="1946" w:type="pct"/>
            <w:vAlign w:val="bottom"/>
          </w:tcPr>
          <w:p w:rsidR="00CB0F31" w:rsidRPr="007758AB" w:rsidRDefault="00CB0F31" w:rsidP="005151A7">
            <w:pPr>
              <w:pStyle w:val="TableBodyText"/>
              <w:jc w:val="left"/>
              <w:rPr>
                <w:sz w:val="18"/>
                <w:szCs w:val="18"/>
              </w:rPr>
            </w:pPr>
            <w:r w:rsidRPr="007758AB">
              <w:rPr>
                <w:sz w:val="18"/>
                <w:szCs w:val="18"/>
              </w:rPr>
              <w:t>Machinery and equipment manufacturing</w:t>
            </w:r>
          </w:p>
        </w:tc>
        <w:tc>
          <w:tcPr>
            <w:tcW w:w="586" w:type="pct"/>
            <w:vAlign w:val="bottom"/>
          </w:tcPr>
          <w:p w:rsidR="00CB0F31" w:rsidRPr="003541EB" w:rsidRDefault="00CB0F31" w:rsidP="005151A7">
            <w:pPr>
              <w:pStyle w:val="TableBodyText"/>
              <w:rPr>
                <w:sz w:val="18"/>
                <w:szCs w:val="18"/>
              </w:rPr>
            </w:pPr>
            <w:r w:rsidRPr="003541EB">
              <w:rPr>
                <w:sz w:val="18"/>
                <w:szCs w:val="18"/>
              </w:rPr>
              <w:t>11.3</w:t>
            </w:r>
          </w:p>
        </w:tc>
        <w:tc>
          <w:tcPr>
            <w:tcW w:w="495" w:type="pct"/>
            <w:vAlign w:val="bottom"/>
          </w:tcPr>
          <w:p w:rsidR="00CB0F31" w:rsidRPr="003541EB" w:rsidRDefault="00CB0F31" w:rsidP="005151A7">
            <w:pPr>
              <w:pStyle w:val="TableBodyText"/>
              <w:rPr>
                <w:sz w:val="18"/>
                <w:szCs w:val="18"/>
              </w:rPr>
            </w:pPr>
            <w:r w:rsidRPr="003541EB">
              <w:rPr>
                <w:sz w:val="18"/>
                <w:szCs w:val="18"/>
              </w:rPr>
              <w:t>4.3</w:t>
            </w:r>
          </w:p>
        </w:tc>
        <w:tc>
          <w:tcPr>
            <w:tcW w:w="495" w:type="pct"/>
            <w:vAlign w:val="bottom"/>
          </w:tcPr>
          <w:p w:rsidR="00CB0F31" w:rsidRPr="003541EB" w:rsidRDefault="00CB0F31" w:rsidP="005151A7">
            <w:pPr>
              <w:pStyle w:val="TableBodyText"/>
              <w:rPr>
                <w:sz w:val="18"/>
                <w:szCs w:val="18"/>
              </w:rPr>
            </w:pPr>
            <w:r>
              <w:rPr>
                <w:sz w:val="18"/>
                <w:szCs w:val="18"/>
              </w:rPr>
              <w:t>&lt;</w:t>
            </w:r>
            <w:r w:rsidRPr="00E17EEF">
              <w:rPr>
                <w:sz w:val="18"/>
                <w:szCs w:val="18"/>
              </w:rPr>
              <w:t>0.</w:t>
            </w:r>
            <w:r>
              <w:rPr>
                <w:sz w:val="18"/>
                <w:szCs w:val="18"/>
              </w:rPr>
              <w:t>1</w:t>
            </w:r>
          </w:p>
        </w:tc>
        <w:tc>
          <w:tcPr>
            <w:tcW w:w="495" w:type="pct"/>
            <w:shd w:val="clear" w:color="auto" w:fill="auto"/>
            <w:vAlign w:val="bottom"/>
          </w:tcPr>
          <w:p w:rsidR="00CB0F31" w:rsidRPr="003541EB" w:rsidRDefault="00CB0F31" w:rsidP="005151A7">
            <w:pPr>
              <w:pStyle w:val="TableBodyText"/>
              <w:rPr>
                <w:sz w:val="18"/>
                <w:szCs w:val="18"/>
              </w:rPr>
            </w:pPr>
            <w:r>
              <w:rPr>
                <w:sz w:val="18"/>
                <w:szCs w:val="18"/>
              </w:rPr>
              <w:noBreakHyphen/>
            </w:r>
          </w:p>
        </w:tc>
        <w:tc>
          <w:tcPr>
            <w:tcW w:w="495" w:type="pct"/>
            <w:shd w:val="clear" w:color="auto" w:fill="auto"/>
            <w:vAlign w:val="bottom"/>
          </w:tcPr>
          <w:p w:rsidR="00CB0F31" w:rsidRPr="003541EB" w:rsidRDefault="00CB0F31" w:rsidP="005151A7">
            <w:pPr>
              <w:pStyle w:val="TableBodyText"/>
              <w:rPr>
                <w:sz w:val="18"/>
                <w:szCs w:val="18"/>
              </w:rPr>
            </w:pPr>
            <w:r>
              <w:rPr>
                <w:sz w:val="18"/>
                <w:szCs w:val="18"/>
              </w:rPr>
              <w:noBreakHyphen/>
            </w:r>
          </w:p>
        </w:tc>
        <w:tc>
          <w:tcPr>
            <w:tcW w:w="488" w:type="pct"/>
            <w:shd w:val="clear" w:color="auto" w:fill="auto"/>
            <w:vAlign w:val="bottom"/>
          </w:tcPr>
          <w:p w:rsidR="00CB0F31" w:rsidRPr="003541EB" w:rsidRDefault="00CB0F31" w:rsidP="005151A7">
            <w:pPr>
              <w:pStyle w:val="TableBodyText"/>
              <w:rPr>
                <w:sz w:val="18"/>
                <w:szCs w:val="18"/>
              </w:rPr>
            </w:pPr>
            <w:r>
              <w:rPr>
                <w:sz w:val="18"/>
                <w:szCs w:val="18"/>
              </w:rPr>
              <w:noBreakHyphen/>
            </w:r>
          </w:p>
        </w:tc>
      </w:tr>
      <w:tr w:rsidR="00CB0F31" w:rsidTr="005151A7">
        <w:trPr>
          <w:trHeight w:val="227"/>
        </w:trPr>
        <w:tc>
          <w:tcPr>
            <w:tcW w:w="1946" w:type="pct"/>
            <w:vAlign w:val="bottom"/>
          </w:tcPr>
          <w:p w:rsidR="00CB0F31" w:rsidRPr="007758AB" w:rsidRDefault="00CB0F31" w:rsidP="005151A7">
            <w:pPr>
              <w:pStyle w:val="TableBodyText"/>
              <w:jc w:val="left"/>
              <w:rPr>
                <w:sz w:val="18"/>
                <w:szCs w:val="18"/>
              </w:rPr>
            </w:pPr>
            <w:r w:rsidRPr="007758AB">
              <w:rPr>
                <w:sz w:val="18"/>
                <w:szCs w:val="18"/>
              </w:rPr>
              <w:t>Furniture and other manufacturing</w:t>
            </w:r>
          </w:p>
        </w:tc>
        <w:tc>
          <w:tcPr>
            <w:tcW w:w="586" w:type="pct"/>
            <w:vAlign w:val="bottom"/>
          </w:tcPr>
          <w:p w:rsidR="00CB0F31" w:rsidRPr="003541EB" w:rsidRDefault="00CB0F31" w:rsidP="005151A7">
            <w:pPr>
              <w:pStyle w:val="TableBodyText"/>
              <w:rPr>
                <w:sz w:val="18"/>
                <w:szCs w:val="18"/>
              </w:rPr>
            </w:pPr>
            <w:r w:rsidRPr="003541EB">
              <w:rPr>
                <w:sz w:val="18"/>
                <w:szCs w:val="18"/>
              </w:rPr>
              <w:t>4.5</w:t>
            </w:r>
          </w:p>
        </w:tc>
        <w:tc>
          <w:tcPr>
            <w:tcW w:w="495" w:type="pct"/>
            <w:vAlign w:val="bottom"/>
          </w:tcPr>
          <w:p w:rsidR="00CB0F31" w:rsidRPr="003541EB" w:rsidRDefault="00CB0F31" w:rsidP="005151A7">
            <w:pPr>
              <w:pStyle w:val="TableBodyText"/>
              <w:rPr>
                <w:sz w:val="18"/>
                <w:szCs w:val="18"/>
              </w:rPr>
            </w:pPr>
            <w:r w:rsidRPr="003541EB">
              <w:rPr>
                <w:sz w:val="18"/>
                <w:szCs w:val="18"/>
              </w:rPr>
              <w:t>2.8</w:t>
            </w:r>
          </w:p>
        </w:tc>
        <w:tc>
          <w:tcPr>
            <w:tcW w:w="495" w:type="pct"/>
            <w:vAlign w:val="bottom"/>
          </w:tcPr>
          <w:p w:rsidR="00CB0F31" w:rsidRPr="003541EB" w:rsidRDefault="00CB0F31" w:rsidP="005151A7">
            <w:pPr>
              <w:pStyle w:val="TableBodyText"/>
              <w:rPr>
                <w:sz w:val="18"/>
                <w:szCs w:val="18"/>
              </w:rPr>
            </w:pPr>
            <w:r w:rsidRPr="003541EB">
              <w:rPr>
                <w:sz w:val="18"/>
                <w:szCs w:val="18"/>
              </w:rPr>
              <w:t>0.1</w:t>
            </w:r>
          </w:p>
        </w:tc>
        <w:tc>
          <w:tcPr>
            <w:tcW w:w="495" w:type="pct"/>
            <w:shd w:val="clear" w:color="auto" w:fill="auto"/>
            <w:vAlign w:val="bottom"/>
          </w:tcPr>
          <w:p w:rsidR="00CB0F31" w:rsidRPr="003541EB" w:rsidRDefault="00CB0F31" w:rsidP="005151A7">
            <w:pPr>
              <w:pStyle w:val="TableBodyText"/>
              <w:rPr>
                <w:sz w:val="18"/>
                <w:szCs w:val="18"/>
              </w:rPr>
            </w:pPr>
            <w:r w:rsidRPr="003541EB">
              <w:rPr>
                <w:sz w:val="18"/>
                <w:szCs w:val="18"/>
              </w:rPr>
              <w:t>0.1</w:t>
            </w:r>
          </w:p>
        </w:tc>
        <w:tc>
          <w:tcPr>
            <w:tcW w:w="495" w:type="pct"/>
            <w:shd w:val="clear" w:color="auto" w:fill="auto"/>
            <w:vAlign w:val="bottom"/>
          </w:tcPr>
          <w:p w:rsidR="00CB0F31" w:rsidRPr="003541EB" w:rsidRDefault="00CB0F31" w:rsidP="005151A7">
            <w:pPr>
              <w:pStyle w:val="TableBodyText"/>
              <w:rPr>
                <w:sz w:val="18"/>
                <w:szCs w:val="18"/>
              </w:rPr>
            </w:pPr>
            <w:r>
              <w:rPr>
                <w:sz w:val="18"/>
                <w:szCs w:val="18"/>
              </w:rPr>
              <w:noBreakHyphen/>
            </w:r>
          </w:p>
        </w:tc>
        <w:tc>
          <w:tcPr>
            <w:tcW w:w="488" w:type="pct"/>
            <w:shd w:val="clear" w:color="auto" w:fill="auto"/>
            <w:vAlign w:val="bottom"/>
          </w:tcPr>
          <w:p w:rsidR="00CB0F31" w:rsidRPr="003541EB" w:rsidRDefault="00CB0F31" w:rsidP="005151A7">
            <w:pPr>
              <w:pStyle w:val="TableBodyText"/>
              <w:rPr>
                <w:sz w:val="18"/>
                <w:szCs w:val="18"/>
              </w:rPr>
            </w:pPr>
            <w:r>
              <w:rPr>
                <w:sz w:val="18"/>
                <w:szCs w:val="18"/>
              </w:rPr>
              <w:noBreakHyphen/>
            </w:r>
          </w:p>
        </w:tc>
      </w:tr>
      <w:tr w:rsidR="00CB0F31" w:rsidTr="005151A7">
        <w:trPr>
          <w:trHeight w:val="227"/>
        </w:trPr>
        <w:tc>
          <w:tcPr>
            <w:tcW w:w="1946" w:type="pct"/>
            <w:vAlign w:val="bottom"/>
          </w:tcPr>
          <w:p w:rsidR="00CB0F31" w:rsidRPr="00DC145C" w:rsidRDefault="00CB0F31" w:rsidP="005151A7">
            <w:pPr>
              <w:pStyle w:val="TableBodyText"/>
              <w:jc w:val="left"/>
              <w:rPr>
                <w:b/>
                <w:sz w:val="18"/>
                <w:szCs w:val="18"/>
              </w:rPr>
            </w:pPr>
            <w:r w:rsidRPr="00DC145C">
              <w:rPr>
                <w:b/>
                <w:sz w:val="18"/>
                <w:szCs w:val="18"/>
              </w:rPr>
              <w:t>Services</w:t>
            </w:r>
          </w:p>
        </w:tc>
        <w:tc>
          <w:tcPr>
            <w:tcW w:w="586" w:type="pct"/>
            <w:vAlign w:val="bottom"/>
          </w:tcPr>
          <w:p w:rsidR="00CB0F31" w:rsidRPr="003541EB" w:rsidRDefault="00CB0F31" w:rsidP="005151A7">
            <w:pPr>
              <w:pStyle w:val="TableBodyText"/>
              <w:rPr>
                <w:b/>
                <w:sz w:val="18"/>
                <w:szCs w:val="18"/>
              </w:rPr>
            </w:pPr>
            <w:r w:rsidRPr="003541EB">
              <w:rPr>
                <w:b/>
                <w:sz w:val="18"/>
                <w:szCs w:val="18"/>
              </w:rPr>
              <w:t>8.6</w:t>
            </w:r>
          </w:p>
        </w:tc>
        <w:tc>
          <w:tcPr>
            <w:tcW w:w="495" w:type="pct"/>
            <w:vAlign w:val="bottom"/>
          </w:tcPr>
          <w:p w:rsidR="00CB0F31" w:rsidRPr="003541EB" w:rsidRDefault="00CB0F31" w:rsidP="005151A7">
            <w:pPr>
              <w:pStyle w:val="TableBodyText"/>
              <w:rPr>
                <w:b/>
                <w:sz w:val="18"/>
                <w:szCs w:val="18"/>
              </w:rPr>
            </w:pPr>
            <w:r w:rsidRPr="003541EB">
              <w:rPr>
                <w:b/>
                <w:sz w:val="18"/>
                <w:szCs w:val="18"/>
              </w:rPr>
              <w:t>0.9</w:t>
            </w:r>
          </w:p>
        </w:tc>
        <w:tc>
          <w:tcPr>
            <w:tcW w:w="495" w:type="pct"/>
            <w:vAlign w:val="bottom"/>
          </w:tcPr>
          <w:p w:rsidR="00CB0F31" w:rsidRPr="003541EB" w:rsidRDefault="00CB0F31" w:rsidP="005151A7">
            <w:pPr>
              <w:pStyle w:val="TableBodyText"/>
              <w:rPr>
                <w:b/>
                <w:sz w:val="18"/>
                <w:szCs w:val="18"/>
              </w:rPr>
            </w:pPr>
            <w:r w:rsidRPr="003541EB">
              <w:rPr>
                <w:b/>
                <w:sz w:val="18"/>
                <w:szCs w:val="18"/>
              </w:rPr>
              <w:t>1.5</w:t>
            </w:r>
          </w:p>
        </w:tc>
        <w:tc>
          <w:tcPr>
            <w:tcW w:w="495" w:type="pct"/>
            <w:shd w:val="clear" w:color="auto" w:fill="auto"/>
            <w:vAlign w:val="bottom"/>
          </w:tcPr>
          <w:p w:rsidR="00CB0F31" w:rsidRPr="003541EB" w:rsidRDefault="00CB0F31" w:rsidP="005151A7">
            <w:pPr>
              <w:pStyle w:val="TableBodyText"/>
              <w:rPr>
                <w:b/>
                <w:sz w:val="18"/>
                <w:szCs w:val="18"/>
              </w:rPr>
            </w:pPr>
            <w:r w:rsidRPr="003541EB">
              <w:rPr>
                <w:b/>
                <w:sz w:val="18"/>
                <w:szCs w:val="18"/>
              </w:rPr>
              <w:t>0.4</w:t>
            </w:r>
          </w:p>
        </w:tc>
        <w:tc>
          <w:tcPr>
            <w:tcW w:w="495" w:type="pct"/>
            <w:shd w:val="clear" w:color="auto" w:fill="auto"/>
            <w:vAlign w:val="bottom"/>
          </w:tcPr>
          <w:p w:rsidR="00CB0F31" w:rsidRPr="003541EB" w:rsidRDefault="00CB0F31" w:rsidP="005151A7">
            <w:pPr>
              <w:pStyle w:val="TableBodyText"/>
              <w:rPr>
                <w:b/>
                <w:sz w:val="18"/>
                <w:szCs w:val="18"/>
              </w:rPr>
            </w:pPr>
            <w:r>
              <w:rPr>
                <w:sz w:val="18"/>
                <w:szCs w:val="18"/>
              </w:rPr>
              <w:noBreakHyphen/>
            </w:r>
          </w:p>
        </w:tc>
        <w:tc>
          <w:tcPr>
            <w:tcW w:w="488" w:type="pct"/>
            <w:shd w:val="clear" w:color="auto" w:fill="auto"/>
            <w:vAlign w:val="bottom"/>
          </w:tcPr>
          <w:p w:rsidR="00CB0F31" w:rsidRPr="003541EB" w:rsidRDefault="00CB0F31" w:rsidP="005151A7">
            <w:pPr>
              <w:pStyle w:val="TableBodyText"/>
              <w:rPr>
                <w:b/>
                <w:sz w:val="18"/>
                <w:szCs w:val="18"/>
              </w:rPr>
            </w:pPr>
            <w:r>
              <w:rPr>
                <w:sz w:val="18"/>
                <w:szCs w:val="18"/>
              </w:rPr>
              <w:noBreakHyphen/>
            </w:r>
          </w:p>
        </w:tc>
      </w:tr>
      <w:tr w:rsidR="00CB0F31" w:rsidTr="005151A7">
        <w:trPr>
          <w:trHeight w:val="227"/>
        </w:trPr>
        <w:tc>
          <w:tcPr>
            <w:tcW w:w="1946" w:type="pct"/>
            <w:vAlign w:val="bottom"/>
          </w:tcPr>
          <w:p w:rsidR="00CB0F31" w:rsidRPr="007758AB" w:rsidRDefault="00CB0F31" w:rsidP="005151A7">
            <w:pPr>
              <w:pStyle w:val="TableBodyText"/>
              <w:jc w:val="left"/>
              <w:rPr>
                <w:sz w:val="18"/>
                <w:szCs w:val="18"/>
              </w:rPr>
            </w:pPr>
            <w:r w:rsidRPr="007758AB">
              <w:rPr>
                <w:sz w:val="18"/>
                <w:szCs w:val="18"/>
              </w:rPr>
              <w:t>Construction</w:t>
            </w:r>
          </w:p>
        </w:tc>
        <w:tc>
          <w:tcPr>
            <w:tcW w:w="586" w:type="pct"/>
            <w:vAlign w:val="bottom"/>
          </w:tcPr>
          <w:p w:rsidR="00CB0F31" w:rsidRPr="003541EB" w:rsidRDefault="00CB0F31" w:rsidP="005151A7">
            <w:pPr>
              <w:pStyle w:val="TableBodyText"/>
              <w:rPr>
                <w:sz w:val="18"/>
                <w:szCs w:val="18"/>
              </w:rPr>
            </w:pPr>
            <w:r>
              <w:rPr>
                <w:sz w:val="18"/>
                <w:szCs w:val="18"/>
              </w:rPr>
              <w:noBreakHyphen/>
            </w:r>
          </w:p>
        </w:tc>
        <w:tc>
          <w:tcPr>
            <w:tcW w:w="495" w:type="pct"/>
            <w:vAlign w:val="bottom"/>
          </w:tcPr>
          <w:p w:rsidR="00CB0F31" w:rsidRPr="003541EB" w:rsidRDefault="00CB0F31" w:rsidP="005151A7">
            <w:pPr>
              <w:pStyle w:val="TableBodyText"/>
              <w:rPr>
                <w:sz w:val="18"/>
                <w:szCs w:val="18"/>
              </w:rPr>
            </w:pPr>
            <w:r>
              <w:rPr>
                <w:sz w:val="18"/>
                <w:szCs w:val="18"/>
              </w:rPr>
              <w:noBreakHyphen/>
            </w:r>
          </w:p>
        </w:tc>
        <w:tc>
          <w:tcPr>
            <w:tcW w:w="495" w:type="pct"/>
            <w:vAlign w:val="bottom"/>
          </w:tcPr>
          <w:p w:rsidR="00CB0F31" w:rsidRPr="003541EB" w:rsidRDefault="00CB0F31" w:rsidP="005151A7">
            <w:pPr>
              <w:pStyle w:val="TableBodyText"/>
              <w:rPr>
                <w:sz w:val="18"/>
                <w:szCs w:val="18"/>
              </w:rPr>
            </w:pPr>
            <w:r w:rsidRPr="003541EB">
              <w:rPr>
                <w:sz w:val="18"/>
                <w:szCs w:val="18"/>
              </w:rPr>
              <w:t>0.4</w:t>
            </w:r>
          </w:p>
        </w:tc>
        <w:tc>
          <w:tcPr>
            <w:tcW w:w="495" w:type="pct"/>
            <w:shd w:val="clear" w:color="auto" w:fill="auto"/>
            <w:vAlign w:val="bottom"/>
          </w:tcPr>
          <w:p w:rsidR="00CB0F31" w:rsidRPr="003541EB" w:rsidRDefault="00CB0F31" w:rsidP="005151A7">
            <w:pPr>
              <w:pStyle w:val="TableBodyText"/>
              <w:rPr>
                <w:sz w:val="18"/>
                <w:szCs w:val="18"/>
              </w:rPr>
            </w:pPr>
            <w:r w:rsidRPr="003541EB">
              <w:rPr>
                <w:sz w:val="18"/>
                <w:szCs w:val="18"/>
              </w:rPr>
              <w:t>0.3</w:t>
            </w:r>
          </w:p>
        </w:tc>
        <w:tc>
          <w:tcPr>
            <w:tcW w:w="495" w:type="pct"/>
            <w:shd w:val="clear" w:color="auto" w:fill="auto"/>
            <w:vAlign w:val="bottom"/>
          </w:tcPr>
          <w:p w:rsidR="00CB0F31" w:rsidRPr="003541EB" w:rsidRDefault="00CB0F31" w:rsidP="005151A7">
            <w:pPr>
              <w:pStyle w:val="TableBodyText"/>
              <w:rPr>
                <w:sz w:val="18"/>
                <w:szCs w:val="18"/>
              </w:rPr>
            </w:pPr>
            <w:r>
              <w:rPr>
                <w:sz w:val="18"/>
                <w:szCs w:val="18"/>
              </w:rPr>
              <w:noBreakHyphen/>
            </w:r>
          </w:p>
        </w:tc>
        <w:tc>
          <w:tcPr>
            <w:tcW w:w="488" w:type="pct"/>
            <w:shd w:val="clear" w:color="auto" w:fill="auto"/>
            <w:vAlign w:val="bottom"/>
          </w:tcPr>
          <w:p w:rsidR="00CB0F31" w:rsidRPr="003541EB" w:rsidRDefault="00CB0F31" w:rsidP="005151A7">
            <w:pPr>
              <w:pStyle w:val="TableBodyText"/>
              <w:rPr>
                <w:sz w:val="18"/>
                <w:szCs w:val="18"/>
              </w:rPr>
            </w:pPr>
            <w:r>
              <w:rPr>
                <w:sz w:val="18"/>
                <w:szCs w:val="18"/>
              </w:rPr>
              <w:noBreakHyphen/>
            </w:r>
          </w:p>
        </w:tc>
      </w:tr>
      <w:tr w:rsidR="00CB0F31" w:rsidTr="005151A7">
        <w:trPr>
          <w:trHeight w:val="227"/>
        </w:trPr>
        <w:tc>
          <w:tcPr>
            <w:tcW w:w="1946" w:type="pct"/>
            <w:vAlign w:val="bottom"/>
          </w:tcPr>
          <w:p w:rsidR="00CB0F31" w:rsidRPr="007758AB" w:rsidRDefault="00CB0F31" w:rsidP="005151A7">
            <w:pPr>
              <w:pStyle w:val="TableBodyText"/>
              <w:jc w:val="left"/>
              <w:rPr>
                <w:sz w:val="18"/>
                <w:szCs w:val="18"/>
              </w:rPr>
            </w:pPr>
            <w:r>
              <w:rPr>
                <w:sz w:val="18"/>
                <w:szCs w:val="18"/>
              </w:rPr>
              <w:t>Wholesale trade</w:t>
            </w:r>
          </w:p>
        </w:tc>
        <w:tc>
          <w:tcPr>
            <w:tcW w:w="586" w:type="pct"/>
            <w:vAlign w:val="bottom"/>
          </w:tcPr>
          <w:p w:rsidR="00CB0F31" w:rsidRPr="003541EB" w:rsidRDefault="00CB0F31" w:rsidP="005151A7">
            <w:pPr>
              <w:pStyle w:val="TableBodyText"/>
              <w:rPr>
                <w:sz w:val="18"/>
                <w:szCs w:val="18"/>
              </w:rPr>
            </w:pPr>
            <w:r w:rsidRPr="003541EB">
              <w:rPr>
                <w:sz w:val="18"/>
                <w:szCs w:val="18"/>
              </w:rPr>
              <w:t>0.2</w:t>
            </w:r>
          </w:p>
        </w:tc>
        <w:tc>
          <w:tcPr>
            <w:tcW w:w="495" w:type="pct"/>
            <w:vAlign w:val="bottom"/>
          </w:tcPr>
          <w:p w:rsidR="00CB0F31" w:rsidRPr="003541EB" w:rsidRDefault="00CB0F31" w:rsidP="005151A7">
            <w:pPr>
              <w:pStyle w:val="TableBodyText"/>
              <w:rPr>
                <w:sz w:val="18"/>
                <w:szCs w:val="18"/>
              </w:rPr>
            </w:pPr>
            <w:r w:rsidRPr="003541EB">
              <w:rPr>
                <w:sz w:val="18"/>
                <w:szCs w:val="18"/>
              </w:rPr>
              <w:t>0.2</w:t>
            </w:r>
          </w:p>
        </w:tc>
        <w:tc>
          <w:tcPr>
            <w:tcW w:w="495" w:type="pct"/>
            <w:vAlign w:val="bottom"/>
          </w:tcPr>
          <w:p w:rsidR="00CB0F31" w:rsidRPr="003541EB" w:rsidRDefault="00CB0F31" w:rsidP="005151A7">
            <w:pPr>
              <w:pStyle w:val="TableBodyText"/>
              <w:rPr>
                <w:sz w:val="18"/>
                <w:szCs w:val="18"/>
              </w:rPr>
            </w:pPr>
            <w:r>
              <w:rPr>
                <w:sz w:val="18"/>
                <w:szCs w:val="18"/>
              </w:rPr>
              <w:noBreakHyphen/>
            </w:r>
          </w:p>
        </w:tc>
        <w:tc>
          <w:tcPr>
            <w:tcW w:w="495" w:type="pct"/>
            <w:shd w:val="clear" w:color="auto" w:fill="auto"/>
            <w:vAlign w:val="bottom"/>
          </w:tcPr>
          <w:p w:rsidR="00CB0F31" w:rsidRPr="003541EB" w:rsidRDefault="00CB0F31" w:rsidP="005151A7">
            <w:pPr>
              <w:pStyle w:val="TableBodyText"/>
              <w:rPr>
                <w:sz w:val="18"/>
                <w:szCs w:val="18"/>
              </w:rPr>
            </w:pPr>
            <w:r>
              <w:rPr>
                <w:sz w:val="18"/>
                <w:szCs w:val="18"/>
              </w:rPr>
              <w:noBreakHyphen/>
            </w:r>
          </w:p>
        </w:tc>
        <w:tc>
          <w:tcPr>
            <w:tcW w:w="495" w:type="pct"/>
            <w:shd w:val="clear" w:color="auto" w:fill="auto"/>
            <w:vAlign w:val="bottom"/>
          </w:tcPr>
          <w:p w:rsidR="00CB0F31" w:rsidRPr="003541EB" w:rsidRDefault="00CB0F31" w:rsidP="005151A7">
            <w:pPr>
              <w:pStyle w:val="TableBodyText"/>
              <w:rPr>
                <w:sz w:val="18"/>
                <w:szCs w:val="18"/>
              </w:rPr>
            </w:pPr>
            <w:r>
              <w:rPr>
                <w:sz w:val="18"/>
                <w:szCs w:val="18"/>
              </w:rPr>
              <w:noBreakHyphen/>
            </w:r>
          </w:p>
        </w:tc>
        <w:tc>
          <w:tcPr>
            <w:tcW w:w="488" w:type="pct"/>
            <w:shd w:val="clear" w:color="auto" w:fill="auto"/>
            <w:vAlign w:val="bottom"/>
          </w:tcPr>
          <w:p w:rsidR="00CB0F31" w:rsidRPr="003541EB" w:rsidRDefault="00CB0F31" w:rsidP="005151A7">
            <w:pPr>
              <w:pStyle w:val="TableBodyText"/>
              <w:rPr>
                <w:sz w:val="18"/>
                <w:szCs w:val="18"/>
              </w:rPr>
            </w:pPr>
            <w:r>
              <w:rPr>
                <w:sz w:val="18"/>
                <w:szCs w:val="18"/>
              </w:rPr>
              <w:noBreakHyphen/>
            </w:r>
          </w:p>
        </w:tc>
      </w:tr>
      <w:tr w:rsidR="00CB0F31" w:rsidTr="005151A7">
        <w:trPr>
          <w:trHeight w:val="227"/>
        </w:trPr>
        <w:tc>
          <w:tcPr>
            <w:tcW w:w="1946" w:type="pct"/>
            <w:vAlign w:val="bottom"/>
          </w:tcPr>
          <w:p w:rsidR="00CB0F31" w:rsidRPr="007758AB" w:rsidRDefault="00CB0F31" w:rsidP="005151A7">
            <w:pPr>
              <w:pStyle w:val="TableBodyText"/>
              <w:jc w:val="left"/>
              <w:rPr>
                <w:sz w:val="18"/>
                <w:szCs w:val="18"/>
              </w:rPr>
            </w:pPr>
            <w:r>
              <w:rPr>
                <w:sz w:val="18"/>
                <w:szCs w:val="18"/>
              </w:rPr>
              <w:t>Transport, postal and warehousing</w:t>
            </w:r>
          </w:p>
        </w:tc>
        <w:tc>
          <w:tcPr>
            <w:tcW w:w="586" w:type="pct"/>
            <w:vAlign w:val="bottom"/>
          </w:tcPr>
          <w:p w:rsidR="00CB0F31" w:rsidRPr="003541EB" w:rsidRDefault="00CB0F31" w:rsidP="005151A7">
            <w:pPr>
              <w:pStyle w:val="TableBodyText"/>
              <w:rPr>
                <w:sz w:val="18"/>
                <w:szCs w:val="18"/>
              </w:rPr>
            </w:pPr>
            <w:r>
              <w:rPr>
                <w:sz w:val="18"/>
                <w:szCs w:val="18"/>
              </w:rPr>
              <w:t>&lt;</w:t>
            </w:r>
            <w:r w:rsidRPr="00E17EEF">
              <w:rPr>
                <w:sz w:val="18"/>
                <w:szCs w:val="18"/>
              </w:rPr>
              <w:t>0.</w:t>
            </w:r>
            <w:r>
              <w:rPr>
                <w:sz w:val="18"/>
                <w:szCs w:val="18"/>
              </w:rPr>
              <w:t>1</w:t>
            </w:r>
          </w:p>
        </w:tc>
        <w:tc>
          <w:tcPr>
            <w:tcW w:w="495" w:type="pct"/>
            <w:vAlign w:val="bottom"/>
          </w:tcPr>
          <w:p w:rsidR="00CB0F31" w:rsidRPr="003541EB" w:rsidRDefault="00CB0F31" w:rsidP="005151A7">
            <w:pPr>
              <w:pStyle w:val="TableBodyText"/>
              <w:rPr>
                <w:sz w:val="18"/>
                <w:szCs w:val="18"/>
              </w:rPr>
            </w:pPr>
            <w:r>
              <w:rPr>
                <w:sz w:val="18"/>
                <w:szCs w:val="18"/>
              </w:rPr>
              <w:noBreakHyphen/>
            </w:r>
          </w:p>
        </w:tc>
        <w:tc>
          <w:tcPr>
            <w:tcW w:w="495" w:type="pct"/>
            <w:vAlign w:val="bottom"/>
          </w:tcPr>
          <w:p w:rsidR="00CB0F31" w:rsidRPr="003541EB" w:rsidRDefault="00CB0F31" w:rsidP="005151A7">
            <w:pPr>
              <w:pStyle w:val="TableBodyText"/>
              <w:rPr>
                <w:sz w:val="18"/>
                <w:szCs w:val="18"/>
              </w:rPr>
            </w:pPr>
            <w:r>
              <w:rPr>
                <w:sz w:val="18"/>
                <w:szCs w:val="18"/>
              </w:rPr>
              <w:noBreakHyphen/>
            </w:r>
          </w:p>
        </w:tc>
        <w:tc>
          <w:tcPr>
            <w:tcW w:w="495" w:type="pct"/>
            <w:shd w:val="clear" w:color="auto" w:fill="auto"/>
            <w:vAlign w:val="bottom"/>
          </w:tcPr>
          <w:p w:rsidR="00CB0F31" w:rsidRPr="003541EB" w:rsidRDefault="00CB0F31" w:rsidP="005151A7">
            <w:pPr>
              <w:pStyle w:val="TableBodyText"/>
              <w:rPr>
                <w:sz w:val="18"/>
                <w:szCs w:val="18"/>
              </w:rPr>
            </w:pPr>
            <w:r>
              <w:rPr>
                <w:sz w:val="18"/>
                <w:szCs w:val="18"/>
              </w:rPr>
              <w:noBreakHyphen/>
            </w:r>
          </w:p>
        </w:tc>
        <w:tc>
          <w:tcPr>
            <w:tcW w:w="495" w:type="pct"/>
            <w:shd w:val="clear" w:color="auto" w:fill="auto"/>
            <w:vAlign w:val="bottom"/>
          </w:tcPr>
          <w:p w:rsidR="00CB0F31" w:rsidRPr="003541EB" w:rsidRDefault="00CB0F31" w:rsidP="005151A7">
            <w:pPr>
              <w:pStyle w:val="TableBodyText"/>
              <w:rPr>
                <w:sz w:val="18"/>
                <w:szCs w:val="18"/>
              </w:rPr>
            </w:pPr>
            <w:r>
              <w:rPr>
                <w:sz w:val="18"/>
                <w:szCs w:val="18"/>
              </w:rPr>
              <w:noBreakHyphen/>
            </w:r>
          </w:p>
        </w:tc>
        <w:tc>
          <w:tcPr>
            <w:tcW w:w="488" w:type="pct"/>
            <w:shd w:val="clear" w:color="auto" w:fill="auto"/>
            <w:vAlign w:val="bottom"/>
          </w:tcPr>
          <w:p w:rsidR="00CB0F31" w:rsidRPr="003541EB" w:rsidRDefault="00CB0F31" w:rsidP="005151A7">
            <w:pPr>
              <w:pStyle w:val="TableBodyText"/>
              <w:rPr>
                <w:sz w:val="18"/>
                <w:szCs w:val="18"/>
              </w:rPr>
            </w:pPr>
            <w:r>
              <w:rPr>
                <w:sz w:val="18"/>
                <w:szCs w:val="18"/>
              </w:rPr>
              <w:noBreakHyphen/>
            </w:r>
          </w:p>
        </w:tc>
      </w:tr>
      <w:tr w:rsidR="00CB0F31" w:rsidTr="005151A7">
        <w:trPr>
          <w:trHeight w:val="227"/>
        </w:trPr>
        <w:tc>
          <w:tcPr>
            <w:tcW w:w="1946" w:type="pct"/>
            <w:vAlign w:val="bottom"/>
          </w:tcPr>
          <w:p w:rsidR="00CB0F31" w:rsidRPr="007758AB" w:rsidRDefault="00CB0F31" w:rsidP="005151A7">
            <w:pPr>
              <w:pStyle w:val="TableBodyText"/>
              <w:jc w:val="left"/>
              <w:rPr>
                <w:sz w:val="18"/>
                <w:szCs w:val="18"/>
              </w:rPr>
            </w:pPr>
            <w:r w:rsidRPr="007758AB">
              <w:rPr>
                <w:sz w:val="18"/>
                <w:szCs w:val="18"/>
              </w:rPr>
              <w:t>Information, media and telecommunications</w:t>
            </w:r>
          </w:p>
        </w:tc>
        <w:tc>
          <w:tcPr>
            <w:tcW w:w="586" w:type="pct"/>
            <w:vAlign w:val="bottom"/>
          </w:tcPr>
          <w:p w:rsidR="00CB0F31" w:rsidRPr="003541EB" w:rsidRDefault="00CB0F31" w:rsidP="005151A7">
            <w:pPr>
              <w:pStyle w:val="TableBodyText"/>
              <w:rPr>
                <w:sz w:val="18"/>
                <w:szCs w:val="18"/>
              </w:rPr>
            </w:pPr>
            <w:r w:rsidRPr="003541EB">
              <w:rPr>
                <w:sz w:val="18"/>
                <w:szCs w:val="18"/>
              </w:rPr>
              <w:t>0.6</w:t>
            </w:r>
          </w:p>
        </w:tc>
        <w:tc>
          <w:tcPr>
            <w:tcW w:w="495" w:type="pct"/>
            <w:vAlign w:val="bottom"/>
          </w:tcPr>
          <w:p w:rsidR="00CB0F31" w:rsidRPr="003541EB" w:rsidRDefault="00CB0F31" w:rsidP="005151A7">
            <w:pPr>
              <w:pStyle w:val="TableBodyText"/>
              <w:rPr>
                <w:sz w:val="18"/>
                <w:szCs w:val="18"/>
              </w:rPr>
            </w:pPr>
            <w:r w:rsidRPr="003541EB">
              <w:rPr>
                <w:sz w:val="18"/>
                <w:szCs w:val="18"/>
              </w:rPr>
              <w:t>0.2</w:t>
            </w:r>
          </w:p>
        </w:tc>
        <w:tc>
          <w:tcPr>
            <w:tcW w:w="495" w:type="pct"/>
            <w:vAlign w:val="bottom"/>
          </w:tcPr>
          <w:p w:rsidR="00CB0F31" w:rsidRPr="003541EB" w:rsidRDefault="00CB0F31" w:rsidP="005151A7">
            <w:pPr>
              <w:pStyle w:val="TableBodyText"/>
              <w:rPr>
                <w:sz w:val="18"/>
                <w:szCs w:val="18"/>
              </w:rPr>
            </w:pPr>
            <w:r>
              <w:rPr>
                <w:sz w:val="18"/>
                <w:szCs w:val="18"/>
              </w:rPr>
              <w:noBreakHyphen/>
            </w:r>
          </w:p>
        </w:tc>
        <w:tc>
          <w:tcPr>
            <w:tcW w:w="495" w:type="pct"/>
            <w:shd w:val="clear" w:color="auto" w:fill="auto"/>
            <w:vAlign w:val="bottom"/>
          </w:tcPr>
          <w:p w:rsidR="00CB0F31" w:rsidRPr="003541EB" w:rsidRDefault="00CB0F31" w:rsidP="005151A7">
            <w:pPr>
              <w:pStyle w:val="TableBodyText"/>
              <w:rPr>
                <w:sz w:val="18"/>
                <w:szCs w:val="18"/>
              </w:rPr>
            </w:pPr>
            <w:r>
              <w:rPr>
                <w:sz w:val="18"/>
                <w:szCs w:val="18"/>
              </w:rPr>
              <w:noBreakHyphen/>
            </w:r>
          </w:p>
        </w:tc>
        <w:tc>
          <w:tcPr>
            <w:tcW w:w="495" w:type="pct"/>
            <w:shd w:val="clear" w:color="auto" w:fill="auto"/>
            <w:vAlign w:val="bottom"/>
          </w:tcPr>
          <w:p w:rsidR="00CB0F31" w:rsidRPr="003541EB" w:rsidRDefault="00CB0F31" w:rsidP="005151A7">
            <w:pPr>
              <w:pStyle w:val="TableBodyText"/>
              <w:rPr>
                <w:sz w:val="18"/>
                <w:szCs w:val="18"/>
              </w:rPr>
            </w:pPr>
            <w:r>
              <w:rPr>
                <w:sz w:val="18"/>
                <w:szCs w:val="18"/>
              </w:rPr>
              <w:noBreakHyphen/>
            </w:r>
          </w:p>
        </w:tc>
        <w:tc>
          <w:tcPr>
            <w:tcW w:w="488" w:type="pct"/>
            <w:shd w:val="clear" w:color="auto" w:fill="auto"/>
            <w:vAlign w:val="bottom"/>
          </w:tcPr>
          <w:p w:rsidR="00CB0F31" w:rsidRPr="003541EB" w:rsidRDefault="00CB0F31" w:rsidP="005151A7">
            <w:pPr>
              <w:pStyle w:val="TableBodyText"/>
              <w:rPr>
                <w:sz w:val="18"/>
                <w:szCs w:val="18"/>
              </w:rPr>
            </w:pPr>
            <w:r>
              <w:rPr>
                <w:sz w:val="18"/>
                <w:szCs w:val="18"/>
              </w:rPr>
              <w:noBreakHyphen/>
            </w:r>
          </w:p>
        </w:tc>
      </w:tr>
      <w:tr w:rsidR="00CB0F31" w:rsidTr="005151A7">
        <w:trPr>
          <w:trHeight w:val="227"/>
        </w:trPr>
        <w:tc>
          <w:tcPr>
            <w:tcW w:w="1946" w:type="pct"/>
            <w:vAlign w:val="bottom"/>
          </w:tcPr>
          <w:p w:rsidR="00CB0F31" w:rsidRPr="007758AB" w:rsidRDefault="00CB0F31" w:rsidP="005151A7">
            <w:pPr>
              <w:pStyle w:val="TableBodyText"/>
              <w:jc w:val="left"/>
              <w:rPr>
                <w:sz w:val="18"/>
                <w:szCs w:val="18"/>
              </w:rPr>
            </w:pPr>
            <w:r>
              <w:rPr>
                <w:sz w:val="18"/>
                <w:szCs w:val="18"/>
              </w:rPr>
              <w:t>Financial and insurance services</w:t>
            </w:r>
          </w:p>
        </w:tc>
        <w:tc>
          <w:tcPr>
            <w:tcW w:w="586" w:type="pct"/>
            <w:vAlign w:val="bottom"/>
          </w:tcPr>
          <w:p w:rsidR="00CB0F31" w:rsidRPr="003541EB" w:rsidRDefault="00CB0F31" w:rsidP="005151A7">
            <w:pPr>
              <w:pStyle w:val="TableBodyText"/>
              <w:rPr>
                <w:sz w:val="18"/>
                <w:szCs w:val="18"/>
              </w:rPr>
            </w:pPr>
            <w:r w:rsidRPr="003541EB">
              <w:rPr>
                <w:sz w:val="18"/>
                <w:szCs w:val="18"/>
              </w:rPr>
              <w:t>0.4</w:t>
            </w:r>
          </w:p>
        </w:tc>
        <w:tc>
          <w:tcPr>
            <w:tcW w:w="495" w:type="pct"/>
            <w:vAlign w:val="bottom"/>
          </w:tcPr>
          <w:p w:rsidR="00CB0F31" w:rsidRPr="003541EB" w:rsidRDefault="00CB0F31" w:rsidP="005151A7">
            <w:pPr>
              <w:pStyle w:val="TableBodyText"/>
              <w:rPr>
                <w:sz w:val="18"/>
                <w:szCs w:val="18"/>
              </w:rPr>
            </w:pPr>
            <w:r>
              <w:rPr>
                <w:sz w:val="18"/>
                <w:szCs w:val="18"/>
              </w:rPr>
              <w:noBreakHyphen/>
            </w:r>
          </w:p>
        </w:tc>
        <w:tc>
          <w:tcPr>
            <w:tcW w:w="495" w:type="pct"/>
            <w:vAlign w:val="bottom"/>
          </w:tcPr>
          <w:p w:rsidR="00CB0F31" w:rsidRPr="003541EB" w:rsidRDefault="00CB0F31" w:rsidP="005151A7">
            <w:pPr>
              <w:pStyle w:val="TableBodyText"/>
              <w:rPr>
                <w:sz w:val="18"/>
                <w:szCs w:val="18"/>
              </w:rPr>
            </w:pPr>
            <w:r>
              <w:rPr>
                <w:sz w:val="18"/>
                <w:szCs w:val="18"/>
              </w:rPr>
              <w:noBreakHyphen/>
            </w:r>
          </w:p>
        </w:tc>
        <w:tc>
          <w:tcPr>
            <w:tcW w:w="495" w:type="pct"/>
            <w:shd w:val="clear" w:color="auto" w:fill="auto"/>
            <w:vAlign w:val="bottom"/>
          </w:tcPr>
          <w:p w:rsidR="00CB0F31" w:rsidRPr="003541EB" w:rsidRDefault="00CB0F31" w:rsidP="005151A7">
            <w:pPr>
              <w:pStyle w:val="TableBodyText"/>
              <w:rPr>
                <w:sz w:val="18"/>
                <w:szCs w:val="18"/>
              </w:rPr>
            </w:pPr>
            <w:r>
              <w:rPr>
                <w:sz w:val="18"/>
                <w:szCs w:val="18"/>
              </w:rPr>
              <w:noBreakHyphen/>
            </w:r>
          </w:p>
        </w:tc>
        <w:tc>
          <w:tcPr>
            <w:tcW w:w="495" w:type="pct"/>
            <w:shd w:val="clear" w:color="auto" w:fill="auto"/>
            <w:vAlign w:val="bottom"/>
          </w:tcPr>
          <w:p w:rsidR="00CB0F31" w:rsidRPr="003541EB" w:rsidRDefault="00CB0F31" w:rsidP="005151A7">
            <w:pPr>
              <w:pStyle w:val="TableBodyText"/>
              <w:rPr>
                <w:sz w:val="18"/>
                <w:szCs w:val="18"/>
              </w:rPr>
            </w:pPr>
            <w:r>
              <w:rPr>
                <w:sz w:val="18"/>
                <w:szCs w:val="18"/>
              </w:rPr>
              <w:noBreakHyphen/>
            </w:r>
          </w:p>
        </w:tc>
        <w:tc>
          <w:tcPr>
            <w:tcW w:w="488" w:type="pct"/>
            <w:shd w:val="clear" w:color="auto" w:fill="auto"/>
            <w:vAlign w:val="bottom"/>
          </w:tcPr>
          <w:p w:rsidR="00CB0F31" w:rsidRPr="003541EB" w:rsidRDefault="00CB0F31" w:rsidP="005151A7">
            <w:pPr>
              <w:pStyle w:val="TableBodyText"/>
              <w:rPr>
                <w:sz w:val="18"/>
                <w:szCs w:val="18"/>
              </w:rPr>
            </w:pPr>
            <w:r>
              <w:rPr>
                <w:sz w:val="18"/>
                <w:szCs w:val="18"/>
              </w:rPr>
              <w:noBreakHyphen/>
            </w:r>
          </w:p>
        </w:tc>
      </w:tr>
      <w:tr w:rsidR="00CB0F31" w:rsidTr="005151A7">
        <w:trPr>
          <w:trHeight w:val="227"/>
        </w:trPr>
        <w:tc>
          <w:tcPr>
            <w:tcW w:w="1946" w:type="pct"/>
            <w:vAlign w:val="bottom"/>
          </w:tcPr>
          <w:p w:rsidR="00CB0F31" w:rsidRPr="007758AB" w:rsidRDefault="00CB0F31" w:rsidP="005151A7">
            <w:pPr>
              <w:pStyle w:val="TableBodyText"/>
              <w:jc w:val="left"/>
              <w:rPr>
                <w:sz w:val="18"/>
                <w:szCs w:val="18"/>
              </w:rPr>
            </w:pPr>
            <w:r w:rsidRPr="007758AB">
              <w:rPr>
                <w:sz w:val="18"/>
                <w:szCs w:val="18"/>
              </w:rPr>
              <w:t>Property, professional and administrative services</w:t>
            </w:r>
          </w:p>
        </w:tc>
        <w:tc>
          <w:tcPr>
            <w:tcW w:w="586" w:type="pct"/>
            <w:vAlign w:val="bottom"/>
          </w:tcPr>
          <w:p w:rsidR="00CB0F31" w:rsidRPr="003541EB" w:rsidRDefault="00CB0F31" w:rsidP="005151A7">
            <w:pPr>
              <w:pStyle w:val="TableBodyText"/>
              <w:rPr>
                <w:sz w:val="18"/>
                <w:szCs w:val="18"/>
              </w:rPr>
            </w:pPr>
            <w:r w:rsidRPr="003541EB">
              <w:rPr>
                <w:sz w:val="18"/>
                <w:szCs w:val="18"/>
              </w:rPr>
              <w:t>5.6</w:t>
            </w:r>
          </w:p>
        </w:tc>
        <w:tc>
          <w:tcPr>
            <w:tcW w:w="495" w:type="pct"/>
            <w:vAlign w:val="bottom"/>
          </w:tcPr>
          <w:p w:rsidR="00CB0F31" w:rsidRPr="003541EB" w:rsidRDefault="00CB0F31" w:rsidP="005151A7">
            <w:pPr>
              <w:pStyle w:val="TableBodyText"/>
              <w:rPr>
                <w:sz w:val="18"/>
                <w:szCs w:val="18"/>
              </w:rPr>
            </w:pPr>
            <w:r w:rsidRPr="003541EB">
              <w:rPr>
                <w:sz w:val="18"/>
                <w:szCs w:val="18"/>
              </w:rPr>
              <w:t>0.4</w:t>
            </w:r>
          </w:p>
        </w:tc>
        <w:tc>
          <w:tcPr>
            <w:tcW w:w="495" w:type="pct"/>
            <w:vAlign w:val="bottom"/>
          </w:tcPr>
          <w:p w:rsidR="00CB0F31" w:rsidRPr="003541EB" w:rsidRDefault="00CB0F31" w:rsidP="005151A7">
            <w:pPr>
              <w:pStyle w:val="TableBodyText"/>
              <w:rPr>
                <w:sz w:val="18"/>
                <w:szCs w:val="18"/>
              </w:rPr>
            </w:pPr>
            <w:r w:rsidRPr="003541EB">
              <w:rPr>
                <w:sz w:val="18"/>
                <w:szCs w:val="18"/>
              </w:rPr>
              <w:t>1.1</w:t>
            </w:r>
          </w:p>
        </w:tc>
        <w:tc>
          <w:tcPr>
            <w:tcW w:w="495" w:type="pct"/>
            <w:shd w:val="clear" w:color="auto" w:fill="auto"/>
            <w:vAlign w:val="bottom"/>
          </w:tcPr>
          <w:p w:rsidR="00CB0F31" w:rsidRPr="003541EB" w:rsidRDefault="00CB0F31" w:rsidP="005151A7">
            <w:pPr>
              <w:pStyle w:val="TableBodyText"/>
              <w:rPr>
                <w:sz w:val="18"/>
                <w:szCs w:val="18"/>
              </w:rPr>
            </w:pPr>
            <w:r w:rsidRPr="003541EB">
              <w:rPr>
                <w:sz w:val="18"/>
                <w:szCs w:val="18"/>
              </w:rPr>
              <w:t>0.2</w:t>
            </w:r>
          </w:p>
        </w:tc>
        <w:tc>
          <w:tcPr>
            <w:tcW w:w="495" w:type="pct"/>
            <w:shd w:val="clear" w:color="auto" w:fill="auto"/>
            <w:vAlign w:val="bottom"/>
          </w:tcPr>
          <w:p w:rsidR="00CB0F31" w:rsidRPr="003541EB" w:rsidRDefault="00CB0F31" w:rsidP="005151A7">
            <w:pPr>
              <w:pStyle w:val="TableBodyText"/>
              <w:rPr>
                <w:sz w:val="18"/>
                <w:szCs w:val="18"/>
              </w:rPr>
            </w:pPr>
            <w:r>
              <w:rPr>
                <w:sz w:val="18"/>
                <w:szCs w:val="18"/>
              </w:rPr>
              <w:noBreakHyphen/>
            </w:r>
          </w:p>
        </w:tc>
        <w:tc>
          <w:tcPr>
            <w:tcW w:w="488" w:type="pct"/>
            <w:shd w:val="clear" w:color="auto" w:fill="auto"/>
            <w:vAlign w:val="bottom"/>
          </w:tcPr>
          <w:p w:rsidR="00CB0F31" w:rsidRPr="003541EB" w:rsidRDefault="00CB0F31" w:rsidP="005151A7">
            <w:pPr>
              <w:pStyle w:val="TableBodyText"/>
              <w:rPr>
                <w:sz w:val="18"/>
                <w:szCs w:val="18"/>
              </w:rPr>
            </w:pPr>
            <w:r>
              <w:rPr>
                <w:sz w:val="18"/>
                <w:szCs w:val="18"/>
              </w:rPr>
              <w:noBreakHyphen/>
            </w:r>
          </w:p>
        </w:tc>
      </w:tr>
      <w:tr w:rsidR="00CB0F31" w:rsidTr="005151A7">
        <w:trPr>
          <w:trHeight w:val="227"/>
        </w:trPr>
        <w:tc>
          <w:tcPr>
            <w:tcW w:w="1946" w:type="pct"/>
            <w:vAlign w:val="bottom"/>
          </w:tcPr>
          <w:p w:rsidR="00CB0F31" w:rsidRPr="007758AB" w:rsidRDefault="00CB0F31" w:rsidP="005151A7">
            <w:pPr>
              <w:pStyle w:val="TableBodyText"/>
              <w:jc w:val="left"/>
              <w:rPr>
                <w:sz w:val="18"/>
                <w:szCs w:val="18"/>
              </w:rPr>
            </w:pPr>
            <w:r>
              <w:rPr>
                <w:sz w:val="18"/>
                <w:szCs w:val="18"/>
              </w:rPr>
              <w:t>Education and training</w:t>
            </w:r>
          </w:p>
        </w:tc>
        <w:tc>
          <w:tcPr>
            <w:tcW w:w="586" w:type="pct"/>
            <w:vAlign w:val="bottom"/>
          </w:tcPr>
          <w:p w:rsidR="00CB0F31" w:rsidRPr="003541EB" w:rsidRDefault="00CB0F31" w:rsidP="005151A7">
            <w:pPr>
              <w:pStyle w:val="TableBodyText"/>
              <w:rPr>
                <w:sz w:val="18"/>
                <w:szCs w:val="18"/>
              </w:rPr>
            </w:pPr>
            <w:r>
              <w:rPr>
                <w:sz w:val="18"/>
                <w:szCs w:val="18"/>
              </w:rPr>
              <w:t>&lt;</w:t>
            </w:r>
            <w:r w:rsidRPr="00E17EEF">
              <w:rPr>
                <w:sz w:val="18"/>
                <w:szCs w:val="18"/>
              </w:rPr>
              <w:t>0.</w:t>
            </w:r>
            <w:r>
              <w:rPr>
                <w:sz w:val="18"/>
                <w:szCs w:val="18"/>
              </w:rPr>
              <w:t>1</w:t>
            </w:r>
          </w:p>
        </w:tc>
        <w:tc>
          <w:tcPr>
            <w:tcW w:w="495" w:type="pct"/>
            <w:vAlign w:val="bottom"/>
          </w:tcPr>
          <w:p w:rsidR="00CB0F31" w:rsidRPr="003541EB" w:rsidRDefault="00CB0F31" w:rsidP="005151A7">
            <w:pPr>
              <w:pStyle w:val="TableBodyText"/>
              <w:rPr>
                <w:sz w:val="18"/>
                <w:szCs w:val="18"/>
              </w:rPr>
            </w:pPr>
            <w:r>
              <w:rPr>
                <w:sz w:val="18"/>
                <w:szCs w:val="18"/>
              </w:rPr>
              <w:noBreakHyphen/>
            </w:r>
          </w:p>
        </w:tc>
        <w:tc>
          <w:tcPr>
            <w:tcW w:w="495" w:type="pct"/>
            <w:vAlign w:val="bottom"/>
          </w:tcPr>
          <w:p w:rsidR="00CB0F31" w:rsidRPr="003541EB" w:rsidRDefault="00CB0F31" w:rsidP="005151A7">
            <w:pPr>
              <w:pStyle w:val="TableBodyText"/>
              <w:rPr>
                <w:sz w:val="18"/>
                <w:szCs w:val="18"/>
              </w:rPr>
            </w:pPr>
            <w:r>
              <w:rPr>
                <w:sz w:val="18"/>
                <w:szCs w:val="18"/>
              </w:rPr>
              <w:noBreakHyphen/>
            </w:r>
          </w:p>
        </w:tc>
        <w:tc>
          <w:tcPr>
            <w:tcW w:w="495" w:type="pct"/>
            <w:shd w:val="clear" w:color="auto" w:fill="auto"/>
            <w:vAlign w:val="bottom"/>
          </w:tcPr>
          <w:p w:rsidR="00CB0F31" w:rsidRPr="003541EB" w:rsidRDefault="00CB0F31" w:rsidP="005151A7">
            <w:pPr>
              <w:pStyle w:val="TableBodyText"/>
              <w:rPr>
                <w:sz w:val="18"/>
                <w:szCs w:val="18"/>
              </w:rPr>
            </w:pPr>
            <w:r>
              <w:rPr>
                <w:sz w:val="18"/>
                <w:szCs w:val="18"/>
              </w:rPr>
              <w:noBreakHyphen/>
            </w:r>
          </w:p>
        </w:tc>
        <w:tc>
          <w:tcPr>
            <w:tcW w:w="495" w:type="pct"/>
            <w:shd w:val="clear" w:color="auto" w:fill="auto"/>
            <w:vAlign w:val="bottom"/>
          </w:tcPr>
          <w:p w:rsidR="00CB0F31" w:rsidRPr="003541EB" w:rsidRDefault="00CB0F31" w:rsidP="005151A7">
            <w:pPr>
              <w:pStyle w:val="TableBodyText"/>
              <w:rPr>
                <w:sz w:val="18"/>
                <w:szCs w:val="18"/>
              </w:rPr>
            </w:pPr>
            <w:r>
              <w:rPr>
                <w:sz w:val="18"/>
                <w:szCs w:val="18"/>
              </w:rPr>
              <w:noBreakHyphen/>
            </w:r>
          </w:p>
        </w:tc>
        <w:tc>
          <w:tcPr>
            <w:tcW w:w="488" w:type="pct"/>
            <w:shd w:val="clear" w:color="auto" w:fill="auto"/>
            <w:vAlign w:val="bottom"/>
          </w:tcPr>
          <w:p w:rsidR="00CB0F31" w:rsidRPr="003541EB" w:rsidRDefault="00CB0F31" w:rsidP="005151A7">
            <w:pPr>
              <w:pStyle w:val="TableBodyText"/>
              <w:rPr>
                <w:sz w:val="18"/>
                <w:szCs w:val="18"/>
              </w:rPr>
            </w:pPr>
            <w:r>
              <w:rPr>
                <w:sz w:val="18"/>
                <w:szCs w:val="18"/>
              </w:rPr>
              <w:noBreakHyphen/>
            </w:r>
          </w:p>
        </w:tc>
      </w:tr>
      <w:tr w:rsidR="00CB0F31" w:rsidTr="005151A7">
        <w:trPr>
          <w:trHeight w:val="227"/>
        </w:trPr>
        <w:tc>
          <w:tcPr>
            <w:tcW w:w="1946" w:type="pct"/>
            <w:vAlign w:val="bottom"/>
          </w:tcPr>
          <w:p w:rsidR="00CB0F31" w:rsidRPr="007758AB" w:rsidRDefault="00CB0F31" w:rsidP="005151A7">
            <w:pPr>
              <w:pStyle w:val="TableBodyText"/>
              <w:jc w:val="left"/>
              <w:rPr>
                <w:sz w:val="18"/>
                <w:szCs w:val="18"/>
              </w:rPr>
            </w:pPr>
            <w:r w:rsidRPr="007758AB">
              <w:rPr>
                <w:sz w:val="18"/>
                <w:szCs w:val="18"/>
              </w:rPr>
              <w:t>Health care and social assistance</w:t>
            </w:r>
          </w:p>
        </w:tc>
        <w:tc>
          <w:tcPr>
            <w:tcW w:w="586" w:type="pct"/>
            <w:vAlign w:val="bottom"/>
          </w:tcPr>
          <w:p w:rsidR="00CB0F31" w:rsidRPr="003541EB" w:rsidRDefault="00CB0F31" w:rsidP="005151A7">
            <w:pPr>
              <w:pStyle w:val="TableBodyText"/>
              <w:rPr>
                <w:sz w:val="18"/>
                <w:szCs w:val="18"/>
              </w:rPr>
            </w:pPr>
            <w:r w:rsidRPr="003541EB">
              <w:rPr>
                <w:sz w:val="18"/>
                <w:szCs w:val="18"/>
              </w:rPr>
              <w:t>1.8</w:t>
            </w:r>
          </w:p>
        </w:tc>
        <w:tc>
          <w:tcPr>
            <w:tcW w:w="495" w:type="pct"/>
            <w:vAlign w:val="bottom"/>
          </w:tcPr>
          <w:p w:rsidR="00CB0F31" w:rsidRPr="003541EB" w:rsidRDefault="00CB0F31" w:rsidP="005151A7">
            <w:pPr>
              <w:pStyle w:val="TableBodyText"/>
              <w:rPr>
                <w:sz w:val="18"/>
                <w:szCs w:val="18"/>
              </w:rPr>
            </w:pPr>
            <w:r w:rsidRPr="003541EB">
              <w:rPr>
                <w:sz w:val="18"/>
                <w:szCs w:val="18"/>
              </w:rPr>
              <w:t>0.2</w:t>
            </w:r>
          </w:p>
        </w:tc>
        <w:tc>
          <w:tcPr>
            <w:tcW w:w="495" w:type="pct"/>
            <w:vAlign w:val="bottom"/>
          </w:tcPr>
          <w:p w:rsidR="00CB0F31" w:rsidRPr="003541EB" w:rsidRDefault="00CB0F31" w:rsidP="005151A7">
            <w:pPr>
              <w:pStyle w:val="TableBodyText"/>
              <w:rPr>
                <w:sz w:val="18"/>
                <w:szCs w:val="18"/>
              </w:rPr>
            </w:pPr>
            <w:r>
              <w:rPr>
                <w:sz w:val="18"/>
                <w:szCs w:val="18"/>
              </w:rPr>
              <w:noBreakHyphen/>
            </w:r>
          </w:p>
        </w:tc>
        <w:tc>
          <w:tcPr>
            <w:tcW w:w="495" w:type="pct"/>
            <w:shd w:val="clear" w:color="auto" w:fill="auto"/>
            <w:vAlign w:val="bottom"/>
          </w:tcPr>
          <w:p w:rsidR="00CB0F31" w:rsidRPr="003541EB" w:rsidRDefault="00CB0F31" w:rsidP="005151A7">
            <w:pPr>
              <w:pStyle w:val="TableBodyText"/>
              <w:rPr>
                <w:sz w:val="18"/>
                <w:szCs w:val="18"/>
              </w:rPr>
            </w:pPr>
            <w:r>
              <w:rPr>
                <w:sz w:val="18"/>
                <w:szCs w:val="18"/>
              </w:rPr>
              <w:noBreakHyphen/>
            </w:r>
          </w:p>
        </w:tc>
        <w:tc>
          <w:tcPr>
            <w:tcW w:w="495" w:type="pct"/>
            <w:shd w:val="clear" w:color="auto" w:fill="auto"/>
            <w:vAlign w:val="bottom"/>
          </w:tcPr>
          <w:p w:rsidR="00CB0F31" w:rsidRPr="003541EB" w:rsidRDefault="00CB0F31" w:rsidP="005151A7">
            <w:pPr>
              <w:pStyle w:val="TableBodyText"/>
              <w:rPr>
                <w:sz w:val="18"/>
                <w:szCs w:val="18"/>
              </w:rPr>
            </w:pPr>
            <w:r>
              <w:rPr>
                <w:sz w:val="18"/>
                <w:szCs w:val="18"/>
              </w:rPr>
              <w:noBreakHyphen/>
            </w:r>
          </w:p>
        </w:tc>
        <w:tc>
          <w:tcPr>
            <w:tcW w:w="488" w:type="pct"/>
            <w:shd w:val="clear" w:color="auto" w:fill="auto"/>
            <w:vAlign w:val="bottom"/>
          </w:tcPr>
          <w:p w:rsidR="00CB0F31" w:rsidRPr="003541EB" w:rsidRDefault="00CB0F31" w:rsidP="005151A7">
            <w:pPr>
              <w:pStyle w:val="TableBodyText"/>
              <w:rPr>
                <w:sz w:val="18"/>
                <w:szCs w:val="18"/>
              </w:rPr>
            </w:pPr>
            <w:r>
              <w:rPr>
                <w:sz w:val="18"/>
                <w:szCs w:val="18"/>
              </w:rPr>
              <w:noBreakHyphen/>
            </w:r>
          </w:p>
        </w:tc>
      </w:tr>
      <w:tr w:rsidR="00CB0F31" w:rsidTr="005151A7">
        <w:trPr>
          <w:trHeight w:val="227"/>
        </w:trPr>
        <w:tc>
          <w:tcPr>
            <w:tcW w:w="1946" w:type="pct"/>
            <w:vAlign w:val="bottom"/>
          </w:tcPr>
          <w:p w:rsidR="00CB0F31" w:rsidRPr="007758AB" w:rsidRDefault="00CB0F31" w:rsidP="005151A7">
            <w:pPr>
              <w:pStyle w:val="TableBodyText"/>
              <w:jc w:val="left"/>
              <w:rPr>
                <w:sz w:val="18"/>
                <w:szCs w:val="18"/>
              </w:rPr>
            </w:pPr>
            <w:r>
              <w:rPr>
                <w:sz w:val="18"/>
                <w:szCs w:val="18"/>
              </w:rPr>
              <w:t>Unallocated other</w:t>
            </w:r>
            <w:r w:rsidRPr="00682BD4">
              <w:rPr>
                <w:rStyle w:val="NoteLabel"/>
                <w:szCs w:val="18"/>
              </w:rPr>
              <w:t>a</w:t>
            </w:r>
          </w:p>
        </w:tc>
        <w:tc>
          <w:tcPr>
            <w:tcW w:w="586" w:type="pct"/>
            <w:vAlign w:val="bottom"/>
          </w:tcPr>
          <w:p w:rsidR="00CB0F31" w:rsidRPr="003541EB" w:rsidRDefault="00CB0F31" w:rsidP="005151A7">
            <w:pPr>
              <w:pStyle w:val="TableBodyText"/>
              <w:rPr>
                <w:sz w:val="18"/>
                <w:szCs w:val="18"/>
              </w:rPr>
            </w:pPr>
            <w:r w:rsidRPr="003541EB">
              <w:rPr>
                <w:sz w:val="18"/>
                <w:szCs w:val="18"/>
              </w:rPr>
              <w:t>2.2</w:t>
            </w:r>
          </w:p>
        </w:tc>
        <w:tc>
          <w:tcPr>
            <w:tcW w:w="495" w:type="pct"/>
            <w:vAlign w:val="bottom"/>
          </w:tcPr>
          <w:p w:rsidR="00CB0F31" w:rsidRPr="003541EB" w:rsidRDefault="00CB0F31" w:rsidP="005151A7">
            <w:pPr>
              <w:pStyle w:val="TableBodyText"/>
              <w:rPr>
                <w:sz w:val="18"/>
                <w:szCs w:val="18"/>
              </w:rPr>
            </w:pPr>
            <w:r w:rsidRPr="003541EB">
              <w:rPr>
                <w:sz w:val="18"/>
                <w:szCs w:val="18"/>
              </w:rPr>
              <w:t>1.5</w:t>
            </w:r>
          </w:p>
        </w:tc>
        <w:tc>
          <w:tcPr>
            <w:tcW w:w="495" w:type="pct"/>
            <w:vAlign w:val="bottom"/>
          </w:tcPr>
          <w:p w:rsidR="00CB0F31" w:rsidRPr="003541EB" w:rsidRDefault="00CB0F31" w:rsidP="005151A7">
            <w:pPr>
              <w:pStyle w:val="TableBodyText"/>
              <w:rPr>
                <w:sz w:val="18"/>
                <w:szCs w:val="18"/>
              </w:rPr>
            </w:pPr>
            <w:r>
              <w:rPr>
                <w:sz w:val="18"/>
                <w:szCs w:val="18"/>
              </w:rPr>
              <w:noBreakHyphen/>
            </w:r>
          </w:p>
        </w:tc>
        <w:tc>
          <w:tcPr>
            <w:tcW w:w="495" w:type="pct"/>
            <w:shd w:val="clear" w:color="auto" w:fill="auto"/>
            <w:vAlign w:val="bottom"/>
          </w:tcPr>
          <w:p w:rsidR="00CB0F31" w:rsidRPr="003541EB" w:rsidRDefault="00CB0F31" w:rsidP="005151A7">
            <w:pPr>
              <w:pStyle w:val="TableBodyText"/>
              <w:rPr>
                <w:sz w:val="18"/>
                <w:szCs w:val="18"/>
              </w:rPr>
            </w:pPr>
            <w:r>
              <w:rPr>
                <w:sz w:val="18"/>
                <w:szCs w:val="18"/>
              </w:rPr>
              <w:noBreakHyphen/>
            </w:r>
          </w:p>
        </w:tc>
        <w:tc>
          <w:tcPr>
            <w:tcW w:w="495" w:type="pct"/>
            <w:shd w:val="clear" w:color="auto" w:fill="auto"/>
            <w:vAlign w:val="bottom"/>
          </w:tcPr>
          <w:p w:rsidR="00CB0F31" w:rsidRPr="003541EB" w:rsidRDefault="00CB0F31" w:rsidP="005151A7">
            <w:pPr>
              <w:pStyle w:val="TableBodyText"/>
              <w:rPr>
                <w:sz w:val="18"/>
                <w:szCs w:val="18"/>
              </w:rPr>
            </w:pPr>
            <w:r>
              <w:rPr>
                <w:sz w:val="18"/>
                <w:szCs w:val="18"/>
              </w:rPr>
              <w:noBreakHyphen/>
            </w:r>
          </w:p>
        </w:tc>
        <w:tc>
          <w:tcPr>
            <w:tcW w:w="488" w:type="pct"/>
            <w:shd w:val="clear" w:color="auto" w:fill="auto"/>
            <w:vAlign w:val="bottom"/>
          </w:tcPr>
          <w:p w:rsidR="00CB0F31" w:rsidRPr="003541EB" w:rsidRDefault="00CB0F31" w:rsidP="005151A7">
            <w:pPr>
              <w:pStyle w:val="TableBodyText"/>
              <w:rPr>
                <w:sz w:val="18"/>
                <w:szCs w:val="18"/>
              </w:rPr>
            </w:pPr>
            <w:r>
              <w:rPr>
                <w:sz w:val="18"/>
                <w:szCs w:val="18"/>
              </w:rPr>
              <w:noBreakHyphen/>
            </w:r>
          </w:p>
        </w:tc>
      </w:tr>
      <w:tr w:rsidR="00CB0F31" w:rsidTr="005151A7">
        <w:trPr>
          <w:trHeight w:val="227"/>
        </w:trPr>
        <w:tc>
          <w:tcPr>
            <w:tcW w:w="1946" w:type="pct"/>
            <w:tcBorders>
              <w:bottom w:val="single" w:sz="4" w:space="0" w:color="auto"/>
            </w:tcBorders>
            <w:vAlign w:val="bottom"/>
          </w:tcPr>
          <w:p w:rsidR="00CB0F31" w:rsidRPr="007758AB" w:rsidRDefault="00CB0F31" w:rsidP="005151A7">
            <w:pPr>
              <w:pStyle w:val="TableBodyText"/>
              <w:jc w:val="left"/>
              <w:rPr>
                <w:b/>
                <w:bCs/>
                <w:sz w:val="18"/>
                <w:szCs w:val="18"/>
              </w:rPr>
            </w:pPr>
            <w:r w:rsidRPr="007758AB">
              <w:rPr>
                <w:b/>
                <w:bCs/>
                <w:sz w:val="18"/>
                <w:szCs w:val="18"/>
              </w:rPr>
              <w:t>Total</w:t>
            </w:r>
          </w:p>
        </w:tc>
        <w:tc>
          <w:tcPr>
            <w:tcW w:w="586" w:type="pct"/>
            <w:tcBorders>
              <w:bottom w:val="single" w:sz="4" w:space="0" w:color="auto"/>
            </w:tcBorders>
            <w:vAlign w:val="bottom"/>
          </w:tcPr>
          <w:p w:rsidR="00CB0F31" w:rsidRPr="003541EB" w:rsidRDefault="00CB0F31" w:rsidP="005151A7">
            <w:pPr>
              <w:pStyle w:val="TableBodyText"/>
              <w:rPr>
                <w:b/>
                <w:sz w:val="18"/>
                <w:szCs w:val="18"/>
              </w:rPr>
            </w:pPr>
            <w:r w:rsidRPr="003541EB">
              <w:rPr>
                <w:b/>
                <w:sz w:val="18"/>
                <w:szCs w:val="18"/>
              </w:rPr>
              <w:t>35.3</w:t>
            </w:r>
          </w:p>
        </w:tc>
        <w:tc>
          <w:tcPr>
            <w:tcW w:w="495" w:type="pct"/>
            <w:tcBorders>
              <w:bottom w:val="single" w:sz="4" w:space="0" w:color="auto"/>
            </w:tcBorders>
            <w:vAlign w:val="bottom"/>
          </w:tcPr>
          <w:p w:rsidR="00CB0F31" w:rsidRPr="003541EB" w:rsidRDefault="00CB0F31" w:rsidP="005151A7">
            <w:pPr>
              <w:pStyle w:val="TableBodyText"/>
              <w:rPr>
                <w:b/>
                <w:sz w:val="18"/>
                <w:szCs w:val="18"/>
              </w:rPr>
            </w:pPr>
            <w:r w:rsidRPr="003541EB">
              <w:rPr>
                <w:b/>
                <w:sz w:val="18"/>
                <w:szCs w:val="18"/>
              </w:rPr>
              <w:t>12.7</w:t>
            </w:r>
          </w:p>
        </w:tc>
        <w:tc>
          <w:tcPr>
            <w:tcW w:w="495" w:type="pct"/>
            <w:tcBorders>
              <w:bottom w:val="single" w:sz="4" w:space="0" w:color="auto"/>
            </w:tcBorders>
            <w:vAlign w:val="bottom"/>
          </w:tcPr>
          <w:p w:rsidR="00CB0F31" w:rsidRPr="003541EB" w:rsidRDefault="00CB0F31" w:rsidP="005151A7">
            <w:pPr>
              <w:pStyle w:val="TableBodyText"/>
              <w:rPr>
                <w:b/>
                <w:sz w:val="18"/>
                <w:szCs w:val="18"/>
              </w:rPr>
            </w:pPr>
            <w:r w:rsidRPr="003541EB">
              <w:rPr>
                <w:b/>
                <w:sz w:val="18"/>
                <w:szCs w:val="18"/>
              </w:rPr>
              <w:t>2.2</w:t>
            </w:r>
          </w:p>
        </w:tc>
        <w:tc>
          <w:tcPr>
            <w:tcW w:w="495" w:type="pct"/>
            <w:tcBorders>
              <w:bottom w:val="single" w:sz="4" w:space="0" w:color="auto"/>
            </w:tcBorders>
            <w:shd w:val="clear" w:color="auto" w:fill="auto"/>
            <w:vAlign w:val="bottom"/>
          </w:tcPr>
          <w:p w:rsidR="00CB0F31" w:rsidRPr="003541EB" w:rsidRDefault="00CB0F31" w:rsidP="005151A7">
            <w:pPr>
              <w:pStyle w:val="TableBodyText"/>
              <w:rPr>
                <w:b/>
                <w:sz w:val="18"/>
                <w:szCs w:val="18"/>
              </w:rPr>
            </w:pPr>
            <w:r w:rsidRPr="003541EB">
              <w:rPr>
                <w:b/>
                <w:sz w:val="18"/>
                <w:szCs w:val="18"/>
              </w:rPr>
              <w:t>0.5</w:t>
            </w:r>
          </w:p>
        </w:tc>
        <w:tc>
          <w:tcPr>
            <w:tcW w:w="495" w:type="pct"/>
            <w:tcBorders>
              <w:bottom w:val="single" w:sz="4" w:space="0" w:color="auto"/>
            </w:tcBorders>
            <w:shd w:val="clear" w:color="auto" w:fill="auto"/>
            <w:vAlign w:val="bottom"/>
          </w:tcPr>
          <w:p w:rsidR="00CB0F31" w:rsidRPr="003541EB" w:rsidRDefault="00CB0F31" w:rsidP="005151A7">
            <w:pPr>
              <w:pStyle w:val="TableBodyText"/>
              <w:rPr>
                <w:b/>
                <w:sz w:val="18"/>
                <w:szCs w:val="18"/>
              </w:rPr>
            </w:pPr>
            <w:r>
              <w:rPr>
                <w:sz w:val="18"/>
                <w:szCs w:val="18"/>
              </w:rPr>
              <w:noBreakHyphen/>
            </w:r>
          </w:p>
        </w:tc>
        <w:tc>
          <w:tcPr>
            <w:tcW w:w="488" w:type="pct"/>
            <w:tcBorders>
              <w:bottom w:val="single" w:sz="4" w:space="0" w:color="auto"/>
            </w:tcBorders>
            <w:shd w:val="clear" w:color="auto" w:fill="auto"/>
            <w:vAlign w:val="bottom"/>
          </w:tcPr>
          <w:p w:rsidR="00CB0F31" w:rsidRPr="003541EB" w:rsidRDefault="00CB0F31" w:rsidP="005151A7">
            <w:pPr>
              <w:pStyle w:val="TableBodyText"/>
              <w:rPr>
                <w:b/>
                <w:sz w:val="18"/>
                <w:szCs w:val="18"/>
              </w:rPr>
            </w:pPr>
            <w:r>
              <w:rPr>
                <w:sz w:val="18"/>
                <w:szCs w:val="18"/>
              </w:rPr>
              <w:noBreakHyphen/>
            </w:r>
          </w:p>
        </w:tc>
      </w:tr>
    </w:tbl>
    <w:p w:rsidR="00CB0F31" w:rsidRDefault="00CB0F31" w:rsidP="00CB0F31">
      <w:pPr>
        <w:pStyle w:val="Source"/>
        <w:spacing w:after="0"/>
        <w:rPr>
          <w:i/>
        </w:rPr>
      </w:pPr>
      <w:r>
        <w:t xml:space="preserve">– Nil. </w:t>
      </w:r>
      <w:r w:rsidRPr="008E77FE">
        <w:rPr>
          <w:rStyle w:val="NoteLabel"/>
        </w:rPr>
        <w:t>a</w:t>
      </w:r>
      <w:r>
        <w:t xml:space="preserve"> </w:t>
      </w:r>
      <w:r w:rsidRPr="00B81ACC">
        <w:t>Unallocated includes general programs where details of beneficiaries are unknown</w:t>
      </w:r>
      <w:r>
        <w:t>.</w:t>
      </w:r>
    </w:p>
    <w:p w:rsidR="00CB0F31" w:rsidRPr="008E77FE" w:rsidRDefault="00CB0F31" w:rsidP="00CB0F31">
      <w:pPr>
        <w:pStyle w:val="Source"/>
      </w:pPr>
      <w:r>
        <w:rPr>
          <w:i/>
        </w:rPr>
        <w:t>Source</w:t>
      </w:r>
      <w:r>
        <w:t>: Commission estimates based on detailed DIISR data by ANZSIC industry.</w:t>
      </w:r>
    </w:p>
    <w:p w:rsidR="004D12AB" w:rsidRDefault="00FA09C3" w:rsidP="004D12AB">
      <w:pPr>
        <w:pStyle w:val="Heading2"/>
      </w:pPr>
      <w:r>
        <w:t>A.</w:t>
      </w:r>
      <w:r>
        <w:rPr>
          <w:noProof/>
        </w:rPr>
        <w:t>162</w:t>
      </w:r>
      <w:r w:rsidR="004D12AB">
        <w:tab/>
        <w:t>National Livestock Identification System</w:t>
      </w:r>
    </w:p>
    <w:p w:rsidR="004D12AB" w:rsidRDefault="004D12AB" w:rsidP="004D12AB">
      <w:pPr>
        <w:pStyle w:val="BodyText"/>
      </w:pPr>
      <w:r>
        <w:t>The National Livestock Identification System (NLIS) is Australia’s system for identification and traceability of livestock — especially cattle, sheep and goats (</w:t>
      </w:r>
      <w:r w:rsidRPr="00C305B5">
        <w:t>MLA 2013</w:t>
      </w:r>
      <w:r>
        <w:t>). The NLIS was introduced in 1999 to enhance Australia’s ability to track cattle during disease and food incidents. Since its introduction, the system has expanded to enable livestock to be traced from the property of birth to slaughter for</w:t>
      </w:r>
      <w:r w:rsidR="00246CE4">
        <w:t xml:space="preserve"> the purposes of</w:t>
      </w:r>
      <w:r>
        <w:t>:</w:t>
      </w:r>
    </w:p>
    <w:p w:rsidR="004D12AB" w:rsidRDefault="004D12AB" w:rsidP="004D12AB">
      <w:pPr>
        <w:pStyle w:val="ListBullet"/>
      </w:pPr>
      <w:r>
        <w:t>biosecurity;</w:t>
      </w:r>
    </w:p>
    <w:p w:rsidR="004D12AB" w:rsidRDefault="004D12AB" w:rsidP="004D12AB">
      <w:pPr>
        <w:pStyle w:val="ListBullet"/>
      </w:pPr>
      <w:r>
        <w:t>meat safety;</w:t>
      </w:r>
    </w:p>
    <w:p w:rsidR="004D12AB" w:rsidRDefault="004D12AB" w:rsidP="004D12AB">
      <w:pPr>
        <w:pStyle w:val="ListBullet"/>
      </w:pPr>
      <w:r>
        <w:t>product integrity; and</w:t>
      </w:r>
    </w:p>
    <w:p w:rsidR="004D12AB" w:rsidRDefault="004D12AB" w:rsidP="004D12AB">
      <w:pPr>
        <w:pStyle w:val="ListBullet"/>
      </w:pPr>
      <w:r>
        <w:t>market access.</w:t>
      </w:r>
    </w:p>
    <w:p w:rsidR="004D12AB" w:rsidRDefault="004D12AB" w:rsidP="004D12AB">
      <w:pPr>
        <w:pStyle w:val="BodyText"/>
      </w:pPr>
      <w:r>
        <w:t>The Australian Government provided funding to assist the livestock industry to implement the NLIS. The NLIS selectively benefited firms engaged in livestock farming which are predomina</w:t>
      </w:r>
      <w:r w:rsidR="00246CE4">
        <w:t>n</w:t>
      </w:r>
      <w:r>
        <w:t xml:space="preserve">tly located in the </w:t>
      </w:r>
      <w:r w:rsidRPr="00E67559">
        <w:rPr>
          <w:i/>
        </w:rPr>
        <w:t>Sheep, beef cattle and grain farming</w:t>
      </w:r>
      <w:r>
        <w:t xml:space="preserve"> industry grouping in the Commission’s ANZSIC-based classification (table A.16</w:t>
      </w:r>
      <w:r w:rsidR="00C065C1">
        <w:t>2</w:t>
      </w:r>
      <w:r>
        <w:t>).</w:t>
      </w:r>
    </w:p>
    <w:p w:rsidR="004D12AB" w:rsidRDefault="004D12AB" w:rsidP="004D12AB">
      <w:pPr>
        <w:pStyle w:val="TableTitle"/>
      </w:pPr>
      <w:r>
        <w:rPr>
          <w:b w:val="0"/>
        </w:rPr>
        <w:t xml:space="preserve">Table </w:t>
      </w:r>
      <w:r w:rsidR="00FA09C3">
        <w:rPr>
          <w:b w:val="0"/>
        </w:rPr>
        <w:t>A.</w:t>
      </w:r>
      <w:r w:rsidR="00FA09C3">
        <w:rPr>
          <w:b w:val="0"/>
          <w:noProof/>
        </w:rPr>
        <w:t>162</w:t>
      </w:r>
      <w:r>
        <w:tab/>
        <w:t>Allocation of National Livestock Identification System</w:t>
      </w:r>
      <w:r w:rsidR="00E471E2" w:rsidRPr="00E471E2">
        <w:t xml:space="preserve"> to industry</w:t>
      </w:r>
      <w:r>
        <w:t>, 2006</w:t>
      </w:r>
      <w:r>
        <w:noBreakHyphen/>
        <w:t>07 to 2011</w:t>
      </w:r>
      <w:r>
        <w:noBreakHyphen/>
        <w:t>12</w:t>
      </w:r>
    </w:p>
    <w:p w:rsidR="004D12AB" w:rsidRDefault="004D12AB" w:rsidP="004D12AB">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4D12AB" w:rsidRPr="00AF699A" w:rsidTr="005151A7">
        <w:tc>
          <w:tcPr>
            <w:tcW w:w="1960" w:type="pct"/>
            <w:tcBorders>
              <w:top w:val="single" w:sz="6" w:space="0" w:color="auto"/>
              <w:bottom w:val="single" w:sz="6" w:space="0" w:color="auto"/>
            </w:tcBorders>
          </w:tcPr>
          <w:p w:rsidR="004D12AB" w:rsidRPr="00AF699A" w:rsidRDefault="004D12AB" w:rsidP="005151A7">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4D12AB" w:rsidRPr="00AF699A" w:rsidRDefault="004D12AB" w:rsidP="005151A7">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4D12AB" w:rsidRPr="00AF699A" w:rsidRDefault="004D12AB" w:rsidP="005151A7">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4D12AB" w:rsidRPr="00AF699A" w:rsidRDefault="004D12AB" w:rsidP="005151A7">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4D12AB" w:rsidRPr="00AF699A" w:rsidRDefault="004D12AB" w:rsidP="005151A7">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4D12AB" w:rsidRPr="00AF699A" w:rsidRDefault="004D12AB" w:rsidP="005151A7">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4D12AB" w:rsidRPr="00AF699A" w:rsidRDefault="004D12AB" w:rsidP="005151A7">
            <w:pPr>
              <w:pStyle w:val="TableColumnHeading"/>
              <w:ind w:right="28"/>
              <w:rPr>
                <w:rFonts w:cs="Arial"/>
                <w:sz w:val="18"/>
                <w:szCs w:val="18"/>
              </w:rPr>
            </w:pPr>
            <w:r w:rsidRPr="00AF699A">
              <w:rPr>
                <w:rFonts w:cs="Arial"/>
                <w:sz w:val="18"/>
                <w:szCs w:val="18"/>
              </w:rPr>
              <w:t>2011-12</w:t>
            </w:r>
          </w:p>
        </w:tc>
      </w:tr>
      <w:tr w:rsidR="004D12AB" w:rsidRPr="006C5A80" w:rsidTr="005151A7">
        <w:tc>
          <w:tcPr>
            <w:tcW w:w="1960" w:type="pct"/>
            <w:tcBorders>
              <w:bottom w:val="single" w:sz="4" w:space="0" w:color="auto"/>
            </w:tcBorders>
            <w:vAlign w:val="bottom"/>
          </w:tcPr>
          <w:p w:rsidR="004D12AB" w:rsidRPr="00C944BA" w:rsidRDefault="004D12AB" w:rsidP="005151A7">
            <w:pPr>
              <w:pStyle w:val="TableBodyText"/>
              <w:jc w:val="left"/>
            </w:pPr>
            <w:r>
              <w:t>Sheep, beef cattle and grain farming</w:t>
            </w:r>
          </w:p>
        </w:tc>
        <w:tc>
          <w:tcPr>
            <w:tcW w:w="507" w:type="pct"/>
            <w:tcBorders>
              <w:bottom w:val="single" w:sz="4" w:space="0" w:color="auto"/>
            </w:tcBorders>
            <w:vAlign w:val="bottom"/>
          </w:tcPr>
          <w:p w:rsidR="004D12AB" w:rsidRDefault="004D12AB" w:rsidP="005151A7">
            <w:pPr>
              <w:pStyle w:val="TableBodyText"/>
            </w:pPr>
            <w:r>
              <w:t>5.0</w:t>
            </w:r>
          </w:p>
        </w:tc>
        <w:tc>
          <w:tcPr>
            <w:tcW w:w="507" w:type="pct"/>
            <w:tcBorders>
              <w:bottom w:val="single" w:sz="4" w:space="0" w:color="auto"/>
            </w:tcBorders>
            <w:vAlign w:val="bottom"/>
          </w:tcPr>
          <w:p w:rsidR="004D12AB" w:rsidRDefault="004D12AB" w:rsidP="005151A7">
            <w:pPr>
              <w:pStyle w:val="TableBodyText"/>
            </w:pPr>
            <w:r>
              <w:t>4.7</w:t>
            </w:r>
          </w:p>
        </w:tc>
        <w:tc>
          <w:tcPr>
            <w:tcW w:w="507" w:type="pct"/>
            <w:tcBorders>
              <w:bottom w:val="single" w:sz="4" w:space="0" w:color="auto"/>
            </w:tcBorders>
            <w:vAlign w:val="bottom"/>
          </w:tcPr>
          <w:p w:rsidR="004D12AB" w:rsidRDefault="004D12AB" w:rsidP="005151A7">
            <w:pPr>
              <w:pStyle w:val="TableBodyText"/>
            </w:pPr>
            <w:r>
              <w:t>0.2</w:t>
            </w:r>
          </w:p>
        </w:tc>
        <w:tc>
          <w:tcPr>
            <w:tcW w:w="507" w:type="pct"/>
            <w:tcBorders>
              <w:bottom w:val="single" w:sz="4" w:space="0" w:color="auto"/>
            </w:tcBorders>
            <w:vAlign w:val="bottom"/>
          </w:tcPr>
          <w:p w:rsidR="004D12AB" w:rsidRDefault="004D12AB" w:rsidP="005151A7">
            <w:pPr>
              <w:pStyle w:val="TableBodyText"/>
            </w:pPr>
            <w:r>
              <w:t>0.2</w:t>
            </w:r>
          </w:p>
        </w:tc>
        <w:tc>
          <w:tcPr>
            <w:tcW w:w="507" w:type="pct"/>
            <w:tcBorders>
              <w:bottom w:val="single" w:sz="4" w:space="0" w:color="auto"/>
            </w:tcBorders>
            <w:shd w:val="clear" w:color="auto" w:fill="auto"/>
            <w:vAlign w:val="bottom"/>
          </w:tcPr>
          <w:p w:rsidR="004D12AB" w:rsidRDefault="004D12AB" w:rsidP="005151A7">
            <w:pPr>
              <w:pStyle w:val="TableBodyText"/>
            </w:pPr>
            <w:r>
              <w:noBreakHyphen/>
            </w:r>
          </w:p>
        </w:tc>
        <w:tc>
          <w:tcPr>
            <w:tcW w:w="505" w:type="pct"/>
            <w:tcBorders>
              <w:bottom w:val="single" w:sz="4" w:space="0" w:color="auto"/>
            </w:tcBorders>
            <w:shd w:val="clear" w:color="auto" w:fill="auto"/>
            <w:vAlign w:val="bottom"/>
          </w:tcPr>
          <w:p w:rsidR="004D12AB" w:rsidRDefault="004D12AB" w:rsidP="005151A7">
            <w:pPr>
              <w:pStyle w:val="TableBodyText"/>
            </w:pPr>
            <w:r>
              <w:noBreakHyphen/>
            </w:r>
          </w:p>
        </w:tc>
      </w:tr>
    </w:tbl>
    <w:p w:rsidR="004D12AB" w:rsidRPr="00F60026" w:rsidRDefault="004D12AB" w:rsidP="004D12AB">
      <w:pPr>
        <w:pStyle w:val="Source"/>
        <w:spacing w:after="0"/>
        <w:rPr>
          <w:i/>
        </w:rPr>
      </w:pPr>
      <w:r w:rsidRPr="00A2379F">
        <w:noBreakHyphen/>
        <w:t xml:space="preserve"> </w:t>
      </w:r>
      <w:r>
        <w:t>Nil</w:t>
      </w:r>
      <w:r w:rsidRPr="00A2379F">
        <w:t>.</w:t>
      </w:r>
    </w:p>
    <w:p w:rsidR="004D12AB" w:rsidRDefault="004D12AB" w:rsidP="004D12AB">
      <w:pPr>
        <w:pStyle w:val="Source"/>
      </w:pPr>
      <w:r>
        <w:rPr>
          <w:i/>
        </w:rPr>
        <w:t>Source</w:t>
      </w:r>
      <w:r>
        <w:t>: Commission estimates based on DAFF Annual Report 2009</w:t>
      </w:r>
      <w:r>
        <w:noBreakHyphen/>
        <w:t>10 (and earlier years).</w:t>
      </w:r>
    </w:p>
    <w:p w:rsidR="00A813AF" w:rsidRDefault="00FA09C3" w:rsidP="00A813AF">
      <w:pPr>
        <w:pStyle w:val="Heading2"/>
      </w:pPr>
      <w:r>
        <w:t>A.</w:t>
      </w:r>
      <w:r>
        <w:rPr>
          <w:noProof/>
        </w:rPr>
        <w:t>163</w:t>
      </w:r>
      <w:r w:rsidR="00A813AF">
        <w:tab/>
        <w:t>Tasmanian Wheat Freight Subsidy</w:t>
      </w:r>
    </w:p>
    <w:p w:rsidR="00A813AF" w:rsidRDefault="00A813AF" w:rsidP="00A813AF">
      <w:pPr>
        <w:pStyle w:val="BodyText"/>
      </w:pPr>
      <w:r>
        <w:t>The Tasmanian Wheat Freight Shipping subsidy was designed to assist cereal processing, intensive animal feedlot and aquaculture industries in Tasmania. The subsidy was designed to equate the price of wheat in Tasmania with the mainland, and to compensate for the increased cost of transporting to Tasmania (</w:t>
      </w:r>
      <w:r w:rsidRPr="00C305B5">
        <w:t>DIT 2013</w:t>
      </w:r>
      <w:r>
        <w:t>).</w:t>
      </w:r>
    </w:p>
    <w:p w:rsidR="00A813AF" w:rsidRDefault="00A813AF" w:rsidP="00A813AF">
      <w:pPr>
        <w:pStyle w:val="BodyText"/>
      </w:pPr>
      <w:r>
        <w:t>The scheme selectively benefited the end users of wheat in Tasmania. Without up-to-date information on use of the scheme by type of wheat user</w:t>
      </w:r>
      <w:r w:rsidR="00246CE4">
        <w:t>,</w:t>
      </w:r>
      <w:r>
        <w:t xml:space="preserve"> the small </w:t>
      </w:r>
      <w:r w:rsidR="00246CE4">
        <w:t xml:space="preserve">number </w:t>
      </w:r>
      <w:r>
        <w:t xml:space="preserve">of claims has been allocated to the </w:t>
      </w:r>
      <w:r w:rsidRPr="00287E1B">
        <w:rPr>
          <w:i/>
        </w:rPr>
        <w:t>Unallocated other</w:t>
      </w:r>
      <w:r>
        <w:t xml:space="preserve"> industry grouping (table A.16</w:t>
      </w:r>
      <w:r w:rsidR="00C065C1">
        <w:t>3</w:t>
      </w:r>
      <w:r>
        <w:t>).</w:t>
      </w:r>
    </w:p>
    <w:p w:rsidR="00A813AF" w:rsidRDefault="00A813AF" w:rsidP="00A813AF">
      <w:pPr>
        <w:pStyle w:val="TableTitle"/>
      </w:pPr>
      <w:r>
        <w:rPr>
          <w:b w:val="0"/>
        </w:rPr>
        <w:t xml:space="preserve">Table </w:t>
      </w:r>
      <w:r w:rsidR="00FA09C3">
        <w:rPr>
          <w:b w:val="0"/>
        </w:rPr>
        <w:t>A.</w:t>
      </w:r>
      <w:r w:rsidR="00FA09C3">
        <w:rPr>
          <w:b w:val="0"/>
          <w:noProof/>
        </w:rPr>
        <w:t>163</w:t>
      </w:r>
      <w:r>
        <w:tab/>
        <w:t>Allocation of Tasmanian Wheat Freight Subsidy Scheme</w:t>
      </w:r>
      <w:r w:rsidR="00E471E2" w:rsidRPr="00E471E2">
        <w:t xml:space="preserve"> to industry</w:t>
      </w:r>
      <w:r>
        <w:t>, 2006</w:t>
      </w:r>
      <w:r>
        <w:noBreakHyphen/>
        <w:t>07 to 2011</w:t>
      </w:r>
      <w:r>
        <w:noBreakHyphen/>
        <w:t>12</w:t>
      </w:r>
    </w:p>
    <w:p w:rsidR="00A813AF" w:rsidRDefault="00A813AF" w:rsidP="00A813AF">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A813AF" w:rsidRPr="00AF699A" w:rsidTr="005151A7">
        <w:tc>
          <w:tcPr>
            <w:tcW w:w="1960" w:type="pct"/>
            <w:tcBorders>
              <w:top w:val="single" w:sz="6" w:space="0" w:color="auto"/>
              <w:bottom w:val="single" w:sz="6" w:space="0" w:color="auto"/>
            </w:tcBorders>
          </w:tcPr>
          <w:p w:rsidR="00A813AF" w:rsidRPr="00AF699A" w:rsidRDefault="00A813AF" w:rsidP="005151A7">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A813AF" w:rsidRPr="00AF699A" w:rsidRDefault="00A813AF" w:rsidP="005151A7">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A813AF" w:rsidRPr="00AF699A" w:rsidRDefault="00A813AF" w:rsidP="005151A7">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A813AF" w:rsidRPr="00AF699A" w:rsidRDefault="00A813AF" w:rsidP="005151A7">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A813AF" w:rsidRPr="00AF699A" w:rsidRDefault="00A813AF" w:rsidP="005151A7">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A813AF" w:rsidRPr="00AF699A" w:rsidRDefault="00A813AF" w:rsidP="005151A7">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A813AF" w:rsidRPr="00AF699A" w:rsidRDefault="00A813AF" w:rsidP="005151A7">
            <w:pPr>
              <w:pStyle w:val="TableColumnHeading"/>
              <w:ind w:right="28"/>
              <w:rPr>
                <w:rFonts w:cs="Arial"/>
                <w:sz w:val="18"/>
                <w:szCs w:val="18"/>
              </w:rPr>
            </w:pPr>
            <w:r w:rsidRPr="00AF699A">
              <w:rPr>
                <w:rFonts w:cs="Arial"/>
                <w:sz w:val="18"/>
                <w:szCs w:val="18"/>
              </w:rPr>
              <w:t>2011-12</w:t>
            </w:r>
          </w:p>
        </w:tc>
      </w:tr>
      <w:tr w:rsidR="00A813AF" w:rsidRPr="006C5A80" w:rsidTr="005151A7">
        <w:tc>
          <w:tcPr>
            <w:tcW w:w="1960" w:type="pct"/>
            <w:tcBorders>
              <w:bottom w:val="single" w:sz="4" w:space="0" w:color="auto"/>
            </w:tcBorders>
            <w:vAlign w:val="bottom"/>
          </w:tcPr>
          <w:p w:rsidR="00A813AF" w:rsidRPr="00C944BA" w:rsidRDefault="00A813AF" w:rsidP="005151A7">
            <w:pPr>
              <w:pStyle w:val="TableBodyText"/>
              <w:jc w:val="left"/>
            </w:pPr>
            <w:r>
              <w:t>Unallocated other</w:t>
            </w:r>
            <w:r w:rsidRPr="007546E2">
              <w:rPr>
                <w:rStyle w:val="NoteLabel"/>
                <w:szCs w:val="18"/>
              </w:rPr>
              <w:t>a</w:t>
            </w:r>
          </w:p>
        </w:tc>
        <w:tc>
          <w:tcPr>
            <w:tcW w:w="507" w:type="pct"/>
            <w:tcBorders>
              <w:bottom w:val="single" w:sz="4" w:space="0" w:color="auto"/>
            </w:tcBorders>
            <w:vAlign w:val="bottom"/>
          </w:tcPr>
          <w:p w:rsidR="00A813AF" w:rsidRPr="00EF7EDC" w:rsidRDefault="00A813AF" w:rsidP="005151A7">
            <w:pPr>
              <w:pStyle w:val="TableBodyText"/>
            </w:pPr>
            <w:r w:rsidRPr="00EF7EDC">
              <w:t>0.</w:t>
            </w:r>
            <w:r>
              <w:t>6</w:t>
            </w:r>
          </w:p>
        </w:tc>
        <w:tc>
          <w:tcPr>
            <w:tcW w:w="507" w:type="pct"/>
            <w:tcBorders>
              <w:bottom w:val="single" w:sz="4" w:space="0" w:color="auto"/>
            </w:tcBorders>
            <w:vAlign w:val="bottom"/>
          </w:tcPr>
          <w:p w:rsidR="00A813AF" w:rsidRPr="00EF7EDC" w:rsidRDefault="00A813AF" w:rsidP="005151A7">
            <w:pPr>
              <w:pStyle w:val="TableBodyText"/>
            </w:pPr>
            <w:r w:rsidRPr="00EF7EDC">
              <w:t>0.9</w:t>
            </w:r>
          </w:p>
        </w:tc>
        <w:tc>
          <w:tcPr>
            <w:tcW w:w="507" w:type="pct"/>
            <w:tcBorders>
              <w:bottom w:val="single" w:sz="4" w:space="0" w:color="auto"/>
            </w:tcBorders>
            <w:vAlign w:val="bottom"/>
          </w:tcPr>
          <w:p w:rsidR="00A813AF" w:rsidRPr="00EF7EDC" w:rsidRDefault="00A813AF" w:rsidP="005151A7">
            <w:pPr>
              <w:pStyle w:val="TableBodyText"/>
            </w:pPr>
            <w:r w:rsidRPr="00EF7EDC">
              <w:t>0.3</w:t>
            </w:r>
          </w:p>
        </w:tc>
        <w:tc>
          <w:tcPr>
            <w:tcW w:w="507" w:type="pct"/>
            <w:tcBorders>
              <w:bottom w:val="single" w:sz="4" w:space="0" w:color="auto"/>
            </w:tcBorders>
            <w:vAlign w:val="bottom"/>
          </w:tcPr>
          <w:p w:rsidR="00A813AF" w:rsidRPr="00EF7EDC" w:rsidRDefault="00A813AF" w:rsidP="005151A7">
            <w:pPr>
              <w:pStyle w:val="TableBodyText"/>
            </w:pPr>
            <w:r w:rsidRPr="00EF7EDC">
              <w:t>0.1</w:t>
            </w:r>
          </w:p>
        </w:tc>
        <w:tc>
          <w:tcPr>
            <w:tcW w:w="507" w:type="pct"/>
            <w:tcBorders>
              <w:bottom w:val="single" w:sz="4" w:space="0" w:color="auto"/>
            </w:tcBorders>
            <w:shd w:val="clear" w:color="auto" w:fill="auto"/>
            <w:vAlign w:val="bottom"/>
          </w:tcPr>
          <w:p w:rsidR="00A813AF" w:rsidRPr="00EF7EDC" w:rsidRDefault="00A813AF" w:rsidP="005151A7">
            <w:pPr>
              <w:pStyle w:val="TableBodyText"/>
            </w:pPr>
            <w:r>
              <w:noBreakHyphen/>
            </w:r>
          </w:p>
        </w:tc>
        <w:tc>
          <w:tcPr>
            <w:tcW w:w="505" w:type="pct"/>
            <w:tcBorders>
              <w:bottom w:val="single" w:sz="4" w:space="0" w:color="auto"/>
            </w:tcBorders>
            <w:shd w:val="clear" w:color="auto" w:fill="auto"/>
            <w:vAlign w:val="bottom"/>
          </w:tcPr>
          <w:p w:rsidR="00A813AF" w:rsidRPr="00EF7EDC" w:rsidRDefault="00A813AF" w:rsidP="005151A7">
            <w:pPr>
              <w:pStyle w:val="TableBodyText"/>
            </w:pPr>
            <w:r>
              <w:noBreakHyphen/>
            </w:r>
          </w:p>
        </w:tc>
      </w:tr>
    </w:tbl>
    <w:p w:rsidR="00A813AF" w:rsidRPr="00F60026" w:rsidRDefault="00A813AF" w:rsidP="00A813AF">
      <w:pPr>
        <w:pStyle w:val="Source"/>
        <w:spacing w:after="0"/>
        <w:rPr>
          <w:i/>
        </w:rPr>
      </w:pPr>
      <w:r w:rsidRPr="00A2379F">
        <w:noBreakHyphen/>
        <w:t xml:space="preserve"> </w:t>
      </w:r>
      <w:r>
        <w:t>Nil</w:t>
      </w:r>
      <w:r w:rsidRPr="00A2379F">
        <w:t>.</w:t>
      </w:r>
      <w:r w:rsidRPr="00B1392F">
        <w:t xml:space="preserve"> </w:t>
      </w:r>
      <w:r w:rsidRPr="009B56F1">
        <w:rPr>
          <w:rStyle w:val="NoteLabel"/>
        </w:rPr>
        <w:t>a</w:t>
      </w:r>
      <w:r w:rsidRPr="009B56F1">
        <w:t xml:space="preserve"> Unallocated includes general programs where detai</w:t>
      </w:r>
      <w:r>
        <w:t>ls of beneficiaries are unknown.</w:t>
      </w:r>
    </w:p>
    <w:p w:rsidR="00A813AF" w:rsidRDefault="00A813AF" w:rsidP="00A813AF">
      <w:pPr>
        <w:pStyle w:val="Source"/>
      </w:pPr>
      <w:r>
        <w:rPr>
          <w:i/>
        </w:rPr>
        <w:t>Sources</w:t>
      </w:r>
      <w:r>
        <w:t>: Commission estimates based on DITRDLG Annual Report 2009</w:t>
      </w:r>
      <w:r>
        <w:noBreakHyphen/>
        <w:t>10 (and earlier years); and Department of Transport and Regional Services Annual Report 2006</w:t>
      </w:r>
      <w:r>
        <w:noBreakHyphen/>
        <w:t>07.</w:t>
      </w:r>
    </w:p>
    <w:p w:rsidR="002622F3" w:rsidRDefault="00FA09C3" w:rsidP="002622F3">
      <w:pPr>
        <w:pStyle w:val="Heading2"/>
      </w:pPr>
      <w:r>
        <w:t>A.</w:t>
      </w:r>
      <w:r>
        <w:rPr>
          <w:noProof/>
        </w:rPr>
        <w:t>164</w:t>
      </w:r>
      <w:r w:rsidR="002622F3">
        <w:tab/>
        <w:t>ABC and SBS Digital Interference Scheme</w:t>
      </w:r>
    </w:p>
    <w:p w:rsidR="002622F3" w:rsidRDefault="002622F3" w:rsidP="002622F3">
      <w:pPr>
        <w:pStyle w:val="BodyText"/>
      </w:pPr>
      <w:r>
        <w:t xml:space="preserve">The ABC and SBS Digital Interference Scheme was established to reimburse the ABC and SBS for the cost of their contribution to the Digital Interference Management Strategy. The </w:t>
      </w:r>
      <w:r w:rsidR="00246CE4">
        <w:t xml:space="preserve">scheme was </w:t>
      </w:r>
      <w:r>
        <w:t xml:space="preserve">intended to help consumers overcome any interference problems associated with the introduction of new free-to-air digital television services. The </w:t>
      </w:r>
      <w:r w:rsidR="00246CE4">
        <w:t xml:space="preserve">scheme </w:t>
      </w:r>
      <w:r>
        <w:t>was administered by the commercial television industry representative body, Free TV Australia, on behalf of all participating free-to-air broadcasters, including the ABC and SBS (</w:t>
      </w:r>
      <w:r w:rsidRPr="00C305B5">
        <w:t>DBCDE 2009</w:t>
      </w:r>
      <w:r w:rsidRPr="00F87925">
        <w:t>)</w:t>
      </w:r>
      <w:r w:rsidRPr="007406C4">
        <w:t>. The scheme was closed in 2009</w:t>
      </w:r>
      <w:r w:rsidRPr="00534ADB">
        <w:noBreakHyphen/>
        <w:t>10 (</w:t>
      </w:r>
      <w:r w:rsidRPr="00C305B5">
        <w:t>DBCDE 2010</w:t>
      </w:r>
      <w:r w:rsidRPr="00F87925">
        <w:t>)</w:t>
      </w:r>
      <w:r>
        <w:t>.</w:t>
      </w:r>
    </w:p>
    <w:p w:rsidR="002622F3" w:rsidRDefault="002622F3" w:rsidP="002622F3">
      <w:pPr>
        <w:pStyle w:val="BodyText"/>
      </w:pPr>
      <w:r>
        <w:t xml:space="preserve">The scheme selectively benefited operators in the </w:t>
      </w:r>
      <w:r>
        <w:rPr>
          <w:i/>
        </w:rPr>
        <w:t xml:space="preserve">Information media </w:t>
      </w:r>
      <w:r w:rsidRPr="00E914C7">
        <w:rPr>
          <w:i/>
        </w:rPr>
        <w:t>a</w:t>
      </w:r>
      <w:r>
        <w:rPr>
          <w:i/>
        </w:rPr>
        <w:t>n</w:t>
      </w:r>
      <w:r w:rsidRPr="00E914C7">
        <w:rPr>
          <w:i/>
        </w:rPr>
        <w:t>d telecommunications</w:t>
      </w:r>
      <w:r>
        <w:t xml:space="preserve"> industry grouping in the Commission’s ANZSIC-based classification (table A.16</w:t>
      </w:r>
      <w:r w:rsidR="00C065C1">
        <w:t>4</w:t>
      </w:r>
      <w:r>
        <w:t>).</w:t>
      </w:r>
    </w:p>
    <w:p w:rsidR="002622F3" w:rsidRDefault="002622F3" w:rsidP="002622F3">
      <w:pPr>
        <w:pStyle w:val="TableTitle"/>
      </w:pPr>
      <w:r>
        <w:rPr>
          <w:b w:val="0"/>
        </w:rPr>
        <w:t xml:space="preserve">Table </w:t>
      </w:r>
      <w:r w:rsidR="00FA09C3">
        <w:rPr>
          <w:b w:val="0"/>
        </w:rPr>
        <w:t>A.</w:t>
      </w:r>
      <w:r w:rsidR="00FA09C3">
        <w:rPr>
          <w:b w:val="0"/>
          <w:noProof/>
        </w:rPr>
        <w:t>164</w:t>
      </w:r>
      <w:r>
        <w:tab/>
        <w:t>Allocation of A</w:t>
      </w:r>
      <w:r w:rsidR="00E471E2">
        <w:t>BC and SBS Digital Interference S</w:t>
      </w:r>
      <w:r>
        <w:t>cheme</w:t>
      </w:r>
      <w:r w:rsidR="0008061A">
        <w:br/>
      </w:r>
      <w:r w:rsidR="00E471E2">
        <w:t xml:space="preserve">to </w:t>
      </w:r>
      <w:r w:rsidR="0008061A">
        <w:t>i</w:t>
      </w:r>
      <w:r w:rsidR="00E471E2" w:rsidRPr="00E471E2">
        <w:t>ndustry</w:t>
      </w:r>
      <w:r>
        <w:t>, 2006</w:t>
      </w:r>
      <w:r>
        <w:noBreakHyphen/>
        <w:t>07 to 2011</w:t>
      </w:r>
      <w:r>
        <w:noBreakHyphen/>
        <w:t>12</w:t>
      </w:r>
    </w:p>
    <w:p w:rsidR="002622F3" w:rsidRDefault="002622F3" w:rsidP="002622F3">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2622F3" w:rsidRPr="00AF699A" w:rsidTr="005151A7">
        <w:tc>
          <w:tcPr>
            <w:tcW w:w="1960" w:type="pct"/>
            <w:tcBorders>
              <w:top w:val="single" w:sz="6" w:space="0" w:color="auto"/>
              <w:bottom w:val="single" w:sz="6" w:space="0" w:color="auto"/>
            </w:tcBorders>
          </w:tcPr>
          <w:p w:rsidR="002622F3" w:rsidRPr="00AF699A" w:rsidRDefault="002622F3" w:rsidP="005151A7">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2622F3" w:rsidRPr="00AF699A" w:rsidRDefault="002622F3" w:rsidP="005151A7">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2622F3" w:rsidRPr="00AF699A" w:rsidRDefault="002622F3" w:rsidP="005151A7">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2622F3" w:rsidRPr="00AF699A" w:rsidRDefault="002622F3" w:rsidP="005151A7">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2622F3" w:rsidRPr="00AF699A" w:rsidRDefault="002622F3" w:rsidP="005151A7">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2622F3" w:rsidRPr="00AF699A" w:rsidRDefault="002622F3" w:rsidP="005151A7">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2622F3" w:rsidRPr="00AF699A" w:rsidRDefault="002622F3" w:rsidP="005151A7">
            <w:pPr>
              <w:pStyle w:val="TableColumnHeading"/>
              <w:ind w:right="28"/>
              <w:rPr>
                <w:rFonts w:cs="Arial"/>
                <w:sz w:val="18"/>
                <w:szCs w:val="18"/>
              </w:rPr>
            </w:pPr>
            <w:r w:rsidRPr="00AF699A">
              <w:rPr>
                <w:rFonts w:cs="Arial"/>
                <w:sz w:val="18"/>
                <w:szCs w:val="18"/>
              </w:rPr>
              <w:t>2011-12</w:t>
            </w:r>
          </w:p>
        </w:tc>
      </w:tr>
      <w:tr w:rsidR="002622F3" w:rsidRPr="006C5A80" w:rsidTr="005151A7">
        <w:tc>
          <w:tcPr>
            <w:tcW w:w="1960" w:type="pct"/>
            <w:tcBorders>
              <w:top w:val="single" w:sz="6" w:space="0" w:color="auto"/>
              <w:bottom w:val="single" w:sz="4" w:space="0" w:color="auto"/>
            </w:tcBorders>
            <w:vAlign w:val="bottom"/>
          </w:tcPr>
          <w:p w:rsidR="002622F3" w:rsidRPr="00C944BA" w:rsidRDefault="002622F3" w:rsidP="005151A7">
            <w:pPr>
              <w:pStyle w:val="TableBodyText"/>
              <w:jc w:val="left"/>
            </w:pPr>
            <w:r>
              <w:t>Information media and telecommunications</w:t>
            </w:r>
          </w:p>
        </w:tc>
        <w:tc>
          <w:tcPr>
            <w:tcW w:w="507" w:type="pct"/>
            <w:tcBorders>
              <w:top w:val="single" w:sz="6" w:space="0" w:color="auto"/>
              <w:bottom w:val="single" w:sz="4" w:space="0" w:color="auto"/>
            </w:tcBorders>
            <w:vAlign w:val="bottom"/>
          </w:tcPr>
          <w:p w:rsidR="002622F3" w:rsidRPr="00CF3853" w:rsidRDefault="002622F3" w:rsidP="005151A7">
            <w:pPr>
              <w:pStyle w:val="TableBodyText"/>
            </w:pPr>
            <w:r>
              <w:t>&lt;0.1</w:t>
            </w:r>
          </w:p>
        </w:tc>
        <w:tc>
          <w:tcPr>
            <w:tcW w:w="507" w:type="pct"/>
            <w:tcBorders>
              <w:top w:val="single" w:sz="6" w:space="0" w:color="auto"/>
              <w:bottom w:val="single" w:sz="4" w:space="0" w:color="auto"/>
            </w:tcBorders>
            <w:vAlign w:val="bottom"/>
          </w:tcPr>
          <w:p w:rsidR="002622F3" w:rsidRPr="00CF3853" w:rsidRDefault="002622F3" w:rsidP="005151A7">
            <w:pPr>
              <w:pStyle w:val="TableBodyText"/>
            </w:pPr>
            <w:r>
              <w:t>&lt;0.1</w:t>
            </w:r>
          </w:p>
        </w:tc>
        <w:tc>
          <w:tcPr>
            <w:tcW w:w="507" w:type="pct"/>
            <w:tcBorders>
              <w:top w:val="single" w:sz="6" w:space="0" w:color="auto"/>
              <w:bottom w:val="single" w:sz="4" w:space="0" w:color="auto"/>
            </w:tcBorders>
            <w:vAlign w:val="bottom"/>
          </w:tcPr>
          <w:p w:rsidR="002622F3" w:rsidRPr="00CF3853" w:rsidRDefault="002622F3" w:rsidP="005151A7">
            <w:pPr>
              <w:pStyle w:val="TableBodyText"/>
            </w:pPr>
            <w:r>
              <w:t>&lt;0.1</w:t>
            </w:r>
          </w:p>
        </w:tc>
        <w:tc>
          <w:tcPr>
            <w:tcW w:w="507" w:type="pct"/>
            <w:tcBorders>
              <w:top w:val="single" w:sz="6" w:space="0" w:color="auto"/>
              <w:bottom w:val="single" w:sz="4" w:space="0" w:color="auto"/>
            </w:tcBorders>
            <w:vAlign w:val="bottom"/>
          </w:tcPr>
          <w:p w:rsidR="002622F3" w:rsidRPr="00CF3853" w:rsidRDefault="002622F3" w:rsidP="005151A7">
            <w:pPr>
              <w:pStyle w:val="TableBodyText"/>
            </w:pPr>
            <w:r>
              <w:t>&lt;0.1</w:t>
            </w:r>
          </w:p>
        </w:tc>
        <w:tc>
          <w:tcPr>
            <w:tcW w:w="507" w:type="pct"/>
            <w:tcBorders>
              <w:top w:val="single" w:sz="6" w:space="0" w:color="auto"/>
              <w:bottom w:val="single" w:sz="4" w:space="0" w:color="auto"/>
            </w:tcBorders>
            <w:shd w:val="clear" w:color="auto" w:fill="auto"/>
            <w:vAlign w:val="bottom"/>
          </w:tcPr>
          <w:p w:rsidR="002622F3" w:rsidRPr="00CF3853" w:rsidRDefault="002622F3" w:rsidP="005151A7">
            <w:pPr>
              <w:pStyle w:val="TableBodyText"/>
            </w:pPr>
            <w:r>
              <w:noBreakHyphen/>
            </w:r>
          </w:p>
        </w:tc>
        <w:tc>
          <w:tcPr>
            <w:tcW w:w="505" w:type="pct"/>
            <w:tcBorders>
              <w:top w:val="single" w:sz="6" w:space="0" w:color="auto"/>
              <w:bottom w:val="single" w:sz="4" w:space="0" w:color="auto"/>
            </w:tcBorders>
            <w:shd w:val="clear" w:color="auto" w:fill="auto"/>
            <w:vAlign w:val="bottom"/>
          </w:tcPr>
          <w:p w:rsidR="002622F3" w:rsidRPr="00CF3853" w:rsidRDefault="002622F3" w:rsidP="005151A7">
            <w:pPr>
              <w:pStyle w:val="TableBodyText"/>
            </w:pPr>
            <w:r>
              <w:noBreakHyphen/>
            </w:r>
          </w:p>
        </w:tc>
      </w:tr>
    </w:tbl>
    <w:p w:rsidR="002622F3" w:rsidRPr="00F60026" w:rsidRDefault="002622F3" w:rsidP="002622F3">
      <w:pPr>
        <w:pStyle w:val="Source"/>
        <w:spacing w:after="0"/>
        <w:rPr>
          <w:i/>
        </w:rPr>
      </w:pPr>
      <w:r w:rsidRPr="00A2379F">
        <w:noBreakHyphen/>
        <w:t xml:space="preserve"> </w:t>
      </w:r>
      <w:r>
        <w:t>Nil</w:t>
      </w:r>
      <w:r w:rsidRPr="00A2379F">
        <w:t>.</w:t>
      </w:r>
    </w:p>
    <w:p w:rsidR="002622F3" w:rsidRDefault="002622F3" w:rsidP="002622F3">
      <w:pPr>
        <w:pStyle w:val="Source"/>
      </w:pPr>
      <w:r>
        <w:rPr>
          <w:i/>
        </w:rPr>
        <w:t>Sources</w:t>
      </w:r>
      <w:r>
        <w:t>: Commission estimates based on DBCDE Annual Report 2009</w:t>
      </w:r>
      <w:r>
        <w:noBreakHyphen/>
        <w:t>10 (and earlier years); and Department of Communications, Information Technology and the Arts Annual Report 2006</w:t>
      </w:r>
      <w:r>
        <w:noBreakHyphen/>
        <w:t>07.</w:t>
      </w:r>
    </w:p>
    <w:p w:rsidR="00216629" w:rsidRPr="00216629" w:rsidRDefault="00216629" w:rsidP="00216629">
      <w:r>
        <w:br w:type="page"/>
      </w:r>
    </w:p>
    <w:p w:rsidR="009C37F8" w:rsidRDefault="00FA09C3" w:rsidP="009C37F8">
      <w:pPr>
        <w:pStyle w:val="Heading2"/>
      </w:pPr>
      <w:r>
        <w:t>A.</w:t>
      </w:r>
      <w:r>
        <w:rPr>
          <w:noProof/>
        </w:rPr>
        <w:t>165</w:t>
      </w:r>
      <w:r w:rsidR="009C37F8">
        <w:tab/>
        <w:t>Tasmanian Community Forest Agreement</w:t>
      </w:r>
    </w:p>
    <w:p w:rsidR="009C37F8" w:rsidRDefault="009C37F8" w:rsidP="009C37F8">
      <w:pPr>
        <w:pStyle w:val="BodyText"/>
      </w:pPr>
      <w:r>
        <w:t xml:space="preserve">Announced in 2005, the Tasmanian Community Forest Agreement was a joint commitment of the Australian and Tasmanian Governments which aimed to </w:t>
      </w:r>
      <w:r w:rsidRPr="005F7B02">
        <w:t>enhance the protection of Tasmania</w:t>
      </w:r>
      <w:r>
        <w:t>’</w:t>
      </w:r>
      <w:r w:rsidRPr="005F7B02">
        <w:t xml:space="preserve">s forest environment and assist the Tasmanian forest industry </w:t>
      </w:r>
      <w:r>
        <w:t xml:space="preserve">to </w:t>
      </w:r>
      <w:r w:rsidRPr="005F7B02">
        <w:t>adjust to changes in forest resources</w:t>
      </w:r>
      <w:r>
        <w:t xml:space="preserve"> (</w:t>
      </w:r>
      <w:r w:rsidRPr="00C305B5">
        <w:t>DAFF 2013a</w:t>
      </w:r>
      <w:r>
        <w:t>). The Australian Government’s financial contributions to the Tasmanian Community Forest Agreement ceased in June 2009 (</w:t>
      </w:r>
      <w:r w:rsidRPr="00C305B5">
        <w:t>DAFF 2010b</w:t>
      </w:r>
      <w:r>
        <w:t>).</w:t>
      </w:r>
    </w:p>
    <w:p w:rsidR="009C37F8" w:rsidRDefault="009C37F8" w:rsidP="009C37F8">
      <w:pPr>
        <w:pStyle w:val="BodyText"/>
      </w:pPr>
      <w:r>
        <w:t xml:space="preserve">The Tasmanian Community Forest Agreement was considered to predominantly benefit firms in the timber industry and has been allocated to the </w:t>
      </w:r>
      <w:r w:rsidRPr="004C1953">
        <w:rPr>
          <w:i/>
        </w:rPr>
        <w:t>Wood and paper products</w:t>
      </w:r>
      <w:r>
        <w:t xml:space="preserve"> industry grouping in the Commission’s ANZSIC-based classification (table A.16</w:t>
      </w:r>
      <w:r w:rsidR="00C065C1">
        <w:t>5</w:t>
      </w:r>
      <w:r>
        <w:t>).</w:t>
      </w:r>
    </w:p>
    <w:p w:rsidR="009C37F8" w:rsidRDefault="009C37F8" w:rsidP="009C37F8">
      <w:pPr>
        <w:pStyle w:val="TableTitle"/>
      </w:pPr>
      <w:r>
        <w:rPr>
          <w:b w:val="0"/>
        </w:rPr>
        <w:t xml:space="preserve">Table </w:t>
      </w:r>
      <w:r w:rsidR="00FA09C3">
        <w:rPr>
          <w:b w:val="0"/>
        </w:rPr>
        <w:t>A.</w:t>
      </w:r>
      <w:r w:rsidR="00FA09C3">
        <w:rPr>
          <w:b w:val="0"/>
          <w:noProof/>
        </w:rPr>
        <w:t>165</w:t>
      </w:r>
      <w:r>
        <w:tab/>
        <w:t>Allocation of Tasmanian Community Forest Agreement funding</w:t>
      </w:r>
      <w:r w:rsidR="00E471E2" w:rsidRPr="00E471E2">
        <w:t xml:space="preserve"> to industry</w:t>
      </w:r>
      <w:r>
        <w:t>, 2006</w:t>
      </w:r>
      <w:r>
        <w:noBreakHyphen/>
        <w:t>07 to 2011</w:t>
      </w:r>
      <w:r>
        <w:noBreakHyphen/>
        <w:t>12</w:t>
      </w:r>
    </w:p>
    <w:p w:rsidR="009C37F8" w:rsidRDefault="009C37F8" w:rsidP="009C37F8">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9C37F8" w:rsidRPr="00AF699A" w:rsidTr="005151A7">
        <w:tc>
          <w:tcPr>
            <w:tcW w:w="1960" w:type="pct"/>
            <w:tcBorders>
              <w:top w:val="single" w:sz="6" w:space="0" w:color="auto"/>
              <w:bottom w:val="single" w:sz="6" w:space="0" w:color="auto"/>
            </w:tcBorders>
          </w:tcPr>
          <w:p w:rsidR="009C37F8" w:rsidRPr="00AF699A" w:rsidRDefault="009C37F8" w:rsidP="005151A7">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9C37F8" w:rsidRPr="00AF699A" w:rsidRDefault="009C37F8" w:rsidP="005151A7">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9C37F8" w:rsidRPr="00AF699A" w:rsidRDefault="009C37F8" w:rsidP="005151A7">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9C37F8" w:rsidRPr="00AF699A" w:rsidRDefault="009C37F8" w:rsidP="005151A7">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9C37F8" w:rsidRPr="00AF699A" w:rsidRDefault="009C37F8" w:rsidP="005151A7">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9C37F8" w:rsidRPr="00AF699A" w:rsidRDefault="009C37F8" w:rsidP="005151A7">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9C37F8" w:rsidRPr="00AF699A" w:rsidRDefault="009C37F8" w:rsidP="005151A7">
            <w:pPr>
              <w:pStyle w:val="TableColumnHeading"/>
              <w:ind w:right="28"/>
              <w:rPr>
                <w:rFonts w:cs="Arial"/>
                <w:sz w:val="18"/>
                <w:szCs w:val="18"/>
              </w:rPr>
            </w:pPr>
            <w:r w:rsidRPr="00AF699A">
              <w:rPr>
                <w:rFonts w:cs="Arial"/>
                <w:sz w:val="18"/>
                <w:szCs w:val="18"/>
              </w:rPr>
              <w:t>2011-12</w:t>
            </w:r>
          </w:p>
        </w:tc>
      </w:tr>
      <w:tr w:rsidR="009C37F8" w:rsidRPr="006C5A80" w:rsidTr="005151A7">
        <w:tc>
          <w:tcPr>
            <w:tcW w:w="1960" w:type="pct"/>
            <w:tcBorders>
              <w:bottom w:val="single" w:sz="4" w:space="0" w:color="auto"/>
            </w:tcBorders>
            <w:vAlign w:val="bottom"/>
          </w:tcPr>
          <w:p w:rsidR="009C37F8" w:rsidRPr="00C944BA" w:rsidRDefault="009C37F8" w:rsidP="005151A7">
            <w:pPr>
              <w:pStyle w:val="TableBodyText"/>
              <w:jc w:val="left"/>
            </w:pPr>
            <w:r>
              <w:t>Wood and paper products</w:t>
            </w:r>
          </w:p>
        </w:tc>
        <w:tc>
          <w:tcPr>
            <w:tcW w:w="507" w:type="pct"/>
            <w:tcBorders>
              <w:bottom w:val="single" w:sz="4" w:space="0" w:color="auto"/>
            </w:tcBorders>
            <w:vAlign w:val="bottom"/>
          </w:tcPr>
          <w:p w:rsidR="009C37F8" w:rsidRDefault="009C37F8" w:rsidP="005151A7">
            <w:pPr>
              <w:pStyle w:val="TableBodyText"/>
            </w:pPr>
            <w:r>
              <w:noBreakHyphen/>
            </w:r>
          </w:p>
        </w:tc>
        <w:tc>
          <w:tcPr>
            <w:tcW w:w="507" w:type="pct"/>
            <w:tcBorders>
              <w:bottom w:val="single" w:sz="4" w:space="0" w:color="auto"/>
            </w:tcBorders>
            <w:vAlign w:val="bottom"/>
          </w:tcPr>
          <w:p w:rsidR="009C37F8" w:rsidRDefault="009C37F8" w:rsidP="005151A7">
            <w:pPr>
              <w:pStyle w:val="TableBodyText"/>
            </w:pPr>
            <w:r>
              <w:t>26.0</w:t>
            </w:r>
          </w:p>
        </w:tc>
        <w:tc>
          <w:tcPr>
            <w:tcW w:w="507" w:type="pct"/>
            <w:tcBorders>
              <w:bottom w:val="single" w:sz="4" w:space="0" w:color="auto"/>
            </w:tcBorders>
            <w:vAlign w:val="bottom"/>
          </w:tcPr>
          <w:p w:rsidR="009C37F8" w:rsidRDefault="009C37F8" w:rsidP="005151A7">
            <w:pPr>
              <w:pStyle w:val="TableBodyText"/>
            </w:pPr>
            <w:r>
              <w:t>35.3</w:t>
            </w:r>
          </w:p>
        </w:tc>
        <w:tc>
          <w:tcPr>
            <w:tcW w:w="507" w:type="pct"/>
            <w:tcBorders>
              <w:bottom w:val="single" w:sz="4" w:space="0" w:color="auto"/>
            </w:tcBorders>
            <w:vAlign w:val="bottom"/>
          </w:tcPr>
          <w:p w:rsidR="009C37F8" w:rsidRDefault="009C37F8" w:rsidP="005151A7">
            <w:pPr>
              <w:pStyle w:val="TableBodyText"/>
            </w:pPr>
            <w:r>
              <w:noBreakHyphen/>
            </w:r>
          </w:p>
        </w:tc>
        <w:tc>
          <w:tcPr>
            <w:tcW w:w="507" w:type="pct"/>
            <w:tcBorders>
              <w:bottom w:val="single" w:sz="4" w:space="0" w:color="auto"/>
            </w:tcBorders>
            <w:shd w:val="clear" w:color="auto" w:fill="auto"/>
            <w:vAlign w:val="bottom"/>
          </w:tcPr>
          <w:p w:rsidR="009C37F8" w:rsidRDefault="009C37F8" w:rsidP="005151A7">
            <w:pPr>
              <w:pStyle w:val="TableBodyText"/>
            </w:pPr>
            <w:r>
              <w:noBreakHyphen/>
            </w:r>
          </w:p>
        </w:tc>
        <w:tc>
          <w:tcPr>
            <w:tcW w:w="505" w:type="pct"/>
            <w:tcBorders>
              <w:bottom w:val="single" w:sz="4" w:space="0" w:color="auto"/>
            </w:tcBorders>
            <w:shd w:val="clear" w:color="auto" w:fill="auto"/>
            <w:vAlign w:val="bottom"/>
          </w:tcPr>
          <w:p w:rsidR="009C37F8" w:rsidRDefault="009C37F8" w:rsidP="005151A7">
            <w:pPr>
              <w:pStyle w:val="TableBodyText"/>
            </w:pPr>
            <w:r>
              <w:noBreakHyphen/>
            </w:r>
          </w:p>
        </w:tc>
      </w:tr>
    </w:tbl>
    <w:p w:rsidR="009C37F8" w:rsidRPr="00F60026" w:rsidRDefault="009C37F8" w:rsidP="009C37F8">
      <w:pPr>
        <w:pStyle w:val="Source"/>
        <w:spacing w:after="0"/>
        <w:rPr>
          <w:i/>
        </w:rPr>
      </w:pPr>
      <w:r w:rsidRPr="00A2379F">
        <w:noBreakHyphen/>
        <w:t xml:space="preserve"> </w:t>
      </w:r>
      <w:r>
        <w:t>Nil</w:t>
      </w:r>
      <w:r w:rsidRPr="00A2379F">
        <w:t>.</w:t>
      </w:r>
    </w:p>
    <w:p w:rsidR="009C37F8" w:rsidRPr="008E77FE" w:rsidRDefault="009C37F8" w:rsidP="009C37F8">
      <w:pPr>
        <w:pStyle w:val="Source"/>
      </w:pPr>
      <w:r>
        <w:rPr>
          <w:i/>
        </w:rPr>
        <w:t>Source</w:t>
      </w:r>
      <w:r>
        <w:t>: Commission estimates based on DAFF Annual Report 2008-09 (and earlier years).</w:t>
      </w:r>
    </w:p>
    <w:p w:rsidR="003C5CB2" w:rsidRDefault="00FA09C3" w:rsidP="003C5CB2">
      <w:pPr>
        <w:pStyle w:val="Heading2"/>
      </w:pPr>
      <w:r>
        <w:t>A.</w:t>
      </w:r>
      <w:r>
        <w:rPr>
          <w:noProof/>
        </w:rPr>
        <w:t>166</w:t>
      </w:r>
      <w:r w:rsidR="003C5CB2">
        <w:tab/>
        <w:t>Advanced Electricity Storage</w:t>
      </w:r>
    </w:p>
    <w:p w:rsidR="003C5CB2" w:rsidRDefault="003C5CB2" w:rsidP="003C5CB2">
      <w:pPr>
        <w:pStyle w:val="BodyText"/>
      </w:pPr>
      <w:r>
        <w:t xml:space="preserve">The Advanced Electricity Storage (AES) program supported the development and demonstration of efficient electricity storage technologies for use with variable renewable generation sources such as wind and solar </w:t>
      </w:r>
      <w:r w:rsidRPr="00C305B5">
        <w:t>(DRET 2010)</w:t>
      </w:r>
      <w:r>
        <w:t>. Advanced storage technologies for electricity applications include, but are not limited to, batteries, electro-mechanical, chemical and thermal storage technologies in either on-grid or off-grid situations.</w:t>
      </w:r>
    </w:p>
    <w:p w:rsidR="003C5CB2" w:rsidRDefault="003C5CB2" w:rsidP="003C5CB2">
      <w:pPr>
        <w:pStyle w:val="BodyText"/>
      </w:pPr>
      <w:r>
        <w:t xml:space="preserve">Along with other programs, the AES Program was transferred into the Australian Centre for Renewable Energy Program </w:t>
      </w:r>
      <w:r>
        <w:rPr>
          <w:color w:val="000000"/>
        </w:rPr>
        <w:t>(see Annex item A.70) during 2009</w:t>
      </w:r>
      <w:r w:rsidR="00922025">
        <w:rPr>
          <w:color w:val="000000"/>
        </w:rPr>
        <w:noBreakHyphen/>
      </w:r>
      <w:r>
        <w:rPr>
          <w:color w:val="000000"/>
        </w:rPr>
        <w:t>10.</w:t>
      </w:r>
    </w:p>
    <w:p w:rsidR="00C26E82" w:rsidRDefault="003C5CB2" w:rsidP="003C5CB2">
      <w:pPr>
        <w:pStyle w:val="BodyText"/>
      </w:pPr>
      <w:r>
        <w:t xml:space="preserve">The AES program </w:t>
      </w:r>
      <w:r w:rsidRPr="00C305B5">
        <w:t xml:space="preserve">has been identified as selectively benefiting firms in the manufacturing sector. However, information on the specific industry incidence of the program has not been readily available. Accordingly, the budget outlay has been classified to the </w:t>
      </w:r>
      <w:r w:rsidRPr="00C305B5">
        <w:rPr>
          <w:i/>
        </w:rPr>
        <w:t>Unallocated manufacturing</w:t>
      </w:r>
      <w:r w:rsidRPr="00C305B5">
        <w:t xml:space="preserve"> industry grouping in the Commission’s ANZSIC-based classification</w:t>
      </w:r>
      <w:r>
        <w:t xml:space="preserve"> (table A.16</w:t>
      </w:r>
      <w:r w:rsidR="00C065C1">
        <w:t>6</w:t>
      </w:r>
      <w:r>
        <w:t>).</w:t>
      </w:r>
    </w:p>
    <w:p w:rsidR="003C5CB2" w:rsidRDefault="003C5CB2" w:rsidP="003C5CB2">
      <w:pPr>
        <w:pStyle w:val="TableTitle"/>
      </w:pPr>
      <w:r>
        <w:rPr>
          <w:b w:val="0"/>
        </w:rPr>
        <w:t xml:space="preserve">Table </w:t>
      </w:r>
      <w:r w:rsidR="00FA09C3">
        <w:rPr>
          <w:b w:val="0"/>
        </w:rPr>
        <w:t>A.</w:t>
      </w:r>
      <w:r w:rsidR="00FA09C3">
        <w:rPr>
          <w:b w:val="0"/>
          <w:noProof/>
        </w:rPr>
        <w:t>166</w:t>
      </w:r>
      <w:r>
        <w:tab/>
        <w:t>Allocation of Advanced Electricity Storage program</w:t>
      </w:r>
      <w:r w:rsidR="00E471E2" w:rsidRPr="00E471E2">
        <w:t xml:space="preserve"> to industry</w:t>
      </w:r>
      <w:r>
        <w:t>, 2006</w:t>
      </w:r>
      <w:r>
        <w:noBreakHyphen/>
        <w:t>07 to 2011</w:t>
      </w:r>
      <w:r>
        <w:noBreakHyphen/>
        <w:t>12</w:t>
      </w:r>
    </w:p>
    <w:p w:rsidR="003C5CB2" w:rsidRDefault="003C5CB2" w:rsidP="003C5CB2">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3C5CB2" w:rsidRPr="00AF699A" w:rsidTr="005151A7">
        <w:tc>
          <w:tcPr>
            <w:tcW w:w="1960" w:type="pct"/>
            <w:tcBorders>
              <w:top w:val="single" w:sz="6" w:space="0" w:color="auto"/>
              <w:bottom w:val="single" w:sz="6" w:space="0" w:color="auto"/>
            </w:tcBorders>
          </w:tcPr>
          <w:p w:rsidR="003C5CB2" w:rsidRPr="00AF699A" w:rsidRDefault="003C5CB2" w:rsidP="005151A7">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3C5CB2" w:rsidRPr="00AF699A" w:rsidRDefault="003C5CB2" w:rsidP="005151A7">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3C5CB2" w:rsidRPr="00AF699A" w:rsidRDefault="003C5CB2" w:rsidP="005151A7">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3C5CB2" w:rsidRPr="00AF699A" w:rsidRDefault="003C5CB2" w:rsidP="005151A7">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3C5CB2" w:rsidRPr="00AF699A" w:rsidRDefault="003C5CB2" w:rsidP="005151A7">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3C5CB2" w:rsidRPr="00AF699A" w:rsidRDefault="003C5CB2" w:rsidP="005151A7">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3C5CB2" w:rsidRPr="00AF699A" w:rsidRDefault="003C5CB2" w:rsidP="005151A7">
            <w:pPr>
              <w:pStyle w:val="TableColumnHeading"/>
              <w:ind w:right="28"/>
              <w:rPr>
                <w:rFonts w:cs="Arial"/>
                <w:sz w:val="18"/>
                <w:szCs w:val="18"/>
              </w:rPr>
            </w:pPr>
            <w:r w:rsidRPr="00AF699A">
              <w:rPr>
                <w:rFonts w:cs="Arial"/>
                <w:sz w:val="18"/>
                <w:szCs w:val="18"/>
              </w:rPr>
              <w:t>2011-12</w:t>
            </w:r>
          </w:p>
        </w:tc>
      </w:tr>
      <w:tr w:rsidR="003C5CB2" w:rsidRPr="006C5A80" w:rsidTr="005151A7">
        <w:tc>
          <w:tcPr>
            <w:tcW w:w="1960" w:type="pct"/>
            <w:tcBorders>
              <w:bottom w:val="single" w:sz="4" w:space="0" w:color="auto"/>
            </w:tcBorders>
            <w:vAlign w:val="bottom"/>
          </w:tcPr>
          <w:p w:rsidR="003C5CB2" w:rsidRPr="00C944BA" w:rsidRDefault="003C5CB2" w:rsidP="005151A7">
            <w:pPr>
              <w:pStyle w:val="TableBodyText"/>
              <w:jc w:val="left"/>
            </w:pPr>
            <w:r>
              <w:t>Unallocated manufacturing</w:t>
            </w:r>
            <w:r w:rsidRPr="007546E2">
              <w:rPr>
                <w:rStyle w:val="NoteLabel"/>
                <w:szCs w:val="18"/>
              </w:rPr>
              <w:t>a</w:t>
            </w:r>
          </w:p>
        </w:tc>
        <w:tc>
          <w:tcPr>
            <w:tcW w:w="507" w:type="pct"/>
            <w:tcBorders>
              <w:bottom w:val="single" w:sz="4" w:space="0" w:color="auto"/>
            </w:tcBorders>
            <w:vAlign w:val="bottom"/>
          </w:tcPr>
          <w:p w:rsidR="003C5CB2" w:rsidRDefault="003C5CB2" w:rsidP="005151A7">
            <w:pPr>
              <w:pStyle w:val="TableBodyText"/>
            </w:pPr>
            <w:r>
              <w:t>0.5</w:t>
            </w:r>
          </w:p>
        </w:tc>
        <w:tc>
          <w:tcPr>
            <w:tcW w:w="507" w:type="pct"/>
            <w:tcBorders>
              <w:bottom w:val="single" w:sz="4" w:space="0" w:color="auto"/>
            </w:tcBorders>
            <w:vAlign w:val="bottom"/>
          </w:tcPr>
          <w:p w:rsidR="003C5CB2" w:rsidRDefault="003C5CB2" w:rsidP="005151A7">
            <w:pPr>
              <w:pStyle w:val="TableBodyText"/>
            </w:pPr>
            <w:r>
              <w:t>2.8</w:t>
            </w:r>
          </w:p>
        </w:tc>
        <w:tc>
          <w:tcPr>
            <w:tcW w:w="507" w:type="pct"/>
            <w:tcBorders>
              <w:bottom w:val="single" w:sz="4" w:space="0" w:color="auto"/>
            </w:tcBorders>
            <w:vAlign w:val="bottom"/>
          </w:tcPr>
          <w:p w:rsidR="003C5CB2" w:rsidRDefault="003C5CB2" w:rsidP="005151A7">
            <w:pPr>
              <w:pStyle w:val="TableBodyText"/>
            </w:pPr>
            <w:r>
              <w:t>8.7</w:t>
            </w:r>
          </w:p>
        </w:tc>
        <w:tc>
          <w:tcPr>
            <w:tcW w:w="507" w:type="pct"/>
            <w:tcBorders>
              <w:bottom w:val="single" w:sz="4" w:space="0" w:color="auto"/>
            </w:tcBorders>
            <w:vAlign w:val="bottom"/>
          </w:tcPr>
          <w:p w:rsidR="003C5CB2" w:rsidRDefault="003C5CB2" w:rsidP="005151A7">
            <w:pPr>
              <w:pStyle w:val="TableBodyText"/>
            </w:pPr>
            <w:r>
              <w:noBreakHyphen/>
            </w:r>
          </w:p>
        </w:tc>
        <w:tc>
          <w:tcPr>
            <w:tcW w:w="507" w:type="pct"/>
            <w:tcBorders>
              <w:bottom w:val="single" w:sz="4" w:space="0" w:color="auto"/>
            </w:tcBorders>
            <w:shd w:val="clear" w:color="auto" w:fill="auto"/>
            <w:vAlign w:val="bottom"/>
          </w:tcPr>
          <w:p w:rsidR="003C5CB2" w:rsidRDefault="003C5CB2" w:rsidP="005151A7">
            <w:pPr>
              <w:pStyle w:val="TableBodyText"/>
            </w:pPr>
            <w:r>
              <w:noBreakHyphen/>
            </w:r>
          </w:p>
        </w:tc>
        <w:tc>
          <w:tcPr>
            <w:tcW w:w="505" w:type="pct"/>
            <w:tcBorders>
              <w:bottom w:val="single" w:sz="4" w:space="0" w:color="auto"/>
            </w:tcBorders>
            <w:shd w:val="clear" w:color="auto" w:fill="auto"/>
            <w:vAlign w:val="bottom"/>
          </w:tcPr>
          <w:p w:rsidR="003C5CB2" w:rsidRDefault="003C5CB2" w:rsidP="005151A7">
            <w:pPr>
              <w:pStyle w:val="TableBodyText"/>
            </w:pPr>
            <w:r>
              <w:noBreakHyphen/>
            </w:r>
          </w:p>
        </w:tc>
      </w:tr>
    </w:tbl>
    <w:p w:rsidR="003C5CB2" w:rsidRPr="00F60026" w:rsidRDefault="003C5CB2" w:rsidP="003C5CB2">
      <w:pPr>
        <w:pStyle w:val="Source"/>
        <w:spacing w:after="0"/>
        <w:rPr>
          <w:i/>
        </w:rPr>
      </w:pPr>
      <w:r w:rsidRPr="00A2379F">
        <w:noBreakHyphen/>
        <w:t xml:space="preserve"> </w:t>
      </w:r>
      <w:r>
        <w:t>Nil</w:t>
      </w:r>
      <w:r w:rsidRPr="00A2379F">
        <w:t>.</w:t>
      </w:r>
      <w:r w:rsidRPr="00B1392F">
        <w:t xml:space="preserve"> </w:t>
      </w:r>
      <w:r w:rsidRPr="009B56F1">
        <w:rPr>
          <w:rStyle w:val="NoteLabel"/>
        </w:rPr>
        <w:t>a</w:t>
      </w:r>
      <w:r w:rsidRPr="009B56F1">
        <w:t xml:space="preserve"> Unallocated includes general programs where detai</w:t>
      </w:r>
      <w:r>
        <w:t>ls of beneficiaries are unknown.</w:t>
      </w:r>
    </w:p>
    <w:p w:rsidR="007546E2" w:rsidRPr="007546E2" w:rsidRDefault="003C5CB2" w:rsidP="00C26E82">
      <w:pPr>
        <w:pStyle w:val="Source"/>
      </w:pPr>
      <w:r>
        <w:rPr>
          <w:i/>
        </w:rPr>
        <w:t>Source</w:t>
      </w:r>
      <w:r w:rsidR="00922025">
        <w:rPr>
          <w:i/>
        </w:rPr>
        <w:t>s</w:t>
      </w:r>
      <w:r>
        <w:t>: Commission estimates based on Department of Resources, Energy and Tourism Annual Report 2008</w:t>
      </w:r>
      <w:r>
        <w:noBreakHyphen/>
        <w:t>09 (and earlier years); Department of the Environment, Water, Heritage and the Arts Annual Report 2007</w:t>
      </w:r>
      <w:r>
        <w:noBreakHyphen/>
        <w:t>08; and Department of the Environment and Water R</w:t>
      </w:r>
      <w:r w:rsidR="007546E2">
        <w:t>esources Annual Report 2006</w:t>
      </w:r>
      <w:r w:rsidR="007546E2">
        <w:noBreakHyphen/>
        <w:t>07.</w:t>
      </w:r>
    </w:p>
    <w:p w:rsidR="003C5CB2" w:rsidRDefault="00FA09C3" w:rsidP="003C5CB2">
      <w:pPr>
        <w:pStyle w:val="Heading2"/>
      </w:pPr>
      <w:r>
        <w:t>A.</w:t>
      </w:r>
      <w:r>
        <w:rPr>
          <w:noProof/>
        </w:rPr>
        <w:t>167</w:t>
      </w:r>
      <w:r w:rsidR="003C5CB2">
        <w:tab/>
        <w:t>Ethanol Distribution Program</w:t>
      </w:r>
    </w:p>
    <w:p w:rsidR="003C5CB2" w:rsidRDefault="003C5CB2" w:rsidP="003C5CB2">
      <w:pPr>
        <w:pStyle w:val="BodyText"/>
      </w:pPr>
      <w:r>
        <w:t>Announced by the Australian Government in August 2006, the $14 million Ethanol Distribution Program (EDP) provided grants of up to $20 000 each for service station operators to upgrade their equipment to increase the sale of ethanol-blended fuel (</w:t>
      </w:r>
      <w:r w:rsidRPr="00C305B5">
        <w:t>DITR 2007a</w:t>
      </w:r>
      <w:r>
        <w:t>).</w:t>
      </w:r>
    </w:p>
    <w:p w:rsidR="003C5CB2" w:rsidRDefault="003C5CB2" w:rsidP="003C5CB2">
      <w:pPr>
        <w:pStyle w:val="BodyText"/>
      </w:pPr>
      <w:r>
        <w:t xml:space="preserve">The EDP selectively assisted firms engaged in wholesale and retail activities. Accordingly, the program has been classified to the </w:t>
      </w:r>
      <w:r w:rsidRPr="00CC319F">
        <w:rPr>
          <w:i/>
        </w:rPr>
        <w:t>Wholesale trade</w:t>
      </w:r>
      <w:r>
        <w:t xml:space="preserve"> and </w:t>
      </w:r>
      <w:r w:rsidRPr="00CC319F">
        <w:rPr>
          <w:i/>
        </w:rPr>
        <w:t>Retail trade</w:t>
      </w:r>
      <w:r>
        <w:t xml:space="preserve"> industry groupings in the Commission’s ANZSIC-based classification (table A.16</w:t>
      </w:r>
      <w:r w:rsidR="00C065C1">
        <w:t>7</w:t>
      </w:r>
      <w:r>
        <w:t>).</w:t>
      </w:r>
    </w:p>
    <w:p w:rsidR="003C5CB2" w:rsidRDefault="003C5CB2" w:rsidP="003C5CB2">
      <w:pPr>
        <w:pStyle w:val="TableTitle"/>
      </w:pPr>
      <w:r>
        <w:rPr>
          <w:b w:val="0"/>
        </w:rPr>
        <w:t xml:space="preserve">Table </w:t>
      </w:r>
      <w:r w:rsidR="00FA09C3">
        <w:rPr>
          <w:b w:val="0"/>
        </w:rPr>
        <w:t>A.</w:t>
      </w:r>
      <w:r w:rsidR="00FA09C3">
        <w:rPr>
          <w:b w:val="0"/>
          <w:noProof/>
        </w:rPr>
        <w:t>167</w:t>
      </w:r>
      <w:r>
        <w:tab/>
        <w:t xml:space="preserve">Allocation of Ethanol Distribution Program </w:t>
      </w:r>
      <w:r w:rsidR="00E471E2" w:rsidRPr="00E471E2">
        <w:t>to industry</w:t>
      </w:r>
      <w:r>
        <w:t>, 2006</w:t>
      </w:r>
      <w:r>
        <w:noBreakHyphen/>
        <w:t>07 to 2011</w:t>
      </w:r>
      <w:r>
        <w:noBreakHyphen/>
        <w:t>12</w:t>
      </w:r>
    </w:p>
    <w:p w:rsidR="003C5CB2" w:rsidRDefault="003C5CB2" w:rsidP="003C5CB2">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3C5CB2" w:rsidRPr="00AF699A" w:rsidTr="005151A7">
        <w:tc>
          <w:tcPr>
            <w:tcW w:w="1960" w:type="pct"/>
            <w:tcBorders>
              <w:top w:val="single" w:sz="6" w:space="0" w:color="auto"/>
              <w:bottom w:val="single" w:sz="6" w:space="0" w:color="auto"/>
            </w:tcBorders>
          </w:tcPr>
          <w:p w:rsidR="003C5CB2" w:rsidRPr="00AF699A" w:rsidRDefault="003C5CB2" w:rsidP="005151A7">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3C5CB2" w:rsidRPr="00AF699A" w:rsidRDefault="003C5CB2" w:rsidP="005151A7">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3C5CB2" w:rsidRPr="00AF699A" w:rsidRDefault="003C5CB2" w:rsidP="005151A7">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3C5CB2" w:rsidRPr="00AF699A" w:rsidRDefault="003C5CB2" w:rsidP="005151A7">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3C5CB2" w:rsidRPr="00AF699A" w:rsidRDefault="003C5CB2" w:rsidP="005151A7">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3C5CB2" w:rsidRPr="00AF699A" w:rsidRDefault="003C5CB2" w:rsidP="005151A7">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3C5CB2" w:rsidRPr="00AF699A" w:rsidRDefault="003C5CB2" w:rsidP="005151A7">
            <w:pPr>
              <w:pStyle w:val="TableColumnHeading"/>
              <w:ind w:right="28"/>
              <w:rPr>
                <w:rFonts w:cs="Arial"/>
                <w:sz w:val="18"/>
                <w:szCs w:val="18"/>
              </w:rPr>
            </w:pPr>
            <w:r w:rsidRPr="00AF699A">
              <w:rPr>
                <w:rFonts w:cs="Arial"/>
                <w:sz w:val="18"/>
                <w:szCs w:val="18"/>
              </w:rPr>
              <w:t>2011-12</w:t>
            </w:r>
          </w:p>
        </w:tc>
      </w:tr>
      <w:tr w:rsidR="003C5CB2" w:rsidRPr="006C5A80" w:rsidTr="005151A7">
        <w:tc>
          <w:tcPr>
            <w:tcW w:w="1960" w:type="pct"/>
            <w:tcBorders>
              <w:top w:val="single" w:sz="6" w:space="0" w:color="auto"/>
            </w:tcBorders>
            <w:vAlign w:val="bottom"/>
          </w:tcPr>
          <w:p w:rsidR="003C5CB2" w:rsidRPr="006C0DD3" w:rsidRDefault="003C5CB2" w:rsidP="005151A7">
            <w:pPr>
              <w:pStyle w:val="TableBodyText"/>
              <w:jc w:val="left"/>
              <w:rPr>
                <w:b/>
                <w:sz w:val="18"/>
                <w:szCs w:val="18"/>
              </w:rPr>
            </w:pPr>
            <w:r>
              <w:rPr>
                <w:b/>
                <w:sz w:val="18"/>
                <w:szCs w:val="18"/>
              </w:rPr>
              <w:t>Services</w:t>
            </w:r>
          </w:p>
        </w:tc>
        <w:tc>
          <w:tcPr>
            <w:tcW w:w="507" w:type="pct"/>
            <w:tcBorders>
              <w:top w:val="single" w:sz="6" w:space="0" w:color="auto"/>
            </w:tcBorders>
            <w:vAlign w:val="bottom"/>
          </w:tcPr>
          <w:p w:rsidR="003C5CB2" w:rsidRPr="0003731D" w:rsidRDefault="003C5CB2" w:rsidP="005151A7">
            <w:pPr>
              <w:pStyle w:val="TableBodyText"/>
              <w:rPr>
                <w:b/>
                <w:sz w:val="18"/>
                <w:szCs w:val="18"/>
              </w:rPr>
            </w:pPr>
            <w:r w:rsidRPr="0003731D">
              <w:rPr>
                <w:b/>
                <w:sz w:val="18"/>
                <w:szCs w:val="18"/>
              </w:rPr>
              <w:t>0.7</w:t>
            </w:r>
          </w:p>
        </w:tc>
        <w:tc>
          <w:tcPr>
            <w:tcW w:w="507" w:type="pct"/>
            <w:tcBorders>
              <w:top w:val="single" w:sz="6" w:space="0" w:color="auto"/>
            </w:tcBorders>
            <w:vAlign w:val="bottom"/>
          </w:tcPr>
          <w:p w:rsidR="003C5CB2" w:rsidRPr="0003731D" w:rsidRDefault="003C5CB2" w:rsidP="005151A7">
            <w:pPr>
              <w:pStyle w:val="TableBodyText"/>
              <w:rPr>
                <w:b/>
                <w:sz w:val="18"/>
                <w:szCs w:val="18"/>
              </w:rPr>
            </w:pPr>
            <w:r w:rsidRPr="0003731D">
              <w:rPr>
                <w:b/>
                <w:sz w:val="18"/>
                <w:szCs w:val="18"/>
              </w:rPr>
              <w:t>6.2</w:t>
            </w:r>
          </w:p>
        </w:tc>
        <w:tc>
          <w:tcPr>
            <w:tcW w:w="507" w:type="pct"/>
            <w:tcBorders>
              <w:top w:val="single" w:sz="6" w:space="0" w:color="auto"/>
            </w:tcBorders>
            <w:vAlign w:val="bottom"/>
          </w:tcPr>
          <w:p w:rsidR="003C5CB2" w:rsidRPr="0003731D" w:rsidRDefault="003C5CB2" w:rsidP="005151A7">
            <w:pPr>
              <w:pStyle w:val="TableBodyText"/>
              <w:rPr>
                <w:b/>
                <w:sz w:val="18"/>
                <w:szCs w:val="18"/>
              </w:rPr>
            </w:pPr>
            <w:r w:rsidRPr="0003731D">
              <w:rPr>
                <w:b/>
                <w:sz w:val="18"/>
                <w:szCs w:val="18"/>
              </w:rPr>
              <w:t>7.0</w:t>
            </w:r>
          </w:p>
        </w:tc>
        <w:tc>
          <w:tcPr>
            <w:tcW w:w="507" w:type="pct"/>
            <w:tcBorders>
              <w:top w:val="single" w:sz="6" w:space="0" w:color="auto"/>
            </w:tcBorders>
            <w:vAlign w:val="bottom"/>
          </w:tcPr>
          <w:p w:rsidR="003C5CB2" w:rsidRPr="0003731D" w:rsidRDefault="003C5CB2" w:rsidP="005151A7">
            <w:pPr>
              <w:pStyle w:val="TableBodyText"/>
              <w:rPr>
                <w:b/>
                <w:sz w:val="18"/>
                <w:szCs w:val="18"/>
              </w:rPr>
            </w:pPr>
            <w:r w:rsidRPr="0003731D">
              <w:rPr>
                <w:b/>
                <w:sz w:val="18"/>
                <w:szCs w:val="18"/>
              </w:rPr>
              <w:noBreakHyphen/>
            </w:r>
          </w:p>
        </w:tc>
        <w:tc>
          <w:tcPr>
            <w:tcW w:w="507" w:type="pct"/>
            <w:tcBorders>
              <w:top w:val="single" w:sz="6" w:space="0" w:color="auto"/>
            </w:tcBorders>
            <w:vAlign w:val="bottom"/>
          </w:tcPr>
          <w:p w:rsidR="003C5CB2" w:rsidRPr="0003731D" w:rsidRDefault="003C5CB2" w:rsidP="005151A7">
            <w:pPr>
              <w:pStyle w:val="TableBodyText"/>
              <w:rPr>
                <w:b/>
                <w:sz w:val="18"/>
                <w:szCs w:val="18"/>
              </w:rPr>
            </w:pPr>
            <w:r w:rsidRPr="0003731D">
              <w:rPr>
                <w:b/>
                <w:sz w:val="18"/>
                <w:szCs w:val="18"/>
              </w:rPr>
              <w:noBreakHyphen/>
            </w:r>
          </w:p>
        </w:tc>
        <w:tc>
          <w:tcPr>
            <w:tcW w:w="505" w:type="pct"/>
            <w:tcBorders>
              <w:top w:val="single" w:sz="6" w:space="0" w:color="auto"/>
            </w:tcBorders>
            <w:vAlign w:val="bottom"/>
          </w:tcPr>
          <w:p w:rsidR="003C5CB2" w:rsidRPr="0003731D" w:rsidRDefault="003C5CB2" w:rsidP="005151A7">
            <w:pPr>
              <w:pStyle w:val="TableBodyText"/>
              <w:rPr>
                <w:b/>
                <w:sz w:val="18"/>
                <w:szCs w:val="18"/>
              </w:rPr>
            </w:pPr>
            <w:r w:rsidRPr="0003731D">
              <w:rPr>
                <w:b/>
                <w:sz w:val="18"/>
                <w:szCs w:val="18"/>
              </w:rPr>
              <w:noBreakHyphen/>
            </w:r>
          </w:p>
        </w:tc>
      </w:tr>
      <w:tr w:rsidR="003C5CB2" w:rsidRPr="006C5A80" w:rsidTr="005151A7">
        <w:tc>
          <w:tcPr>
            <w:tcW w:w="1960" w:type="pct"/>
            <w:vAlign w:val="bottom"/>
          </w:tcPr>
          <w:p w:rsidR="003C5CB2" w:rsidRPr="00267504" w:rsidRDefault="003C5CB2" w:rsidP="005151A7">
            <w:pPr>
              <w:pStyle w:val="TableBodyText"/>
              <w:jc w:val="left"/>
              <w:rPr>
                <w:sz w:val="18"/>
                <w:szCs w:val="18"/>
              </w:rPr>
            </w:pPr>
            <w:r>
              <w:rPr>
                <w:sz w:val="18"/>
                <w:szCs w:val="18"/>
              </w:rPr>
              <w:t>Wholesale trade</w:t>
            </w:r>
          </w:p>
        </w:tc>
        <w:tc>
          <w:tcPr>
            <w:tcW w:w="507" w:type="pct"/>
            <w:vAlign w:val="bottom"/>
          </w:tcPr>
          <w:p w:rsidR="003C5CB2" w:rsidRPr="00B51FB8" w:rsidRDefault="003C5CB2" w:rsidP="005151A7">
            <w:pPr>
              <w:pStyle w:val="TableBodyText"/>
              <w:rPr>
                <w:sz w:val="18"/>
                <w:szCs w:val="18"/>
              </w:rPr>
            </w:pPr>
            <w:r>
              <w:rPr>
                <w:sz w:val="18"/>
                <w:szCs w:val="18"/>
              </w:rPr>
              <w:noBreakHyphen/>
            </w:r>
          </w:p>
        </w:tc>
        <w:tc>
          <w:tcPr>
            <w:tcW w:w="507" w:type="pct"/>
            <w:vAlign w:val="bottom"/>
          </w:tcPr>
          <w:p w:rsidR="003C5CB2" w:rsidRPr="00B51FB8" w:rsidRDefault="003C5CB2" w:rsidP="005151A7">
            <w:pPr>
              <w:pStyle w:val="TableBodyText"/>
              <w:rPr>
                <w:sz w:val="18"/>
                <w:szCs w:val="18"/>
              </w:rPr>
            </w:pPr>
            <w:r w:rsidRPr="00B51FB8">
              <w:rPr>
                <w:sz w:val="18"/>
                <w:szCs w:val="18"/>
              </w:rPr>
              <w:t>1.7</w:t>
            </w:r>
          </w:p>
        </w:tc>
        <w:tc>
          <w:tcPr>
            <w:tcW w:w="507" w:type="pct"/>
            <w:vAlign w:val="bottom"/>
          </w:tcPr>
          <w:p w:rsidR="003C5CB2" w:rsidRPr="00B51FB8" w:rsidRDefault="003C5CB2" w:rsidP="005151A7">
            <w:pPr>
              <w:pStyle w:val="TableBodyText"/>
              <w:rPr>
                <w:sz w:val="18"/>
                <w:szCs w:val="18"/>
              </w:rPr>
            </w:pPr>
            <w:r w:rsidRPr="00B51FB8">
              <w:rPr>
                <w:sz w:val="18"/>
                <w:szCs w:val="18"/>
              </w:rPr>
              <w:t>2.0</w:t>
            </w:r>
          </w:p>
        </w:tc>
        <w:tc>
          <w:tcPr>
            <w:tcW w:w="507" w:type="pct"/>
            <w:vAlign w:val="bottom"/>
          </w:tcPr>
          <w:p w:rsidR="003C5CB2" w:rsidRPr="00B51FB8" w:rsidRDefault="003C5CB2" w:rsidP="005151A7">
            <w:pPr>
              <w:pStyle w:val="TableBodyText"/>
              <w:rPr>
                <w:sz w:val="18"/>
                <w:szCs w:val="18"/>
              </w:rPr>
            </w:pPr>
            <w:r>
              <w:rPr>
                <w:sz w:val="18"/>
                <w:szCs w:val="18"/>
              </w:rPr>
              <w:noBreakHyphen/>
            </w:r>
          </w:p>
        </w:tc>
        <w:tc>
          <w:tcPr>
            <w:tcW w:w="507" w:type="pct"/>
            <w:shd w:val="clear" w:color="auto" w:fill="auto"/>
            <w:vAlign w:val="bottom"/>
          </w:tcPr>
          <w:p w:rsidR="003C5CB2" w:rsidRPr="00B51FB8" w:rsidRDefault="003C5CB2" w:rsidP="005151A7">
            <w:pPr>
              <w:pStyle w:val="TableBodyText"/>
              <w:rPr>
                <w:sz w:val="18"/>
                <w:szCs w:val="18"/>
              </w:rPr>
            </w:pPr>
            <w:r>
              <w:rPr>
                <w:sz w:val="18"/>
                <w:szCs w:val="18"/>
              </w:rPr>
              <w:noBreakHyphen/>
            </w:r>
          </w:p>
        </w:tc>
        <w:tc>
          <w:tcPr>
            <w:tcW w:w="505" w:type="pct"/>
            <w:shd w:val="clear" w:color="auto" w:fill="auto"/>
            <w:vAlign w:val="bottom"/>
          </w:tcPr>
          <w:p w:rsidR="003C5CB2" w:rsidRPr="00B51FB8" w:rsidRDefault="003C5CB2" w:rsidP="005151A7">
            <w:pPr>
              <w:pStyle w:val="TableBodyText"/>
              <w:rPr>
                <w:sz w:val="18"/>
                <w:szCs w:val="18"/>
              </w:rPr>
            </w:pPr>
            <w:r>
              <w:rPr>
                <w:sz w:val="18"/>
                <w:szCs w:val="18"/>
              </w:rPr>
              <w:noBreakHyphen/>
            </w:r>
          </w:p>
        </w:tc>
      </w:tr>
      <w:tr w:rsidR="003C5CB2" w:rsidRPr="006C5A80" w:rsidTr="005151A7">
        <w:tc>
          <w:tcPr>
            <w:tcW w:w="1960" w:type="pct"/>
            <w:vAlign w:val="bottom"/>
          </w:tcPr>
          <w:p w:rsidR="003C5CB2" w:rsidRPr="00267504" w:rsidRDefault="003C5CB2" w:rsidP="005151A7">
            <w:pPr>
              <w:pStyle w:val="TableBodyText"/>
              <w:jc w:val="left"/>
              <w:rPr>
                <w:sz w:val="18"/>
                <w:szCs w:val="18"/>
              </w:rPr>
            </w:pPr>
            <w:r>
              <w:rPr>
                <w:sz w:val="18"/>
                <w:szCs w:val="18"/>
              </w:rPr>
              <w:t>Retail trade</w:t>
            </w:r>
          </w:p>
        </w:tc>
        <w:tc>
          <w:tcPr>
            <w:tcW w:w="507" w:type="pct"/>
            <w:vAlign w:val="bottom"/>
          </w:tcPr>
          <w:p w:rsidR="003C5CB2" w:rsidRPr="00B51FB8" w:rsidRDefault="003C5CB2" w:rsidP="005151A7">
            <w:pPr>
              <w:pStyle w:val="TableBodyText"/>
              <w:rPr>
                <w:sz w:val="18"/>
                <w:szCs w:val="18"/>
              </w:rPr>
            </w:pPr>
            <w:r w:rsidRPr="00B51FB8">
              <w:rPr>
                <w:sz w:val="18"/>
                <w:szCs w:val="18"/>
              </w:rPr>
              <w:t>0.7</w:t>
            </w:r>
          </w:p>
        </w:tc>
        <w:tc>
          <w:tcPr>
            <w:tcW w:w="507" w:type="pct"/>
            <w:vAlign w:val="bottom"/>
          </w:tcPr>
          <w:p w:rsidR="003C5CB2" w:rsidRPr="00B51FB8" w:rsidRDefault="003C5CB2" w:rsidP="005151A7">
            <w:pPr>
              <w:pStyle w:val="TableBodyText"/>
              <w:rPr>
                <w:sz w:val="18"/>
                <w:szCs w:val="18"/>
              </w:rPr>
            </w:pPr>
            <w:r w:rsidRPr="00B51FB8">
              <w:rPr>
                <w:sz w:val="18"/>
                <w:szCs w:val="18"/>
              </w:rPr>
              <w:t>4.5</w:t>
            </w:r>
          </w:p>
        </w:tc>
        <w:tc>
          <w:tcPr>
            <w:tcW w:w="507" w:type="pct"/>
            <w:vAlign w:val="bottom"/>
          </w:tcPr>
          <w:p w:rsidR="003C5CB2" w:rsidRPr="00B51FB8" w:rsidRDefault="003C5CB2" w:rsidP="005151A7">
            <w:pPr>
              <w:pStyle w:val="TableBodyText"/>
              <w:rPr>
                <w:sz w:val="18"/>
                <w:szCs w:val="18"/>
              </w:rPr>
            </w:pPr>
            <w:r w:rsidRPr="00B51FB8">
              <w:rPr>
                <w:sz w:val="18"/>
                <w:szCs w:val="18"/>
              </w:rPr>
              <w:t>5.0</w:t>
            </w:r>
          </w:p>
        </w:tc>
        <w:tc>
          <w:tcPr>
            <w:tcW w:w="507" w:type="pct"/>
            <w:vAlign w:val="bottom"/>
          </w:tcPr>
          <w:p w:rsidR="003C5CB2" w:rsidRPr="00B51FB8" w:rsidRDefault="003C5CB2" w:rsidP="005151A7">
            <w:pPr>
              <w:pStyle w:val="TableBodyText"/>
              <w:rPr>
                <w:sz w:val="18"/>
                <w:szCs w:val="18"/>
              </w:rPr>
            </w:pPr>
            <w:r>
              <w:rPr>
                <w:sz w:val="18"/>
                <w:szCs w:val="18"/>
              </w:rPr>
              <w:noBreakHyphen/>
            </w:r>
          </w:p>
        </w:tc>
        <w:tc>
          <w:tcPr>
            <w:tcW w:w="507" w:type="pct"/>
            <w:shd w:val="clear" w:color="auto" w:fill="auto"/>
            <w:vAlign w:val="bottom"/>
          </w:tcPr>
          <w:p w:rsidR="003C5CB2" w:rsidRPr="00B51FB8" w:rsidRDefault="003C5CB2" w:rsidP="005151A7">
            <w:pPr>
              <w:pStyle w:val="TableBodyText"/>
              <w:rPr>
                <w:sz w:val="18"/>
                <w:szCs w:val="18"/>
              </w:rPr>
            </w:pPr>
            <w:r>
              <w:rPr>
                <w:sz w:val="18"/>
                <w:szCs w:val="18"/>
              </w:rPr>
              <w:noBreakHyphen/>
            </w:r>
          </w:p>
        </w:tc>
        <w:tc>
          <w:tcPr>
            <w:tcW w:w="505" w:type="pct"/>
            <w:shd w:val="clear" w:color="auto" w:fill="auto"/>
            <w:vAlign w:val="bottom"/>
          </w:tcPr>
          <w:p w:rsidR="003C5CB2" w:rsidRPr="00B51FB8" w:rsidRDefault="003C5CB2" w:rsidP="005151A7">
            <w:pPr>
              <w:pStyle w:val="TableBodyText"/>
              <w:rPr>
                <w:sz w:val="18"/>
                <w:szCs w:val="18"/>
              </w:rPr>
            </w:pPr>
            <w:r>
              <w:rPr>
                <w:sz w:val="18"/>
                <w:szCs w:val="18"/>
              </w:rPr>
              <w:noBreakHyphen/>
            </w:r>
          </w:p>
        </w:tc>
      </w:tr>
      <w:tr w:rsidR="003C5CB2" w:rsidRPr="006C5A80" w:rsidTr="005151A7">
        <w:tc>
          <w:tcPr>
            <w:tcW w:w="1960" w:type="pct"/>
            <w:tcBorders>
              <w:bottom w:val="single" w:sz="4" w:space="0" w:color="auto"/>
            </w:tcBorders>
            <w:vAlign w:val="bottom"/>
          </w:tcPr>
          <w:p w:rsidR="003C5CB2" w:rsidRPr="00267504" w:rsidRDefault="003C5CB2" w:rsidP="005151A7">
            <w:pPr>
              <w:pStyle w:val="TableBodyText"/>
              <w:jc w:val="left"/>
              <w:rPr>
                <w:b/>
                <w:bCs/>
                <w:sz w:val="18"/>
                <w:szCs w:val="18"/>
              </w:rPr>
            </w:pPr>
            <w:r w:rsidRPr="00267504">
              <w:rPr>
                <w:b/>
                <w:bCs/>
                <w:sz w:val="18"/>
                <w:szCs w:val="18"/>
              </w:rPr>
              <w:t>Total</w:t>
            </w:r>
          </w:p>
        </w:tc>
        <w:tc>
          <w:tcPr>
            <w:tcW w:w="507" w:type="pct"/>
            <w:tcBorders>
              <w:bottom w:val="single" w:sz="4" w:space="0" w:color="auto"/>
            </w:tcBorders>
            <w:vAlign w:val="bottom"/>
          </w:tcPr>
          <w:p w:rsidR="003C5CB2" w:rsidRPr="0003731D" w:rsidRDefault="003C5CB2" w:rsidP="005151A7">
            <w:pPr>
              <w:pStyle w:val="TableBodyText"/>
              <w:rPr>
                <w:b/>
                <w:sz w:val="18"/>
                <w:szCs w:val="18"/>
              </w:rPr>
            </w:pPr>
            <w:r w:rsidRPr="0003731D">
              <w:rPr>
                <w:b/>
                <w:sz w:val="18"/>
                <w:szCs w:val="18"/>
              </w:rPr>
              <w:t>0.7</w:t>
            </w:r>
          </w:p>
        </w:tc>
        <w:tc>
          <w:tcPr>
            <w:tcW w:w="507" w:type="pct"/>
            <w:tcBorders>
              <w:bottom w:val="single" w:sz="4" w:space="0" w:color="auto"/>
            </w:tcBorders>
            <w:vAlign w:val="bottom"/>
          </w:tcPr>
          <w:p w:rsidR="003C5CB2" w:rsidRPr="0003731D" w:rsidRDefault="003C5CB2" w:rsidP="005151A7">
            <w:pPr>
              <w:pStyle w:val="TableBodyText"/>
              <w:rPr>
                <w:b/>
                <w:sz w:val="18"/>
                <w:szCs w:val="18"/>
              </w:rPr>
            </w:pPr>
            <w:r w:rsidRPr="0003731D">
              <w:rPr>
                <w:b/>
                <w:sz w:val="18"/>
                <w:szCs w:val="18"/>
              </w:rPr>
              <w:t>6.2</w:t>
            </w:r>
          </w:p>
        </w:tc>
        <w:tc>
          <w:tcPr>
            <w:tcW w:w="507" w:type="pct"/>
            <w:tcBorders>
              <w:bottom w:val="single" w:sz="4" w:space="0" w:color="auto"/>
            </w:tcBorders>
            <w:vAlign w:val="bottom"/>
          </w:tcPr>
          <w:p w:rsidR="003C5CB2" w:rsidRPr="0003731D" w:rsidRDefault="003C5CB2" w:rsidP="005151A7">
            <w:pPr>
              <w:pStyle w:val="TableBodyText"/>
              <w:rPr>
                <w:b/>
                <w:sz w:val="18"/>
                <w:szCs w:val="18"/>
              </w:rPr>
            </w:pPr>
            <w:r w:rsidRPr="0003731D">
              <w:rPr>
                <w:b/>
                <w:sz w:val="18"/>
                <w:szCs w:val="18"/>
              </w:rPr>
              <w:t>7.0</w:t>
            </w:r>
          </w:p>
        </w:tc>
        <w:tc>
          <w:tcPr>
            <w:tcW w:w="507" w:type="pct"/>
            <w:tcBorders>
              <w:bottom w:val="single" w:sz="4" w:space="0" w:color="auto"/>
            </w:tcBorders>
            <w:vAlign w:val="bottom"/>
          </w:tcPr>
          <w:p w:rsidR="003C5CB2" w:rsidRPr="0003731D" w:rsidRDefault="003C5CB2" w:rsidP="005151A7">
            <w:pPr>
              <w:pStyle w:val="TableBodyText"/>
              <w:rPr>
                <w:b/>
                <w:sz w:val="18"/>
                <w:szCs w:val="18"/>
              </w:rPr>
            </w:pPr>
            <w:r w:rsidRPr="0003731D">
              <w:rPr>
                <w:b/>
                <w:sz w:val="18"/>
                <w:szCs w:val="18"/>
              </w:rPr>
              <w:noBreakHyphen/>
            </w:r>
          </w:p>
        </w:tc>
        <w:tc>
          <w:tcPr>
            <w:tcW w:w="507" w:type="pct"/>
            <w:tcBorders>
              <w:bottom w:val="single" w:sz="4" w:space="0" w:color="auto"/>
            </w:tcBorders>
            <w:shd w:val="clear" w:color="auto" w:fill="auto"/>
            <w:vAlign w:val="bottom"/>
          </w:tcPr>
          <w:p w:rsidR="003C5CB2" w:rsidRPr="0003731D" w:rsidRDefault="003C5CB2" w:rsidP="005151A7">
            <w:pPr>
              <w:pStyle w:val="TableBodyText"/>
              <w:rPr>
                <w:b/>
                <w:sz w:val="18"/>
                <w:szCs w:val="18"/>
              </w:rPr>
            </w:pPr>
            <w:r w:rsidRPr="0003731D">
              <w:rPr>
                <w:b/>
                <w:sz w:val="18"/>
                <w:szCs w:val="18"/>
              </w:rPr>
              <w:noBreakHyphen/>
            </w:r>
          </w:p>
        </w:tc>
        <w:tc>
          <w:tcPr>
            <w:tcW w:w="505" w:type="pct"/>
            <w:tcBorders>
              <w:bottom w:val="single" w:sz="4" w:space="0" w:color="auto"/>
            </w:tcBorders>
            <w:shd w:val="clear" w:color="auto" w:fill="auto"/>
            <w:vAlign w:val="bottom"/>
          </w:tcPr>
          <w:p w:rsidR="003C5CB2" w:rsidRPr="0003731D" w:rsidRDefault="003C5CB2" w:rsidP="005151A7">
            <w:pPr>
              <w:pStyle w:val="TableBodyText"/>
              <w:rPr>
                <w:b/>
                <w:sz w:val="18"/>
                <w:szCs w:val="18"/>
              </w:rPr>
            </w:pPr>
            <w:r w:rsidRPr="0003731D">
              <w:rPr>
                <w:b/>
                <w:sz w:val="18"/>
                <w:szCs w:val="18"/>
              </w:rPr>
              <w:noBreakHyphen/>
            </w:r>
          </w:p>
        </w:tc>
      </w:tr>
    </w:tbl>
    <w:p w:rsidR="003C5CB2" w:rsidRPr="004D1CDF" w:rsidRDefault="003C5CB2" w:rsidP="003C5CB2">
      <w:pPr>
        <w:pStyle w:val="Source"/>
        <w:spacing w:after="0"/>
        <w:rPr>
          <w:i/>
        </w:rPr>
      </w:pPr>
      <w:r w:rsidRPr="00A2379F">
        <w:noBreakHyphen/>
        <w:t xml:space="preserve"> </w:t>
      </w:r>
      <w:r>
        <w:t>Nil</w:t>
      </w:r>
      <w:r w:rsidRPr="00A2379F">
        <w:t>.</w:t>
      </w:r>
    </w:p>
    <w:p w:rsidR="003C5CB2" w:rsidRDefault="003C5CB2" w:rsidP="003C5CB2">
      <w:pPr>
        <w:pStyle w:val="Source"/>
      </w:pPr>
      <w:r>
        <w:rPr>
          <w:i/>
        </w:rPr>
        <w:t>Sources</w:t>
      </w:r>
      <w:r>
        <w:t xml:space="preserve">: </w:t>
      </w:r>
      <w:r w:rsidRPr="002476ED">
        <w:t xml:space="preserve">Commission estimates based on </w:t>
      </w:r>
      <w:r>
        <w:t>Department of Resources, Energy and Tourism 2008</w:t>
      </w:r>
      <w:r>
        <w:noBreakHyphen/>
        <w:t>09 (and earlier years); and Department of Industry, Tourism and Resources Annual Report 2006</w:t>
      </w:r>
      <w:r>
        <w:noBreakHyphen/>
        <w:t>07.</w:t>
      </w:r>
    </w:p>
    <w:p w:rsidR="00216629" w:rsidRPr="00216629" w:rsidRDefault="00216629" w:rsidP="00216629">
      <w:r>
        <w:br w:type="page"/>
      </w:r>
    </w:p>
    <w:p w:rsidR="003C5CB2" w:rsidRDefault="00FA09C3" w:rsidP="003C5CB2">
      <w:pPr>
        <w:pStyle w:val="Heading2"/>
      </w:pPr>
      <w:r>
        <w:t>A.</w:t>
      </w:r>
      <w:r>
        <w:rPr>
          <w:noProof/>
        </w:rPr>
        <w:t>168</w:t>
      </w:r>
      <w:r w:rsidR="003C5CB2">
        <w:tab/>
        <w:t>Sugar Industry Reform Program – 2004</w:t>
      </w:r>
    </w:p>
    <w:p w:rsidR="003C5CB2" w:rsidRDefault="003C5CB2" w:rsidP="003C5CB2">
      <w:pPr>
        <w:pStyle w:val="BodyText"/>
      </w:pPr>
      <w:r>
        <w:t>Announced by the Australian Government in April 2004, the Sugar Industry Reform Program (SIRP) 2004 aimed to alleviate the (then) immediate financial hardship of sugar millers and growers and reform the structure of the industry, through rationalisation and diversification, to make it competitive and sustainable.</w:t>
      </w:r>
    </w:p>
    <w:p w:rsidR="003C5CB2" w:rsidRDefault="003C5CB2" w:rsidP="003C5CB2">
      <w:pPr>
        <w:pStyle w:val="BodyText"/>
      </w:pPr>
      <w:r w:rsidRPr="00806A90">
        <w:t>SIRP 2004 comprised two main funding components: welfare and reform</w:t>
      </w:r>
      <w:r>
        <w:t xml:space="preserve">. </w:t>
      </w:r>
      <w:r w:rsidR="00922025">
        <w:t xml:space="preserve">The welfare </w:t>
      </w:r>
      <w:r>
        <w:t xml:space="preserve">component included: Sustainability Grants; Income Support; and Crisis Counselling. </w:t>
      </w:r>
      <w:r w:rsidR="00542846">
        <w:t xml:space="preserve">The reform </w:t>
      </w:r>
      <w:r>
        <w:t xml:space="preserve">component included: </w:t>
      </w:r>
      <w:r w:rsidR="00542846">
        <w:t>G</w:t>
      </w:r>
      <w:r w:rsidR="00542846" w:rsidRPr="00863499">
        <w:t xml:space="preserve">rower </w:t>
      </w:r>
      <w:r w:rsidRPr="00863499">
        <w:t>Restructuring Grants;</w:t>
      </w:r>
      <w:r>
        <w:t xml:space="preserve"> </w:t>
      </w:r>
      <w:r w:rsidRPr="00863499">
        <w:t>Business Planning Grants;</w:t>
      </w:r>
      <w:r>
        <w:t xml:space="preserve"> </w:t>
      </w:r>
      <w:r w:rsidRPr="00863499">
        <w:t>Regional Community Projects;</w:t>
      </w:r>
      <w:r>
        <w:t xml:space="preserve"> </w:t>
      </w:r>
      <w:r w:rsidRPr="00863499">
        <w:t>Re-establishment Grants;</w:t>
      </w:r>
      <w:r>
        <w:t xml:space="preserve"> </w:t>
      </w:r>
      <w:r w:rsidRPr="00863499">
        <w:t>Re-training Grants; and</w:t>
      </w:r>
      <w:r>
        <w:t xml:space="preserve"> </w:t>
      </w:r>
      <w:r w:rsidRPr="00863499">
        <w:t>Intergenerational Transfer Grants.</w:t>
      </w:r>
      <w:r>
        <w:t xml:space="preserve"> The SIRP ended in 2008 </w:t>
      </w:r>
      <w:r w:rsidRPr="00812D24">
        <w:t>(</w:t>
      </w:r>
      <w:r w:rsidRPr="00C305B5">
        <w:t>ABARES 2010</w:t>
      </w:r>
      <w:r w:rsidRPr="00812D24">
        <w:t>)</w:t>
      </w:r>
      <w:r>
        <w:t>.</w:t>
      </w:r>
    </w:p>
    <w:p w:rsidR="003C5CB2" w:rsidRDefault="003C5CB2" w:rsidP="003C5CB2">
      <w:pPr>
        <w:pStyle w:val="BodyText"/>
      </w:pPr>
      <w:r>
        <w:t xml:space="preserve">While some of these elements may have indirectly benefited ancillary sugar industry services (such as business planning providers), SIRP 2004 predominantly targeted sugar cane growers and has been allocated to the </w:t>
      </w:r>
      <w:r w:rsidRPr="006E72DC">
        <w:rPr>
          <w:i/>
        </w:rPr>
        <w:t>Other crop growing</w:t>
      </w:r>
      <w:r>
        <w:t xml:space="preserve"> industry grouping in the Commission’s ANZSIC-based classification (table A.16</w:t>
      </w:r>
      <w:r w:rsidR="00C065C1">
        <w:t>8</w:t>
      </w:r>
      <w:r>
        <w:t>).</w:t>
      </w:r>
    </w:p>
    <w:p w:rsidR="003C5CB2" w:rsidRDefault="003C5CB2" w:rsidP="003C5CB2">
      <w:pPr>
        <w:pStyle w:val="TableTitle"/>
      </w:pPr>
      <w:r>
        <w:rPr>
          <w:b w:val="0"/>
        </w:rPr>
        <w:t xml:space="preserve">Table </w:t>
      </w:r>
      <w:r w:rsidR="00FA09C3">
        <w:rPr>
          <w:b w:val="0"/>
        </w:rPr>
        <w:t>A.</w:t>
      </w:r>
      <w:r w:rsidR="00FA09C3">
        <w:rPr>
          <w:b w:val="0"/>
          <w:noProof/>
        </w:rPr>
        <w:t>168</w:t>
      </w:r>
      <w:r>
        <w:tab/>
        <w:t xml:space="preserve">Allocation of Sugar Industry Reform Program </w:t>
      </w:r>
      <w:r w:rsidR="00FF3EBC">
        <w:t>–</w:t>
      </w:r>
      <w:r>
        <w:t xml:space="preserve"> 2004</w:t>
      </w:r>
      <w:r w:rsidR="00E471E2" w:rsidRPr="00E471E2">
        <w:t xml:space="preserve"> to industry</w:t>
      </w:r>
      <w:r>
        <w:t>, 2006</w:t>
      </w:r>
      <w:r>
        <w:noBreakHyphen/>
        <w:t>07 to 2011</w:t>
      </w:r>
      <w:r>
        <w:noBreakHyphen/>
        <w:t>12</w:t>
      </w:r>
    </w:p>
    <w:p w:rsidR="003C5CB2" w:rsidRDefault="003C5CB2" w:rsidP="003C5CB2">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3C5CB2" w:rsidRPr="00AF699A" w:rsidTr="005151A7">
        <w:tc>
          <w:tcPr>
            <w:tcW w:w="1960" w:type="pct"/>
            <w:tcBorders>
              <w:top w:val="single" w:sz="6" w:space="0" w:color="auto"/>
              <w:bottom w:val="single" w:sz="6" w:space="0" w:color="auto"/>
            </w:tcBorders>
          </w:tcPr>
          <w:p w:rsidR="003C5CB2" w:rsidRPr="00AF699A" w:rsidRDefault="003C5CB2" w:rsidP="005151A7">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3C5CB2" w:rsidRPr="00AF699A" w:rsidRDefault="003C5CB2" w:rsidP="005151A7">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3C5CB2" w:rsidRPr="00AF699A" w:rsidRDefault="003C5CB2" w:rsidP="005151A7">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3C5CB2" w:rsidRPr="00AF699A" w:rsidRDefault="003C5CB2" w:rsidP="005151A7">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3C5CB2" w:rsidRPr="00AF699A" w:rsidRDefault="003C5CB2" w:rsidP="005151A7">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3C5CB2" w:rsidRPr="00AF699A" w:rsidRDefault="003C5CB2" w:rsidP="005151A7">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3C5CB2" w:rsidRPr="00AF699A" w:rsidRDefault="003C5CB2" w:rsidP="005151A7">
            <w:pPr>
              <w:pStyle w:val="TableColumnHeading"/>
              <w:ind w:right="28"/>
              <w:rPr>
                <w:rFonts w:cs="Arial"/>
                <w:sz w:val="18"/>
                <w:szCs w:val="18"/>
              </w:rPr>
            </w:pPr>
            <w:r w:rsidRPr="00AF699A">
              <w:rPr>
                <w:rFonts w:cs="Arial"/>
                <w:sz w:val="18"/>
                <w:szCs w:val="18"/>
              </w:rPr>
              <w:t>2011-12</w:t>
            </w:r>
          </w:p>
        </w:tc>
      </w:tr>
      <w:tr w:rsidR="003C5CB2" w:rsidRPr="006C5A80" w:rsidTr="005151A7">
        <w:tc>
          <w:tcPr>
            <w:tcW w:w="1960" w:type="pct"/>
            <w:tcBorders>
              <w:bottom w:val="single" w:sz="4" w:space="0" w:color="auto"/>
            </w:tcBorders>
            <w:vAlign w:val="bottom"/>
          </w:tcPr>
          <w:p w:rsidR="003C5CB2" w:rsidRPr="00C944BA" w:rsidRDefault="003C5CB2" w:rsidP="005151A7">
            <w:pPr>
              <w:pStyle w:val="TableBodyText"/>
              <w:jc w:val="left"/>
            </w:pPr>
            <w:r>
              <w:t>Other crop growing</w:t>
            </w:r>
          </w:p>
        </w:tc>
        <w:tc>
          <w:tcPr>
            <w:tcW w:w="507" w:type="pct"/>
            <w:tcBorders>
              <w:bottom w:val="single" w:sz="4" w:space="0" w:color="auto"/>
            </w:tcBorders>
            <w:vAlign w:val="bottom"/>
          </w:tcPr>
          <w:p w:rsidR="003C5CB2" w:rsidRPr="004B43FD" w:rsidRDefault="003C5CB2" w:rsidP="005151A7">
            <w:pPr>
              <w:pStyle w:val="TableBodyText"/>
            </w:pPr>
            <w:r w:rsidRPr="004B43FD">
              <w:t>39.1</w:t>
            </w:r>
          </w:p>
        </w:tc>
        <w:tc>
          <w:tcPr>
            <w:tcW w:w="507" w:type="pct"/>
            <w:tcBorders>
              <w:bottom w:val="single" w:sz="4" w:space="0" w:color="auto"/>
            </w:tcBorders>
            <w:vAlign w:val="bottom"/>
          </w:tcPr>
          <w:p w:rsidR="003C5CB2" w:rsidRPr="004B43FD" w:rsidRDefault="003C5CB2" w:rsidP="005151A7">
            <w:pPr>
              <w:pStyle w:val="TableBodyText"/>
            </w:pPr>
            <w:r w:rsidRPr="004B43FD">
              <w:t>35.6</w:t>
            </w:r>
          </w:p>
        </w:tc>
        <w:tc>
          <w:tcPr>
            <w:tcW w:w="507" w:type="pct"/>
            <w:tcBorders>
              <w:bottom w:val="single" w:sz="4" w:space="0" w:color="auto"/>
            </w:tcBorders>
            <w:vAlign w:val="bottom"/>
          </w:tcPr>
          <w:p w:rsidR="003C5CB2" w:rsidRPr="004B43FD" w:rsidRDefault="003C5CB2" w:rsidP="005151A7">
            <w:pPr>
              <w:pStyle w:val="TableBodyText"/>
            </w:pPr>
            <w:r w:rsidRPr="004B43FD">
              <w:t>4.5</w:t>
            </w:r>
          </w:p>
        </w:tc>
        <w:tc>
          <w:tcPr>
            <w:tcW w:w="507" w:type="pct"/>
            <w:tcBorders>
              <w:bottom w:val="single" w:sz="4" w:space="0" w:color="auto"/>
            </w:tcBorders>
            <w:vAlign w:val="bottom"/>
          </w:tcPr>
          <w:p w:rsidR="003C5CB2" w:rsidRPr="004B43FD" w:rsidRDefault="003C5CB2" w:rsidP="005151A7">
            <w:pPr>
              <w:pStyle w:val="TableBodyText"/>
            </w:pPr>
            <w:r>
              <w:noBreakHyphen/>
            </w:r>
          </w:p>
        </w:tc>
        <w:tc>
          <w:tcPr>
            <w:tcW w:w="507" w:type="pct"/>
            <w:tcBorders>
              <w:bottom w:val="single" w:sz="4" w:space="0" w:color="auto"/>
            </w:tcBorders>
            <w:shd w:val="clear" w:color="auto" w:fill="auto"/>
            <w:vAlign w:val="bottom"/>
          </w:tcPr>
          <w:p w:rsidR="003C5CB2" w:rsidRPr="004B43FD" w:rsidRDefault="003C5CB2" w:rsidP="005151A7">
            <w:pPr>
              <w:pStyle w:val="TableBodyText"/>
            </w:pPr>
            <w:r>
              <w:noBreakHyphen/>
            </w:r>
          </w:p>
        </w:tc>
        <w:tc>
          <w:tcPr>
            <w:tcW w:w="505" w:type="pct"/>
            <w:tcBorders>
              <w:bottom w:val="single" w:sz="4" w:space="0" w:color="auto"/>
            </w:tcBorders>
            <w:shd w:val="clear" w:color="auto" w:fill="auto"/>
            <w:vAlign w:val="bottom"/>
          </w:tcPr>
          <w:p w:rsidR="003C5CB2" w:rsidRPr="004B43FD" w:rsidRDefault="003C5CB2" w:rsidP="005151A7">
            <w:pPr>
              <w:pStyle w:val="TableBodyText"/>
            </w:pPr>
            <w:r>
              <w:noBreakHyphen/>
            </w:r>
          </w:p>
        </w:tc>
      </w:tr>
    </w:tbl>
    <w:p w:rsidR="003C5CB2" w:rsidRPr="00F60026" w:rsidRDefault="003C5CB2" w:rsidP="003C5CB2">
      <w:pPr>
        <w:pStyle w:val="Source"/>
        <w:spacing w:after="0"/>
        <w:rPr>
          <w:i/>
        </w:rPr>
      </w:pPr>
      <w:r w:rsidRPr="00A2379F">
        <w:noBreakHyphen/>
        <w:t xml:space="preserve"> </w:t>
      </w:r>
      <w:r>
        <w:t>Nil</w:t>
      </w:r>
      <w:r w:rsidRPr="00A2379F">
        <w:t>.</w:t>
      </w:r>
    </w:p>
    <w:p w:rsidR="003C5CB2" w:rsidRDefault="003C5CB2" w:rsidP="003C5CB2">
      <w:pPr>
        <w:pStyle w:val="Source"/>
      </w:pPr>
      <w:r>
        <w:rPr>
          <w:i/>
        </w:rPr>
        <w:t>Source</w:t>
      </w:r>
      <w:r>
        <w:t>: Commission estimates based on DAFF Annual Report 2008</w:t>
      </w:r>
      <w:r>
        <w:noBreakHyphen/>
        <w:t>09 (and earlier years).</w:t>
      </w:r>
    </w:p>
    <w:p w:rsidR="002537EE" w:rsidRDefault="00FA09C3" w:rsidP="002537EE">
      <w:pPr>
        <w:pStyle w:val="Heading2"/>
      </w:pPr>
      <w:r>
        <w:t>A.</w:t>
      </w:r>
      <w:r>
        <w:rPr>
          <w:noProof/>
        </w:rPr>
        <w:t>169</w:t>
      </w:r>
      <w:r w:rsidR="002537EE">
        <w:tab/>
        <w:t>Greenhouse Gas Abatement Program</w:t>
      </w:r>
    </w:p>
    <w:p w:rsidR="002537EE" w:rsidRDefault="002537EE" w:rsidP="002537EE">
      <w:pPr>
        <w:pStyle w:val="BodyText"/>
      </w:pPr>
      <w:r>
        <w:t xml:space="preserve">The Greenhouse Gas Abatement Program (GGAP) </w:t>
      </w:r>
      <w:r w:rsidR="00A85713">
        <w:t>had the objective of reducing</w:t>
      </w:r>
      <w:r>
        <w:t xml:space="preserve"> Australia’s net greenhouse gas emissions by supporting activities intended to result in substantial emissions reductions or activities to offset greenhouse emissions, particularly in the period 2008</w:t>
      </w:r>
      <w:r w:rsidR="00A85713">
        <w:noBreakHyphen/>
      </w:r>
      <w:r>
        <w:t>2012 (</w:t>
      </w:r>
      <w:r w:rsidRPr="00504EC1">
        <w:t>DEWHA 2009</w:t>
      </w:r>
      <w:r>
        <w:t xml:space="preserve">). </w:t>
      </w:r>
      <w:r w:rsidRPr="00C72844">
        <w:t>Funding under the Program ended in 2008-09.</w:t>
      </w:r>
    </w:p>
    <w:p w:rsidR="002537EE" w:rsidRDefault="002537EE" w:rsidP="002537EE">
      <w:pPr>
        <w:pStyle w:val="BodyText"/>
      </w:pPr>
      <w:r>
        <w:t>Australia Government press releases detailing approved projects were used to allocate total program funding across the Commission’s ANZSIC-based industry classification (table A.1</w:t>
      </w:r>
      <w:r w:rsidR="00C065C1">
        <w:t>69</w:t>
      </w:r>
      <w:r>
        <w:t>).</w:t>
      </w:r>
    </w:p>
    <w:p w:rsidR="002537EE" w:rsidRDefault="002537EE" w:rsidP="002537EE">
      <w:pPr>
        <w:pStyle w:val="TableTitle"/>
      </w:pPr>
      <w:r>
        <w:rPr>
          <w:b w:val="0"/>
        </w:rPr>
        <w:t xml:space="preserve">Table </w:t>
      </w:r>
      <w:r w:rsidR="00FA09C3">
        <w:rPr>
          <w:b w:val="0"/>
        </w:rPr>
        <w:t>A.</w:t>
      </w:r>
      <w:r w:rsidR="00FA09C3">
        <w:rPr>
          <w:b w:val="0"/>
          <w:noProof/>
        </w:rPr>
        <w:t>169</w:t>
      </w:r>
      <w:r>
        <w:tab/>
        <w:t xml:space="preserve">Allocation of Greenhouse Gas Abatement Program </w:t>
      </w:r>
      <w:r w:rsidR="00E471E2" w:rsidRPr="00E471E2">
        <w:t>to industry</w:t>
      </w:r>
      <w:r>
        <w:t>, 2006</w:t>
      </w:r>
      <w:r>
        <w:noBreakHyphen/>
        <w:t>07 to 2011</w:t>
      </w:r>
      <w:r>
        <w:noBreakHyphen/>
        <w:t>12</w:t>
      </w:r>
    </w:p>
    <w:p w:rsidR="002537EE" w:rsidRDefault="002537EE" w:rsidP="002537EE">
      <w:pPr>
        <w:pStyle w:val="Subtitle"/>
      </w:pPr>
      <w:r>
        <w:t>$ million (nominal)</w:t>
      </w:r>
    </w:p>
    <w:tbl>
      <w:tblPr>
        <w:tblW w:w="5000" w:type="pct"/>
        <w:tblCellMar>
          <w:left w:w="0" w:type="dxa"/>
          <w:right w:w="0" w:type="dxa"/>
        </w:tblCellMar>
        <w:tblLook w:val="0000" w:firstRow="0" w:lastRow="0" w:firstColumn="0" w:lastColumn="0" w:noHBand="0" w:noVBand="0"/>
      </w:tblPr>
      <w:tblGrid>
        <w:gridCol w:w="3421"/>
        <w:gridCol w:w="1030"/>
        <w:gridCol w:w="870"/>
        <w:gridCol w:w="870"/>
        <w:gridCol w:w="870"/>
        <w:gridCol w:w="870"/>
        <w:gridCol w:w="858"/>
      </w:tblGrid>
      <w:tr w:rsidR="002537EE" w:rsidRPr="006156BE" w:rsidTr="00160387">
        <w:trPr>
          <w:trHeight w:val="227"/>
        </w:trPr>
        <w:tc>
          <w:tcPr>
            <w:tcW w:w="1946" w:type="pct"/>
            <w:tcBorders>
              <w:top w:val="single" w:sz="6" w:space="0" w:color="auto"/>
              <w:bottom w:val="single" w:sz="6" w:space="0" w:color="auto"/>
            </w:tcBorders>
          </w:tcPr>
          <w:p w:rsidR="002537EE" w:rsidRPr="006156BE" w:rsidRDefault="002537EE" w:rsidP="00160387">
            <w:pPr>
              <w:pStyle w:val="TableColumnHeading"/>
              <w:jc w:val="left"/>
              <w:rPr>
                <w:sz w:val="18"/>
                <w:szCs w:val="18"/>
              </w:rPr>
            </w:pPr>
            <w:r w:rsidRPr="006156BE">
              <w:rPr>
                <w:sz w:val="18"/>
                <w:szCs w:val="18"/>
              </w:rPr>
              <w:t>Industry grouping</w:t>
            </w:r>
          </w:p>
        </w:tc>
        <w:tc>
          <w:tcPr>
            <w:tcW w:w="586" w:type="pct"/>
            <w:tcBorders>
              <w:top w:val="single" w:sz="6" w:space="0" w:color="auto"/>
              <w:bottom w:val="single" w:sz="6" w:space="0" w:color="auto"/>
            </w:tcBorders>
          </w:tcPr>
          <w:p w:rsidR="002537EE" w:rsidRPr="006156BE" w:rsidRDefault="002537EE" w:rsidP="00160387">
            <w:pPr>
              <w:pStyle w:val="TableColumnHeading"/>
              <w:ind w:right="28"/>
              <w:rPr>
                <w:sz w:val="18"/>
                <w:szCs w:val="18"/>
              </w:rPr>
            </w:pPr>
            <w:r w:rsidRPr="006156BE">
              <w:rPr>
                <w:sz w:val="18"/>
                <w:szCs w:val="18"/>
              </w:rPr>
              <w:t>2006-07</w:t>
            </w:r>
          </w:p>
        </w:tc>
        <w:tc>
          <w:tcPr>
            <w:tcW w:w="495" w:type="pct"/>
            <w:tcBorders>
              <w:top w:val="single" w:sz="6" w:space="0" w:color="auto"/>
              <w:bottom w:val="single" w:sz="6" w:space="0" w:color="auto"/>
            </w:tcBorders>
          </w:tcPr>
          <w:p w:rsidR="002537EE" w:rsidRPr="006156BE" w:rsidRDefault="002537EE" w:rsidP="00160387">
            <w:pPr>
              <w:pStyle w:val="TableColumnHeading"/>
              <w:ind w:right="28"/>
              <w:rPr>
                <w:sz w:val="18"/>
                <w:szCs w:val="18"/>
              </w:rPr>
            </w:pPr>
            <w:r w:rsidRPr="006156BE">
              <w:rPr>
                <w:sz w:val="18"/>
                <w:szCs w:val="18"/>
              </w:rPr>
              <w:t>2007-08</w:t>
            </w:r>
          </w:p>
        </w:tc>
        <w:tc>
          <w:tcPr>
            <w:tcW w:w="495" w:type="pct"/>
            <w:tcBorders>
              <w:top w:val="single" w:sz="6" w:space="0" w:color="auto"/>
              <w:bottom w:val="single" w:sz="6" w:space="0" w:color="auto"/>
            </w:tcBorders>
          </w:tcPr>
          <w:p w:rsidR="002537EE" w:rsidRPr="006156BE" w:rsidRDefault="002537EE" w:rsidP="00160387">
            <w:pPr>
              <w:pStyle w:val="TableColumnHeading"/>
              <w:ind w:right="28"/>
              <w:rPr>
                <w:sz w:val="18"/>
                <w:szCs w:val="18"/>
              </w:rPr>
            </w:pPr>
            <w:r w:rsidRPr="006156BE">
              <w:rPr>
                <w:sz w:val="18"/>
                <w:szCs w:val="18"/>
              </w:rPr>
              <w:t>2008-09</w:t>
            </w:r>
          </w:p>
        </w:tc>
        <w:tc>
          <w:tcPr>
            <w:tcW w:w="495" w:type="pct"/>
            <w:tcBorders>
              <w:top w:val="single" w:sz="6" w:space="0" w:color="auto"/>
              <w:bottom w:val="single" w:sz="6" w:space="0" w:color="auto"/>
            </w:tcBorders>
            <w:shd w:val="clear" w:color="auto" w:fill="auto"/>
          </w:tcPr>
          <w:p w:rsidR="002537EE" w:rsidRPr="006156BE" w:rsidRDefault="002537EE" w:rsidP="00160387">
            <w:pPr>
              <w:pStyle w:val="TableColumnHeading"/>
              <w:ind w:right="28"/>
              <w:rPr>
                <w:sz w:val="18"/>
                <w:szCs w:val="18"/>
              </w:rPr>
            </w:pPr>
            <w:r w:rsidRPr="006156BE">
              <w:rPr>
                <w:sz w:val="18"/>
                <w:szCs w:val="18"/>
              </w:rPr>
              <w:t>2009-10</w:t>
            </w:r>
          </w:p>
        </w:tc>
        <w:tc>
          <w:tcPr>
            <w:tcW w:w="495" w:type="pct"/>
            <w:tcBorders>
              <w:top w:val="single" w:sz="6" w:space="0" w:color="auto"/>
              <w:bottom w:val="single" w:sz="6" w:space="0" w:color="auto"/>
            </w:tcBorders>
            <w:shd w:val="clear" w:color="auto" w:fill="auto"/>
          </w:tcPr>
          <w:p w:rsidR="002537EE" w:rsidRPr="006156BE" w:rsidRDefault="002537EE" w:rsidP="00160387">
            <w:pPr>
              <w:pStyle w:val="TableColumnHeading"/>
              <w:ind w:right="28"/>
              <w:rPr>
                <w:sz w:val="18"/>
                <w:szCs w:val="18"/>
              </w:rPr>
            </w:pPr>
            <w:r w:rsidRPr="006156BE">
              <w:rPr>
                <w:sz w:val="18"/>
                <w:szCs w:val="18"/>
              </w:rPr>
              <w:t>2010-11</w:t>
            </w:r>
          </w:p>
        </w:tc>
        <w:tc>
          <w:tcPr>
            <w:tcW w:w="488" w:type="pct"/>
            <w:tcBorders>
              <w:top w:val="single" w:sz="6" w:space="0" w:color="auto"/>
              <w:bottom w:val="single" w:sz="6" w:space="0" w:color="auto"/>
            </w:tcBorders>
            <w:shd w:val="clear" w:color="auto" w:fill="auto"/>
          </w:tcPr>
          <w:p w:rsidR="002537EE" w:rsidRPr="006156BE" w:rsidRDefault="002537EE" w:rsidP="00160387">
            <w:pPr>
              <w:pStyle w:val="TableColumnHeading"/>
              <w:ind w:right="28"/>
              <w:rPr>
                <w:sz w:val="18"/>
                <w:szCs w:val="18"/>
              </w:rPr>
            </w:pPr>
            <w:r w:rsidRPr="006156BE">
              <w:rPr>
                <w:sz w:val="18"/>
                <w:szCs w:val="18"/>
              </w:rPr>
              <w:t>2011-12</w:t>
            </w:r>
          </w:p>
        </w:tc>
      </w:tr>
      <w:tr w:rsidR="002537EE" w:rsidTr="00160387">
        <w:trPr>
          <w:trHeight w:val="227"/>
        </w:trPr>
        <w:tc>
          <w:tcPr>
            <w:tcW w:w="1946" w:type="pct"/>
            <w:tcBorders>
              <w:top w:val="single" w:sz="6" w:space="0" w:color="auto"/>
            </w:tcBorders>
            <w:vAlign w:val="bottom"/>
          </w:tcPr>
          <w:p w:rsidR="002537EE" w:rsidRPr="00DC145C" w:rsidRDefault="002537EE" w:rsidP="00160387">
            <w:pPr>
              <w:pStyle w:val="TableBodyText"/>
              <w:jc w:val="left"/>
              <w:rPr>
                <w:b/>
                <w:sz w:val="18"/>
                <w:szCs w:val="18"/>
              </w:rPr>
            </w:pPr>
            <w:r>
              <w:rPr>
                <w:b/>
                <w:sz w:val="18"/>
                <w:szCs w:val="18"/>
              </w:rPr>
              <w:t>Mining</w:t>
            </w:r>
          </w:p>
        </w:tc>
        <w:tc>
          <w:tcPr>
            <w:tcW w:w="586" w:type="pct"/>
            <w:tcBorders>
              <w:top w:val="single" w:sz="6" w:space="0" w:color="auto"/>
            </w:tcBorders>
            <w:vAlign w:val="bottom"/>
          </w:tcPr>
          <w:p w:rsidR="002537EE" w:rsidRPr="00B11CC1" w:rsidRDefault="002537EE" w:rsidP="00160387">
            <w:pPr>
              <w:pStyle w:val="TableBodyText"/>
              <w:rPr>
                <w:b/>
                <w:sz w:val="18"/>
                <w:szCs w:val="18"/>
              </w:rPr>
            </w:pPr>
            <w:r w:rsidRPr="00B11CC1">
              <w:rPr>
                <w:b/>
                <w:sz w:val="18"/>
                <w:szCs w:val="18"/>
              </w:rPr>
              <w:t>0.9</w:t>
            </w:r>
          </w:p>
        </w:tc>
        <w:tc>
          <w:tcPr>
            <w:tcW w:w="495" w:type="pct"/>
            <w:tcBorders>
              <w:top w:val="single" w:sz="6" w:space="0" w:color="auto"/>
            </w:tcBorders>
            <w:vAlign w:val="bottom"/>
          </w:tcPr>
          <w:p w:rsidR="002537EE" w:rsidRPr="00B11CC1" w:rsidRDefault="002537EE" w:rsidP="00160387">
            <w:pPr>
              <w:pStyle w:val="TableBodyText"/>
              <w:rPr>
                <w:b/>
                <w:sz w:val="18"/>
                <w:szCs w:val="18"/>
              </w:rPr>
            </w:pPr>
            <w:r w:rsidRPr="00B11CC1">
              <w:rPr>
                <w:b/>
                <w:sz w:val="18"/>
                <w:szCs w:val="18"/>
              </w:rPr>
              <w:t>0.4</w:t>
            </w:r>
          </w:p>
        </w:tc>
        <w:tc>
          <w:tcPr>
            <w:tcW w:w="495" w:type="pct"/>
            <w:tcBorders>
              <w:top w:val="single" w:sz="6" w:space="0" w:color="auto"/>
            </w:tcBorders>
            <w:vAlign w:val="bottom"/>
          </w:tcPr>
          <w:p w:rsidR="002537EE" w:rsidRPr="00B11CC1" w:rsidRDefault="002537EE" w:rsidP="00160387">
            <w:pPr>
              <w:pStyle w:val="TableBodyText"/>
              <w:rPr>
                <w:b/>
                <w:sz w:val="18"/>
                <w:szCs w:val="18"/>
              </w:rPr>
            </w:pPr>
            <w:r>
              <w:rPr>
                <w:b/>
                <w:sz w:val="18"/>
                <w:szCs w:val="18"/>
              </w:rPr>
              <w:t>&lt;</w:t>
            </w:r>
            <w:r w:rsidRPr="00B11CC1">
              <w:rPr>
                <w:b/>
                <w:sz w:val="18"/>
                <w:szCs w:val="18"/>
              </w:rPr>
              <w:t>0.1</w:t>
            </w:r>
          </w:p>
        </w:tc>
        <w:tc>
          <w:tcPr>
            <w:tcW w:w="495" w:type="pct"/>
            <w:tcBorders>
              <w:top w:val="single" w:sz="6" w:space="0" w:color="auto"/>
            </w:tcBorders>
            <w:vAlign w:val="bottom"/>
          </w:tcPr>
          <w:p w:rsidR="002537EE" w:rsidRPr="00B11CC1" w:rsidRDefault="002537EE" w:rsidP="00160387">
            <w:pPr>
              <w:pStyle w:val="TableBodyText"/>
              <w:rPr>
                <w:b/>
                <w:sz w:val="18"/>
                <w:szCs w:val="18"/>
              </w:rPr>
            </w:pPr>
            <w:r>
              <w:rPr>
                <w:b/>
                <w:sz w:val="18"/>
                <w:szCs w:val="18"/>
              </w:rPr>
              <w:noBreakHyphen/>
            </w:r>
          </w:p>
        </w:tc>
        <w:tc>
          <w:tcPr>
            <w:tcW w:w="495" w:type="pct"/>
            <w:tcBorders>
              <w:top w:val="single" w:sz="6" w:space="0" w:color="auto"/>
            </w:tcBorders>
            <w:vAlign w:val="bottom"/>
          </w:tcPr>
          <w:p w:rsidR="002537EE" w:rsidRPr="00B11CC1" w:rsidRDefault="002537EE" w:rsidP="00160387">
            <w:pPr>
              <w:pStyle w:val="TableBodyText"/>
              <w:rPr>
                <w:b/>
                <w:sz w:val="18"/>
                <w:szCs w:val="18"/>
              </w:rPr>
            </w:pPr>
            <w:r>
              <w:rPr>
                <w:b/>
                <w:sz w:val="18"/>
                <w:szCs w:val="18"/>
              </w:rPr>
              <w:noBreakHyphen/>
            </w:r>
          </w:p>
        </w:tc>
        <w:tc>
          <w:tcPr>
            <w:tcW w:w="488" w:type="pct"/>
            <w:tcBorders>
              <w:top w:val="single" w:sz="6" w:space="0" w:color="auto"/>
            </w:tcBorders>
            <w:vAlign w:val="bottom"/>
          </w:tcPr>
          <w:p w:rsidR="002537EE" w:rsidRPr="00B11CC1" w:rsidRDefault="002537EE" w:rsidP="00160387">
            <w:pPr>
              <w:pStyle w:val="TableBodyText"/>
              <w:rPr>
                <w:b/>
                <w:sz w:val="18"/>
                <w:szCs w:val="18"/>
              </w:rPr>
            </w:pPr>
            <w:r>
              <w:rPr>
                <w:b/>
                <w:sz w:val="18"/>
                <w:szCs w:val="18"/>
              </w:rPr>
              <w:noBreakHyphen/>
            </w:r>
          </w:p>
        </w:tc>
      </w:tr>
      <w:tr w:rsidR="002537EE" w:rsidTr="00160387">
        <w:trPr>
          <w:trHeight w:val="227"/>
        </w:trPr>
        <w:tc>
          <w:tcPr>
            <w:tcW w:w="1946" w:type="pct"/>
            <w:vAlign w:val="bottom"/>
          </w:tcPr>
          <w:p w:rsidR="002537EE" w:rsidRPr="00DC145C" w:rsidRDefault="002537EE" w:rsidP="00160387">
            <w:pPr>
              <w:pStyle w:val="TableBodyText"/>
              <w:jc w:val="left"/>
              <w:rPr>
                <w:b/>
                <w:sz w:val="18"/>
                <w:szCs w:val="18"/>
              </w:rPr>
            </w:pPr>
            <w:r w:rsidRPr="00DC145C">
              <w:rPr>
                <w:b/>
                <w:sz w:val="18"/>
                <w:szCs w:val="18"/>
              </w:rPr>
              <w:t>Manufacturing</w:t>
            </w:r>
          </w:p>
        </w:tc>
        <w:tc>
          <w:tcPr>
            <w:tcW w:w="586" w:type="pct"/>
            <w:vAlign w:val="bottom"/>
          </w:tcPr>
          <w:p w:rsidR="002537EE" w:rsidRPr="00B11CC1" w:rsidRDefault="002537EE" w:rsidP="00160387">
            <w:pPr>
              <w:pStyle w:val="TableBodyText"/>
              <w:rPr>
                <w:b/>
                <w:sz w:val="18"/>
                <w:szCs w:val="18"/>
              </w:rPr>
            </w:pPr>
            <w:r w:rsidRPr="00B11CC1">
              <w:rPr>
                <w:b/>
                <w:sz w:val="18"/>
                <w:szCs w:val="18"/>
              </w:rPr>
              <w:t>6.5</w:t>
            </w:r>
          </w:p>
        </w:tc>
        <w:tc>
          <w:tcPr>
            <w:tcW w:w="495" w:type="pct"/>
            <w:vAlign w:val="bottom"/>
          </w:tcPr>
          <w:p w:rsidR="002537EE" w:rsidRPr="00B11CC1" w:rsidRDefault="002537EE" w:rsidP="00160387">
            <w:pPr>
              <w:pStyle w:val="TableBodyText"/>
              <w:rPr>
                <w:b/>
                <w:sz w:val="18"/>
                <w:szCs w:val="18"/>
              </w:rPr>
            </w:pPr>
            <w:r w:rsidRPr="00B11CC1">
              <w:rPr>
                <w:b/>
                <w:sz w:val="18"/>
                <w:szCs w:val="18"/>
              </w:rPr>
              <w:t>2.7</w:t>
            </w:r>
          </w:p>
        </w:tc>
        <w:tc>
          <w:tcPr>
            <w:tcW w:w="495" w:type="pct"/>
            <w:vAlign w:val="bottom"/>
          </w:tcPr>
          <w:p w:rsidR="002537EE" w:rsidRPr="00B11CC1" w:rsidRDefault="002537EE" w:rsidP="00160387">
            <w:pPr>
              <w:pStyle w:val="TableBodyText"/>
              <w:rPr>
                <w:b/>
                <w:sz w:val="18"/>
                <w:szCs w:val="18"/>
              </w:rPr>
            </w:pPr>
            <w:r w:rsidRPr="00B11CC1">
              <w:rPr>
                <w:b/>
                <w:sz w:val="18"/>
                <w:szCs w:val="18"/>
              </w:rPr>
              <w:t>0.5</w:t>
            </w:r>
          </w:p>
        </w:tc>
        <w:tc>
          <w:tcPr>
            <w:tcW w:w="495" w:type="pct"/>
            <w:shd w:val="clear" w:color="auto" w:fill="auto"/>
            <w:vAlign w:val="bottom"/>
          </w:tcPr>
          <w:p w:rsidR="002537EE" w:rsidRPr="00B11CC1" w:rsidRDefault="002537EE" w:rsidP="00160387">
            <w:pPr>
              <w:pStyle w:val="TableBodyText"/>
              <w:rPr>
                <w:b/>
                <w:sz w:val="18"/>
                <w:szCs w:val="18"/>
              </w:rPr>
            </w:pPr>
            <w:r>
              <w:rPr>
                <w:b/>
                <w:sz w:val="18"/>
                <w:szCs w:val="18"/>
              </w:rPr>
              <w:noBreakHyphen/>
            </w:r>
          </w:p>
        </w:tc>
        <w:tc>
          <w:tcPr>
            <w:tcW w:w="495" w:type="pct"/>
            <w:shd w:val="clear" w:color="auto" w:fill="auto"/>
            <w:vAlign w:val="bottom"/>
          </w:tcPr>
          <w:p w:rsidR="002537EE" w:rsidRPr="00B11CC1" w:rsidRDefault="002537EE" w:rsidP="00160387">
            <w:pPr>
              <w:pStyle w:val="TableBodyText"/>
              <w:rPr>
                <w:b/>
                <w:sz w:val="18"/>
                <w:szCs w:val="18"/>
              </w:rPr>
            </w:pPr>
            <w:r>
              <w:rPr>
                <w:b/>
                <w:sz w:val="18"/>
                <w:szCs w:val="18"/>
              </w:rPr>
              <w:noBreakHyphen/>
            </w:r>
          </w:p>
        </w:tc>
        <w:tc>
          <w:tcPr>
            <w:tcW w:w="488" w:type="pct"/>
            <w:shd w:val="clear" w:color="auto" w:fill="auto"/>
            <w:vAlign w:val="bottom"/>
          </w:tcPr>
          <w:p w:rsidR="002537EE" w:rsidRPr="00B11CC1" w:rsidRDefault="002537EE" w:rsidP="00160387">
            <w:pPr>
              <w:pStyle w:val="TableBodyText"/>
              <w:rPr>
                <w:b/>
                <w:sz w:val="18"/>
                <w:szCs w:val="18"/>
              </w:rPr>
            </w:pPr>
            <w:r>
              <w:rPr>
                <w:b/>
                <w:sz w:val="18"/>
                <w:szCs w:val="18"/>
              </w:rPr>
              <w:noBreakHyphen/>
            </w:r>
          </w:p>
        </w:tc>
      </w:tr>
      <w:tr w:rsidR="002537EE" w:rsidTr="00160387">
        <w:trPr>
          <w:trHeight w:val="227"/>
        </w:trPr>
        <w:tc>
          <w:tcPr>
            <w:tcW w:w="1946" w:type="pct"/>
            <w:vAlign w:val="bottom"/>
          </w:tcPr>
          <w:p w:rsidR="002537EE" w:rsidRPr="007758AB" w:rsidRDefault="002537EE" w:rsidP="00160387">
            <w:pPr>
              <w:pStyle w:val="TableBodyText"/>
              <w:jc w:val="left"/>
              <w:rPr>
                <w:sz w:val="18"/>
                <w:szCs w:val="18"/>
              </w:rPr>
            </w:pPr>
            <w:r w:rsidRPr="007758AB">
              <w:rPr>
                <w:sz w:val="18"/>
                <w:szCs w:val="18"/>
              </w:rPr>
              <w:t>Petroleum, coal, chemical and rubber products</w:t>
            </w:r>
          </w:p>
        </w:tc>
        <w:tc>
          <w:tcPr>
            <w:tcW w:w="586" w:type="pct"/>
            <w:vAlign w:val="bottom"/>
          </w:tcPr>
          <w:p w:rsidR="002537EE" w:rsidRPr="00B11CC1" w:rsidRDefault="002537EE" w:rsidP="00160387">
            <w:pPr>
              <w:pStyle w:val="TableBodyText"/>
              <w:rPr>
                <w:sz w:val="18"/>
                <w:szCs w:val="18"/>
              </w:rPr>
            </w:pPr>
            <w:r w:rsidRPr="00B11CC1">
              <w:rPr>
                <w:sz w:val="18"/>
                <w:szCs w:val="18"/>
              </w:rPr>
              <w:t>3.9</w:t>
            </w:r>
          </w:p>
        </w:tc>
        <w:tc>
          <w:tcPr>
            <w:tcW w:w="495" w:type="pct"/>
            <w:vAlign w:val="bottom"/>
          </w:tcPr>
          <w:p w:rsidR="002537EE" w:rsidRPr="00B11CC1" w:rsidRDefault="002537EE" w:rsidP="00160387">
            <w:pPr>
              <w:pStyle w:val="TableBodyText"/>
              <w:rPr>
                <w:sz w:val="18"/>
                <w:szCs w:val="18"/>
              </w:rPr>
            </w:pPr>
            <w:r w:rsidRPr="00B11CC1">
              <w:rPr>
                <w:sz w:val="18"/>
                <w:szCs w:val="18"/>
              </w:rPr>
              <w:t>1.6</w:t>
            </w:r>
          </w:p>
        </w:tc>
        <w:tc>
          <w:tcPr>
            <w:tcW w:w="495" w:type="pct"/>
            <w:vAlign w:val="bottom"/>
          </w:tcPr>
          <w:p w:rsidR="002537EE" w:rsidRPr="00B11CC1" w:rsidRDefault="002537EE" w:rsidP="00160387">
            <w:pPr>
              <w:pStyle w:val="TableBodyText"/>
              <w:rPr>
                <w:sz w:val="18"/>
                <w:szCs w:val="18"/>
              </w:rPr>
            </w:pPr>
            <w:r w:rsidRPr="00B11CC1">
              <w:rPr>
                <w:sz w:val="18"/>
                <w:szCs w:val="18"/>
              </w:rPr>
              <w:t>0.3</w:t>
            </w:r>
          </w:p>
        </w:tc>
        <w:tc>
          <w:tcPr>
            <w:tcW w:w="495" w:type="pct"/>
            <w:shd w:val="clear" w:color="auto" w:fill="auto"/>
            <w:vAlign w:val="bottom"/>
          </w:tcPr>
          <w:p w:rsidR="002537EE" w:rsidRPr="00B11CC1" w:rsidRDefault="002537EE" w:rsidP="00160387">
            <w:pPr>
              <w:pStyle w:val="TableBodyText"/>
              <w:rPr>
                <w:sz w:val="18"/>
                <w:szCs w:val="18"/>
              </w:rPr>
            </w:pPr>
            <w:r>
              <w:rPr>
                <w:sz w:val="18"/>
                <w:szCs w:val="18"/>
              </w:rPr>
              <w:noBreakHyphen/>
            </w:r>
          </w:p>
        </w:tc>
        <w:tc>
          <w:tcPr>
            <w:tcW w:w="495" w:type="pct"/>
            <w:shd w:val="clear" w:color="auto" w:fill="auto"/>
            <w:vAlign w:val="bottom"/>
          </w:tcPr>
          <w:p w:rsidR="002537EE" w:rsidRPr="00B11CC1" w:rsidRDefault="002537EE" w:rsidP="00160387">
            <w:pPr>
              <w:pStyle w:val="TableBodyText"/>
              <w:rPr>
                <w:sz w:val="18"/>
                <w:szCs w:val="18"/>
              </w:rPr>
            </w:pPr>
            <w:r>
              <w:rPr>
                <w:sz w:val="18"/>
                <w:szCs w:val="18"/>
              </w:rPr>
              <w:noBreakHyphen/>
            </w:r>
          </w:p>
        </w:tc>
        <w:tc>
          <w:tcPr>
            <w:tcW w:w="488" w:type="pct"/>
            <w:shd w:val="clear" w:color="auto" w:fill="auto"/>
            <w:vAlign w:val="bottom"/>
          </w:tcPr>
          <w:p w:rsidR="002537EE" w:rsidRPr="00B11CC1" w:rsidRDefault="002537EE" w:rsidP="00160387">
            <w:pPr>
              <w:pStyle w:val="TableBodyText"/>
              <w:rPr>
                <w:sz w:val="18"/>
                <w:szCs w:val="18"/>
              </w:rPr>
            </w:pPr>
            <w:r>
              <w:rPr>
                <w:sz w:val="18"/>
                <w:szCs w:val="18"/>
              </w:rPr>
              <w:noBreakHyphen/>
            </w:r>
          </w:p>
        </w:tc>
      </w:tr>
      <w:tr w:rsidR="002537EE" w:rsidTr="00160387">
        <w:trPr>
          <w:trHeight w:val="227"/>
        </w:trPr>
        <w:tc>
          <w:tcPr>
            <w:tcW w:w="1946" w:type="pct"/>
            <w:vAlign w:val="bottom"/>
          </w:tcPr>
          <w:p w:rsidR="002537EE" w:rsidRPr="007758AB" w:rsidRDefault="002537EE" w:rsidP="00160387">
            <w:pPr>
              <w:pStyle w:val="TableBodyText"/>
              <w:jc w:val="left"/>
              <w:rPr>
                <w:sz w:val="18"/>
                <w:szCs w:val="18"/>
              </w:rPr>
            </w:pPr>
            <w:r w:rsidRPr="007758AB">
              <w:rPr>
                <w:sz w:val="18"/>
                <w:szCs w:val="18"/>
              </w:rPr>
              <w:t>Metal and fabricated metal products</w:t>
            </w:r>
          </w:p>
        </w:tc>
        <w:tc>
          <w:tcPr>
            <w:tcW w:w="586" w:type="pct"/>
            <w:vAlign w:val="bottom"/>
          </w:tcPr>
          <w:p w:rsidR="002537EE" w:rsidRPr="00B11CC1" w:rsidRDefault="002537EE" w:rsidP="00160387">
            <w:pPr>
              <w:pStyle w:val="TableBodyText"/>
              <w:rPr>
                <w:sz w:val="18"/>
                <w:szCs w:val="18"/>
              </w:rPr>
            </w:pPr>
            <w:r w:rsidRPr="00B11CC1">
              <w:rPr>
                <w:sz w:val="18"/>
                <w:szCs w:val="18"/>
              </w:rPr>
              <w:t>2.6</w:t>
            </w:r>
          </w:p>
        </w:tc>
        <w:tc>
          <w:tcPr>
            <w:tcW w:w="495" w:type="pct"/>
            <w:vAlign w:val="bottom"/>
          </w:tcPr>
          <w:p w:rsidR="002537EE" w:rsidRPr="00B11CC1" w:rsidRDefault="002537EE" w:rsidP="00160387">
            <w:pPr>
              <w:pStyle w:val="TableBodyText"/>
              <w:rPr>
                <w:sz w:val="18"/>
                <w:szCs w:val="18"/>
              </w:rPr>
            </w:pPr>
            <w:r w:rsidRPr="00B11CC1">
              <w:rPr>
                <w:sz w:val="18"/>
                <w:szCs w:val="18"/>
              </w:rPr>
              <w:t>1.1</w:t>
            </w:r>
          </w:p>
        </w:tc>
        <w:tc>
          <w:tcPr>
            <w:tcW w:w="495" w:type="pct"/>
            <w:vAlign w:val="bottom"/>
          </w:tcPr>
          <w:p w:rsidR="002537EE" w:rsidRPr="00B11CC1" w:rsidRDefault="002537EE" w:rsidP="00160387">
            <w:pPr>
              <w:pStyle w:val="TableBodyText"/>
              <w:rPr>
                <w:sz w:val="18"/>
                <w:szCs w:val="18"/>
              </w:rPr>
            </w:pPr>
            <w:r w:rsidRPr="00B11CC1">
              <w:rPr>
                <w:sz w:val="18"/>
                <w:szCs w:val="18"/>
              </w:rPr>
              <w:t>0.2</w:t>
            </w:r>
          </w:p>
        </w:tc>
        <w:tc>
          <w:tcPr>
            <w:tcW w:w="495" w:type="pct"/>
            <w:shd w:val="clear" w:color="auto" w:fill="auto"/>
            <w:vAlign w:val="bottom"/>
          </w:tcPr>
          <w:p w:rsidR="002537EE" w:rsidRPr="00B11CC1" w:rsidRDefault="002537EE" w:rsidP="00160387">
            <w:pPr>
              <w:pStyle w:val="TableBodyText"/>
              <w:rPr>
                <w:sz w:val="18"/>
                <w:szCs w:val="18"/>
              </w:rPr>
            </w:pPr>
            <w:r>
              <w:rPr>
                <w:sz w:val="18"/>
                <w:szCs w:val="18"/>
              </w:rPr>
              <w:noBreakHyphen/>
            </w:r>
          </w:p>
        </w:tc>
        <w:tc>
          <w:tcPr>
            <w:tcW w:w="495" w:type="pct"/>
            <w:shd w:val="clear" w:color="auto" w:fill="auto"/>
            <w:vAlign w:val="bottom"/>
          </w:tcPr>
          <w:p w:rsidR="002537EE" w:rsidRPr="00B11CC1" w:rsidRDefault="002537EE" w:rsidP="00160387">
            <w:pPr>
              <w:pStyle w:val="TableBodyText"/>
              <w:rPr>
                <w:sz w:val="18"/>
                <w:szCs w:val="18"/>
              </w:rPr>
            </w:pPr>
            <w:r>
              <w:rPr>
                <w:sz w:val="18"/>
                <w:szCs w:val="18"/>
              </w:rPr>
              <w:noBreakHyphen/>
            </w:r>
          </w:p>
        </w:tc>
        <w:tc>
          <w:tcPr>
            <w:tcW w:w="488" w:type="pct"/>
            <w:shd w:val="clear" w:color="auto" w:fill="auto"/>
            <w:vAlign w:val="bottom"/>
          </w:tcPr>
          <w:p w:rsidR="002537EE" w:rsidRPr="00B11CC1" w:rsidRDefault="002537EE" w:rsidP="00160387">
            <w:pPr>
              <w:pStyle w:val="TableBodyText"/>
              <w:rPr>
                <w:sz w:val="18"/>
                <w:szCs w:val="18"/>
              </w:rPr>
            </w:pPr>
            <w:r>
              <w:rPr>
                <w:sz w:val="18"/>
                <w:szCs w:val="18"/>
              </w:rPr>
              <w:noBreakHyphen/>
            </w:r>
          </w:p>
        </w:tc>
      </w:tr>
      <w:tr w:rsidR="002537EE" w:rsidTr="00160387">
        <w:trPr>
          <w:trHeight w:val="227"/>
        </w:trPr>
        <w:tc>
          <w:tcPr>
            <w:tcW w:w="1946" w:type="pct"/>
            <w:vAlign w:val="bottom"/>
          </w:tcPr>
          <w:p w:rsidR="002537EE" w:rsidRPr="00DC145C" w:rsidRDefault="002537EE" w:rsidP="00160387">
            <w:pPr>
              <w:pStyle w:val="TableBodyText"/>
              <w:jc w:val="left"/>
              <w:rPr>
                <w:b/>
                <w:sz w:val="18"/>
                <w:szCs w:val="18"/>
              </w:rPr>
            </w:pPr>
            <w:r w:rsidRPr="00DC145C">
              <w:rPr>
                <w:b/>
                <w:sz w:val="18"/>
                <w:szCs w:val="18"/>
              </w:rPr>
              <w:t>Services</w:t>
            </w:r>
          </w:p>
        </w:tc>
        <w:tc>
          <w:tcPr>
            <w:tcW w:w="586" w:type="pct"/>
            <w:vAlign w:val="bottom"/>
          </w:tcPr>
          <w:p w:rsidR="002537EE" w:rsidRPr="00B11CC1" w:rsidRDefault="002537EE" w:rsidP="00160387">
            <w:pPr>
              <w:pStyle w:val="TableBodyText"/>
              <w:rPr>
                <w:b/>
                <w:sz w:val="18"/>
                <w:szCs w:val="18"/>
              </w:rPr>
            </w:pPr>
            <w:r w:rsidRPr="00B11CC1">
              <w:rPr>
                <w:b/>
                <w:sz w:val="18"/>
                <w:szCs w:val="18"/>
              </w:rPr>
              <w:t>10.3</w:t>
            </w:r>
          </w:p>
        </w:tc>
        <w:tc>
          <w:tcPr>
            <w:tcW w:w="495" w:type="pct"/>
            <w:vAlign w:val="bottom"/>
          </w:tcPr>
          <w:p w:rsidR="002537EE" w:rsidRPr="00B11CC1" w:rsidRDefault="002537EE" w:rsidP="00160387">
            <w:pPr>
              <w:pStyle w:val="TableBodyText"/>
              <w:rPr>
                <w:b/>
                <w:sz w:val="18"/>
                <w:szCs w:val="18"/>
              </w:rPr>
            </w:pPr>
            <w:r w:rsidRPr="00B11CC1">
              <w:rPr>
                <w:b/>
                <w:sz w:val="18"/>
                <w:szCs w:val="18"/>
              </w:rPr>
              <w:t>4.3</w:t>
            </w:r>
          </w:p>
        </w:tc>
        <w:tc>
          <w:tcPr>
            <w:tcW w:w="495" w:type="pct"/>
            <w:vAlign w:val="bottom"/>
          </w:tcPr>
          <w:p w:rsidR="002537EE" w:rsidRPr="00B11CC1" w:rsidRDefault="002537EE" w:rsidP="00160387">
            <w:pPr>
              <w:pStyle w:val="TableBodyText"/>
              <w:rPr>
                <w:b/>
                <w:sz w:val="18"/>
                <w:szCs w:val="18"/>
              </w:rPr>
            </w:pPr>
            <w:r w:rsidRPr="00B11CC1">
              <w:rPr>
                <w:b/>
                <w:sz w:val="18"/>
                <w:szCs w:val="18"/>
              </w:rPr>
              <w:t>0.8</w:t>
            </w:r>
          </w:p>
        </w:tc>
        <w:tc>
          <w:tcPr>
            <w:tcW w:w="495" w:type="pct"/>
            <w:shd w:val="clear" w:color="auto" w:fill="auto"/>
            <w:vAlign w:val="bottom"/>
          </w:tcPr>
          <w:p w:rsidR="002537EE" w:rsidRPr="00B11CC1" w:rsidRDefault="002537EE" w:rsidP="00160387">
            <w:pPr>
              <w:pStyle w:val="TableBodyText"/>
              <w:rPr>
                <w:b/>
                <w:sz w:val="18"/>
                <w:szCs w:val="18"/>
              </w:rPr>
            </w:pPr>
            <w:r>
              <w:rPr>
                <w:b/>
                <w:sz w:val="18"/>
                <w:szCs w:val="18"/>
              </w:rPr>
              <w:noBreakHyphen/>
            </w:r>
          </w:p>
        </w:tc>
        <w:tc>
          <w:tcPr>
            <w:tcW w:w="495" w:type="pct"/>
            <w:shd w:val="clear" w:color="auto" w:fill="auto"/>
            <w:vAlign w:val="bottom"/>
          </w:tcPr>
          <w:p w:rsidR="002537EE" w:rsidRPr="00B11CC1" w:rsidRDefault="002537EE" w:rsidP="00160387">
            <w:pPr>
              <w:pStyle w:val="TableBodyText"/>
              <w:rPr>
                <w:b/>
                <w:sz w:val="18"/>
                <w:szCs w:val="18"/>
              </w:rPr>
            </w:pPr>
            <w:r>
              <w:rPr>
                <w:b/>
                <w:sz w:val="18"/>
                <w:szCs w:val="18"/>
              </w:rPr>
              <w:noBreakHyphen/>
            </w:r>
          </w:p>
        </w:tc>
        <w:tc>
          <w:tcPr>
            <w:tcW w:w="488" w:type="pct"/>
            <w:shd w:val="clear" w:color="auto" w:fill="auto"/>
            <w:vAlign w:val="bottom"/>
          </w:tcPr>
          <w:p w:rsidR="002537EE" w:rsidRPr="00B11CC1" w:rsidRDefault="002537EE" w:rsidP="00160387">
            <w:pPr>
              <w:pStyle w:val="TableBodyText"/>
              <w:rPr>
                <w:b/>
                <w:sz w:val="18"/>
                <w:szCs w:val="18"/>
              </w:rPr>
            </w:pPr>
            <w:r>
              <w:rPr>
                <w:b/>
                <w:sz w:val="18"/>
                <w:szCs w:val="18"/>
              </w:rPr>
              <w:noBreakHyphen/>
            </w:r>
          </w:p>
        </w:tc>
      </w:tr>
      <w:tr w:rsidR="002537EE" w:rsidTr="00160387">
        <w:trPr>
          <w:trHeight w:val="227"/>
        </w:trPr>
        <w:tc>
          <w:tcPr>
            <w:tcW w:w="1946" w:type="pct"/>
            <w:vAlign w:val="bottom"/>
          </w:tcPr>
          <w:p w:rsidR="002537EE" w:rsidRPr="007758AB" w:rsidRDefault="002537EE" w:rsidP="00160387">
            <w:pPr>
              <w:pStyle w:val="TableBodyText"/>
              <w:jc w:val="left"/>
              <w:rPr>
                <w:sz w:val="18"/>
                <w:szCs w:val="18"/>
              </w:rPr>
            </w:pPr>
            <w:r>
              <w:rPr>
                <w:sz w:val="18"/>
                <w:szCs w:val="18"/>
              </w:rPr>
              <w:t>Electricity, gas, water and waste services</w:t>
            </w:r>
          </w:p>
        </w:tc>
        <w:tc>
          <w:tcPr>
            <w:tcW w:w="586" w:type="pct"/>
            <w:vAlign w:val="bottom"/>
          </w:tcPr>
          <w:p w:rsidR="002537EE" w:rsidRPr="00B11CC1" w:rsidRDefault="002537EE" w:rsidP="00160387">
            <w:pPr>
              <w:pStyle w:val="TableBodyText"/>
              <w:rPr>
                <w:sz w:val="18"/>
                <w:szCs w:val="18"/>
              </w:rPr>
            </w:pPr>
            <w:r w:rsidRPr="00B11CC1">
              <w:rPr>
                <w:sz w:val="18"/>
                <w:szCs w:val="18"/>
              </w:rPr>
              <w:t>9.8</w:t>
            </w:r>
          </w:p>
        </w:tc>
        <w:tc>
          <w:tcPr>
            <w:tcW w:w="495" w:type="pct"/>
            <w:vAlign w:val="bottom"/>
          </w:tcPr>
          <w:p w:rsidR="002537EE" w:rsidRPr="00B11CC1" w:rsidRDefault="002537EE" w:rsidP="00160387">
            <w:pPr>
              <w:pStyle w:val="TableBodyText"/>
              <w:rPr>
                <w:sz w:val="18"/>
                <w:szCs w:val="18"/>
              </w:rPr>
            </w:pPr>
            <w:r w:rsidRPr="00B11CC1">
              <w:rPr>
                <w:sz w:val="18"/>
                <w:szCs w:val="18"/>
              </w:rPr>
              <w:t>4.1</w:t>
            </w:r>
          </w:p>
        </w:tc>
        <w:tc>
          <w:tcPr>
            <w:tcW w:w="495" w:type="pct"/>
            <w:vAlign w:val="bottom"/>
          </w:tcPr>
          <w:p w:rsidR="002537EE" w:rsidRPr="00B11CC1" w:rsidRDefault="002537EE" w:rsidP="00160387">
            <w:pPr>
              <w:pStyle w:val="TableBodyText"/>
              <w:rPr>
                <w:sz w:val="18"/>
                <w:szCs w:val="18"/>
              </w:rPr>
            </w:pPr>
            <w:r w:rsidRPr="00B11CC1">
              <w:rPr>
                <w:sz w:val="18"/>
                <w:szCs w:val="18"/>
              </w:rPr>
              <w:t>0.7</w:t>
            </w:r>
          </w:p>
        </w:tc>
        <w:tc>
          <w:tcPr>
            <w:tcW w:w="495" w:type="pct"/>
            <w:shd w:val="clear" w:color="auto" w:fill="auto"/>
            <w:vAlign w:val="bottom"/>
          </w:tcPr>
          <w:p w:rsidR="002537EE" w:rsidRPr="00B11CC1" w:rsidRDefault="002537EE" w:rsidP="00160387">
            <w:pPr>
              <w:pStyle w:val="TableBodyText"/>
              <w:rPr>
                <w:sz w:val="18"/>
                <w:szCs w:val="18"/>
              </w:rPr>
            </w:pPr>
            <w:r>
              <w:rPr>
                <w:sz w:val="18"/>
                <w:szCs w:val="18"/>
              </w:rPr>
              <w:noBreakHyphen/>
            </w:r>
          </w:p>
        </w:tc>
        <w:tc>
          <w:tcPr>
            <w:tcW w:w="495" w:type="pct"/>
            <w:shd w:val="clear" w:color="auto" w:fill="auto"/>
            <w:vAlign w:val="bottom"/>
          </w:tcPr>
          <w:p w:rsidR="002537EE" w:rsidRPr="00B11CC1" w:rsidRDefault="002537EE" w:rsidP="00160387">
            <w:pPr>
              <w:pStyle w:val="TableBodyText"/>
              <w:rPr>
                <w:sz w:val="18"/>
                <w:szCs w:val="18"/>
              </w:rPr>
            </w:pPr>
            <w:r>
              <w:rPr>
                <w:sz w:val="18"/>
                <w:szCs w:val="18"/>
              </w:rPr>
              <w:noBreakHyphen/>
            </w:r>
          </w:p>
        </w:tc>
        <w:tc>
          <w:tcPr>
            <w:tcW w:w="488" w:type="pct"/>
            <w:shd w:val="clear" w:color="auto" w:fill="auto"/>
            <w:vAlign w:val="bottom"/>
          </w:tcPr>
          <w:p w:rsidR="002537EE" w:rsidRPr="00B11CC1" w:rsidRDefault="002537EE" w:rsidP="00160387">
            <w:pPr>
              <w:pStyle w:val="TableBodyText"/>
              <w:rPr>
                <w:sz w:val="18"/>
                <w:szCs w:val="18"/>
              </w:rPr>
            </w:pPr>
            <w:r>
              <w:rPr>
                <w:sz w:val="18"/>
                <w:szCs w:val="18"/>
              </w:rPr>
              <w:noBreakHyphen/>
            </w:r>
          </w:p>
        </w:tc>
      </w:tr>
      <w:tr w:rsidR="002537EE" w:rsidTr="00160387">
        <w:trPr>
          <w:trHeight w:val="227"/>
        </w:trPr>
        <w:tc>
          <w:tcPr>
            <w:tcW w:w="1946" w:type="pct"/>
            <w:vAlign w:val="bottom"/>
          </w:tcPr>
          <w:p w:rsidR="002537EE" w:rsidRPr="007758AB" w:rsidRDefault="002537EE" w:rsidP="00160387">
            <w:pPr>
              <w:pStyle w:val="TableBodyText"/>
              <w:jc w:val="left"/>
              <w:rPr>
                <w:sz w:val="18"/>
                <w:szCs w:val="18"/>
              </w:rPr>
            </w:pPr>
            <w:r>
              <w:rPr>
                <w:sz w:val="18"/>
                <w:szCs w:val="18"/>
              </w:rPr>
              <w:t>Retail trade</w:t>
            </w:r>
          </w:p>
        </w:tc>
        <w:tc>
          <w:tcPr>
            <w:tcW w:w="586" w:type="pct"/>
            <w:vAlign w:val="bottom"/>
          </w:tcPr>
          <w:p w:rsidR="002537EE" w:rsidRPr="00B11CC1" w:rsidRDefault="002537EE" w:rsidP="00160387">
            <w:pPr>
              <w:pStyle w:val="TableBodyText"/>
              <w:rPr>
                <w:sz w:val="18"/>
                <w:szCs w:val="18"/>
              </w:rPr>
            </w:pPr>
            <w:r w:rsidRPr="00B11CC1">
              <w:rPr>
                <w:sz w:val="18"/>
                <w:szCs w:val="18"/>
              </w:rPr>
              <w:t>0.5</w:t>
            </w:r>
          </w:p>
        </w:tc>
        <w:tc>
          <w:tcPr>
            <w:tcW w:w="495" w:type="pct"/>
            <w:vAlign w:val="bottom"/>
          </w:tcPr>
          <w:p w:rsidR="002537EE" w:rsidRPr="00B11CC1" w:rsidRDefault="002537EE" w:rsidP="00160387">
            <w:pPr>
              <w:pStyle w:val="TableBodyText"/>
              <w:rPr>
                <w:sz w:val="18"/>
                <w:szCs w:val="18"/>
              </w:rPr>
            </w:pPr>
            <w:r w:rsidRPr="00B11CC1">
              <w:rPr>
                <w:sz w:val="18"/>
                <w:szCs w:val="18"/>
              </w:rPr>
              <w:t>0.2</w:t>
            </w:r>
          </w:p>
        </w:tc>
        <w:tc>
          <w:tcPr>
            <w:tcW w:w="495" w:type="pct"/>
            <w:vAlign w:val="bottom"/>
          </w:tcPr>
          <w:p w:rsidR="002537EE" w:rsidRPr="00B11CC1" w:rsidRDefault="002537EE" w:rsidP="00160387">
            <w:pPr>
              <w:pStyle w:val="TableBodyText"/>
              <w:rPr>
                <w:sz w:val="18"/>
                <w:szCs w:val="18"/>
              </w:rPr>
            </w:pPr>
            <w:r>
              <w:rPr>
                <w:sz w:val="18"/>
                <w:szCs w:val="18"/>
              </w:rPr>
              <w:t>&lt;</w:t>
            </w:r>
            <w:r w:rsidRPr="00E17EEF">
              <w:rPr>
                <w:sz w:val="18"/>
                <w:szCs w:val="18"/>
              </w:rPr>
              <w:t>0.</w:t>
            </w:r>
            <w:r>
              <w:rPr>
                <w:sz w:val="18"/>
                <w:szCs w:val="18"/>
              </w:rPr>
              <w:t>1</w:t>
            </w:r>
          </w:p>
        </w:tc>
        <w:tc>
          <w:tcPr>
            <w:tcW w:w="495" w:type="pct"/>
            <w:shd w:val="clear" w:color="auto" w:fill="auto"/>
            <w:vAlign w:val="bottom"/>
          </w:tcPr>
          <w:p w:rsidR="002537EE" w:rsidRPr="00B11CC1" w:rsidRDefault="002537EE" w:rsidP="00160387">
            <w:pPr>
              <w:pStyle w:val="TableBodyText"/>
              <w:rPr>
                <w:sz w:val="18"/>
                <w:szCs w:val="18"/>
              </w:rPr>
            </w:pPr>
            <w:r>
              <w:rPr>
                <w:sz w:val="18"/>
                <w:szCs w:val="18"/>
              </w:rPr>
              <w:noBreakHyphen/>
            </w:r>
          </w:p>
        </w:tc>
        <w:tc>
          <w:tcPr>
            <w:tcW w:w="495" w:type="pct"/>
            <w:shd w:val="clear" w:color="auto" w:fill="auto"/>
            <w:vAlign w:val="bottom"/>
          </w:tcPr>
          <w:p w:rsidR="002537EE" w:rsidRPr="00B11CC1" w:rsidRDefault="002537EE" w:rsidP="00160387">
            <w:pPr>
              <w:pStyle w:val="TableBodyText"/>
              <w:rPr>
                <w:sz w:val="18"/>
                <w:szCs w:val="18"/>
              </w:rPr>
            </w:pPr>
            <w:r>
              <w:rPr>
                <w:sz w:val="18"/>
                <w:szCs w:val="18"/>
              </w:rPr>
              <w:noBreakHyphen/>
            </w:r>
          </w:p>
        </w:tc>
        <w:tc>
          <w:tcPr>
            <w:tcW w:w="488" w:type="pct"/>
            <w:shd w:val="clear" w:color="auto" w:fill="auto"/>
            <w:vAlign w:val="bottom"/>
          </w:tcPr>
          <w:p w:rsidR="002537EE" w:rsidRPr="00B11CC1" w:rsidRDefault="002537EE" w:rsidP="00160387">
            <w:pPr>
              <w:pStyle w:val="TableBodyText"/>
              <w:rPr>
                <w:sz w:val="18"/>
                <w:szCs w:val="18"/>
              </w:rPr>
            </w:pPr>
            <w:r>
              <w:rPr>
                <w:sz w:val="18"/>
                <w:szCs w:val="18"/>
              </w:rPr>
              <w:noBreakHyphen/>
            </w:r>
          </w:p>
        </w:tc>
      </w:tr>
      <w:tr w:rsidR="002537EE" w:rsidTr="00160387">
        <w:trPr>
          <w:trHeight w:val="227"/>
        </w:trPr>
        <w:tc>
          <w:tcPr>
            <w:tcW w:w="1946" w:type="pct"/>
            <w:tcBorders>
              <w:bottom w:val="single" w:sz="4" w:space="0" w:color="auto"/>
            </w:tcBorders>
            <w:vAlign w:val="bottom"/>
          </w:tcPr>
          <w:p w:rsidR="002537EE" w:rsidRPr="007758AB" w:rsidRDefault="002537EE" w:rsidP="00160387">
            <w:pPr>
              <w:pStyle w:val="TableBodyText"/>
              <w:jc w:val="left"/>
              <w:rPr>
                <w:b/>
                <w:bCs/>
                <w:sz w:val="18"/>
                <w:szCs w:val="18"/>
              </w:rPr>
            </w:pPr>
            <w:r w:rsidRPr="007758AB">
              <w:rPr>
                <w:b/>
                <w:bCs/>
                <w:sz w:val="18"/>
                <w:szCs w:val="18"/>
              </w:rPr>
              <w:t>Total</w:t>
            </w:r>
          </w:p>
        </w:tc>
        <w:tc>
          <w:tcPr>
            <w:tcW w:w="586" w:type="pct"/>
            <w:tcBorders>
              <w:bottom w:val="single" w:sz="4" w:space="0" w:color="auto"/>
            </w:tcBorders>
            <w:vAlign w:val="bottom"/>
          </w:tcPr>
          <w:p w:rsidR="002537EE" w:rsidRPr="00B11CC1" w:rsidRDefault="002537EE" w:rsidP="00160387">
            <w:pPr>
              <w:pStyle w:val="TableBodyText"/>
              <w:rPr>
                <w:b/>
                <w:sz w:val="18"/>
                <w:szCs w:val="18"/>
              </w:rPr>
            </w:pPr>
            <w:r w:rsidRPr="00B11CC1">
              <w:rPr>
                <w:b/>
                <w:sz w:val="18"/>
                <w:szCs w:val="18"/>
              </w:rPr>
              <w:t>34.5</w:t>
            </w:r>
          </w:p>
        </w:tc>
        <w:tc>
          <w:tcPr>
            <w:tcW w:w="495" w:type="pct"/>
            <w:tcBorders>
              <w:bottom w:val="single" w:sz="4" w:space="0" w:color="auto"/>
            </w:tcBorders>
            <w:vAlign w:val="bottom"/>
          </w:tcPr>
          <w:p w:rsidR="002537EE" w:rsidRPr="00B11CC1" w:rsidRDefault="002537EE" w:rsidP="00160387">
            <w:pPr>
              <w:pStyle w:val="TableBodyText"/>
              <w:rPr>
                <w:b/>
                <w:sz w:val="18"/>
                <w:szCs w:val="18"/>
              </w:rPr>
            </w:pPr>
            <w:r w:rsidRPr="00B11CC1">
              <w:rPr>
                <w:b/>
                <w:sz w:val="18"/>
                <w:szCs w:val="18"/>
              </w:rPr>
              <w:t>14.3</w:t>
            </w:r>
          </w:p>
        </w:tc>
        <w:tc>
          <w:tcPr>
            <w:tcW w:w="495" w:type="pct"/>
            <w:tcBorders>
              <w:bottom w:val="single" w:sz="4" w:space="0" w:color="auto"/>
            </w:tcBorders>
            <w:vAlign w:val="bottom"/>
          </w:tcPr>
          <w:p w:rsidR="002537EE" w:rsidRPr="00B11CC1" w:rsidRDefault="002537EE" w:rsidP="00160387">
            <w:pPr>
              <w:pStyle w:val="TableBodyText"/>
              <w:rPr>
                <w:b/>
                <w:sz w:val="18"/>
                <w:szCs w:val="18"/>
              </w:rPr>
            </w:pPr>
            <w:r w:rsidRPr="00B11CC1">
              <w:rPr>
                <w:b/>
                <w:sz w:val="18"/>
                <w:szCs w:val="18"/>
              </w:rPr>
              <w:t>2.5</w:t>
            </w:r>
          </w:p>
        </w:tc>
        <w:tc>
          <w:tcPr>
            <w:tcW w:w="495" w:type="pct"/>
            <w:tcBorders>
              <w:bottom w:val="single" w:sz="4" w:space="0" w:color="auto"/>
            </w:tcBorders>
            <w:shd w:val="clear" w:color="auto" w:fill="auto"/>
            <w:vAlign w:val="bottom"/>
          </w:tcPr>
          <w:p w:rsidR="002537EE" w:rsidRPr="00B11CC1" w:rsidRDefault="002537EE" w:rsidP="00160387">
            <w:pPr>
              <w:pStyle w:val="TableBodyText"/>
              <w:rPr>
                <w:b/>
                <w:sz w:val="18"/>
                <w:szCs w:val="18"/>
              </w:rPr>
            </w:pPr>
            <w:r>
              <w:rPr>
                <w:b/>
                <w:sz w:val="18"/>
                <w:szCs w:val="18"/>
              </w:rPr>
              <w:noBreakHyphen/>
            </w:r>
          </w:p>
        </w:tc>
        <w:tc>
          <w:tcPr>
            <w:tcW w:w="495" w:type="pct"/>
            <w:tcBorders>
              <w:bottom w:val="single" w:sz="4" w:space="0" w:color="auto"/>
            </w:tcBorders>
            <w:shd w:val="clear" w:color="auto" w:fill="auto"/>
            <w:vAlign w:val="bottom"/>
          </w:tcPr>
          <w:p w:rsidR="002537EE" w:rsidRPr="00B11CC1" w:rsidRDefault="002537EE" w:rsidP="00160387">
            <w:pPr>
              <w:pStyle w:val="TableBodyText"/>
              <w:rPr>
                <w:b/>
                <w:sz w:val="18"/>
                <w:szCs w:val="18"/>
              </w:rPr>
            </w:pPr>
            <w:r>
              <w:rPr>
                <w:b/>
                <w:sz w:val="18"/>
                <w:szCs w:val="18"/>
              </w:rPr>
              <w:noBreakHyphen/>
            </w:r>
          </w:p>
        </w:tc>
        <w:tc>
          <w:tcPr>
            <w:tcW w:w="488" w:type="pct"/>
            <w:tcBorders>
              <w:bottom w:val="single" w:sz="4" w:space="0" w:color="auto"/>
            </w:tcBorders>
            <w:shd w:val="clear" w:color="auto" w:fill="auto"/>
            <w:vAlign w:val="bottom"/>
          </w:tcPr>
          <w:p w:rsidR="002537EE" w:rsidRPr="00B11CC1" w:rsidRDefault="002537EE" w:rsidP="00160387">
            <w:pPr>
              <w:pStyle w:val="TableBodyText"/>
              <w:rPr>
                <w:b/>
                <w:sz w:val="18"/>
                <w:szCs w:val="18"/>
              </w:rPr>
            </w:pPr>
            <w:r>
              <w:rPr>
                <w:b/>
                <w:sz w:val="18"/>
                <w:szCs w:val="18"/>
              </w:rPr>
              <w:noBreakHyphen/>
            </w:r>
          </w:p>
        </w:tc>
      </w:tr>
    </w:tbl>
    <w:p w:rsidR="002537EE" w:rsidRDefault="002537EE" w:rsidP="002537EE">
      <w:pPr>
        <w:pStyle w:val="Source"/>
        <w:spacing w:after="0"/>
        <w:rPr>
          <w:i/>
        </w:rPr>
      </w:pPr>
      <w:r>
        <w:t>– Nil.</w:t>
      </w:r>
    </w:p>
    <w:p w:rsidR="006156BE" w:rsidRPr="006156BE" w:rsidRDefault="002537EE" w:rsidP="00C26E82">
      <w:pPr>
        <w:pStyle w:val="Source"/>
      </w:pPr>
      <w:r>
        <w:rPr>
          <w:i/>
        </w:rPr>
        <w:t>Source</w:t>
      </w:r>
      <w:r>
        <w:t>: Commission estimates based on detailed Australian Government press releases.</w:t>
      </w:r>
    </w:p>
    <w:p w:rsidR="00EC5290" w:rsidRDefault="00FA09C3" w:rsidP="00EC5290">
      <w:pPr>
        <w:pStyle w:val="Heading2"/>
      </w:pPr>
      <w:r>
        <w:t>A.</w:t>
      </w:r>
      <w:r>
        <w:rPr>
          <w:noProof/>
        </w:rPr>
        <w:t>170</w:t>
      </w:r>
      <w:r w:rsidR="00EC5290">
        <w:tab/>
        <w:t>Scottsdale Industry and Community Development Fund</w:t>
      </w:r>
    </w:p>
    <w:p w:rsidR="00EC5290" w:rsidRDefault="00EC5290" w:rsidP="00EC5290">
      <w:pPr>
        <w:pStyle w:val="BodyText"/>
      </w:pPr>
      <w:r>
        <w:t xml:space="preserve">Announced by the Australian Government in March 2007, the $6 million Scottsdale Industry and Community Development Fund (SICDF) was a merit based grants program and was intended to provide financial support for a range of development initiatives for the benefit of the Scottsdale community in northern Tasmania. The initiatives were aimed at creating or retaining long-term sustainable employment opportunities for the Scottsdale community </w:t>
      </w:r>
      <w:r w:rsidRPr="00EC76CA">
        <w:t>(</w:t>
      </w:r>
      <w:r w:rsidRPr="00C305B5">
        <w:t>DIISR 2009</w:t>
      </w:r>
      <w:r w:rsidRPr="00EC76CA">
        <w:t>)</w:t>
      </w:r>
      <w:r>
        <w:t xml:space="preserve">. </w:t>
      </w:r>
    </w:p>
    <w:p w:rsidR="00EC5290" w:rsidRDefault="00EC5290" w:rsidP="00EC5290">
      <w:pPr>
        <w:pStyle w:val="BodyText"/>
      </w:pPr>
      <w:r>
        <w:t>The SICDF closed on 30 June 2009.</w:t>
      </w:r>
    </w:p>
    <w:p w:rsidR="00EC5290" w:rsidRDefault="00EC5290" w:rsidP="00EC5290">
      <w:pPr>
        <w:pStyle w:val="BodyText"/>
      </w:pPr>
      <w:r>
        <w:t>The Commission has obtained information from the Department of Innovation, Industry, Science and Research detailing the ANZSIC industry incidence of the program. The industry shares data from the Department have been used to allocate total program funding to the Commission’s ANZSIC-based industry groupings (table A.1</w:t>
      </w:r>
      <w:r w:rsidR="00C065C1">
        <w:t>70</w:t>
      </w:r>
      <w:r>
        <w:t>).</w:t>
      </w:r>
    </w:p>
    <w:p w:rsidR="00EC5290" w:rsidRDefault="00EC5290" w:rsidP="00EC5290">
      <w:pPr>
        <w:pStyle w:val="TableTitle"/>
      </w:pPr>
      <w:r>
        <w:rPr>
          <w:b w:val="0"/>
        </w:rPr>
        <w:t xml:space="preserve">Table </w:t>
      </w:r>
      <w:r w:rsidR="00FA09C3">
        <w:rPr>
          <w:b w:val="0"/>
        </w:rPr>
        <w:t>A.</w:t>
      </w:r>
      <w:r w:rsidR="00FA09C3">
        <w:rPr>
          <w:b w:val="0"/>
          <w:noProof/>
        </w:rPr>
        <w:t>170</w:t>
      </w:r>
      <w:r>
        <w:tab/>
        <w:t xml:space="preserve">Allocation of Scottsdale Industry and Community Development Fund </w:t>
      </w:r>
      <w:r w:rsidR="00E471E2" w:rsidRPr="00E471E2">
        <w:t>to industry</w:t>
      </w:r>
      <w:r>
        <w:t>, 2006</w:t>
      </w:r>
      <w:r>
        <w:noBreakHyphen/>
        <w:t>07 to 2011</w:t>
      </w:r>
      <w:r>
        <w:noBreakHyphen/>
        <w:t>12</w:t>
      </w:r>
    </w:p>
    <w:p w:rsidR="00EC5290" w:rsidRDefault="00EC5290" w:rsidP="00EC5290">
      <w:pPr>
        <w:pStyle w:val="Subtitle"/>
      </w:pPr>
      <w:r>
        <w:t>$ million (nominal)</w:t>
      </w:r>
    </w:p>
    <w:tbl>
      <w:tblPr>
        <w:tblW w:w="5000" w:type="pct"/>
        <w:tblCellMar>
          <w:left w:w="0" w:type="dxa"/>
          <w:right w:w="0" w:type="dxa"/>
        </w:tblCellMar>
        <w:tblLook w:val="0000" w:firstRow="0" w:lastRow="0" w:firstColumn="0" w:lastColumn="0" w:noHBand="0" w:noVBand="0"/>
      </w:tblPr>
      <w:tblGrid>
        <w:gridCol w:w="3421"/>
        <w:gridCol w:w="1030"/>
        <w:gridCol w:w="870"/>
        <w:gridCol w:w="870"/>
        <w:gridCol w:w="870"/>
        <w:gridCol w:w="870"/>
        <w:gridCol w:w="858"/>
      </w:tblGrid>
      <w:tr w:rsidR="00EC5290" w:rsidRPr="006156BE" w:rsidTr="005151A7">
        <w:trPr>
          <w:trHeight w:val="227"/>
        </w:trPr>
        <w:tc>
          <w:tcPr>
            <w:tcW w:w="1946" w:type="pct"/>
            <w:tcBorders>
              <w:top w:val="single" w:sz="6" w:space="0" w:color="auto"/>
              <w:bottom w:val="single" w:sz="6" w:space="0" w:color="auto"/>
            </w:tcBorders>
          </w:tcPr>
          <w:p w:rsidR="00EC5290" w:rsidRPr="006156BE" w:rsidRDefault="00EC5290" w:rsidP="005151A7">
            <w:pPr>
              <w:pStyle w:val="TableColumnHeading"/>
              <w:jc w:val="left"/>
              <w:rPr>
                <w:sz w:val="18"/>
                <w:szCs w:val="18"/>
              </w:rPr>
            </w:pPr>
            <w:r w:rsidRPr="006156BE">
              <w:rPr>
                <w:sz w:val="18"/>
                <w:szCs w:val="18"/>
              </w:rPr>
              <w:t>Industry grouping</w:t>
            </w:r>
          </w:p>
        </w:tc>
        <w:tc>
          <w:tcPr>
            <w:tcW w:w="586" w:type="pct"/>
            <w:tcBorders>
              <w:top w:val="single" w:sz="6" w:space="0" w:color="auto"/>
              <w:bottom w:val="single" w:sz="6" w:space="0" w:color="auto"/>
            </w:tcBorders>
          </w:tcPr>
          <w:p w:rsidR="00EC5290" w:rsidRPr="006156BE" w:rsidRDefault="00EC5290" w:rsidP="005151A7">
            <w:pPr>
              <w:pStyle w:val="TableColumnHeading"/>
              <w:ind w:right="28"/>
              <w:rPr>
                <w:sz w:val="18"/>
                <w:szCs w:val="18"/>
              </w:rPr>
            </w:pPr>
            <w:r w:rsidRPr="006156BE">
              <w:rPr>
                <w:sz w:val="18"/>
                <w:szCs w:val="18"/>
              </w:rPr>
              <w:t>2006-07</w:t>
            </w:r>
          </w:p>
        </w:tc>
        <w:tc>
          <w:tcPr>
            <w:tcW w:w="495" w:type="pct"/>
            <w:tcBorders>
              <w:top w:val="single" w:sz="6" w:space="0" w:color="auto"/>
              <w:bottom w:val="single" w:sz="6" w:space="0" w:color="auto"/>
            </w:tcBorders>
          </w:tcPr>
          <w:p w:rsidR="00EC5290" w:rsidRPr="006156BE" w:rsidRDefault="00EC5290" w:rsidP="005151A7">
            <w:pPr>
              <w:pStyle w:val="TableColumnHeading"/>
              <w:ind w:right="28"/>
              <w:rPr>
                <w:sz w:val="18"/>
                <w:szCs w:val="18"/>
              </w:rPr>
            </w:pPr>
            <w:r w:rsidRPr="006156BE">
              <w:rPr>
                <w:sz w:val="18"/>
                <w:szCs w:val="18"/>
              </w:rPr>
              <w:t>2007-08</w:t>
            </w:r>
          </w:p>
        </w:tc>
        <w:tc>
          <w:tcPr>
            <w:tcW w:w="495" w:type="pct"/>
            <w:tcBorders>
              <w:top w:val="single" w:sz="6" w:space="0" w:color="auto"/>
              <w:bottom w:val="single" w:sz="6" w:space="0" w:color="auto"/>
            </w:tcBorders>
          </w:tcPr>
          <w:p w:rsidR="00EC5290" w:rsidRPr="006156BE" w:rsidRDefault="00EC5290" w:rsidP="005151A7">
            <w:pPr>
              <w:pStyle w:val="TableColumnHeading"/>
              <w:ind w:right="28"/>
              <w:rPr>
                <w:sz w:val="18"/>
                <w:szCs w:val="18"/>
              </w:rPr>
            </w:pPr>
            <w:r w:rsidRPr="006156BE">
              <w:rPr>
                <w:sz w:val="18"/>
                <w:szCs w:val="18"/>
              </w:rPr>
              <w:t>2008-09</w:t>
            </w:r>
          </w:p>
        </w:tc>
        <w:tc>
          <w:tcPr>
            <w:tcW w:w="495" w:type="pct"/>
            <w:tcBorders>
              <w:top w:val="single" w:sz="6" w:space="0" w:color="auto"/>
              <w:bottom w:val="single" w:sz="6" w:space="0" w:color="auto"/>
            </w:tcBorders>
            <w:shd w:val="clear" w:color="auto" w:fill="auto"/>
          </w:tcPr>
          <w:p w:rsidR="00EC5290" w:rsidRPr="006156BE" w:rsidRDefault="00EC5290" w:rsidP="005151A7">
            <w:pPr>
              <w:pStyle w:val="TableColumnHeading"/>
              <w:ind w:right="28"/>
              <w:rPr>
                <w:sz w:val="18"/>
                <w:szCs w:val="18"/>
              </w:rPr>
            </w:pPr>
            <w:r w:rsidRPr="006156BE">
              <w:rPr>
                <w:sz w:val="18"/>
                <w:szCs w:val="18"/>
              </w:rPr>
              <w:t>2009-10</w:t>
            </w:r>
          </w:p>
        </w:tc>
        <w:tc>
          <w:tcPr>
            <w:tcW w:w="495" w:type="pct"/>
            <w:tcBorders>
              <w:top w:val="single" w:sz="6" w:space="0" w:color="auto"/>
              <w:bottom w:val="single" w:sz="6" w:space="0" w:color="auto"/>
            </w:tcBorders>
            <w:shd w:val="clear" w:color="auto" w:fill="auto"/>
          </w:tcPr>
          <w:p w:rsidR="00EC5290" w:rsidRPr="006156BE" w:rsidRDefault="00EC5290" w:rsidP="005151A7">
            <w:pPr>
              <w:pStyle w:val="TableColumnHeading"/>
              <w:ind w:right="28"/>
              <w:rPr>
                <w:sz w:val="18"/>
                <w:szCs w:val="18"/>
              </w:rPr>
            </w:pPr>
            <w:r w:rsidRPr="006156BE">
              <w:rPr>
                <w:sz w:val="18"/>
                <w:szCs w:val="18"/>
              </w:rPr>
              <w:t>2010-11</w:t>
            </w:r>
          </w:p>
        </w:tc>
        <w:tc>
          <w:tcPr>
            <w:tcW w:w="488" w:type="pct"/>
            <w:tcBorders>
              <w:top w:val="single" w:sz="6" w:space="0" w:color="auto"/>
              <w:bottom w:val="single" w:sz="6" w:space="0" w:color="auto"/>
            </w:tcBorders>
            <w:shd w:val="clear" w:color="auto" w:fill="auto"/>
          </w:tcPr>
          <w:p w:rsidR="00EC5290" w:rsidRPr="006156BE" w:rsidRDefault="00EC5290" w:rsidP="005151A7">
            <w:pPr>
              <w:pStyle w:val="TableColumnHeading"/>
              <w:ind w:right="28"/>
              <w:rPr>
                <w:sz w:val="18"/>
                <w:szCs w:val="18"/>
              </w:rPr>
            </w:pPr>
            <w:r w:rsidRPr="006156BE">
              <w:rPr>
                <w:sz w:val="18"/>
                <w:szCs w:val="18"/>
              </w:rPr>
              <w:t>2011-12</w:t>
            </w:r>
          </w:p>
        </w:tc>
      </w:tr>
      <w:tr w:rsidR="00EC5290" w:rsidTr="005151A7">
        <w:trPr>
          <w:trHeight w:val="227"/>
        </w:trPr>
        <w:tc>
          <w:tcPr>
            <w:tcW w:w="1946" w:type="pct"/>
            <w:tcBorders>
              <w:top w:val="single" w:sz="6" w:space="0" w:color="auto"/>
            </w:tcBorders>
            <w:vAlign w:val="bottom"/>
          </w:tcPr>
          <w:p w:rsidR="00EC5290" w:rsidRPr="00DC145C" w:rsidRDefault="00EC5290" w:rsidP="005151A7">
            <w:pPr>
              <w:pStyle w:val="TableBodyText"/>
              <w:jc w:val="left"/>
              <w:rPr>
                <w:b/>
                <w:sz w:val="18"/>
                <w:szCs w:val="18"/>
              </w:rPr>
            </w:pPr>
            <w:r w:rsidRPr="00DC145C">
              <w:rPr>
                <w:b/>
                <w:sz w:val="18"/>
                <w:szCs w:val="18"/>
              </w:rPr>
              <w:t>Primary production</w:t>
            </w:r>
          </w:p>
        </w:tc>
        <w:tc>
          <w:tcPr>
            <w:tcW w:w="586" w:type="pct"/>
            <w:tcBorders>
              <w:top w:val="single" w:sz="6" w:space="0" w:color="auto"/>
            </w:tcBorders>
            <w:vAlign w:val="bottom"/>
          </w:tcPr>
          <w:p w:rsidR="00EC5290" w:rsidRPr="00ED70C3" w:rsidRDefault="00EC5290" w:rsidP="005151A7">
            <w:pPr>
              <w:pStyle w:val="TableBodyText"/>
              <w:rPr>
                <w:b/>
                <w:sz w:val="18"/>
                <w:szCs w:val="18"/>
              </w:rPr>
            </w:pPr>
            <w:r w:rsidRPr="00ED70C3">
              <w:rPr>
                <w:b/>
                <w:sz w:val="18"/>
                <w:szCs w:val="18"/>
              </w:rPr>
              <w:noBreakHyphen/>
            </w:r>
          </w:p>
        </w:tc>
        <w:tc>
          <w:tcPr>
            <w:tcW w:w="495" w:type="pct"/>
            <w:tcBorders>
              <w:top w:val="single" w:sz="6" w:space="0" w:color="auto"/>
            </w:tcBorders>
            <w:vAlign w:val="bottom"/>
          </w:tcPr>
          <w:p w:rsidR="00EC5290" w:rsidRPr="00ED70C3" w:rsidRDefault="00EC5290" w:rsidP="005151A7">
            <w:pPr>
              <w:pStyle w:val="TableBodyText"/>
              <w:rPr>
                <w:b/>
                <w:sz w:val="18"/>
                <w:szCs w:val="18"/>
              </w:rPr>
            </w:pPr>
            <w:r w:rsidRPr="00ED70C3">
              <w:rPr>
                <w:b/>
                <w:sz w:val="18"/>
                <w:szCs w:val="18"/>
              </w:rPr>
              <w:t>1.0</w:t>
            </w:r>
          </w:p>
        </w:tc>
        <w:tc>
          <w:tcPr>
            <w:tcW w:w="495" w:type="pct"/>
            <w:tcBorders>
              <w:top w:val="single" w:sz="6" w:space="0" w:color="auto"/>
            </w:tcBorders>
            <w:vAlign w:val="bottom"/>
          </w:tcPr>
          <w:p w:rsidR="00EC5290" w:rsidRPr="00ED70C3" w:rsidRDefault="00EC5290" w:rsidP="005151A7">
            <w:pPr>
              <w:pStyle w:val="TableBodyText"/>
              <w:rPr>
                <w:b/>
                <w:sz w:val="18"/>
                <w:szCs w:val="18"/>
              </w:rPr>
            </w:pPr>
            <w:r w:rsidRPr="00ED70C3">
              <w:rPr>
                <w:b/>
                <w:sz w:val="18"/>
                <w:szCs w:val="18"/>
              </w:rPr>
              <w:t>0.8</w:t>
            </w:r>
          </w:p>
        </w:tc>
        <w:tc>
          <w:tcPr>
            <w:tcW w:w="495" w:type="pct"/>
            <w:tcBorders>
              <w:top w:val="single" w:sz="6" w:space="0" w:color="auto"/>
            </w:tcBorders>
            <w:vAlign w:val="bottom"/>
          </w:tcPr>
          <w:p w:rsidR="00EC5290" w:rsidRPr="00ED70C3" w:rsidRDefault="00EC5290" w:rsidP="005151A7">
            <w:pPr>
              <w:pStyle w:val="TableBodyText"/>
              <w:rPr>
                <w:b/>
                <w:sz w:val="18"/>
                <w:szCs w:val="18"/>
              </w:rPr>
            </w:pPr>
            <w:r w:rsidRPr="00ED70C3">
              <w:rPr>
                <w:b/>
                <w:sz w:val="18"/>
                <w:szCs w:val="18"/>
              </w:rPr>
              <w:noBreakHyphen/>
            </w:r>
          </w:p>
        </w:tc>
        <w:tc>
          <w:tcPr>
            <w:tcW w:w="495" w:type="pct"/>
            <w:tcBorders>
              <w:top w:val="single" w:sz="6" w:space="0" w:color="auto"/>
            </w:tcBorders>
            <w:vAlign w:val="bottom"/>
          </w:tcPr>
          <w:p w:rsidR="00EC5290" w:rsidRPr="00ED70C3" w:rsidRDefault="00EC5290" w:rsidP="005151A7">
            <w:pPr>
              <w:pStyle w:val="TableBodyText"/>
              <w:rPr>
                <w:b/>
                <w:sz w:val="18"/>
                <w:szCs w:val="18"/>
              </w:rPr>
            </w:pPr>
            <w:r w:rsidRPr="00ED70C3">
              <w:rPr>
                <w:b/>
                <w:sz w:val="18"/>
                <w:szCs w:val="18"/>
              </w:rPr>
              <w:noBreakHyphen/>
            </w:r>
          </w:p>
        </w:tc>
        <w:tc>
          <w:tcPr>
            <w:tcW w:w="488" w:type="pct"/>
            <w:tcBorders>
              <w:top w:val="single" w:sz="6" w:space="0" w:color="auto"/>
            </w:tcBorders>
            <w:vAlign w:val="bottom"/>
          </w:tcPr>
          <w:p w:rsidR="00EC5290" w:rsidRPr="00ED70C3" w:rsidRDefault="00EC5290" w:rsidP="005151A7">
            <w:pPr>
              <w:pStyle w:val="TableBodyText"/>
              <w:rPr>
                <w:b/>
                <w:sz w:val="18"/>
                <w:szCs w:val="18"/>
              </w:rPr>
            </w:pPr>
            <w:r w:rsidRPr="00ED70C3">
              <w:rPr>
                <w:b/>
                <w:sz w:val="18"/>
                <w:szCs w:val="18"/>
              </w:rPr>
              <w:noBreakHyphen/>
            </w:r>
          </w:p>
        </w:tc>
      </w:tr>
      <w:tr w:rsidR="00EC5290" w:rsidTr="005151A7">
        <w:trPr>
          <w:trHeight w:val="227"/>
        </w:trPr>
        <w:tc>
          <w:tcPr>
            <w:tcW w:w="1946" w:type="pct"/>
            <w:vAlign w:val="bottom"/>
          </w:tcPr>
          <w:p w:rsidR="00EC5290" w:rsidRPr="007758AB" w:rsidRDefault="00EC5290" w:rsidP="005151A7">
            <w:pPr>
              <w:pStyle w:val="TableBodyText"/>
              <w:jc w:val="left"/>
              <w:rPr>
                <w:sz w:val="18"/>
                <w:szCs w:val="18"/>
              </w:rPr>
            </w:pPr>
            <w:r>
              <w:rPr>
                <w:sz w:val="18"/>
                <w:szCs w:val="18"/>
              </w:rPr>
              <w:t>Horticulture and fruit growing</w:t>
            </w:r>
          </w:p>
        </w:tc>
        <w:tc>
          <w:tcPr>
            <w:tcW w:w="586" w:type="pct"/>
            <w:vAlign w:val="bottom"/>
          </w:tcPr>
          <w:p w:rsidR="00EC5290" w:rsidRPr="00ED70C3" w:rsidRDefault="00EC5290" w:rsidP="005151A7">
            <w:pPr>
              <w:pStyle w:val="TableBodyText"/>
              <w:rPr>
                <w:sz w:val="18"/>
                <w:szCs w:val="18"/>
              </w:rPr>
            </w:pPr>
            <w:r w:rsidRPr="00ED70C3">
              <w:rPr>
                <w:sz w:val="18"/>
                <w:szCs w:val="18"/>
              </w:rPr>
              <w:noBreakHyphen/>
            </w:r>
          </w:p>
        </w:tc>
        <w:tc>
          <w:tcPr>
            <w:tcW w:w="495" w:type="pct"/>
            <w:vAlign w:val="bottom"/>
          </w:tcPr>
          <w:p w:rsidR="00EC5290" w:rsidRPr="00ED70C3" w:rsidRDefault="00EC5290" w:rsidP="005151A7">
            <w:pPr>
              <w:pStyle w:val="TableBodyText"/>
              <w:rPr>
                <w:sz w:val="18"/>
                <w:szCs w:val="18"/>
              </w:rPr>
            </w:pPr>
            <w:r w:rsidRPr="00ED70C3">
              <w:rPr>
                <w:sz w:val="18"/>
                <w:szCs w:val="18"/>
              </w:rPr>
              <w:t>0.3</w:t>
            </w:r>
          </w:p>
        </w:tc>
        <w:tc>
          <w:tcPr>
            <w:tcW w:w="495" w:type="pct"/>
            <w:vAlign w:val="bottom"/>
          </w:tcPr>
          <w:p w:rsidR="00EC5290" w:rsidRPr="00ED70C3" w:rsidRDefault="00EC5290" w:rsidP="005151A7">
            <w:pPr>
              <w:pStyle w:val="TableBodyText"/>
              <w:rPr>
                <w:sz w:val="18"/>
                <w:szCs w:val="18"/>
              </w:rPr>
            </w:pPr>
            <w:r w:rsidRPr="00ED70C3">
              <w:rPr>
                <w:sz w:val="18"/>
                <w:szCs w:val="18"/>
              </w:rPr>
              <w:t>0.5</w:t>
            </w:r>
          </w:p>
        </w:tc>
        <w:tc>
          <w:tcPr>
            <w:tcW w:w="495" w:type="pct"/>
            <w:vAlign w:val="bottom"/>
          </w:tcPr>
          <w:p w:rsidR="00EC5290" w:rsidRPr="00ED70C3" w:rsidRDefault="00EC5290" w:rsidP="005151A7">
            <w:pPr>
              <w:pStyle w:val="TableBodyText"/>
              <w:rPr>
                <w:sz w:val="18"/>
                <w:szCs w:val="18"/>
              </w:rPr>
            </w:pPr>
            <w:r w:rsidRPr="00ED70C3">
              <w:rPr>
                <w:sz w:val="18"/>
                <w:szCs w:val="18"/>
              </w:rPr>
              <w:noBreakHyphen/>
            </w:r>
          </w:p>
        </w:tc>
        <w:tc>
          <w:tcPr>
            <w:tcW w:w="495" w:type="pct"/>
            <w:vAlign w:val="bottom"/>
          </w:tcPr>
          <w:p w:rsidR="00EC5290" w:rsidRPr="00ED70C3" w:rsidRDefault="00EC5290" w:rsidP="005151A7">
            <w:pPr>
              <w:pStyle w:val="TableBodyText"/>
              <w:rPr>
                <w:sz w:val="18"/>
                <w:szCs w:val="18"/>
              </w:rPr>
            </w:pPr>
            <w:r w:rsidRPr="00ED70C3">
              <w:rPr>
                <w:sz w:val="18"/>
                <w:szCs w:val="18"/>
              </w:rPr>
              <w:noBreakHyphen/>
            </w:r>
          </w:p>
        </w:tc>
        <w:tc>
          <w:tcPr>
            <w:tcW w:w="488" w:type="pct"/>
            <w:vAlign w:val="bottom"/>
          </w:tcPr>
          <w:p w:rsidR="00EC5290" w:rsidRPr="00ED70C3" w:rsidRDefault="00EC5290" w:rsidP="005151A7">
            <w:pPr>
              <w:pStyle w:val="TableBodyText"/>
              <w:rPr>
                <w:sz w:val="18"/>
                <w:szCs w:val="18"/>
              </w:rPr>
            </w:pPr>
            <w:r w:rsidRPr="00ED70C3">
              <w:rPr>
                <w:sz w:val="18"/>
                <w:szCs w:val="18"/>
              </w:rPr>
              <w:noBreakHyphen/>
            </w:r>
          </w:p>
        </w:tc>
      </w:tr>
      <w:tr w:rsidR="00EC5290" w:rsidTr="005151A7">
        <w:trPr>
          <w:trHeight w:val="227"/>
        </w:trPr>
        <w:tc>
          <w:tcPr>
            <w:tcW w:w="1946" w:type="pct"/>
            <w:vAlign w:val="bottom"/>
          </w:tcPr>
          <w:p w:rsidR="00EC5290" w:rsidRPr="007758AB" w:rsidRDefault="00EC5290" w:rsidP="005151A7">
            <w:pPr>
              <w:pStyle w:val="TableBodyText"/>
              <w:jc w:val="left"/>
              <w:rPr>
                <w:sz w:val="18"/>
                <w:szCs w:val="18"/>
              </w:rPr>
            </w:pPr>
            <w:r w:rsidRPr="007758AB">
              <w:rPr>
                <w:sz w:val="18"/>
                <w:szCs w:val="18"/>
              </w:rPr>
              <w:t>Other crop growing</w:t>
            </w:r>
          </w:p>
        </w:tc>
        <w:tc>
          <w:tcPr>
            <w:tcW w:w="586" w:type="pct"/>
            <w:vAlign w:val="bottom"/>
          </w:tcPr>
          <w:p w:rsidR="00EC5290" w:rsidRPr="00ED70C3" w:rsidRDefault="00EC5290" w:rsidP="005151A7">
            <w:pPr>
              <w:pStyle w:val="TableBodyText"/>
              <w:rPr>
                <w:sz w:val="18"/>
                <w:szCs w:val="18"/>
              </w:rPr>
            </w:pPr>
            <w:r w:rsidRPr="00ED70C3">
              <w:rPr>
                <w:sz w:val="18"/>
                <w:szCs w:val="18"/>
              </w:rPr>
              <w:noBreakHyphen/>
            </w:r>
          </w:p>
        </w:tc>
        <w:tc>
          <w:tcPr>
            <w:tcW w:w="495" w:type="pct"/>
            <w:vAlign w:val="bottom"/>
          </w:tcPr>
          <w:p w:rsidR="00EC5290" w:rsidRPr="00ED70C3" w:rsidRDefault="00EC5290" w:rsidP="005151A7">
            <w:pPr>
              <w:pStyle w:val="TableBodyText"/>
              <w:rPr>
                <w:sz w:val="18"/>
                <w:szCs w:val="18"/>
              </w:rPr>
            </w:pPr>
            <w:r w:rsidRPr="00ED70C3">
              <w:rPr>
                <w:sz w:val="18"/>
                <w:szCs w:val="18"/>
              </w:rPr>
              <w:t>0.3</w:t>
            </w:r>
          </w:p>
        </w:tc>
        <w:tc>
          <w:tcPr>
            <w:tcW w:w="495" w:type="pct"/>
            <w:vAlign w:val="bottom"/>
          </w:tcPr>
          <w:p w:rsidR="00EC5290" w:rsidRPr="00ED70C3" w:rsidRDefault="00EC5290" w:rsidP="005151A7">
            <w:pPr>
              <w:pStyle w:val="TableBodyText"/>
              <w:rPr>
                <w:sz w:val="18"/>
                <w:szCs w:val="18"/>
              </w:rPr>
            </w:pPr>
            <w:r w:rsidRPr="00ED70C3">
              <w:rPr>
                <w:sz w:val="18"/>
                <w:szCs w:val="18"/>
              </w:rPr>
              <w:noBreakHyphen/>
            </w:r>
          </w:p>
        </w:tc>
        <w:tc>
          <w:tcPr>
            <w:tcW w:w="495" w:type="pct"/>
            <w:shd w:val="clear" w:color="auto" w:fill="auto"/>
            <w:vAlign w:val="bottom"/>
          </w:tcPr>
          <w:p w:rsidR="00EC5290" w:rsidRPr="00ED70C3" w:rsidRDefault="00EC5290" w:rsidP="005151A7">
            <w:pPr>
              <w:pStyle w:val="TableBodyText"/>
              <w:rPr>
                <w:sz w:val="18"/>
                <w:szCs w:val="18"/>
              </w:rPr>
            </w:pPr>
            <w:r w:rsidRPr="00ED70C3">
              <w:rPr>
                <w:sz w:val="18"/>
                <w:szCs w:val="18"/>
              </w:rPr>
              <w:noBreakHyphen/>
            </w:r>
          </w:p>
        </w:tc>
        <w:tc>
          <w:tcPr>
            <w:tcW w:w="495" w:type="pct"/>
            <w:shd w:val="clear" w:color="auto" w:fill="auto"/>
            <w:vAlign w:val="bottom"/>
          </w:tcPr>
          <w:p w:rsidR="00EC5290" w:rsidRPr="00ED70C3" w:rsidRDefault="00EC5290" w:rsidP="005151A7">
            <w:pPr>
              <w:pStyle w:val="TableBodyText"/>
              <w:rPr>
                <w:sz w:val="18"/>
                <w:szCs w:val="18"/>
              </w:rPr>
            </w:pPr>
            <w:r w:rsidRPr="00ED70C3">
              <w:rPr>
                <w:sz w:val="18"/>
                <w:szCs w:val="18"/>
              </w:rPr>
              <w:noBreakHyphen/>
            </w:r>
          </w:p>
        </w:tc>
        <w:tc>
          <w:tcPr>
            <w:tcW w:w="488" w:type="pct"/>
            <w:shd w:val="clear" w:color="auto" w:fill="auto"/>
            <w:vAlign w:val="bottom"/>
          </w:tcPr>
          <w:p w:rsidR="00EC5290" w:rsidRPr="00ED70C3" w:rsidRDefault="00EC5290" w:rsidP="005151A7">
            <w:pPr>
              <w:pStyle w:val="TableBodyText"/>
              <w:rPr>
                <w:sz w:val="18"/>
                <w:szCs w:val="18"/>
              </w:rPr>
            </w:pPr>
            <w:r w:rsidRPr="00ED70C3">
              <w:rPr>
                <w:sz w:val="18"/>
                <w:szCs w:val="18"/>
              </w:rPr>
              <w:noBreakHyphen/>
            </w:r>
          </w:p>
        </w:tc>
      </w:tr>
      <w:tr w:rsidR="00EC5290" w:rsidTr="005151A7">
        <w:trPr>
          <w:trHeight w:val="227"/>
        </w:trPr>
        <w:tc>
          <w:tcPr>
            <w:tcW w:w="1946" w:type="pct"/>
            <w:vAlign w:val="bottom"/>
          </w:tcPr>
          <w:p w:rsidR="00EC5290" w:rsidRPr="007758AB" w:rsidRDefault="00EC5290" w:rsidP="005151A7">
            <w:pPr>
              <w:pStyle w:val="TableBodyText"/>
              <w:jc w:val="left"/>
              <w:rPr>
                <w:sz w:val="18"/>
                <w:szCs w:val="18"/>
              </w:rPr>
            </w:pPr>
            <w:r w:rsidRPr="007758AB">
              <w:rPr>
                <w:sz w:val="18"/>
                <w:szCs w:val="18"/>
              </w:rPr>
              <w:t>Dairy cattle farming</w:t>
            </w:r>
          </w:p>
        </w:tc>
        <w:tc>
          <w:tcPr>
            <w:tcW w:w="586" w:type="pct"/>
            <w:vAlign w:val="bottom"/>
          </w:tcPr>
          <w:p w:rsidR="00EC5290" w:rsidRPr="00ED70C3" w:rsidRDefault="00EC5290" w:rsidP="005151A7">
            <w:pPr>
              <w:pStyle w:val="TableBodyText"/>
              <w:rPr>
                <w:sz w:val="18"/>
                <w:szCs w:val="18"/>
              </w:rPr>
            </w:pPr>
            <w:r w:rsidRPr="00ED70C3">
              <w:rPr>
                <w:sz w:val="18"/>
                <w:szCs w:val="18"/>
              </w:rPr>
              <w:noBreakHyphen/>
            </w:r>
          </w:p>
        </w:tc>
        <w:tc>
          <w:tcPr>
            <w:tcW w:w="495" w:type="pct"/>
            <w:vAlign w:val="bottom"/>
          </w:tcPr>
          <w:p w:rsidR="00EC5290" w:rsidRPr="00ED70C3" w:rsidRDefault="00EC5290" w:rsidP="005151A7">
            <w:pPr>
              <w:pStyle w:val="TableBodyText"/>
              <w:rPr>
                <w:sz w:val="18"/>
                <w:szCs w:val="18"/>
              </w:rPr>
            </w:pPr>
            <w:r w:rsidRPr="00ED70C3">
              <w:rPr>
                <w:sz w:val="18"/>
                <w:szCs w:val="18"/>
              </w:rPr>
              <w:noBreakHyphen/>
            </w:r>
          </w:p>
        </w:tc>
        <w:tc>
          <w:tcPr>
            <w:tcW w:w="495" w:type="pct"/>
            <w:vAlign w:val="bottom"/>
          </w:tcPr>
          <w:p w:rsidR="00EC5290" w:rsidRPr="00ED70C3" w:rsidRDefault="00EC5290" w:rsidP="005151A7">
            <w:pPr>
              <w:pStyle w:val="TableBodyText"/>
              <w:rPr>
                <w:sz w:val="18"/>
                <w:szCs w:val="18"/>
              </w:rPr>
            </w:pPr>
            <w:r w:rsidRPr="00ED70C3">
              <w:rPr>
                <w:sz w:val="18"/>
                <w:szCs w:val="18"/>
              </w:rPr>
              <w:t>&lt;0.1</w:t>
            </w:r>
          </w:p>
        </w:tc>
        <w:tc>
          <w:tcPr>
            <w:tcW w:w="495" w:type="pct"/>
            <w:shd w:val="clear" w:color="auto" w:fill="auto"/>
            <w:vAlign w:val="bottom"/>
          </w:tcPr>
          <w:p w:rsidR="00EC5290" w:rsidRPr="00ED70C3" w:rsidRDefault="00EC5290" w:rsidP="005151A7">
            <w:pPr>
              <w:pStyle w:val="TableBodyText"/>
              <w:rPr>
                <w:sz w:val="18"/>
                <w:szCs w:val="18"/>
              </w:rPr>
            </w:pPr>
            <w:r w:rsidRPr="00ED70C3">
              <w:rPr>
                <w:sz w:val="18"/>
                <w:szCs w:val="18"/>
              </w:rPr>
              <w:noBreakHyphen/>
            </w:r>
          </w:p>
        </w:tc>
        <w:tc>
          <w:tcPr>
            <w:tcW w:w="495" w:type="pct"/>
            <w:shd w:val="clear" w:color="auto" w:fill="auto"/>
            <w:vAlign w:val="bottom"/>
          </w:tcPr>
          <w:p w:rsidR="00EC5290" w:rsidRPr="00ED70C3" w:rsidRDefault="00EC5290" w:rsidP="005151A7">
            <w:pPr>
              <w:pStyle w:val="TableBodyText"/>
              <w:rPr>
                <w:sz w:val="18"/>
                <w:szCs w:val="18"/>
              </w:rPr>
            </w:pPr>
            <w:r w:rsidRPr="00ED70C3">
              <w:rPr>
                <w:sz w:val="18"/>
                <w:szCs w:val="18"/>
              </w:rPr>
              <w:noBreakHyphen/>
            </w:r>
          </w:p>
        </w:tc>
        <w:tc>
          <w:tcPr>
            <w:tcW w:w="488" w:type="pct"/>
            <w:shd w:val="clear" w:color="auto" w:fill="auto"/>
            <w:vAlign w:val="bottom"/>
          </w:tcPr>
          <w:p w:rsidR="00EC5290" w:rsidRPr="00ED70C3" w:rsidRDefault="00EC5290" w:rsidP="005151A7">
            <w:pPr>
              <w:pStyle w:val="TableBodyText"/>
              <w:rPr>
                <w:sz w:val="18"/>
                <w:szCs w:val="18"/>
              </w:rPr>
            </w:pPr>
            <w:r w:rsidRPr="00ED70C3">
              <w:rPr>
                <w:sz w:val="18"/>
                <w:szCs w:val="18"/>
              </w:rPr>
              <w:noBreakHyphen/>
            </w:r>
          </w:p>
        </w:tc>
      </w:tr>
      <w:tr w:rsidR="00EC5290" w:rsidTr="005151A7">
        <w:trPr>
          <w:trHeight w:val="227"/>
        </w:trPr>
        <w:tc>
          <w:tcPr>
            <w:tcW w:w="1946" w:type="pct"/>
            <w:vAlign w:val="bottom"/>
          </w:tcPr>
          <w:p w:rsidR="00EC5290" w:rsidRPr="007758AB" w:rsidRDefault="00EC5290" w:rsidP="005151A7">
            <w:pPr>
              <w:pStyle w:val="TableBodyText"/>
              <w:jc w:val="left"/>
              <w:rPr>
                <w:sz w:val="18"/>
                <w:szCs w:val="18"/>
              </w:rPr>
            </w:pPr>
            <w:r w:rsidRPr="007758AB">
              <w:rPr>
                <w:sz w:val="18"/>
                <w:szCs w:val="18"/>
              </w:rPr>
              <w:t>Forestry and logging</w:t>
            </w:r>
          </w:p>
        </w:tc>
        <w:tc>
          <w:tcPr>
            <w:tcW w:w="586" w:type="pct"/>
            <w:vAlign w:val="bottom"/>
          </w:tcPr>
          <w:p w:rsidR="00EC5290" w:rsidRPr="00ED70C3" w:rsidRDefault="00EC5290" w:rsidP="005151A7">
            <w:pPr>
              <w:pStyle w:val="TableBodyText"/>
              <w:rPr>
                <w:sz w:val="18"/>
                <w:szCs w:val="18"/>
              </w:rPr>
            </w:pPr>
            <w:r w:rsidRPr="00ED70C3">
              <w:rPr>
                <w:sz w:val="18"/>
                <w:szCs w:val="18"/>
              </w:rPr>
              <w:noBreakHyphen/>
            </w:r>
          </w:p>
        </w:tc>
        <w:tc>
          <w:tcPr>
            <w:tcW w:w="495" w:type="pct"/>
            <w:vAlign w:val="bottom"/>
          </w:tcPr>
          <w:p w:rsidR="00EC5290" w:rsidRPr="00ED70C3" w:rsidRDefault="00EC5290" w:rsidP="005151A7">
            <w:pPr>
              <w:pStyle w:val="TableBodyText"/>
              <w:rPr>
                <w:sz w:val="18"/>
                <w:szCs w:val="18"/>
              </w:rPr>
            </w:pPr>
            <w:r w:rsidRPr="00ED70C3">
              <w:rPr>
                <w:sz w:val="18"/>
                <w:szCs w:val="18"/>
              </w:rPr>
              <w:t>0.4</w:t>
            </w:r>
          </w:p>
        </w:tc>
        <w:tc>
          <w:tcPr>
            <w:tcW w:w="495" w:type="pct"/>
            <w:vAlign w:val="bottom"/>
          </w:tcPr>
          <w:p w:rsidR="00EC5290" w:rsidRPr="00ED70C3" w:rsidRDefault="00EC5290" w:rsidP="005151A7">
            <w:pPr>
              <w:pStyle w:val="TableBodyText"/>
              <w:rPr>
                <w:sz w:val="18"/>
                <w:szCs w:val="18"/>
              </w:rPr>
            </w:pPr>
            <w:r w:rsidRPr="00ED70C3">
              <w:rPr>
                <w:sz w:val="18"/>
                <w:szCs w:val="18"/>
              </w:rPr>
              <w:t>0.2</w:t>
            </w:r>
          </w:p>
        </w:tc>
        <w:tc>
          <w:tcPr>
            <w:tcW w:w="495" w:type="pct"/>
            <w:shd w:val="clear" w:color="auto" w:fill="auto"/>
            <w:vAlign w:val="bottom"/>
          </w:tcPr>
          <w:p w:rsidR="00EC5290" w:rsidRPr="00ED70C3" w:rsidRDefault="00EC5290" w:rsidP="005151A7">
            <w:pPr>
              <w:pStyle w:val="TableBodyText"/>
              <w:rPr>
                <w:sz w:val="18"/>
                <w:szCs w:val="18"/>
              </w:rPr>
            </w:pPr>
            <w:r w:rsidRPr="00ED70C3">
              <w:rPr>
                <w:sz w:val="18"/>
                <w:szCs w:val="18"/>
              </w:rPr>
              <w:noBreakHyphen/>
            </w:r>
          </w:p>
        </w:tc>
        <w:tc>
          <w:tcPr>
            <w:tcW w:w="495" w:type="pct"/>
            <w:shd w:val="clear" w:color="auto" w:fill="auto"/>
            <w:vAlign w:val="bottom"/>
          </w:tcPr>
          <w:p w:rsidR="00EC5290" w:rsidRPr="00ED70C3" w:rsidRDefault="00EC5290" w:rsidP="005151A7">
            <w:pPr>
              <w:pStyle w:val="TableBodyText"/>
              <w:rPr>
                <w:sz w:val="18"/>
                <w:szCs w:val="18"/>
              </w:rPr>
            </w:pPr>
            <w:r w:rsidRPr="00ED70C3">
              <w:rPr>
                <w:sz w:val="18"/>
                <w:szCs w:val="18"/>
              </w:rPr>
              <w:noBreakHyphen/>
            </w:r>
          </w:p>
        </w:tc>
        <w:tc>
          <w:tcPr>
            <w:tcW w:w="488" w:type="pct"/>
            <w:shd w:val="clear" w:color="auto" w:fill="auto"/>
            <w:vAlign w:val="bottom"/>
          </w:tcPr>
          <w:p w:rsidR="00EC5290" w:rsidRPr="00ED70C3" w:rsidRDefault="00EC5290" w:rsidP="005151A7">
            <w:pPr>
              <w:pStyle w:val="TableBodyText"/>
              <w:rPr>
                <w:sz w:val="18"/>
                <w:szCs w:val="18"/>
              </w:rPr>
            </w:pPr>
            <w:r w:rsidRPr="00ED70C3">
              <w:rPr>
                <w:sz w:val="18"/>
                <w:szCs w:val="18"/>
              </w:rPr>
              <w:noBreakHyphen/>
            </w:r>
          </w:p>
        </w:tc>
      </w:tr>
      <w:tr w:rsidR="00EC5290" w:rsidTr="005151A7">
        <w:trPr>
          <w:trHeight w:val="227"/>
        </w:trPr>
        <w:tc>
          <w:tcPr>
            <w:tcW w:w="1946" w:type="pct"/>
            <w:vAlign w:val="bottom"/>
          </w:tcPr>
          <w:p w:rsidR="00EC5290" w:rsidRPr="007758AB" w:rsidRDefault="00EC5290" w:rsidP="005151A7">
            <w:pPr>
              <w:pStyle w:val="TableBodyText"/>
              <w:jc w:val="left"/>
              <w:rPr>
                <w:sz w:val="18"/>
                <w:szCs w:val="18"/>
              </w:rPr>
            </w:pPr>
            <w:r>
              <w:rPr>
                <w:sz w:val="18"/>
                <w:szCs w:val="18"/>
              </w:rPr>
              <w:t>Primary production support services</w:t>
            </w:r>
          </w:p>
        </w:tc>
        <w:tc>
          <w:tcPr>
            <w:tcW w:w="586" w:type="pct"/>
            <w:vAlign w:val="bottom"/>
          </w:tcPr>
          <w:p w:rsidR="00EC5290" w:rsidRPr="00ED70C3" w:rsidRDefault="00EC5290" w:rsidP="005151A7">
            <w:pPr>
              <w:pStyle w:val="TableBodyText"/>
              <w:rPr>
                <w:sz w:val="18"/>
                <w:szCs w:val="18"/>
              </w:rPr>
            </w:pPr>
            <w:r w:rsidRPr="00ED70C3">
              <w:rPr>
                <w:sz w:val="18"/>
                <w:szCs w:val="18"/>
              </w:rPr>
              <w:noBreakHyphen/>
            </w:r>
          </w:p>
        </w:tc>
        <w:tc>
          <w:tcPr>
            <w:tcW w:w="495" w:type="pct"/>
            <w:vAlign w:val="bottom"/>
          </w:tcPr>
          <w:p w:rsidR="00EC5290" w:rsidRPr="00ED70C3" w:rsidRDefault="00EC5290" w:rsidP="005151A7">
            <w:pPr>
              <w:pStyle w:val="TableBodyText"/>
              <w:rPr>
                <w:sz w:val="18"/>
                <w:szCs w:val="18"/>
              </w:rPr>
            </w:pPr>
            <w:r w:rsidRPr="00ED70C3">
              <w:rPr>
                <w:sz w:val="18"/>
                <w:szCs w:val="18"/>
              </w:rPr>
              <w:t>0.1</w:t>
            </w:r>
          </w:p>
        </w:tc>
        <w:tc>
          <w:tcPr>
            <w:tcW w:w="495" w:type="pct"/>
            <w:vAlign w:val="bottom"/>
          </w:tcPr>
          <w:p w:rsidR="00EC5290" w:rsidRPr="00ED70C3" w:rsidRDefault="00EC5290" w:rsidP="005151A7">
            <w:pPr>
              <w:pStyle w:val="TableBodyText"/>
              <w:rPr>
                <w:sz w:val="18"/>
                <w:szCs w:val="18"/>
              </w:rPr>
            </w:pPr>
            <w:r w:rsidRPr="00ED70C3">
              <w:rPr>
                <w:sz w:val="18"/>
                <w:szCs w:val="18"/>
              </w:rPr>
              <w:noBreakHyphen/>
            </w:r>
          </w:p>
        </w:tc>
        <w:tc>
          <w:tcPr>
            <w:tcW w:w="495" w:type="pct"/>
            <w:shd w:val="clear" w:color="auto" w:fill="auto"/>
            <w:vAlign w:val="bottom"/>
          </w:tcPr>
          <w:p w:rsidR="00EC5290" w:rsidRPr="00ED70C3" w:rsidRDefault="00EC5290" w:rsidP="005151A7">
            <w:pPr>
              <w:pStyle w:val="TableBodyText"/>
              <w:rPr>
                <w:sz w:val="18"/>
                <w:szCs w:val="18"/>
              </w:rPr>
            </w:pPr>
            <w:r w:rsidRPr="00ED70C3">
              <w:rPr>
                <w:sz w:val="18"/>
                <w:szCs w:val="18"/>
              </w:rPr>
              <w:noBreakHyphen/>
            </w:r>
          </w:p>
        </w:tc>
        <w:tc>
          <w:tcPr>
            <w:tcW w:w="495" w:type="pct"/>
            <w:shd w:val="clear" w:color="auto" w:fill="auto"/>
            <w:vAlign w:val="bottom"/>
          </w:tcPr>
          <w:p w:rsidR="00EC5290" w:rsidRPr="00ED70C3" w:rsidRDefault="00EC5290" w:rsidP="005151A7">
            <w:pPr>
              <w:pStyle w:val="TableBodyText"/>
              <w:rPr>
                <w:sz w:val="18"/>
                <w:szCs w:val="18"/>
              </w:rPr>
            </w:pPr>
            <w:r w:rsidRPr="00ED70C3">
              <w:rPr>
                <w:sz w:val="18"/>
                <w:szCs w:val="18"/>
              </w:rPr>
              <w:noBreakHyphen/>
            </w:r>
          </w:p>
        </w:tc>
        <w:tc>
          <w:tcPr>
            <w:tcW w:w="488" w:type="pct"/>
            <w:shd w:val="clear" w:color="auto" w:fill="auto"/>
            <w:vAlign w:val="bottom"/>
          </w:tcPr>
          <w:p w:rsidR="00EC5290" w:rsidRPr="00ED70C3" w:rsidRDefault="00EC5290" w:rsidP="005151A7">
            <w:pPr>
              <w:pStyle w:val="TableBodyText"/>
              <w:rPr>
                <w:sz w:val="18"/>
                <w:szCs w:val="18"/>
              </w:rPr>
            </w:pPr>
            <w:r w:rsidRPr="00ED70C3">
              <w:rPr>
                <w:sz w:val="18"/>
                <w:szCs w:val="18"/>
              </w:rPr>
              <w:noBreakHyphen/>
            </w:r>
          </w:p>
        </w:tc>
      </w:tr>
      <w:tr w:rsidR="00EC5290" w:rsidTr="005151A7">
        <w:trPr>
          <w:trHeight w:val="227"/>
        </w:trPr>
        <w:tc>
          <w:tcPr>
            <w:tcW w:w="1946" w:type="pct"/>
            <w:vAlign w:val="bottom"/>
          </w:tcPr>
          <w:p w:rsidR="00EC5290" w:rsidRPr="00DC145C" w:rsidRDefault="00EC5290" w:rsidP="005151A7">
            <w:pPr>
              <w:pStyle w:val="TableBodyText"/>
              <w:jc w:val="left"/>
              <w:rPr>
                <w:b/>
                <w:sz w:val="18"/>
                <w:szCs w:val="18"/>
              </w:rPr>
            </w:pPr>
            <w:r w:rsidRPr="00DC145C">
              <w:rPr>
                <w:b/>
                <w:sz w:val="18"/>
                <w:szCs w:val="18"/>
              </w:rPr>
              <w:t>Manufacturing</w:t>
            </w:r>
          </w:p>
        </w:tc>
        <w:tc>
          <w:tcPr>
            <w:tcW w:w="586" w:type="pct"/>
            <w:vAlign w:val="bottom"/>
          </w:tcPr>
          <w:p w:rsidR="00EC5290" w:rsidRPr="00ED70C3" w:rsidRDefault="00EC5290" w:rsidP="005151A7">
            <w:pPr>
              <w:pStyle w:val="TableBodyText"/>
              <w:rPr>
                <w:b/>
                <w:sz w:val="18"/>
                <w:szCs w:val="18"/>
              </w:rPr>
            </w:pPr>
            <w:r w:rsidRPr="00ED70C3">
              <w:rPr>
                <w:b/>
                <w:sz w:val="18"/>
                <w:szCs w:val="18"/>
              </w:rPr>
              <w:noBreakHyphen/>
            </w:r>
          </w:p>
        </w:tc>
        <w:tc>
          <w:tcPr>
            <w:tcW w:w="495" w:type="pct"/>
            <w:vAlign w:val="bottom"/>
          </w:tcPr>
          <w:p w:rsidR="00EC5290" w:rsidRPr="00ED70C3" w:rsidRDefault="00EC5290" w:rsidP="005151A7">
            <w:pPr>
              <w:pStyle w:val="TableBodyText"/>
              <w:rPr>
                <w:b/>
                <w:sz w:val="18"/>
                <w:szCs w:val="18"/>
              </w:rPr>
            </w:pPr>
            <w:r w:rsidRPr="00ED70C3">
              <w:rPr>
                <w:b/>
                <w:sz w:val="18"/>
                <w:szCs w:val="18"/>
              </w:rPr>
              <w:t>2.8</w:t>
            </w:r>
          </w:p>
        </w:tc>
        <w:tc>
          <w:tcPr>
            <w:tcW w:w="495" w:type="pct"/>
            <w:vAlign w:val="bottom"/>
          </w:tcPr>
          <w:p w:rsidR="00EC5290" w:rsidRPr="00ED70C3" w:rsidRDefault="00EC5290" w:rsidP="005151A7">
            <w:pPr>
              <w:pStyle w:val="TableBodyText"/>
              <w:rPr>
                <w:b/>
                <w:sz w:val="18"/>
                <w:szCs w:val="18"/>
              </w:rPr>
            </w:pPr>
            <w:r w:rsidRPr="00ED70C3">
              <w:rPr>
                <w:b/>
                <w:sz w:val="18"/>
                <w:szCs w:val="18"/>
              </w:rPr>
              <w:t>1.5</w:t>
            </w:r>
          </w:p>
        </w:tc>
        <w:tc>
          <w:tcPr>
            <w:tcW w:w="495" w:type="pct"/>
            <w:shd w:val="clear" w:color="auto" w:fill="auto"/>
            <w:vAlign w:val="bottom"/>
          </w:tcPr>
          <w:p w:rsidR="00EC5290" w:rsidRPr="00ED70C3" w:rsidRDefault="00EC5290" w:rsidP="005151A7">
            <w:pPr>
              <w:pStyle w:val="TableBodyText"/>
              <w:rPr>
                <w:b/>
                <w:sz w:val="18"/>
                <w:szCs w:val="18"/>
              </w:rPr>
            </w:pPr>
            <w:r w:rsidRPr="00ED70C3">
              <w:rPr>
                <w:b/>
                <w:sz w:val="18"/>
                <w:szCs w:val="18"/>
              </w:rPr>
              <w:noBreakHyphen/>
            </w:r>
          </w:p>
        </w:tc>
        <w:tc>
          <w:tcPr>
            <w:tcW w:w="495" w:type="pct"/>
            <w:shd w:val="clear" w:color="auto" w:fill="auto"/>
            <w:vAlign w:val="bottom"/>
          </w:tcPr>
          <w:p w:rsidR="00EC5290" w:rsidRPr="00ED70C3" w:rsidRDefault="00EC5290" w:rsidP="005151A7">
            <w:pPr>
              <w:pStyle w:val="TableBodyText"/>
              <w:rPr>
                <w:b/>
                <w:sz w:val="18"/>
                <w:szCs w:val="18"/>
              </w:rPr>
            </w:pPr>
            <w:r w:rsidRPr="00ED70C3">
              <w:rPr>
                <w:b/>
                <w:sz w:val="18"/>
                <w:szCs w:val="18"/>
              </w:rPr>
              <w:noBreakHyphen/>
            </w:r>
          </w:p>
        </w:tc>
        <w:tc>
          <w:tcPr>
            <w:tcW w:w="488" w:type="pct"/>
            <w:shd w:val="clear" w:color="auto" w:fill="auto"/>
            <w:vAlign w:val="bottom"/>
          </w:tcPr>
          <w:p w:rsidR="00EC5290" w:rsidRPr="00ED70C3" w:rsidRDefault="00EC5290" w:rsidP="005151A7">
            <w:pPr>
              <w:pStyle w:val="TableBodyText"/>
              <w:rPr>
                <w:b/>
                <w:sz w:val="18"/>
                <w:szCs w:val="18"/>
              </w:rPr>
            </w:pPr>
            <w:r w:rsidRPr="00ED70C3">
              <w:rPr>
                <w:b/>
                <w:sz w:val="18"/>
                <w:szCs w:val="18"/>
              </w:rPr>
              <w:noBreakHyphen/>
            </w:r>
          </w:p>
        </w:tc>
      </w:tr>
      <w:tr w:rsidR="00EC5290" w:rsidTr="005151A7">
        <w:trPr>
          <w:trHeight w:val="227"/>
        </w:trPr>
        <w:tc>
          <w:tcPr>
            <w:tcW w:w="1946" w:type="pct"/>
            <w:vAlign w:val="bottom"/>
          </w:tcPr>
          <w:p w:rsidR="00EC5290" w:rsidRPr="007758AB" w:rsidRDefault="00EC5290" w:rsidP="005151A7">
            <w:pPr>
              <w:pStyle w:val="TableBodyText"/>
              <w:jc w:val="left"/>
              <w:rPr>
                <w:sz w:val="18"/>
                <w:szCs w:val="18"/>
              </w:rPr>
            </w:pPr>
            <w:r w:rsidRPr="007758AB">
              <w:rPr>
                <w:sz w:val="18"/>
                <w:szCs w:val="18"/>
              </w:rPr>
              <w:t>Food, beverages and tobacco</w:t>
            </w:r>
          </w:p>
        </w:tc>
        <w:tc>
          <w:tcPr>
            <w:tcW w:w="586" w:type="pct"/>
            <w:vAlign w:val="bottom"/>
          </w:tcPr>
          <w:p w:rsidR="00EC5290" w:rsidRPr="00ED70C3" w:rsidRDefault="00EC5290" w:rsidP="005151A7">
            <w:pPr>
              <w:pStyle w:val="TableBodyText"/>
              <w:rPr>
                <w:sz w:val="18"/>
                <w:szCs w:val="18"/>
              </w:rPr>
            </w:pPr>
            <w:r w:rsidRPr="00ED70C3">
              <w:rPr>
                <w:sz w:val="18"/>
                <w:szCs w:val="18"/>
              </w:rPr>
              <w:noBreakHyphen/>
            </w:r>
          </w:p>
        </w:tc>
        <w:tc>
          <w:tcPr>
            <w:tcW w:w="495" w:type="pct"/>
            <w:vAlign w:val="bottom"/>
          </w:tcPr>
          <w:p w:rsidR="00EC5290" w:rsidRPr="00ED70C3" w:rsidRDefault="00EC5290" w:rsidP="005151A7">
            <w:pPr>
              <w:pStyle w:val="TableBodyText"/>
              <w:rPr>
                <w:sz w:val="18"/>
                <w:szCs w:val="18"/>
              </w:rPr>
            </w:pPr>
            <w:r w:rsidRPr="00ED70C3">
              <w:rPr>
                <w:sz w:val="18"/>
                <w:szCs w:val="18"/>
              </w:rPr>
              <w:t>&lt;0.1</w:t>
            </w:r>
          </w:p>
        </w:tc>
        <w:tc>
          <w:tcPr>
            <w:tcW w:w="495" w:type="pct"/>
            <w:vAlign w:val="bottom"/>
          </w:tcPr>
          <w:p w:rsidR="00EC5290" w:rsidRPr="00ED70C3" w:rsidRDefault="00EC5290" w:rsidP="005151A7">
            <w:pPr>
              <w:pStyle w:val="TableBodyText"/>
              <w:rPr>
                <w:sz w:val="18"/>
                <w:szCs w:val="18"/>
              </w:rPr>
            </w:pPr>
            <w:r w:rsidRPr="00ED70C3">
              <w:rPr>
                <w:sz w:val="18"/>
                <w:szCs w:val="18"/>
              </w:rPr>
              <w:noBreakHyphen/>
            </w:r>
          </w:p>
        </w:tc>
        <w:tc>
          <w:tcPr>
            <w:tcW w:w="495" w:type="pct"/>
            <w:shd w:val="clear" w:color="auto" w:fill="auto"/>
            <w:vAlign w:val="bottom"/>
          </w:tcPr>
          <w:p w:rsidR="00EC5290" w:rsidRPr="00ED70C3" w:rsidRDefault="00EC5290" w:rsidP="005151A7">
            <w:pPr>
              <w:pStyle w:val="TableBodyText"/>
              <w:rPr>
                <w:sz w:val="18"/>
                <w:szCs w:val="18"/>
              </w:rPr>
            </w:pPr>
            <w:r w:rsidRPr="00ED70C3">
              <w:rPr>
                <w:sz w:val="18"/>
                <w:szCs w:val="18"/>
              </w:rPr>
              <w:noBreakHyphen/>
            </w:r>
          </w:p>
        </w:tc>
        <w:tc>
          <w:tcPr>
            <w:tcW w:w="495" w:type="pct"/>
            <w:shd w:val="clear" w:color="auto" w:fill="auto"/>
            <w:vAlign w:val="bottom"/>
          </w:tcPr>
          <w:p w:rsidR="00EC5290" w:rsidRPr="00ED70C3" w:rsidRDefault="00EC5290" w:rsidP="005151A7">
            <w:pPr>
              <w:pStyle w:val="TableBodyText"/>
              <w:rPr>
                <w:sz w:val="18"/>
                <w:szCs w:val="18"/>
              </w:rPr>
            </w:pPr>
            <w:r w:rsidRPr="00ED70C3">
              <w:rPr>
                <w:sz w:val="18"/>
                <w:szCs w:val="18"/>
              </w:rPr>
              <w:noBreakHyphen/>
            </w:r>
          </w:p>
        </w:tc>
        <w:tc>
          <w:tcPr>
            <w:tcW w:w="488" w:type="pct"/>
            <w:shd w:val="clear" w:color="auto" w:fill="auto"/>
            <w:vAlign w:val="bottom"/>
          </w:tcPr>
          <w:p w:rsidR="00EC5290" w:rsidRPr="00ED70C3" w:rsidRDefault="00EC5290" w:rsidP="005151A7">
            <w:pPr>
              <w:pStyle w:val="TableBodyText"/>
              <w:rPr>
                <w:sz w:val="18"/>
                <w:szCs w:val="18"/>
              </w:rPr>
            </w:pPr>
            <w:r w:rsidRPr="00ED70C3">
              <w:rPr>
                <w:sz w:val="18"/>
                <w:szCs w:val="18"/>
              </w:rPr>
              <w:noBreakHyphen/>
            </w:r>
          </w:p>
        </w:tc>
      </w:tr>
      <w:tr w:rsidR="00EC5290" w:rsidTr="005151A7">
        <w:trPr>
          <w:trHeight w:val="227"/>
        </w:trPr>
        <w:tc>
          <w:tcPr>
            <w:tcW w:w="1946" w:type="pct"/>
            <w:vAlign w:val="bottom"/>
          </w:tcPr>
          <w:p w:rsidR="00EC5290" w:rsidRPr="007758AB" w:rsidRDefault="00EC5290" w:rsidP="005151A7">
            <w:pPr>
              <w:pStyle w:val="TableBodyText"/>
              <w:jc w:val="left"/>
              <w:rPr>
                <w:sz w:val="18"/>
                <w:szCs w:val="18"/>
              </w:rPr>
            </w:pPr>
            <w:r w:rsidRPr="007758AB">
              <w:rPr>
                <w:sz w:val="18"/>
                <w:szCs w:val="18"/>
              </w:rPr>
              <w:t>Wood and paper products</w:t>
            </w:r>
          </w:p>
        </w:tc>
        <w:tc>
          <w:tcPr>
            <w:tcW w:w="586" w:type="pct"/>
            <w:vAlign w:val="bottom"/>
          </w:tcPr>
          <w:p w:rsidR="00EC5290" w:rsidRPr="00ED70C3" w:rsidRDefault="00EC5290" w:rsidP="005151A7">
            <w:pPr>
              <w:pStyle w:val="TableBodyText"/>
              <w:rPr>
                <w:sz w:val="18"/>
                <w:szCs w:val="18"/>
              </w:rPr>
            </w:pPr>
            <w:r w:rsidRPr="00ED70C3">
              <w:rPr>
                <w:sz w:val="18"/>
                <w:szCs w:val="18"/>
              </w:rPr>
              <w:noBreakHyphen/>
            </w:r>
          </w:p>
        </w:tc>
        <w:tc>
          <w:tcPr>
            <w:tcW w:w="495" w:type="pct"/>
            <w:vAlign w:val="bottom"/>
          </w:tcPr>
          <w:p w:rsidR="00EC5290" w:rsidRPr="00ED70C3" w:rsidRDefault="00EC5290" w:rsidP="005151A7">
            <w:pPr>
              <w:pStyle w:val="TableBodyText"/>
              <w:rPr>
                <w:sz w:val="18"/>
                <w:szCs w:val="18"/>
              </w:rPr>
            </w:pPr>
            <w:r w:rsidRPr="00ED70C3">
              <w:rPr>
                <w:sz w:val="18"/>
                <w:szCs w:val="18"/>
              </w:rPr>
              <w:t>2.4</w:t>
            </w:r>
          </w:p>
        </w:tc>
        <w:tc>
          <w:tcPr>
            <w:tcW w:w="495" w:type="pct"/>
            <w:vAlign w:val="bottom"/>
          </w:tcPr>
          <w:p w:rsidR="00EC5290" w:rsidRPr="00ED70C3" w:rsidRDefault="00EC5290" w:rsidP="005151A7">
            <w:pPr>
              <w:pStyle w:val="TableBodyText"/>
              <w:rPr>
                <w:sz w:val="18"/>
                <w:szCs w:val="18"/>
              </w:rPr>
            </w:pPr>
            <w:r w:rsidRPr="00ED70C3">
              <w:rPr>
                <w:sz w:val="18"/>
                <w:szCs w:val="18"/>
              </w:rPr>
              <w:t>1.1</w:t>
            </w:r>
          </w:p>
        </w:tc>
        <w:tc>
          <w:tcPr>
            <w:tcW w:w="495" w:type="pct"/>
            <w:shd w:val="clear" w:color="auto" w:fill="auto"/>
            <w:vAlign w:val="bottom"/>
          </w:tcPr>
          <w:p w:rsidR="00EC5290" w:rsidRPr="00ED70C3" w:rsidRDefault="00EC5290" w:rsidP="005151A7">
            <w:pPr>
              <w:pStyle w:val="TableBodyText"/>
              <w:rPr>
                <w:sz w:val="18"/>
                <w:szCs w:val="18"/>
              </w:rPr>
            </w:pPr>
            <w:r w:rsidRPr="00ED70C3">
              <w:rPr>
                <w:sz w:val="18"/>
                <w:szCs w:val="18"/>
              </w:rPr>
              <w:noBreakHyphen/>
            </w:r>
          </w:p>
        </w:tc>
        <w:tc>
          <w:tcPr>
            <w:tcW w:w="495" w:type="pct"/>
            <w:shd w:val="clear" w:color="auto" w:fill="auto"/>
            <w:vAlign w:val="bottom"/>
          </w:tcPr>
          <w:p w:rsidR="00EC5290" w:rsidRPr="00ED70C3" w:rsidRDefault="00EC5290" w:rsidP="005151A7">
            <w:pPr>
              <w:pStyle w:val="TableBodyText"/>
              <w:rPr>
                <w:sz w:val="18"/>
                <w:szCs w:val="18"/>
              </w:rPr>
            </w:pPr>
            <w:r w:rsidRPr="00ED70C3">
              <w:rPr>
                <w:sz w:val="18"/>
                <w:szCs w:val="18"/>
              </w:rPr>
              <w:noBreakHyphen/>
            </w:r>
          </w:p>
        </w:tc>
        <w:tc>
          <w:tcPr>
            <w:tcW w:w="488" w:type="pct"/>
            <w:shd w:val="clear" w:color="auto" w:fill="auto"/>
            <w:vAlign w:val="bottom"/>
          </w:tcPr>
          <w:p w:rsidR="00EC5290" w:rsidRPr="00ED70C3" w:rsidRDefault="00EC5290" w:rsidP="005151A7">
            <w:pPr>
              <w:pStyle w:val="TableBodyText"/>
              <w:rPr>
                <w:sz w:val="18"/>
                <w:szCs w:val="18"/>
              </w:rPr>
            </w:pPr>
            <w:r w:rsidRPr="00ED70C3">
              <w:rPr>
                <w:sz w:val="18"/>
                <w:szCs w:val="18"/>
              </w:rPr>
              <w:noBreakHyphen/>
            </w:r>
          </w:p>
        </w:tc>
      </w:tr>
      <w:tr w:rsidR="00EC5290" w:rsidTr="005151A7">
        <w:trPr>
          <w:trHeight w:val="227"/>
        </w:trPr>
        <w:tc>
          <w:tcPr>
            <w:tcW w:w="1946" w:type="pct"/>
            <w:vAlign w:val="bottom"/>
          </w:tcPr>
          <w:p w:rsidR="00EC5290" w:rsidRPr="007758AB" w:rsidRDefault="00EC5290" w:rsidP="005151A7">
            <w:pPr>
              <w:pStyle w:val="TableBodyText"/>
              <w:jc w:val="left"/>
              <w:rPr>
                <w:sz w:val="18"/>
                <w:szCs w:val="18"/>
              </w:rPr>
            </w:pPr>
            <w:r>
              <w:rPr>
                <w:sz w:val="18"/>
                <w:szCs w:val="18"/>
              </w:rPr>
              <w:t>Printing and recorded media</w:t>
            </w:r>
          </w:p>
        </w:tc>
        <w:tc>
          <w:tcPr>
            <w:tcW w:w="586" w:type="pct"/>
            <w:vAlign w:val="bottom"/>
          </w:tcPr>
          <w:p w:rsidR="00EC5290" w:rsidRPr="00ED70C3" w:rsidRDefault="00EC5290" w:rsidP="005151A7">
            <w:pPr>
              <w:pStyle w:val="TableBodyText"/>
              <w:rPr>
                <w:sz w:val="18"/>
                <w:szCs w:val="18"/>
              </w:rPr>
            </w:pPr>
            <w:r w:rsidRPr="00ED70C3">
              <w:rPr>
                <w:sz w:val="18"/>
                <w:szCs w:val="18"/>
              </w:rPr>
              <w:noBreakHyphen/>
            </w:r>
          </w:p>
        </w:tc>
        <w:tc>
          <w:tcPr>
            <w:tcW w:w="495" w:type="pct"/>
            <w:vAlign w:val="bottom"/>
          </w:tcPr>
          <w:p w:rsidR="00EC5290" w:rsidRPr="00ED70C3" w:rsidRDefault="00EC5290" w:rsidP="005151A7">
            <w:pPr>
              <w:pStyle w:val="TableBodyText"/>
              <w:rPr>
                <w:sz w:val="18"/>
                <w:szCs w:val="18"/>
              </w:rPr>
            </w:pPr>
            <w:r w:rsidRPr="00ED70C3">
              <w:rPr>
                <w:sz w:val="18"/>
                <w:szCs w:val="18"/>
              </w:rPr>
              <w:t>0.3</w:t>
            </w:r>
          </w:p>
        </w:tc>
        <w:tc>
          <w:tcPr>
            <w:tcW w:w="495" w:type="pct"/>
            <w:vAlign w:val="bottom"/>
          </w:tcPr>
          <w:p w:rsidR="00EC5290" w:rsidRPr="00ED70C3" w:rsidRDefault="00EC5290" w:rsidP="005151A7">
            <w:pPr>
              <w:pStyle w:val="TableBodyText"/>
              <w:rPr>
                <w:sz w:val="18"/>
                <w:szCs w:val="18"/>
              </w:rPr>
            </w:pPr>
            <w:r w:rsidRPr="00ED70C3">
              <w:rPr>
                <w:sz w:val="18"/>
                <w:szCs w:val="18"/>
              </w:rPr>
              <w:noBreakHyphen/>
            </w:r>
          </w:p>
        </w:tc>
        <w:tc>
          <w:tcPr>
            <w:tcW w:w="495" w:type="pct"/>
            <w:shd w:val="clear" w:color="auto" w:fill="auto"/>
            <w:vAlign w:val="bottom"/>
          </w:tcPr>
          <w:p w:rsidR="00EC5290" w:rsidRPr="00ED70C3" w:rsidRDefault="00EC5290" w:rsidP="005151A7">
            <w:pPr>
              <w:pStyle w:val="TableBodyText"/>
              <w:rPr>
                <w:sz w:val="18"/>
                <w:szCs w:val="18"/>
              </w:rPr>
            </w:pPr>
            <w:r w:rsidRPr="00ED70C3">
              <w:rPr>
                <w:sz w:val="18"/>
                <w:szCs w:val="18"/>
              </w:rPr>
              <w:noBreakHyphen/>
            </w:r>
          </w:p>
        </w:tc>
        <w:tc>
          <w:tcPr>
            <w:tcW w:w="495" w:type="pct"/>
            <w:shd w:val="clear" w:color="auto" w:fill="auto"/>
            <w:vAlign w:val="bottom"/>
          </w:tcPr>
          <w:p w:rsidR="00EC5290" w:rsidRPr="00ED70C3" w:rsidRDefault="00EC5290" w:rsidP="005151A7">
            <w:pPr>
              <w:pStyle w:val="TableBodyText"/>
              <w:rPr>
                <w:sz w:val="18"/>
                <w:szCs w:val="18"/>
              </w:rPr>
            </w:pPr>
            <w:r w:rsidRPr="00ED70C3">
              <w:rPr>
                <w:sz w:val="18"/>
                <w:szCs w:val="18"/>
              </w:rPr>
              <w:noBreakHyphen/>
            </w:r>
          </w:p>
        </w:tc>
        <w:tc>
          <w:tcPr>
            <w:tcW w:w="488" w:type="pct"/>
            <w:shd w:val="clear" w:color="auto" w:fill="auto"/>
            <w:vAlign w:val="bottom"/>
          </w:tcPr>
          <w:p w:rsidR="00EC5290" w:rsidRPr="00ED70C3" w:rsidRDefault="00EC5290" w:rsidP="005151A7">
            <w:pPr>
              <w:pStyle w:val="TableBodyText"/>
              <w:rPr>
                <w:sz w:val="18"/>
                <w:szCs w:val="18"/>
              </w:rPr>
            </w:pPr>
            <w:r w:rsidRPr="00ED70C3">
              <w:rPr>
                <w:sz w:val="18"/>
                <w:szCs w:val="18"/>
              </w:rPr>
              <w:noBreakHyphen/>
            </w:r>
          </w:p>
        </w:tc>
      </w:tr>
      <w:tr w:rsidR="00EC5290" w:rsidTr="005151A7">
        <w:trPr>
          <w:trHeight w:val="227"/>
        </w:trPr>
        <w:tc>
          <w:tcPr>
            <w:tcW w:w="1946" w:type="pct"/>
            <w:vAlign w:val="bottom"/>
          </w:tcPr>
          <w:p w:rsidR="00EC5290" w:rsidRPr="007758AB" w:rsidRDefault="00EC5290" w:rsidP="005151A7">
            <w:pPr>
              <w:pStyle w:val="TableBodyText"/>
              <w:jc w:val="left"/>
              <w:rPr>
                <w:sz w:val="18"/>
                <w:szCs w:val="18"/>
              </w:rPr>
            </w:pPr>
            <w:r w:rsidRPr="007758AB">
              <w:rPr>
                <w:sz w:val="18"/>
                <w:szCs w:val="18"/>
              </w:rPr>
              <w:t>Petroleum, coal, chemical and rubber products</w:t>
            </w:r>
          </w:p>
        </w:tc>
        <w:tc>
          <w:tcPr>
            <w:tcW w:w="586" w:type="pct"/>
            <w:vAlign w:val="bottom"/>
          </w:tcPr>
          <w:p w:rsidR="00EC5290" w:rsidRPr="00ED70C3" w:rsidRDefault="00EC5290" w:rsidP="005151A7">
            <w:pPr>
              <w:pStyle w:val="TableBodyText"/>
              <w:rPr>
                <w:sz w:val="18"/>
                <w:szCs w:val="18"/>
              </w:rPr>
            </w:pPr>
            <w:r w:rsidRPr="00ED70C3">
              <w:rPr>
                <w:sz w:val="18"/>
                <w:szCs w:val="18"/>
              </w:rPr>
              <w:noBreakHyphen/>
            </w:r>
          </w:p>
        </w:tc>
        <w:tc>
          <w:tcPr>
            <w:tcW w:w="495" w:type="pct"/>
            <w:vAlign w:val="bottom"/>
          </w:tcPr>
          <w:p w:rsidR="00EC5290" w:rsidRPr="00ED70C3" w:rsidRDefault="00EC5290" w:rsidP="005151A7">
            <w:pPr>
              <w:pStyle w:val="TableBodyText"/>
              <w:rPr>
                <w:sz w:val="18"/>
                <w:szCs w:val="18"/>
              </w:rPr>
            </w:pPr>
            <w:r w:rsidRPr="00ED70C3">
              <w:rPr>
                <w:sz w:val="18"/>
                <w:szCs w:val="18"/>
              </w:rPr>
              <w:noBreakHyphen/>
            </w:r>
          </w:p>
        </w:tc>
        <w:tc>
          <w:tcPr>
            <w:tcW w:w="495" w:type="pct"/>
            <w:vAlign w:val="bottom"/>
          </w:tcPr>
          <w:p w:rsidR="00EC5290" w:rsidRPr="00ED70C3" w:rsidRDefault="00EC5290" w:rsidP="005151A7">
            <w:pPr>
              <w:pStyle w:val="TableBodyText"/>
              <w:rPr>
                <w:sz w:val="18"/>
                <w:szCs w:val="18"/>
              </w:rPr>
            </w:pPr>
            <w:r w:rsidRPr="00ED70C3">
              <w:rPr>
                <w:sz w:val="18"/>
                <w:szCs w:val="18"/>
              </w:rPr>
              <w:t>0.1</w:t>
            </w:r>
          </w:p>
        </w:tc>
        <w:tc>
          <w:tcPr>
            <w:tcW w:w="495" w:type="pct"/>
            <w:shd w:val="clear" w:color="auto" w:fill="auto"/>
            <w:vAlign w:val="bottom"/>
          </w:tcPr>
          <w:p w:rsidR="00EC5290" w:rsidRPr="00ED70C3" w:rsidRDefault="00EC5290" w:rsidP="005151A7">
            <w:pPr>
              <w:pStyle w:val="TableBodyText"/>
              <w:rPr>
                <w:sz w:val="18"/>
                <w:szCs w:val="18"/>
              </w:rPr>
            </w:pPr>
            <w:r w:rsidRPr="00ED70C3">
              <w:rPr>
                <w:sz w:val="18"/>
                <w:szCs w:val="18"/>
              </w:rPr>
              <w:noBreakHyphen/>
            </w:r>
          </w:p>
        </w:tc>
        <w:tc>
          <w:tcPr>
            <w:tcW w:w="495" w:type="pct"/>
            <w:shd w:val="clear" w:color="auto" w:fill="auto"/>
            <w:vAlign w:val="bottom"/>
          </w:tcPr>
          <w:p w:rsidR="00EC5290" w:rsidRPr="00ED70C3" w:rsidRDefault="00EC5290" w:rsidP="005151A7">
            <w:pPr>
              <w:pStyle w:val="TableBodyText"/>
              <w:rPr>
                <w:sz w:val="18"/>
                <w:szCs w:val="18"/>
              </w:rPr>
            </w:pPr>
            <w:r w:rsidRPr="00ED70C3">
              <w:rPr>
                <w:sz w:val="18"/>
                <w:szCs w:val="18"/>
              </w:rPr>
              <w:noBreakHyphen/>
            </w:r>
          </w:p>
        </w:tc>
        <w:tc>
          <w:tcPr>
            <w:tcW w:w="488" w:type="pct"/>
            <w:shd w:val="clear" w:color="auto" w:fill="auto"/>
            <w:vAlign w:val="bottom"/>
          </w:tcPr>
          <w:p w:rsidR="00EC5290" w:rsidRPr="00ED70C3" w:rsidRDefault="00EC5290" w:rsidP="005151A7">
            <w:pPr>
              <w:pStyle w:val="TableBodyText"/>
              <w:rPr>
                <w:sz w:val="18"/>
                <w:szCs w:val="18"/>
              </w:rPr>
            </w:pPr>
            <w:r w:rsidRPr="00ED70C3">
              <w:rPr>
                <w:sz w:val="18"/>
                <w:szCs w:val="18"/>
              </w:rPr>
              <w:noBreakHyphen/>
            </w:r>
          </w:p>
        </w:tc>
      </w:tr>
      <w:tr w:rsidR="00EC5290" w:rsidTr="005151A7">
        <w:trPr>
          <w:trHeight w:val="227"/>
        </w:trPr>
        <w:tc>
          <w:tcPr>
            <w:tcW w:w="1946" w:type="pct"/>
            <w:vAlign w:val="bottom"/>
          </w:tcPr>
          <w:p w:rsidR="00EC5290" w:rsidRPr="007758AB" w:rsidRDefault="00EC5290" w:rsidP="005151A7">
            <w:pPr>
              <w:pStyle w:val="TableBodyText"/>
              <w:jc w:val="left"/>
              <w:rPr>
                <w:sz w:val="18"/>
                <w:szCs w:val="18"/>
              </w:rPr>
            </w:pPr>
            <w:r w:rsidRPr="007758AB">
              <w:rPr>
                <w:sz w:val="18"/>
                <w:szCs w:val="18"/>
              </w:rPr>
              <w:t>Other transport equipment</w:t>
            </w:r>
          </w:p>
        </w:tc>
        <w:tc>
          <w:tcPr>
            <w:tcW w:w="586" w:type="pct"/>
            <w:vAlign w:val="bottom"/>
          </w:tcPr>
          <w:p w:rsidR="00EC5290" w:rsidRPr="00ED70C3" w:rsidRDefault="00EC5290" w:rsidP="005151A7">
            <w:pPr>
              <w:pStyle w:val="TableBodyText"/>
              <w:rPr>
                <w:sz w:val="18"/>
                <w:szCs w:val="18"/>
              </w:rPr>
            </w:pPr>
            <w:r w:rsidRPr="00ED70C3">
              <w:rPr>
                <w:sz w:val="18"/>
                <w:szCs w:val="18"/>
              </w:rPr>
              <w:noBreakHyphen/>
            </w:r>
          </w:p>
        </w:tc>
        <w:tc>
          <w:tcPr>
            <w:tcW w:w="495" w:type="pct"/>
            <w:vAlign w:val="bottom"/>
          </w:tcPr>
          <w:p w:rsidR="00EC5290" w:rsidRPr="00ED70C3" w:rsidRDefault="00EC5290" w:rsidP="005151A7">
            <w:pPr>
              <w:pStyle w:val="TableBodyText"/>
              <w:rPr>
                <w:sz w:val="18"/>
                <w:szCs w:val="18"/>
              </w:rPr>
            </w:pPr>
            <w:r w:rsidRPr="00ED70C3">
              <w:rPr>
                <w:sz w:val="18"/>
                <w:szCs w:val="18"/>
              </w:rPr>
              <w:noBreakHyphen/>
            </w:r>
          </w:p>
        </w:tc>
        <w:tc>
          <w:tcPr>
            <w:tcW w:w="495" w:type="pct"/>
            <w:vAlign w:val="bottom"/>
          </w:tcPr>
          <w:p w:rsidR="00EC5290" w:rsidRPr="00ED70C3" w:rsidRDefault="00EC5290" w:rsidP="005151A7">
            <w:pPr>
              <w:pStyle w:val="TableBodyText"/>
              <w:rPr>
                <w:sz w:val="18"/>
                <w:szCs w:val="18"/>
              </w:rPr>
            </w:pPr>
            <w:r w:rsidRPr="00ED70C3">
              <w:rPr>
                <w:sz w:val="18"/>
                <w:szCs w:val="18"/>
              </w:rPr>
              <w:t>0.2</w:t>
            </w:r>
          </w:p>
        </w:tc>
        <w:tc>
          <w:tcPr>
            <w:tcW w:w="495" w:type="pct"/>
            <w:shd w:val="clear" w:color="auto" w:fill="auto"/>
            <w:vAlign w:val="bottom"/>
          </w:tcPr>
          <w:p w:rsidR="00EC5290" w:rsidRPr="00ED70C3" w:rsidRDefault="00EC5290" w:rsidP="005151A7">
            <w:pPr>
              <w:pStyle w:val="TableBodyText"/>
              <w:rPr>
                <w:sz w:val="18"/>
                <w:szCs w:val="18"/>
              </w:rPr>
            </w:pPr>
            <w:r w:rsidRPr="00ED70C3">
              <w:rPr>
                <w:sz w:val="18"/>
                <w:szCs w:val="18"/>
              </w:rPr>
              <w:noBreakHyphen/>
            </w:r>
          </w:p>
        </w:tc>
        <w:tc>
          <w:tcPr>
            <w:tcW w:w="495" w:type="pct"/>
            <w:shd w:val="clear" w:color="auto" w:fill="auto"/>
            <w:vAlign w:val="bottom"/>
          </w:tcPr>
          <w:p w:rsidR="00EC5290" w:rsidRPr="00ED70C3" w:rsidRDefault="00EC5290" w:rsidP="005151A7">
            <w:pPr>
              <w:pStyle w:val="TableBodyText"/>
              <w:rPr>
                <w:sz w:val="18"/>
                <w:szCs w:val="18"/>
              </w:rPr>
            </w:pPr>
            <w:r w:rsidRPr="00ED70C3">
              <w:rPr>
                <w:sz w:val="18"/>
                <w:szCs w:val="18"/>
              </w:rPr>
              <w:noBreakHyphen/>
            </w:r>
          </w:p>
        </w:tc>
        <w:tc>
          <w:tcPr>
            <w:tcW w:w="488" w:type="pct"/>
            <w:shd w:val="clear" w:color="auto" w:fill="auto"/>
            <w:vAlign w:val="bottom"/>
          </w:tcPr>
          <w:p w:rsidR="00EC5290" w:rsidRPr="00ED70C3" w:rsidRDefault="00EC5290" w:rsidP="005151A7">
            <w:pPr>
              <w:pStyle w:val="TableBodyText"/>
              <w:rPr>
                <w:sz w:val="18"/>
                <w:szCs w:val="18"/>
              </w:rPr>
            </w:pPr>
            <w:r w:rsidRPr="00ED70C3">
              <w:rPr>
                <w:sz w:val="18"/>
                <w:szCs w:val="18"/>
              </w:rPr>
              <w:noBreakHyphen/>
            </w:r>
          </w:p>
        </w:tc>
      </w:tr>
      <w:tr w:rsidR="00EC5290" w:rsidTr="005151A7">
        <w:trPr>
          <w:trHeight w:val="227"/>
        </w:trPr>
        <w:tc>
          <w:tcPr>
            <w:tcW w:w="1946" w:type="pct"/>
            <w:vAlign w:val="bottom"/>
          </w:tcPr>
          <w:p w:rsidR="00EC5290" w:rsidRPr="007758AB" w:rsidRDefault="00EC5290" w:rsidP="005151A7">
            <w:pPr>
              <w:pStyle w:val="TableBodyText"/>
              <w:jc w:val="left"/>
              <w:rPr>
                <w:sz w:val="18"/>
                <w:szCs w:val="18"/>
              </w:rPr>
            </w:pPr>
            <w:r w:rsidRPr="007758AB">
              <w:rPr>
                <w:sz w:val="18"/>
                <w:szCs w:val="18"/>
              </w:rPr>
              <w:t>Machinery and equipment manufacturing</w:t>
            </w:r>
          </w:p>
        </w:tc>
        <w:tc>
          <w:tcPr>
            <w:tcW w:w="586" w:type="pct"/>
            <w:vAlign w:val="bottom"/>
          </w:tcPr>
          <w:p w:rsidR="00EC5290" w:rsidRPr="00ED70C3" w:rsidRDefault="00EC5290" w:rsidP="005151A7">
            <w:pPr>
              <w:pStyle w:val="TableBodyText"/>
              <w:rPr>
                <w:sz w:val="18"/>
                <w:szCs w:val="18"/>
              </w:rPr>
            </w:pPr>
            <w:r w:rsidRPr="00ED70C3">
              <w:rPr>
                <w:sz w:val="18"/>
                <w:szCs w:val="18"/>
              </w:rPr>
              <w:noBreakHyphen/>
            </w:r>
          </w:p>
        </w:tc>
        <w:tc>
          <w:tcPr>
            <w:tcW w:w="495" w:type="pct"/>
            <w:vAlign w:val="bottom"/>
          </w:tcPr>
          <w:p w:rsidR="00EC5290" w:rsidRPr="00ED70C3" w:rsidRDefault="00EC5290" w:rsidP="005151A7">
            <w:pPr>
              <w:pStyle w:val="TableBodyText"/>
              <w:rPr>
                <w:sz w:val="18"/>
                <w:szCs w:val="18"/>
              </w:rPr>
            </w:pPr>
            <w:r w:rsidRPr="00ED70C3">
              <w:rPr>
                <w:sz w:val="18"/>
                <w:szCs w:val="18"/>
              </w:rPr>
              <w:t>&lt;0.1</w:t>
            </w:r>
          </w:p>
        </w:tc>
        <w:tc>
          <w:tcPr>
            <w:tcW w:w="495" w:type="pct"/>
            <w:vAlign w:val="bottom"/>
          </w:tcPr>
          <w:p w:rsidR="00EC5290" w:rsidRPr="00ED70C3" w:rsidRDefault="00EC5290" w:rsidP="005151A7">
            <w:pPr>
              <w:pStyle w:val="TableBodyText"/>
              <w:rPr>
                <w:sz w:val="18"/>
                <w:szCs w:val="18"/>
              </w:rPr>
            </w:pPr>
            <w:r w:rsidRPr="00ED70C3">
              <w:rPr>
                <w:sz w:val="18"/>
                <w:szCs w:val="18"/>
              </w:rPr>
              <w:noBreakHyphen/>
            </w:r>
          </w:p>
        </w:tc>
        <w:tc>
          <w:tcPr>
            <w:tcW w:w="495" w:type="pct"/>
            <w:shd w:val="clear" w:color="auto" w:fill="auto"/>
            <w:vAlign w:val="bottom"/>
          </w:tcPr>
          <w:p w:rsidR="00EC5290" w:rsidRPr="00ED70C3" w:rsidRDefault="00EC5290" w:rsidP="005151A7">
            <w:pPr>
              <w:pStyle w:val="TableBodyText"/>
              <w:rPr>
                <w:sz w:val="18"/>
                <w:szCs w:val="18"/>
              </w:rPr>
            </w:pPr>
            <w:r w:rsidRPr="00ED70C3">
              <w:rPr>
                <w:sz w:val="18"/>
                <w:szCs w:val="18"/>
              </w:rPr>
              <w:noBreakHyphen/>
            </w:r>
          </w:p>
        </w:tc>
        <w:tc>
          <w:tcPr>
            <w:tcW w:w="495" w:type="pct"/>
            <w:shd w:val="clear" w:color="auto" w:fill="auto"/>
            <w:vAlign w:val="bottom"/>
          </w:tcPr>
          <w:p w:rsidR="00EC5290" w:rsidRPr="00ED70C3" w:rsidRDefault="00EC5290" w:rsidP="005151A7">
            <w:pPr>
              <w:pStyle w:val="TableBodyText"/>
              <w:rPr>
                <w:sz w:val="18"/>
                <w:szCs w:val="18"/>
              </w:rPr>
            </w:pPr>
            <w:r w:rsidRPr="00ED70C3">
              <w:rPr>
                <w:sz w:val="18"/>
                <w:szCs w:val="18"/>
              </w:rPr>
              <w:noBreakHyphen/>
            </w:r>
          </w:p>
        </w:tc>
        <w:tc>
          <w:tcPr>
            <w:tcW w:w="488" w:type="pct"/>
            <w:shd w:val="clear" w:color="auto" w:fill="auto"/>
            <w:vAlign w:val="bottom"/>
          </w:tcPr>
          <w:p w:rsidR="00EC5290" w:rsidRPr="00ED70C3" w:rsidRDefault="00EC5290" w:rsidP="005151A7">
            <w:pPr>
              <w:pStyle w:val="TableBodyText"/>
              <w:rPr>
                <w:sz w:val="18"/>
                <w:szCs w:val="18"/>
              </w:rPr>
            </w:pPr>
            <w:r w:rsidRPr="00ED70C3">
              <w:rPr>
                <w:sz w:val="18"/>
                <w:szCs w:val="18"/>
              </w:rPr>
              <w:noBreakHyphen/>
            </w:r>
          </w:p>
        </w:tc>
      </w:tr>
      <w:tr w:rsidR="00EC5290" w:rsidTr="005151A7">
        <w:trPr>
          <w:trHeight w:val="227"/>
        </w:trPr>
        <w:tc>
          <w:tcPr>
            <w:tcW w:w="1946" w:type="pct"/>
            <w:vAlign w:val="bottom"/>
          </w:tcPr>
          <w:p w:rsidR="00EC5290" w:rsidRPr="00DC145C" w:rsidRDefault="00EC5290" w:rsidP="005151A7">
            <w:pPr>
              <w:pStyle w:val="TableBodyText"/>
              <w:jc w:val="left"/>
              <w:rPr>
                <w:b/>
                <w:sz w:val="18"/>
                <w:szCs w:val="18"/>
              </w:rPr>
            </w:pPr>
            <w:r w:rsidRPr="00DC145C">
              <w:rPr>
                <w:b/>
                <w:sz w:val="18"/>
                <w:szCs w:val="18"/>
              </w:rPr>
              <w:t>Services</w:t>
            </w:r>
          </w:p>
        </w:tc>
        <w:tc>
          <w:tcPr>
            <w:tcW w:w="586" w:type="pct"/>
            <w:vAlign w:val="bottom"/>
          </w:tcPr>
          <w:p w:rsidR="00EC5290" w:rsidRPr="00ED70C3" w:rsidRDefault="00EC5290" w:rsidP="005151A7">
            <w:pPr>
              <w:pStyle w:val="TableBodyText"/>
              <w:rPr>
                <w:b/>
                <w:sz w:val="18"/>
                <w:szCs w:val="18"/>
              </w:rPr>
            </w:pPr>
            <w:r w:rsidRPr="00ED70C3">
              <w:rPr>
                <w:b/>
                <w:sz w:val="18"/>
                <w:szCs w:val="18"/>
              </w:rPr>
              <w:noBreakHyphen/>
            </w:r>
          </w:p>
        </w:tc>
        <w:tc>
          <w:tcPr>
            <w:tcW w:w="495" w:type="pct"/>
            <w:vAlign w:val="bottom"/>
          </w:tcPr>
          <w:p w:rsidR="00EC5290" w:rsidRPr="00ED70C3" w:rsidRDefault="00EC5290" w:rsidP="005151A7">
            <w:pPr>
              <w:pStyle w:val="TableBodyText"/>
              <w:rPr>
                <w:b/>
                <w:sz w:val="18"/>
                <w:szCs w:val="18"/>
              </w:rPr>
            </w:pPr>
            <w:r w:rsidRPr="00ED70C3">
              <w:rPr>
                <w:b/>
                <w:sz w:val="18"/>
                <w:szCs w:val="18"/>
              </w:rPr>
              <w:t>0.1</w:t>
            </w:r>
          </w:p>
        </w:tc>
        <w:tc>
          <w:tcPr>
            <w:tcW w:w="495" w:type="pct"/>
            <w:vAlign w:val="bottom"/>
          </w:tcPr>
          <w:p w:rsidR="00EC5290" w:rsidRPr="00ED70C3" w:rsidRDefault="00EC5290" w:rsidP="005151A7">
            <w:pPr>
              <w:pStyle w:val="TableBodyText"/>
              <w:rPr>
                <w:b/>
                <w:sz w:val="18"/>
                <w:szCs w:val="18"/>
              </w:rPr>
            </w:pPr>
            <w:r w:rsidRPr="00ED70C3">
              <w:rPr>
                <w:b/>
                <w:sz w:val="18"/>
                <w:szCs w:val="18"/>
              </w:rPr>
              <w:noBreakHyphen/>
            </w:r>
          </w:p>
        </w:tc>
        <w:tc>
          <w:tcPr>
            <w:tcW w:w="495" w:type="pct"/>
            <w:shd w:val="clear" w:color="auto" w:fill="auto"/>
            <w:vAlign w:val="bottom"/>
          </w:tcPr>
          <w:p w:rsidR="00EC5290" w:rsidRPr="00ED70C3" w:rsidRDefault="00EC5290" w:rsidP="005151A7">
            <w:pPr>
              <w:pStyle w:val="TableBodyText"/>
              <w:rPr>
                <w:b/>
                <w:sz w:val="18"/>
                <w:szCs w:val="18"/>
              </w:rPr>
            </w:pPr>
            <w:r w:rsidRPr="00ED70C3">
              <w:rPr>
                <w:b/>
                <w:sz w:val="18"/>
                <w:szCs w:val="18"/>
              </w:rPr>
              <w:noBreakHyphen/>
            </w:r>
          </w:p>
        </w:tc>
        <w:tc>
          <w:tcPr>
            <w:tcW w:w="495" w:type="pct"/>
            <w:shd w:val="clear" w:color="auto" w:fill="auto"/>
            <w:vAlign w:val="bottom"/>
          </w:tcPr>
          <w:p w:rsidR="00EC5290" w:rsidRPr="00ED70C3" w:rsidRDefault="00EC5290" w:rsidP="005151A7">
            <w:pPr>
              <w:pStyle w:val="TableBodyText"/>
              <w:rPr>
                <w:b/>
                <w:sz w:val="18"/>
                <w:szCs w:val="18"/>
              </w:rPr>
            </w:pPr>
            <w:r w:rsidRPr="00ED70C3">
              <w:rPr>
                <w:b/>
                <w:sz w:val="18"/>
                <w:szCs w:val="18"/>
              </w:rPr>
              <w:noBreakHyphen/>
            </w:r>
          </w:p>
        </w:tc>
        <w:tc>
          <w:tcPr>
            <w:tcW w:w="488" w:type="pct"/>
            <w:shd w:val="clear" w:color="auto" w:fill="auto"/>
            <w:vAlign w:val="bottom"/>
          </w:tcPr>
          <w:p w:rsidR="00EC5290" w:rsidRPr="00ED70C3" w:rsidRDefault="00EC5290" w:rsidP="005151A7">
            <w:pPr>
              <w:pStyle w:val="TableBodyText"/>
              <w:rPr>
                <w:b/>
                <w:sz w:val="18"/>
                <w:szCs w:val="18"/>
              </w:rPr>
            </w:pPr>
            <w:r w:rsidRPr="00ED70C3">
              <w:rPr>
                <w:b/>
                <w:sz w:val="18"/>
                <w:szCs w:val="18"/>
              </w:rPr>
              <w:noBreakHyphen/>
            </w:r>
          </w:p>
        </w:tc>
      </w:tr>
      <w:tr w:rsidR="00EC5290" w:rsidTr="005151A7">
        <w:trPr>
          <w:trHeight w:val="227"/>
        </w:trPr>
        <w:tc>
          <w:tcPr>
            <w:tcW w:w="1946" w:type="pct"/>
            <w:vAlign w:val="bottom"/>
          </w:tcPr>
          <w:p w:rsidR="00EC5290" w:rsidRPr="007758AB" w:rsidRDefault="00EC5290" w:rsidP="005151A7">
            <w:pPr>
              <w:pStyle w:val="TableBodyText"/>
              <w:jc w:val="left"/>
              <w:rPr>
                <w:sz w:val="18"/>
                <w:szCs w:val="18"/>
              </w:rPr>
            </w:pPr>
            <w:r w:rsidRPr="007758AB">
              <w:rPr>
                <w:sz w:val="18"/>
                <w:szCs w:val="18"/>
              </w:rPr>
              <w:t>Construction</w:t>
            </w:r>
          </w:p>
        </w:tc>
        <w:tc>
          <w:tcPr>
            <w:tcW w:w="586" w:type="pct"/>
            <w:vAlign w:val="bottom"/>
          </w:tcPr>
          <w:p w:rsidR="00EC5290" w:rsidRPr="00ED70C3" w:rsidRDefault="00EC5290" w:rsidP="005151A7">
            <w:pPr>
              <w:pStyle w:val="TableBodyText"/>
              <w:rPr>
                <w:sz w:val="18"/>
                <w:szCs w:val="18"/>
              </w:rPr>
            </w:pPr>
            <w:r w:rsidRPr="00ED70C3">
              <w:rPr>
                <w:sz w:val="18"/>
                <w:szCs w:val="18"/>
              </w:rPr>
              <w:noBreakHyphen/>
            </w:r>
          </w:p>
        </w:tc>
        <w:tc>
          <w:tcPr>
            <w:tcW w:w="495" w:type="pct"/>
            <w:vAlign w:val="bottom"/>
          </w:tcPr>
          <w:p w:rsidR="00EC5290" w:rsidRPr="00ED70C3" w:rsidRDefault="00EC5290" w:rsidP="005151A7">
            <w:pPr>
              <w:pStyle w:val="TableBodyText"/>
              <w:rPr>
                <w:sz w:val="18"/>
                <w:szCs w:val="18"/>
              </w:rPr>
            </w:pPr>
            <w:r w:rsidRPr="00ED70C3">
              <w:rPr>
                <w:sz w:val="18"/>
                <w:szCs w:val="18"/>
              </w:rPr>
              <w:t>0.1</w:t>
            </w:r>
          </w:p>
        </w:tc>
        <w:tc>
          <w:tcPr>
            <w:tcW w:w="495" w:type="pct"/>
            <w:vAlign w:val="bottom"/>
          </w:tcPr>
          <w:p w:rsidR="00EC5290" w:rsidRPr="00ED70C3" w:rsidRDefault="00EC5290" w:rsidP="005151A7">
            <w:pPr>
              <w:pStyle w:val="TableBodyText"/>
              <w:rPr>
                <w:sz w:val="18"/>
                <w:szCs w:val="18"/>
              </w:rPr>
            </w:pPr>
            <w:r w:rsidRPr="00ED70C3">
              <w:rPr>
                <w:sz w:val="18"/>
                <w:szCs w:val="18"/>
              </w:rPr>
              <w:noBreakHyphen/>
            </w:r>
          </w:p>
        </w:tc>
        <w:tc>
          <w:tcPr>
            <w:tcW w:w="495" w:type="pct"/>
            <w:shd w:val="clear" w:color="auto" w:fill="auto"/>
            <w:vAlign w:val="bottom"/>
          </w:tcPr>
          <w:p w:rsidR="00EC5290" w:rsidRPr="00ED70C3" w:rsidRDefault="00EC5290" w:rsidP="005151A7">
            <w:pPr>
              <w:pStyle w:val="TableBodyText"/>
              <w:rPr>
                <w:sz w:val="18"/>
                <w:szCs w:val="18"/>
              </w:rPr>
            </w:pPr>
            <w:r w:rsidRPr="00ED70C3">
              <w:rPr>
                <w:sz w:val="18"/>
                <w:szCs w:val="18"/>
              </w:rPr>
              <w:noBreakHyphen/>
            </w:r>
          </w:p>
        </w:tc>
        <w:tc>
          <w:tcPr>
            <w:tcW w:w="495" w:type="pct"/>
            <w:shd w:val="clear" w:color="auto" w:fill="auto"/>
            <w:vAlign w:val="bottom"/>
          </w:tcPr>
          <w:p w:rsidR="00EC5290" w:rsidRPr="00ED70C3" w:rsidRDefault="00EC5290" w:rsidP="005151A7">
            <w:pPr>
              <w:pStyle w:val="TableBodyText"/>
              <w:rPr>
                <w:sz w:val="18"/>
                <w:szCs w:val="18"/>
              </w:rPr>
            </w:pPr>
            <w:r w:rsidRPr="00ED70C3">
              <w:rPr>
                <w:sz w:val="18"/>
                <w:szCs w:val="18"/>
              </w:rPr>
              <w:noBreakHyphen/>
            </w:r>
          </w:p>
        </w:tc>
        <w:tc>
          <w:tcPr>
            <w:tcW w:w="488" w:type="pct"/>
            <w:shd w:val="clear" w:color="auto" w:fill="auto"/>
            <w:vAlign w:val="bottom"/>
          </w:tcPr>
          <w:p w:rsidR="00EC5290" w:rsidRPr="00ED70C3" w:rsidRDefault="00EC5290" w:rsidP="005151A7">
            <w:pPr>
              <w:pStyle w:val="TableBodyText"/>
              <w:rPr>
                <w:sz w:val="18"/>
                <w:szCs w:val="18"/>
              </w:rPr>
            </w:pPr>
            <w:r w:rsidRPr="00ED70C3">
              <w:rPr>
                <w:sz w:val="18"/>
                <w:szCs w:val="18"/>
              </w:rPr>
              <w:noBreakHyphen/>
            </w:r>
          </w:p>
        </w:tc>
      </w:tr>
      <w:tr w:rsidR="00EC5290" w:rsidTr="005151A7">
        <w:trPr>
          <w:trHeight w:val="227"/>
        </w:trPr>
        <w:tc>
          <w:tcPr>
            <w:tcW w:w="1946" w:type="pct"/>
            <w:tcBorders>
              <w:bottom w:val="single" w:sz="4" w:space="0" w:color="auto"/>
            </w:tcBorders>
            <w:vAlign w:val="bottom"/>
          </w:tcPr>
          <w:p w:rsidR="00EC5290" w:rsidRPr="007758AB" w:rsidRDefault="00EC5290" w:rsidP="005151A7">
            <w:pPr>
              <w:pStyle w:val="TableBodyText"/>
              <w:jc w:val="left"/>
              <w:rPr>
                <w:b/>
                <w:bCs/>
                <w:sz w:val="18"/>
                <w:szCs w:val="18"/>
              </w:rPr>
            </w:pPr>
            <w:r w:rsidRPr="007758AB">
              <w:rPr>
                <w:b/>
                <w:bCs/>
                <w:sz w:val="18"/>
                <w:szCs w:val="18"/>
              </w:rPr>
              <w:t>Total</w:t>
            </w:r>
          </w:p>
        </w:tc>
        <w:tc>
          <w:tcPr>
            <w:tcW w:w="586" w:type="pct"/>
            <w:tcBorders>
              <w:bottom w:val="single" w:sz="4" w:space="0" w:color="auto"/>
            </w:tcBorders>
            <w:vAlign w:val="bottom"/>
          </w:tcPr>
          <w:p w:rsidR="00EC5290" w:rsidRPr="00ED70C3" w:rsidRDefault="00EC5290" w:rsidP="005151A7">
            <w:pPr>
              <w:pStyle w:val="TableBodyText"/>
              <w:rPr>
                <w:b/>
                <w:sz w:val="18"/>
                <w:szCs w:val="18"/>
              </w:rPr>
            </w:pPr>
            <w:r w:rsidRPr="00ED70C3">
              <w:rPr>
                <w:b/>
                <w:sz w:val="18"/>
                <w:szCs w:val="18"/>
              </w:rPr>
              <w:noBreakHyphen/>
            </w:r>
          </w:p>
        </w:tc>
        <w:tc>
          <w:tcPr>
            <w:tcW w:w="495" w:type="pct"/>
            <w:tcBorders>
              <w:bottom w:val="single" w:sz="4" w:space="0" w:color="auto"/>
            </w:tcBorders>
            <w:vAlign w:val="bottom"/>
          </w:tcPr>
          <w:p w:rsidR="00EC5290" w:rsidRPr="00ED70C3" w:rsidRDefault="00EC5290" w:rsidP="005151A7">
            <w:pPr>
              <w:pStyle w:val="TableBodyText"/>
              <w:rPr>
                <w:b/>
                <w:sz w:val="18"/>
                <w:szCs w:val="18"/>
              </w:rPr>
            </w:pPr>
            <w:r w:rsidRPr="00ED70C3">
              <w:rPr>
                <w:b/>
                <w:sz w:val="18"/>
                <w:szCs w:val="18"/>
              </w:rPr>
              <w:t>4.0</w:t>
            </w:r>
          </w:p>
        </w:tc>
        <w:tc>
          <w:tcPr>
            <w:tcW w:w="495" w:type="pct"/>
            <w:tcBorders>
              <w:bottom w:val="single" w:sz="4" w:space="0" w:color="auto"/>
            </w:tcBorders>
            <w:vAlign w:val="bottom"/>
          </w:tcPr>
          <w:p w:rsidR="00EC5290" w:rsidRPr="00ED70C3" w:rsidRDefault="00EC5290" w:rsidP="005151A7">
            <w:pPr>
              <w:pStyle w:val="TableBodyText"/>
              <w:rPr>
                <w:b/>
                <w:sz w:val="18"/>
                <w:szCs w:val="18"/>
              </w:rPr>
            </w:pPr>
            <w:r w:rsidRPr="00ED70C3">
              <w:rPr>
                <w:b/>
                <w:sz w:val="18"/>
                <w:szCs w:val="18"/>
              </w:rPr>
              <w:t>2.2</w:t>
            </w:r>
          </w:p>
        </w:tc>
        <w:tc>
          <w:tcPr>
            <w:tcW w:w="495" w:type="pct"/>
            <w:tcBorders>
              <w:bottom w:val="single" w:sz="4" w:space="0" w:color="auto"/>
            </w:tcBorders>
            <w:shd w:val="clear" w:color="auto" w:fill="auto"/>
            <w:vAlign w:val="bottom"/>
          </w:tcPr>
          <w:p w:rsidR="00EC5290" w:rsidRPr="00ED70C3" w:rsidRDefault="00EC5290" w:rsidP="005151A7">
            <w:pPr>
              <w:pStyle w:val="TableBodyText"/>
              <w:rPr>
                <w:b/>
                <w:sz w:val="18"/>
                <w:szCs w:val="18"/>
              </w:rPr>
            </w:pPr>
            <w:r w:rsidRPr="00ED70C3">
              <w:rPr>
                <w:b/>
                <w:sz w:val="18"/>
                <w:szCs w:val="18"/>
              </w:rPr>
              <w:noBreakHyphen/>
            </w:r>
          </w:p>
        </w:tc>
        <w:tc>
          <w:tcPr>
            <w:tcW w:w="495" w:type="pct"/>
            <w:tcBorders>
              <w:bottom w:val="single" w:sz="4" w:space="0" w:color="auto"/>
            </w:tcBorders>
            <w:shd w:val="clear" w:color="auto" w:fill="auto"/>
            <w:vAlign w:val="bottom"/>
          </w:tcPr>
          <w:p w:rsidR="00EC5290" w:rsidRPr="00ED70C3" w:rsidRDefault="00EC5290" w:rsidP="005151A7">
            <w:pPr>
              <w:pStyle w:val="TableBodyText"/>
              <w:rPr>
                <w:b/>
                <w:sz w:val="18"/>
                <w:szCs w:val="18"/>
              </w:rPr>
            </w:pPr>
            <w:r w:rsidRPr="00ED70C3">
              <w:rPr>
                <w:b/>
                <w:sz w:val="18"/>
                <w:szCs w:val="18"/>
              </w:rPr>
              <w:noBreakHyphen/>
            </w:r>
          </w:p>
        </w:tc>
        <w:tc>
          <w:tcPr>
            <w:tcW w:w="488" w:type="pct"/>
            <w:tcBorders>
              <w:bottom w:val="single" w:sz="4" w:space="0" w:color="auto"/>
            </w:tcBorders>
            <w:shd w:val="clear" w:color="auto" w:fill="auto"/>
            <w:vAlign w:val="bottom"/>
          </w:tcPr>
          <w:p w:rsidR="00EC5290" w:rsidRPr="00ED70C3" w:rsidRDefault="00EC5290" w:rsidP="005151A7">
            <w:pPr>
              <w:pStyle w:val="TableBodyText"/>
              <w:rPr>
                <w:b/>
                <w:sz w:val="18"/>
                <w:szCs w:val="18"/>
              </w:rPr>
            </w:pPr>
            <w:r w:rsidRPr="00ED70C3">
              <w:rPr>
                <w:b/>
                <w:sz w:val="18"/>
                <w:szCs w:val="18"/>
              </w:rPr>
              <w:noBreakHyphen/>
            </w:r>
          </w:p>
        </w:tc>
      </w:tr>
    </w:tbl>
    <w:p w:rsidR="00EC5290" w:rsidRDefault="00EC5290" w:rsidP="00EC5290">
      <w:pPr>
        <w:pStyle w:val="Source"/>
        <w:spacing w:after="0"/>
        <w:rPr>
          <w:i/>
        </w:rPr>
      </w:pPr>
      <w:r>
        <w:t>– Nil.</w:t>
      </w:r>
    </w:p>
    <w:p w:rsidR="00EC5290" w:rsidRDefault="00EC5290" w:rsidP="00EC5290">
      <w:pPr>
        <w:pStyle w:val="Source"/>
      </w:pPr>
      <w:r>
        <w:rPr>
          <w:i/>
        </w:rPr>
        <w:t>Source</w:t>
      </w:r>
      <w:r>
        <w:t>: Commission estimates based on detailed DIISR data by ANZSIC industry.</w:t>
      </w:r>
    </w:p>
    <w:p w:rsidR="00EC5290" w:rsidRDefault="00FA09C3" w:rsidP="00EC5290">
      <w:pPr>
        <w:pStyle w:val="Heading2"/>
      </w:pPr>
      <w:r>
        <w:t>A.</w:t>
      </w:r>
      <w:r>
        <w:rPr>
          <w:noProof/>
        </w:rPr>
        <w:t>171</w:t>
      </w:r>
      <w:r w:rsidR="00EC5290">
        <w:tab/>
        <w:t>Low Emissions Technology and Abatement Program</w:t>
      </w:r>
    </w:p>
    <w:p w:rsidR="00EC5290" w:rsidRDefault="00EC5290" w:rsidP="00EC5290">
      <w:pPr>
        <w:pStyle w:val="BodyText"/>
      </w:pPr>
      <w:r>
        <w:t>The Low Emissions Technology and Abatement Program provided funding over four years to support the identification and implementation of cost</w:t>
      </w:r>
      <w:r>
        <w:noBreakHyphen/>
        <w:t xml:space="preserve">effective abatement opportunities and the uptake of small-scale low emission technologies in business and local communities </w:t>
      </w:r>
      <w:r w:rsidRPr="00C65FC2">
        <w:t>(</w:t>
      </w:r>
      <w:r w:rsidRPr="00C305B5">
        <w:t>DEWHA 2009</w:t>
      </w:r>
      <w:r w:rsidRPr="00C65FC2">
        <w:t>)</w:t>
      </w:r>
      <w:r>
        <w:t>.</w:t>
      </w:r>
    </w:p>
    <w:p w:rsidR="00EC5290" w:rsidRDefault="00EC5290" w:rsidP="00EC5290">
      <w:pPr>
        <w:pStyle w:val="BodyText"/>
      </w:pPr>
      <w:r>
        <w:t xml:space="preserve">Information on the industry incidence of the program has not been readily available. Accordingly, the budget outlay has been classified to the </w:t>
      </w:r>
      <w:r w:rsidRPr="00BD42DE">
        <w:rPr>
          <w:i/>
        </w:rPr>
        <w:t>Unallocated other</w:t>
      </w:r>
      <w:r>
        <w:t xml:space="preserve"> industry grouping in the Commission’s ANZSIC-based classification (table A.1</w:t>
      </w:r>
      <w:r w:rsidR="00C065C1">
        <w:t>71</w:t>
      </w:r>
      <w:r>
        <w:t>).</w:t>
      </w:r>
    </w:p>
    <w:p w:rsidR="00EC5290" w:rsidRDefault="00EC5290" w:rsidP="00EC5290">
      <w:pPr>
        <w:pStyle w:val="TableTitle"/>
      </w:pPr>
      <w:r>
        <w:rPr>
          <w:b w:val="0"/>
        </w:rPr>
        <w:t xml:space="preserve">Table </w:t>
      </w:r>
      <w:r w:rsidR="00FA09C3">
        <w:rPr>
          <w:b w:val="0"/>
        </w:rPr>
        <w:t>A.</w:t>
      </w:r>
      <w:r w:rsidR="00FA09C3">
        <w:rPr>
          <w:b w:val="0"/>
          <w:noProof/>
        </w:rPr>
        <w:t>171</w:t>
      </w:r>
      <w:r>
        <w:tab/>
        <w:t>Allocation of Low Emissions Technology and Abatement Program</w:t>
      </w:r>
      <w:r w:rsidR="00E471E2" w:rsidRPr="00E471E2">
        <w:t xml:space="preserve"> to industry</w:t>
      </w:r>
      <w:r>
        <w:t>, 2006</w:t>
      </w:r>
      <w:r>
        <w:noBreakHyphen/>
        <w:t>07 to 2011</w:t>
      </w:r>
      <w:r>
        <w:noBreakHyphen/>
        <w:t>12</w:t>
      </w:r>
    </w:p>
    <w:p w:rsidR="00EC5290" w:rsidRDefault="00EC5290" w:rsidP="00EC5290">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EC5290" w:rsidRPr="00AF699A" w:rsidTr="005151A7">
        <w:tc>
          <w:tcPr>
            <w:tcW w:w="1960" w:type="pct"/>
            <w:tcBorders>
              <w:top w:val="single" w:sz="6" w:space="0" w:color="auto"/>
              <w:bottom w:val="single" w:sz="6" w:space="0" w:color="auto"/>
            </w:tcBorders>
          </w:tcPr>
          <w:p w:rsidR="00EC5290" w:rsidRPr="00AF699A" w:rsidRDefault="00EC5290" w:rsidP="005151A7">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EC5290" w:rsidRPr="00AF699A" w:rsidRDefault="00EC5290" w:rsidP="005151A7">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EC5290" w:rsidRPr="00AF699A" w:rsidRDefault="00EC5290" w:rsidP="005151A7">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EC5290" w:rsidRPr="00AF699A" w:rsidRDefault="00EC5290" w:rsidP="005151A7">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EC5290" w:rsidRPr="00AF699A" w:rsidRDefault="00EC5290" w:rsidP="005151A7">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EC5290" w:rsidRPr="00AF699A" w:rsidRDefault="00EC5290" w:rsidP="005151A7">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EC5290" w:rsidRPr="00AF699A" w:rsidRDefault="00EC5290" w:rsidP="005151A7">
            <w:pPr>
              <w:pStyle w:val="TableColumnHeading"/>
              <w:ind w:right="28"/>
              <w:rPr>
                <w:rFonts w:cs="Arial"/>
                <w:sz w:val="18"/>
                <w:szCs w:val="18"/>
              </w:rPr>
            </w:pPr>
            <w:r w:rsidRPr="00AF699A">
              <w:rPr>
                <w:rFonts w:cs="Arial"/>
                <w:sz w:val="18"/>
                <w:szCs w:val="18"/>
              </w:rPr>
              <w:t>2011-12</w:t>
            </w:r>
          </w:p>
        </w:tc>
      </w:tr>
      <w:tr w:rsidR="00EC5290" w:rsidRPr="006C5A80" w:rsidTr="005151A7">
        <w:tc>
          <w:tcPr>
            <w:tcW w:w="1960" w:type="pct"/>
            <w:tcBorders>
              <w:bottom w:val="single" w:sz="4" w:space="0" w:color="auto"/>
            </w:tcBorders>
            <w:vAlign w:val="bottom"/>
          </w:tcPr>
          <w:p w:rsidR="00EC5290" w:rsidRPr="00C944BA" w:rsidRDefault="00EC5290" w:rsidP="005151A7">
            <w:pPr>
              <w:pStyle w:val="TableBodyText"/>
              <w:jc w:val="left"/>
            </w:pPr>
            <w:r>
              <w:t>Unallocated other</w:t>
            </w:r>
            <w:r w:rsidRPr="00BD3CDA">
              <w:rPr>
                <w:rStyle w:val="NoteLabel"/>
                <w:szCs w:val="18"/>
              </w:rPr>
              <w:t>a</w:t>
            </w:r>
          </w:p>
        </w:tc>
        <w:tc>
          <w:tcPr>
            <w:tcW w:w="507" w:type="pct"/>
            <w:tcBorders>
              <w:bottom w:val="single" w:sz="4" w:space="0" w:color="auto"/>
            </w:tcBorders>
            <w:vAlign w:val="bottom"/>
          </w:tcPr>
          <w:p w:rsidR="00EC5290" w:rsidRPr="0012408B" w:rsidRDefault="00EC5290" w:rsidP="005151A7">
            <w:pPr>
              <w:pStyle w:val="TableBodyText"/>
            </w:pPr>
            <w:r w:rsidRPr="0012408B">
              <w:t>6.7</w:t>
            </w:r>
          </w:p>
        </w:tc>
        <w:tc>
          <w:tcPr>
            <w:tcW w:w="507" w:type="pct"/>
            <w:tcBorders>
              <w:bottom w:val="single" w:sz="4" w:space="0" w:color="auto"/>
            </w:tcBorders>
            <w:vAlign w:val="bottom"/>
          </w:tcPr>
          <w:p w:rsidR="00EC5290" w:rsidRPr="0012408B" w:rsidRDefault="00EC5290" w:rsidP="005151A7">
            <w:pPr>
              <w:pStyle w:val="TableBodyText"/>
            </w:pPr>
            <w:r w:rsidRPr="0012408B">
              <w:t>3.1</w:t>
            </w:r>
          </w:p>
        </w:tc>
        <w:tc>
          <w:tcPr>
            <w:tcW w:w="507" w:type="pct"/>
            <w:tcBorders>
              <w:bottom w:val="single" w:sz="4" w:space="0" w:color="auto"/>
            </w:tcBorders>
            <w:vAlign w:val="bottom"/>
          </w:tcPr>
          <w:p w:rsidR="00EC5290" w:rsidRPr="0012408B" w:rsidRDefault="00EC5290" w:rsidP="005151A7">
            <w:pPr>
              <w:pStyle w:val="TableBodyText"/>
            </w:pPr>
            <w:r w:rsidRPr="0012408B">
              <w:t>1.7</w:t>
            </w:r>
          </w:p>
        </w:tc>
        <w:tc>
          <w:tcPr>
            <w:tcW w:w="507" w:type="pct"/>
            <w:tcBorders>
              <w:bottom w:val="single" w:sz="4" w:space="0" w:color="auto"/>
            </w:tcBorders>
            <w:vAlign w:val="bottom"/>
          </w:tcPr>
          <w:p w:rsidR="00EC5290" w:rsidRPr="0012408B" w:rsidRDefault="00EC5290" w:rsidP="005151A7">
            <w:pPr>
              <w:pStyle w:val="TableBodyText"/>
            </w:pPr>
            <w:r>
              <w:noBreakHyphen/>
            </w:r>
          </w:p>
        </w:tc>
        <w:tc>
          <w:tcPr>
            <w:tcW w:w="507" w:type="pct"/>
            <w:tcBorders>
              <w:bottom w:val="single" w:sz="4" w:space="0" w:color="auto"/>
            </w:tcBorders>
            <w:shd w:val="clear" w:color="auto" w:fill="auto"/>
            <w:vAlign w:val="bottom"/>
          </w:tcPr>
          <w:p w:rsidR="00EC5290" w:rsidRPr="0012408B" w:rsidRDefault="00EC5290" w:rsidP="005151A7">
            <w:pPr>
              <w:pStyle w:val="TableBodyText"/>
            </w:pPr>
            <w:r>
              <w:noBreakHyphen/>
            </w:r>
          </w:p>
        </w:tc>
        <w:tc>
          <w:tcPr>
            <w:tcW w:w="505" w:type="pct"/>
            <w:tcBorders>
              <w:bottom w:val="single" w:sz="4" w:space="0" w:color="auto"/>
            </w:tcBorders>
            <w:shd w:val="clear" w:color="auto" w:fill="auto"/>
            <w:vAlign w:val="bottom"/>
          </w:tcPr>
          <w:p w:rsidR="00EC5290" w:rsidRPr="0012408B" w:rsidRDefault="00EC5290" w:rsidP="005151A7">
            <w:pPr>
              <w:pStyle w:val="TableBodyText"/>
            </w:pPr>
            <w:r>
              <w:noBreakHyphen/>
            </w:r>
          </w:p>
        </w:tc>
      </w:tr>
    </w:tbl>
    <w:p w:rsidR="00EC5290" w:rsidRPr="00F60026" w:rsidRDefault="00EC5290" w:rsidP="00EC5290">
      <w:pPr>
        <w:pStyle w:val="Source"/>
        <w:spacing w:after="0"/>
        <w:rPr>
          <w:i/>
        </w:rPr>
      </w:pPr>
      <w:r w:rsidRPr="00A2379F">
        <w:noBreakHyphen/>
        <w:t xml:space="preserve"> </w:t>
      </w:r>
      <w:r>
        <w:t>Nil</w:t>
      </w:r>
      <w:r w:rsidRPr="00A2379F">
        <w:t>.</w:t>
      </w:r>
      <w:r w:rsidRPr="00B1392F">
        <w:t xml:space="preserve"> </w:t>
      </w:r>
      <w:r w:rsidRPr="009B56F1">
        <w:rPr>
          <w:rStyle w:val="NoteLabel"/>
        </w:rPr>
        <w:t>a</w:t>
      </w:r>
      <w:r w:rsidRPr="009B56F1">
        <w:t xml:space="preserve"> Unallocated includes general programs where detai</w:t>
      </w:r>
      <w:r>
        <w:t>ls of beneficiaries are unknown.</w:t>
      </w:r>
    </w:p>
    <w:p w:rsidR="00EC5290" w:rsidRDefault="00EC5290" w:rsidP="00EC5290">
      <w:pPr>
        <w:pStyle w:val="Source"/>
      </w:pPr>
      <w:r>
        <w:rPr>
          <w:i/>
        </w:rPr>
        <w:t>Source</w:t>
      </w:r>
      <w:r>
        <w:t>: Commission estimates based on Department of the Environment, Water, Heritage and the Arts Annual Report 2008</w:t>
      </w:r>
      <w:r>
        <w:noBreakHyphen/>
        <w:t>09 (and earlier years).</w:t>
      </w:r>
    </w:p>
    <w:p w:rsidR="00731A0B" w:rsidRDefault="00FA09C3" w:rsidP="00731A0B">
      <w:pPr>
        <w:pStyle w:val="Heading2"/>
      </w:pPr>
      <w:r>
        <w:t>A.</w:t>
      </w:r>
      <w:r>
        <w:rPr>
          <w:noProof/>
        </w:rPr>
        <w:t>172</w:t>
      </w:r>
      <w:r w:rsidR="00731A0B">
        <w:tab/>
        <w:t>Low-Emission Technology Demonstration Fund</w:t>
      </w:r>
    </w:p>
    <w:p w:rsidR="00731A0B" w:rsidRDefault="00731A0B" w:rsidP="00731A0B">
      <w:pPr>
        <w:pStyle w:val="BodyText"/>
      </w:pPr>
      <w:r>
        <w:t>The Low</w:t>
      </w:r>
      <w:r w:rsidR="00D31572">
        <w:t>-</w:t>
      </w:r>
      <w:r>
        <w:t xml:space="preserve">Emission Technology Demonstration Fund (LETDF) was intended to help Australian firms commercialise low emissions technologies </w:t>
      </w:r>
      <w:r w:rsidRPr="00EC76CA">
        <w:t>(</w:t>
      </w:r>
      <w:r w:rsidRPr="00C305B5">
        <w:t>DRET 2013c</w:t>
      </w:r>
      <w:r w:rsidRPr="00EC76CA">
        <w:t>)</w:t>
      </w:r>
      <w:r>
        <w:t>. An objective of the program was to demonstrate the commercial potential of new energy technologies or processes, or the application of overseas technologies or processes to Australian circumstances</w:t>
      </w:r>
      <w:r w:rsidR="000F7DD5">
        <w:t>,</w:t>
      </w:r>
      <w:r>
        <w:t xml:space="preserve"> to deliver long-term large-scale greenhouse gas emission reductions.</w:t>
      </w:r>
    </w:p>
    <w:p w:rsidR="00731A0B" w:rsidRDefault="00731A0B" w:rsidP="00731A0B">
      <w:pPr>
        <w:pStyle w:val="BodyText"/>
      </w:pPr>
      <w:r>
        <w:t xml:space="preserve">The LETDF was targeted towards energy generation activities and funding for this program has therefore been allocated to the </w:t>
      </w:r>
      <w:r w:rsidRPr="00217F00">
        <w:rPr>
          <w:i/>
        </w:rPr>
        <w:t>Electricity, gas, water and waste services</w:t>
      </w:r>
      <w:r>
        <w:t xml:space="preserve"> industry in the Commission’s ANZSIC-based industry groupings (table A.17</w:t>
      </w:r>
      <w:r w:rsidR="00886F15">
        <w:t>2</w:t>
      </w:r>
      <w:r>
        <w:t>).</w:t>
      </w:r>
    </w:p>
    <w:p w:rsidR="00731A0B" w:rsidRDefault="00731A0B" w:rsidP="00731A0B">
      <w:pPr>
        <w:pStyle w:val="TableTitle"/>
      </w:pPr>
      <w:r>
        <w:rPr>
          <w:b w:val="0"/>
        </w:rPr>
        <w:t xml:space="preserve">Table </w:t>
      </w:r>
      <w:r w:rsidR="00FA09C3">
        <w:rPr>
          <w:b w:val="0"/>
        </w:rPr>
        <w:t>A.</w:t>
      </w:r>
      <w:r w:rsidR="00FA09C3">
        <w:rPr>
          <w:b w:val="0"/>
          <w:noProof/>
        </w:rPr>
        <w:t>172</w:t>
      </w:r>
      <w:r>
        <w:tab/>
        <w:t>Allocation of Low-Emission Technology Demonstration Fund</w:t>
      </w:r>
      <w:r w:rsidR="00E471E2" w:rsidRPr="00E471E2">
        <w:t xml:space="preserve"> to industry</w:t>
      </w:r>
      <w:r>
        <w:t>, 2006</w:t>
      </w:r>
      <w:r>
        <w:noBreakHyphen/>
        <w:t>07 to 2011</w:t>
      </w:r>
      <w:r>
        <w:noBreakHyphen/>
        <w:t>12</w:t>
      </w:r>
    </w:p>
    <w:p w:rsidR="00731A0B" w:rsidRDefault="00731A0B" w:rsidP="00731A0B">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731A0B" w:rsidRPr="00AF699A" w:rsidTr="005151A7">
        <w:tc>
          <w:tcPr>
            <w:tcW w:w="1960" w:type="pct"/>
            <w:tcBorders>
              <w:top w:val="single" w:sz="6" w:space="0" w:color="auto"/>
              <w:bottom w:val="single" w:sz="6" w:space="0" w:color="auto"/>
            </w:tcBorders>
          </w:tcPr>
          <w:p w:rsidR="00731A0B" w:rsidRPr="00AF699A" w:rsidRDefault="00731A0B" w:rsidP="005151A7">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731A0B" w:rsidRPr="00AF699A" w:rsidRDefault="00731A0B" w:rsidP="005151A7">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731A0B" w:rsidRPr="00AF699A" w:rsidRDefault="00731A0B" w:rsidP="005151A7">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731A0B" w:rsidRPr="00AF699A" w:rsidRDefault="00731A0B" w:rsidP="005151A7">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731A0B" w:rsidRPr="00AF699A" w:rsidRDefault="00731A0B" w:rsidP="005151A7">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731A0B" w:rsidRPr="00AF699A" w:rsidRDefault="00731A0B" w:rsidP="005151A7">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731A0B" w:rsidRPr="00AF699A" w:rsidRDefault="00731A0B" w:rsidP="005151A7">
            <w:pPr>
              <w:pStyle w:val="TableColumnHeading"/>
              <w:ind w:right="28"/>
              <w:rPr>
                <w:rFonts w:cs="Arial"/>
                <w:sz w:val="18"/>
                <w:szCs w:val="18"/>
              </w:rPr>
            </w:pPr>
            <w:r w:rsidRPr="00AF699A">
              <w:rPr>
                <w:rFonts w:cs="Arial"/>
                <w:sz w:val="18"/>
                <w:szCs w:val="18"/>
              </w:rPr>
              <w:t>2011-12</w:t>
            </w:r>
          </w:p>
        </w:tc>
      </w:tr>
      <w:tr w:rsidR="00731A0B" w:rsidRPr="006C5A80" w:rsidTr="005151A7">
        <w:tc>
          <w:tcPr>
            <w:tcW w:w="1960" w:type="pct"/>
            <w:tcBorders>
              <w:bottom w:val="single" w:sz="4" w:space="0" w:color="auto"/>
            </w:tcBorders>
            <w:vAlign w:val="bottom"/>
          </w:tcPr>
          <w:p w:rsidR="00731A0B" w:rsidRPr="00C944BA" w:rsidRDefault="00731A0B" w:rsidP="005151A7">
            <w:pPr>
              <w:pStyle w:val="TableBodyText"/>
              <w:jc w:val="left"/>
            </w:pPr>
            <w:r>
              <w:t>Electricity, gas, water and waste services</w:t>
            </w:r>
          </w:p>
        </w:tc>
        <w:tc>
          <w:tcPr>
            <w:tcW w:w="507" w:type="pct"/>
            <w:tcBorders>
              <w:bottom w:val="single" w:sz="4" w:space="0" w:color="auto"/>
            </w:tcBorders>
            <w:vAlign w:val="bottom"/>
          </w:tcPr>
          <w:p w:rsidR="00731A0B" w:rsidRPr="00872092" w:rsidRDefault="00731A0B" w:rsidP="005151A7">
            <w:pPr>
              <w:pStyle w:val="TableBodyText"/>
            </w:pPr>
            <w:r>
              <w:noBreakHyphen/>
            </w:r>
          </w:p>
        </w:tc>
        <w:tc>
          <w:tcPr>
            <w:tcW w:w="507" w:type="pct"/>
            <w:tcBorders>
              <w:bottom w:val="single" w:sz="4" w:space="0" w:color="auto"/>
            </w:tcBorders>
            <w:vAlign w:val="bottom"/>
          </w:tcPr>
          <w:p w:rsidR="00731A0B" w:rsidRPr="00872092" w:rsidRDefault="00731A0B" w:rsidP="002537EE">
            <w:pPr>
              <w:pStyle w:val="TableBodyText"/>
            </w:pPr>
            <w:r>
              <w:t>3.</w:t>
            </w:r>
            <w:r w:rsidR="002537EE">
              <w:t>1</w:t>
            </w:r>
          </w:p>
        </w:tc>
        <w:tc>
          <w:tcPr>
            <w:tcW w:w="507" w:type="pct"/>
            <w:tcBorders>
              <w:bottom w:val="single" w:sz="4" w:space="0" w:color="auto"/>
            </w:tcBorders>
            <w:vAlign w:val="bottom"/>
          </w:tcPr>
          <w:p w:rsidR="00731A0B" w:rsidRPr="00872092" w:rsidRDefault="00731A0B" w:rsidP="005151A7">
            <w:pPr>
              <w:pStyle w:val="TableBodyText"/>
            </w:pPr>
            <w:r>
              <w:t>1.6</w:t>
            </w:r>
          </w:p>
        </w:tc>
        <w:tc>
          <w:tcPr>
            <w:tcW w:w="507" w:type="pct"/>
            <w:tcBorders>
              <w:bottom w:val="single" w:sz="4" w:space="0" w:color="auto"/>
            </w:tcBorders>
            <w:vAlign w:val="bottom"/>
          </w:tcPr>
          <w:p w:rsidR="00731A0B" w:rsidRPr="00872092" w:rsidRDefault="00731A0B" w:rsidP="005151A7">
            <w:pPr>
              <w:pStyle w:val="TableBodyText"/>
            </w:pPr>
            <w:r>
              <w:noBreakHyphen/>
            </w:r>
          </w:p>
        </w:tc>
        <w:tc>
          <w:tcPr>
            <w:tcW w:w="507" w:type="pct"/>
            <w:tcBorders>
              <w:bottom w:val="single" w:sz="4" w:space="0" w:color="auto"/>
            </w:tcBorders>
            <w:shd w:val="clear" w:color="auto" w:fill="auto"/>
            <w:vAlign w:val="bottom"/>
          </w:tcPr>
          <w:p w:rsidR="00731A0B" w:rsidRPr="00872092" w:rsidRDefault="00731A0B" w:rsidP="005151A7">
            <w:pPr>
              <w:pStyle w:val="TableBodyText"/>
            </w:pPr>
            <w:r>
              <w:noBreakHyphen/>
            </w:r>
          </w:p>
        </w:tc>
        <w:tc>
          <w:tcPr>
            <w:tcW w:w="505" w:type="pct"/>
            <w:tcBorders>
              <w:bottom w:val="single" w:sz="4" w:space="0" w:color="auto"/>
            </w:tcBorders>
            <w:shd w:val="clear" w:color="auto" w:fill="auto"/>
            <w:vAlign w:val="bottom"/>
          </w:tcPr>
          <w:p w:rsidR="00731A0B" w:rsidRPr="00872092" w:rsidRDefault="00731A0B" w:rsidP="005151A7">
            <w:pPr>
              <w:pStyle w:val="TableBodyText"/>
            </w:pPr>
            <w:r>
              <w:noBreakHyphen/>
            </w:r>
          </w:p>
        </w:tc>
      </w:tr>
    </w:tbl>
    <w:p w:rsidR="00731A0B" w:rsidRPr="00F60026" w:rsidRDefault="00731A0B" w:rsidP="00731A0B">
      <w:pPr>
        <w:pStyle w:val="Source"/>
        <w:spacing w:after="0"/>
        <w:rPr>
          <w:i/>
        </w:rPr>
      </w:pPr>
      <w:r w:rsidRPr="00A2379F">
        <w:noBreakHyphen/>
        <w:t xml:space="preserve"> </w:t>
      </w:r>
      <w:r>
        <w:t>Nil</w:t>
      </w:r>
      <w:r w:rsidRPr="00A2379F">
        <w:t>.</w:t>
      </w:r>
    </w:p>
    <w:p w:rsidR="00731A0B" w:rsidRDefault="00731A0B" w:rsidP="00731A0B">
      <w:pPr>
        <w:pStyle w:val="Source"/>
      </w:pPr>
      <w:r>
        <w:rPr>
          <w:i/>
        </w:rPr>
        <w:t>Source</w:t>
      </w:r>
      <w:r>
        <w:t xml:space="preserve">: Commission estimates based on Department of </w:t>
      </w:r>
      <w:r w:rsidR="004131AC">
        <w:t xml:space="preserve">Resources, Energy and Tourism </w:t>
      </w:r>
      <w:r>
        <w:t>Annual Report 2008</w:t>
      </w:r>
      <w:r>
        <w:noBreakHyphen/>
        <w:t>09 (and earlier years).</w:t>
      </w:r>
    </w:p>
    <w:p w:rsidR="00731A0B" w:rsidRDefault="00FA09C3" w:rsidP="00731A0B">
      <w:pPr>
        <w:pStyle w:val="Heading2"/>
      </w:pPr>
      <w:r>
        <w:t>A.</w:t>
      </w:r>
      <w:r>
        <w:rPr>
          <w:noProof/>
        </w:rPr>
        <w:t>173</w:t>
      </w:r>
      <w:r w:rsidR="00731A0B">
        <w:tab/>
        <w:t>Advancing Agricultural Industries Program</w:t>
      </w:r>
    </w:p>
    <w:p w:rsidR="00731A0B" w:rsidRDefault="00731A0B" w:rsidP="00731A0B">
      <w:pPr>
        <w:pStyle w:val="BodyText"/>
      </w:pPr>
      <w:r>
        <w:t>The Advancing Agricultural Industries Program</w:t>
      </w:r>
      <w:r w:rsidR="00C0255B">
        <w:rPr>
          <w:rStyle w:val="FootnoteReference"/>
        </w:rPr>
        <w:footnoteReference w:id="6"/>
      </w:r>
      <w:r>
        <w:t xml:space="preserve"> was intended to help primary industries develop self-reliance, resilience and an ability to efficiently manage change. The program encouraged industries to identify challenges and opportunities and to address them by developing and implementing industry-led strategies. The program </w:t>
      </w:r>
      <w:r w:rsidR="000F7DD5">
        <w:t xml:space="preserve">had </w:t>
      </w:r>
      <w:r>
        <w:t>four main components:</w:t>
      </w:r>
    </w:p>
    <w:p w:rsidR="00731A0B" w:rsidRDefault="00731A0B" w:rsidP="00731A0B">
      <w:pPr>
        <w:pStyle w:val="ListBullet"/>
      </w:pPr>
      <w:r>
        <w:t>Advancing Agriculture Fund (AgFund) — up to $50 000 to producer groups to target industry issues at the local and regional level;</w:t>
      </w:r>
    </w:p>
    <w:p w:rsidR="00731A0B" w:rsidRDefault="00731A0B" w:rsidP="00731A0B">
      <w:pPr>
        <w:pStyle w:val="ListBullet"/>
      </w:pPr>
      <w:r>
        <w:t>Industry Stocktakes — up to $200 000 to help agriculture, fisheries and forest industries identify their strengths and weaknesses, and challenges and opportunities, and plan for how to best manage them;</w:t>
      </w:r>
    </w:p>
    <w:p w:rsidR="00731A0B" w:rsidRDefault="00731A0B" w:rsidP="00731A0B">
      <w:pPr>
        <w:pStyle w:val="ListBullet"/>
      </w:pPr>
      <w:r>
        <w:t>Action Grants — up to $1 million in matching funds to help industries build their structural and organisational capacity and tackle identified industry issues; and</w:t>
      </w:r>
    </w:p>
    <w:p w:rsidR="00731A0B" w:rsidRDefault="00731A0B" w:rsidP="00731A0B">
      <w:pPr>
        <w:pStyle w:val="ListBullet"/>
      </w:pPr>
      <w:r>
        <w:t>Rural Leadership Development — intended to increase the skills, knowledge and profile of women, Indigenous and young people working in the agriculture, fisheries, forestry, natural resource management and food processing industries (</w:t>
      </w:r>
      <w:r w:rsidRPr="00C305B5">
        <w:rPr>
          <w:rStyle w:val="BodyTextChar"/>
        </w:rPr>
        <w:t>DAFF 2010d</w:t>
      </w:r>
      <w:r>
        <w:t>).</w:t>
      </w:r>
    </w:p>
    <w:p w:rsidR="00731A0B" w:rsidRDefault="00731A0B" w:rsidP="00731A0B">
      <w:pPr>
        <w:pStyle w:val="BodyText"/>
      </w:pPr>
      <w:r>
        <w:t>The program formally ended on 30 June 2008, although there was some residual expenditure in 2008</w:t>
      </w:r>
      <w:r>
        <w:noBreakHyphen/>
        <w:t>09.</w:t>
      </w:r>
    </w:p>
    <w:p w:rsidR="00731A0B" w:rsidRDefault="00731A0B" w:rsidP="00731A0B">
      <w:pPr>
        <w:pStyle w:val="BodyText"/>
      </w:pPr>
      <w:r>
        <w:t>The Commission has obtained data from the Department of Agriculture, Fisheries and Forestry detailing the number of recipients under the scheme by type of farming activity (for example, fruit, beef cattle, sugar). This data has been mapped to the Commission’s ANZSIC-based industry classification and then used to allocate estimates of program funding from the Department's annual reports and budget papers (table A.17</w:t>
      </w:r>
      <w:r w:rsidR="00886F15">
        <w:t>3</w:t>
      </w:r>
      <w:r>
        <w:t>).</w:t>
      </w:r>
    </w:p>
    <w:p w:rsidR="00731A0B" w:rsidRDefault="00731A0B" w:rsidP="00731A0B">
      <w:pPr>
        <w:pStyle w:val="TableTitle"/>
      </w:pPr>
      <w:r>
        <w:rPr>
          <w:b w:val="0"/>
        </w:rPr>
        <w:t xml:space="preserve">Table </w:t>
      </w:r>
      <w:r w:rsidR="00FA09C3">
        <w:rPr>
          <w:b w:val="0"/>
        </w:rPr>
        <w:t>A.</w:t>
      </w:r>
      <w:r w:rsidR="00FA09C3">
        <w:rPr>
          <w:b w:val="0"/>
          <w:noProof/>
        </w:rPr>
        <w:t>173</w:t>
      </w:r>
      <w:r>
        <w:tab/>
        <w:t xml:space="preserve">Allocation of Advancing Agricultural Industries Program </w:t>
      </w:r>
      <w:r w:rsidR="00E471E2" w:rsidRPr="00E471E2">
        <w:t>to industry</w:t>
      </w:r>
      <w:r>
        <w:t>, 2006</w:t>
      </w:r>
      <w:r>
        <w:noBreakHyphen/>
        <w:t>07 to 2011</w:t>
      </w:r>
      <w:r>
        <w:noBreakHyphen/>
        <w:t>12</w:t>
      </w:r>
    </w:p>
    <w:p w:rsidR="00731A0B" w:rsidRDefault="00731A0B" w:rsidP="00731A0B">
      <w:pPr>
        <w:pStyle w:val="Subtitle"/>
      </w:pPr>
      <w:r>
        <w:t>$ million (nominal)</w:t>
      </w:r>
    </w:p>
    <w:tbl>
      <w:tblPr>
        <w:tblW w:w="5000" w:type="pct"/>
        <w:tblCellMar>
          <w:left w:w="0" w:type="dxa"/>
          <w:right w:w="0" w:type="dxa"/>
        </w:tblCellMar>
        <w:tblLook w:val="0000" w:firstRow="0" w:lastRow="0" w:firstColumn="0" w:lastColumn="0" w:noHBand="0" w:noVBand="0"/>
      </w:tblPr>
      <w:tblGrid>
        <w:gridCol w:w="3421"/>
        <w:gridCol w:w="1030"/>
        <w:gridCol w:w="870"/>
        <w:gridCol w:w="870"/>
        <w:gridCol w:w="870"/>
        <w:gridCol w:w="870"/>
        <w:gridCol w:w="858"/>
      </w:tblGrid>
      <w:tr w:rsidR="00731A0B" w:rsidRPr="006156BE" w:rsidTr="005151A7">
        <w:trPr>
          <w:trHeight w:val="227"/>
        </w:trPr>
        <w:tc>
          <w:tcPr>
            <w:tcW w:w="1946" w:type="pct"/>
            <w:tcBorders>
              <w:top w:val="single" w:sz="6" w:space="0" w:color="auto"/>
              <w:bottom w:val="single" w:sz="6" w:space="0" w:color="auto"/>
            </w:tcBorders>
          </w:tcPr>
          <w:p w:rsidR="00731A0B" w:rsidRPr="006156BE" w:rsidRDefault="00731A0B" w:rsidP="005151A7">
            <w:pPr>
              <w:pStyle w:val="TableColumnHeading"/>
              <w:jc w:val="left"/>
              <w:rPr>
                <w:sz w:val="18"/>
                <w:szCs w:val="18"/>
              </w:rPr>
            </w:pPr>
            <w:r w:rsidRPr="006156BE">
              <w:rPr>
                <w:sz w:val="18"/>
                <w:szCs w:val="18"/>
              </w:rPr>
              <w:t>Industry grouping</w:t>
            </w:r>
          </w:p>
        </w:tc>
        <w:tc>
          <w:tcPr>
            <w:tcW w:w="586" w:type="pct"/>
            <w:tcBorders>
              <w:top w:val="single" w:sz="6" w:space="0" w:color="auto"/>
              <w:bottom w:val="single" w:sz="6" w:space="0" w:color="auto"/>
            </w:tcBorders>
          </w:tcPr>
          <w:p w:rsidR="00731A0B" w:rsidRPr="006156BE" w:rsidRDefault="00731A0B" w:rsidP="005151A7">
            <w:pPr>
              <w:pStyle w:val="TableColumnHeading"/>
              <w:ind w:right="28"/>
              <w:rPr>
                <w:sz w:val="18"/>
                <w:szCs w:val="18"/>
              </w:rPr>
            </w:pPr>
            <w:r w:rsidRPr="006156BE">
              <w:rPr>
                <w:sz w:val="18"/>
                <w:szCs w:val="18"/>
              </w:rPr>
              <w:t>2006-07</w:t>
            </w:r>
          </w:p>
        </w:tc>
        <w:tc>
          <w:tcPr>
            <w:tcW w:w="495" w:type="pct"/>
            <w:tcBorders>
              <w:top w:val="single" w:sz="6" w:space="0" w:color="auto"/>
              <w:bottom w:val="single" w:sz="6" w:space="0" w:color="auto"/>
            </w:tcBorders>
          </w:tcPr>
          <w:p w:rsidR="00731A0B" w:rsidRPr="006156BE" w:rsidRDefault="00731A0B" w:rsidP="005151A7">
            <w:pPr>
              <w:pStyle w:val="TableColumnHeading"/>
              <w:ind w:right="28"/>
              <w:rPr>
                <w:sz w:val="18"/>
                <w:szCs w:val="18"/>
              </w:rPr>
            </w:pPr>
            <w:r w:rsidRPr="006156BE">
              <w:rPr>
                <w:sz w:val="18"/>
                <w:szCs w:val="18"/>
              </w:rPr>
              <w:t>2007-08</w:t>
            </w:r>
          </w:p>
        </w:tc>
        <w:tc>
          <w:tcPr>
            <w:tcW w:w="495" w:type="pct"/>
            <w:tcBorders>
              <w:top w:val="single" w:sz="6" w:space="0" w:color="auto"/>
              <w:bottom w:val="single" w:sz="6" w:space="0" w:color="auto"/>
            </w:tcBorders>
          </w:tcPr>
          <w:p w:rsidR="00731A0B" w:rsidRPr="006156BE" w:rsidRDefault="00731A0B" w:rsidP="005151A7">
            <w:pPr>
              <w:pStyle w:val="TableColumnHeading"/>
              <w:ind w:right="28"/>
              <w:rPr>
                <w:sz w:val="18"/>
                <w:szCs w:val="18"/>
              </w:rPr>
            </w:pPr>
            <w:r w:rsidRPr="006156BE">
              <w:rPr>
                <w:sz w:val="18"/>
                <w:szCs w:val="18"/>
              </w:rPr>
              <w:t>2008-09</w:t>
            </w:r>
          </w:p>
        </w:tc>
        <w:tc>
          <w:tcPr>
            <w:tcW w:w="495" w:type="pct"/>
            <w:tcBorders>
              <w:top w:val="single" w:sz="6" w:space="0" w:color="auto"/>
              <w:bottom w:val="single" w:sz="6" w:space="0" w:color="auto"/>
            </w:tcBorders>
            <w:shd w:val="clear" w:color="auto" w:fill="auto"/>
          </w:tcPr>
          <w:p w:rsidR="00731A0B" w:rsidRPr="006156BE" w:rsidRDefault="00731A0B" w:rsidP="005151A7">
            <w:pPr>
              <w:pStyle w:val="TableColumnHeading"/>
              <w:ind w:right="28"/>
              <w:rPr>
                <w:sz w:val="18"/>
                <w:szCs w:val="18"/>
              </w:rPr>
            </w:pPr>
            <w:r w:rsidRPr="006156BE">
              <w:rPr>
                <w:sz w:val="18"/>
                <w:szCs w:val="18"/>
              </w:rPr>
              <w:t>2009-10</w:t>
            </w:r>
          </w:p>
        </w:tc>
        <w:tc>
          <w:tcPr>
            <w:tcW w:w="495" w:type="pct"/>
            <w:tcBorders>
              <w:top w:val="single" w:sz="6" w:space="0" w:color="auto"/>
              <w:bottom w:val="single" w:sz="6" w:space="0" w:color="auto"/>
            </w:tcBorders>
            <w:shd w:val="clear" w:color="auto" w:fill="auto"/>
          </w:tcPr>
          <w:p w:rsidR="00731A0B" w:rsidRPr="006156BE" w:rsidRDefault="00731A0B" w:rsidP="005151A7">
            <w:pPr>
              <w:pStyle w:val="TableColumnHeading"/>
              <w:ind w:right="28"/>
              <w:rPr>
                <w:sz w:val="18"/>
                <w:szCs w:val="18"/>
              </w:rPr>
            </w:pPr>
            <w:r w:rsidRPr="006156BE">
              <w:rPr>
                <w:sz w:val="18"/>
                <w:szCs w:val="18"/>
              </w:rPr>
              <w:t>2010-11</w:t>
            </w:r>
          </w:p>
        </w:tc>
        <w:tc>
          <w:tcPr>
            <w:tcW w:w="488" w:type="pct"/>
            <w:tcBorders>
              <w:top w:val="single" w:sz="6" w:space="0" w:color="auto"/>
              <w:bottom w:val="single" w:sz="6" w:space="0" w:color="auto"/>
            </w:tcBorders>
            <w:shd w:val="clear" w:color="auto" w:fill="auto"/>
          </w:tcPr>
          <w:p w:rsidR="00731A0B" w:rsidRPr="006156BE" w:rsidRDefault="00731A0B" w:rsidP="005151A7">
            <w:pPr>
              <w:pStyle w:val="TableColumnHeading"/>
              <w:ind w:right="28"/>
              <w:rPr>
                <w:sz w:val="18"/>
                <w:szCs w:val="18"/>
              </w:rPr>
            </w:pPr>
            <w:r w:rsidRPr="006156BE">
              <w:rPr>
                <w:sz w:val="18"/>
                <w:szCs w:val="18"/>
              </w:rPr>
              <w:t>2011-12</w:t>
            </w:r>
          </w:p>
        </w:tc>
      </w:tr>
      <w:tr w:rsidR="00731A0B" w:rsidTr="005151A7">
        <w:trPr>
          <w:trHeight w:val="227"/>
        </w:trPr>
        <w:tc>
          <w:tcPr>
            <w:tcW w:w="1946" w:type="pct"/>
            <w:tcBorders>
              <w:top w:val="single" w:sz="6" w:space="0" w:color="auto"/>
            </w:tcBorders>
            <w:vAlign w:val="bottom"/>
          </w:tcPr>
          <w:p w:rsidR="00731A0B" w:rsidRPr="00DC145C" w:rsidRDefault="00731A0B" w:rsidP="005151A7">
            <w:pPr>
              <w:pStyle w:val="TableBodyText"/>
              <w:jc w:val="left"/>
              <w:rPr>
                <w:b/>
                <w:sz w:val="18"/>
                <w:szCs w:val="18"/>
              </w:rPr>
            </w:pPr>
            <w:r w:rsidRPr="00DC145C">
              <w:rPr>
                <w:b/>
                <w:sz w:val="18"/>
                <w:szCs w:val="18"/>
              </w:rPr>
              <w:t>Primary production</w:t>
            </w:r>
          </w:p>
        </w:tc>
        <w:tc>
          <w:tcPr>
            <w:tcW w:w="586" w:type="pct"/>
            <w:tcBorders>
              <w:top w:val="single" w:sz="6" w:space="0" w:color="auto"/>
            </w:tcBorders>
            <w:vAlign w:val="bottom"/>
          </w:tcPr>
          <w:p w:rsidR="00731A0B" w:rsidRPr="001B0626" w:rsidRDefault="00731A0B" w:rsidP="005151A7">
            <w:pPr>
              <w:pStyle w:val="TableBodyText"/>
              <w:rPr>
                <w:b/>
                <w:sz w:val="18"/>
                <w:szCs w:val="18"/>
              </w:rPr>
            </w:pPr>
            <w:r w:rsidRPr="001B0626">
              <w:rPr>
                <w:b/>
                <w:sz w:val="18"/>
                <w:szCs w:val="18"/>
              </w:rPr>
              <w:t>5.3</w:t>
            </w:r>
          </w:p>
        </w:tc>
        <w:tc>
          <w:tcPr>
            <w:tcW w:w="495" w:type="pct"/>
            <w:tcBorders>
              <w:top w:val="single" w:sz="6" w:space="0" w:color="auto"/>
            </w:tcBorders>
            <w:vAlign w:val="bottom"/>
          </w:tcPr>
          <w:p w:rsidR="00731A0B" w:rsidRPr="001B0626" w:rsidRDefault="00731A0B" w:rsidP="005151A7">
            <w:pPr>
              <w:pStyle w:val="TableBodyText"/>
              <w:rPr>
                <w:b/>
                <w:sz w:val="18"/>
                <w:szCs w:val="18"/>
              </w:rPr>
            </w:pPr>
            <w:r w:rsidRPr="001B0626">
              <w:rPr>
                <w:b/>
                <w:sz w:val="18"/>
                <w:szCs w:val="18"/>
              </w:rPr>
              <w:t>5.2</w:t>
            </w:r>
          </w:p>
        </w:tc>
        <w:tc>
          <w:tcPr>
            <w:tcW w:w="495" w:type="pct"/>
            <w:tcBorders>
              <w:top w:val="single" w:sz="6" w:space="0" w:color="auto"/>
            </w:tcBorders>
            <w:vAlign w:val="bottom"/>
          </w:tcPr>
          <w:p w:rsidR="00731A0B" w:rsidRPr="001B0626" w:rsidRDefault="00731A0B" w:rsidP="005151A7">
            <w:pPr>
              <w:pStyle w:val="TableBodyText"/>
              <w:rPr>
                <w:b/>
                <w:sz w:val="18"/>
                <w:szCs w:val="18"/>
              </w:rPr>
            </w:pPr>
            <w:r w:rsidRPr="001B0626">
              <w:rPr>
                <w:b/>
                <w:sz w:val="18"/>
                <w:szCs w:val="18"/>
              </w:rPr>
              <w:t>1.6</w:t>
            </w:r>
          </w:p>
        </w:tc>
        <w:tc>
          <w:tcPr>
            <w:tcW w:w="495" w:type="pct"/>
            <w:tcBorders>
              <w:top w:val="single" w:sz="6" w:space="0" w:color="auto"/>
            </w:tcBorders>
            <w:vAlign w:val="bottom"/>
          </w:tcPr>
          <w:p w:rsidR="00731A0B" w:rsidRPr="001B0626" w:rsidRDefault="00731A0B" w:rsidP="005151A7">
            <w:pPr>
              <w:pStyle w:val="TableBodyText"/>
              <w:rPr>
                <w:b/>
                <w:sz w:val="18"/>
                <w:szCs w:val="18"/>
              </w:rPr>
            </w:pPr>
            <w:r w:rsidRPr="001B0626">
              <w:rPr>
                <w:b/>
                <w:sz w:val="18"/>
                <w:szCs w:val="18"/>
              </w:rPr>
              <w:noBreakHyphen/>
            </w:r>
          </w:p>
        </w:tc>
        <w:tc>
          <w:tcPr>
            <w:tcW w:w="495" w:type="pct"/>
            <w:tcBorders>
              <w:top w:val="single" w:sz="6" w:space="0" w:color="auto"/>
            </w:tcBorders>
            <w:vAlign w:val="bottom"/>
          </w:tcPr>
          <w:p w:rsidR="00731A0B" w:rsidRPr="001B0626" w:rsidRDefault="00731A0B" w:rsidP="005151A7">
            <w:pPr>
              <w:pStyle w:val="TableBodyText"/>
              <w:rPr>
                <w:b/>
                <w:sz w:val="18"/>
                <w:szCs w:val="18"/>
              </w:rPr>
            </w:pPr>
            <w:r w:rsidRPr="001B0626">
              <w:rPr>
                <w:b/>
                <w:sz w:val="18"/>
                <w:szCs w:val="18"/>
              </w:rPr>
              <w:noBreakHyphen/>
            </w:r>
          </w:p>
        </w:tc>
        <w:tc>
          <w:tcPr>
            <w:tcW w:w="488" w:type="pct"/>
            <w:tcBorders>
              <w:top w:val="single" w:sz="6" w:space="0" w:color="auto"/>
            </w:tcBorders>
            <w:vAlign w:val="bottom"/>
          </w:tcPr>
          <w:p w:rsidR="00731A0B" w:rsidRPr="001B0626" w:rsidRDefault="00731A0B" w:rsidP="005151A7">
            <w:pPr>
              <w:pStyle w:val="TableBodyText"/>
              <w:rPr>
                <w:b/>
                <w:sz w:val="18"/>
                <w:szCs w:val="18"/>
              </w:rPr>
            </w:pPr>
            <w:r w:rsidRPr="001B0626">
              <w:rPr>
                <w:b/>
                <w:sz w:val="18"/>
                <w:szCs w:val="18"/>
              </w:rPr>
              <w:noBreakHyphen/>
            </w:r>
          </w:p>
        </w:tc>
      </w:tr>
      <w:tr w:rsidR="00731A0B" w:rsidTr="005151A7">
        <w:trPr>
          <w:trHeight w:val="227"/>
        </w:trPr>
        <w:tc>
          <w:tcPr>
            <w:tcW w:w="1946" w:type="pct"/>
            <w:vAlign w:val="bottom"/>
          </w:tcPr>
          <w:p w:rsidR="00731A0B" w:rsidRPr="007758AB" w:rsidRDefault="00731A0B" w:rsidP="005151A7">
            <w:pPr>
              <w:pStyle w:val="TableBodyText"/>
              <w:jc w:val="left"/>
              <w:rPr>
                <w:sz w:val="18"/>
                <w:szCs w:val="18"/>
              </w:rPr>
            </w:pPr>
            <w:r>
              <w:rPr>
                <w:sz w:val="18"/>
                <w:szCs w:val="18"/>
              </w:rPr>
              <w:t>Horticulture and fruit growing</w:t>
            </w:r>
          </w:p>
        </w:tc>
        <w:tc>
          <w:tcPr>
            <w:tcW w:w="586" w:type="pct"/>
            <w:vAlign w:val="bottom"/>
          </w:tcPr>
          <w:p w:rsidR="00731A0B" w:rsidRPr="001B0626" w:rsidRDefault="00731A0B" w:rsidP="005151A7">
            <w:pPr>
              <w:pStyle w:val="TableBodyText"/>
              <w:rPr>
                <w:sz w:val="18"/>
                <w:szCs w:val="18"/>
              </w:rPr>
            </w:pPr>
            <w:r w:rsidRPr="001B0626">
              <w:rPr>
                <w:sz w:val="18"/>
                <w:szCs w:val="18"/>
              </w:rPr>
              <w:t>3.0</w:t>
            </w:r>
          </w:p>
        </w:tc>
        <w:tc>
          <w:tcPr>
            <w:tcW w:w="495" w:type="pct"/>
            <w:vAlign w:val="bottom"/>
          </w:tcPr>
          <w:p w:rsidR="00731A0B" w:rsidRPr="001B0626" w:rsidRDefault="00731A0B" w:rsidP="005151A7">
            <w:pPr>
              <w:pStyle w:val="TableBodyText"/>
              <w:rPr>
                <w:sz w:val="18"/>
                <w:szCs w:val="18"/>
              </w:rPr>
            </w:pPr>
            <w:r w:rsidRPr="001B0626">
              <w:rPr>
                <w:sz w:val="18"/>
                <w:szCs w:val="18"/>
              </w:rPr>
              <w:t>2.8</w:t>
            </w:r>
          </w:p>
        </w:tc>
        <w:tc>
          <w:tcPr>
            <w:tcW w:w="495" w:type="pct"/>
            <w:vAlign w:val="bottom"/>
          </w:tcPr>
          <w:p w:rsidR="00731A0B" w:rsidRPr="001B0626" w:rsidRDefault="00731A0B" w:rsidP="005151A7">
            <w:pPr>
              <w:pStyle w:val="TableBodyText"/>
              <w:rPr>
                <w:sz w:val="18"/>
                <w:szCs w:val="18"/>
              </w:rPr>
            </w:pPr>
            <w:r w:rsidRPr="001B0626">
              <w:rPr>
                <w:sz w:val="18"/>
                <w:szCs w:val="18"/>
              </w:rPr>
              <w:t>0.9</w:t>
            </w:r>
          </w:p>
        </w:tc>
        <w:tc>
          <w:tcPr>
            <w:tcW w:w="495" w:type="pct"/>
            <w:vAlign w:val="bottom"/>
          </w:tcPr>
          <w:p w:rsidR="00731A0B" w:rsidRPr="001B0626" w:rsidRDefault="00731A0B" w:rsidP="005151A7">
            <w:pPr>
              <w:pStyle w:val="TableBodyText"/>
              <w:rPr>
                <w:sz w:val="18"/>
                <w:szCs w:val="18"/>
              </w:rPr>
            </w:pPr>
            <w:r>
              <w:rPr>
                <w:sz w:val="18"/>
                <w:szCs w:val="18"/>
              </w:rPr>
              <w:noBreakHyphen/>
            </w:r>
          </w:p>
        </w:tc>
        <w:tc>
          <w:tcPr>
            <w:tcW w:w="495" w:type="pct"/>
            <w:vAlign w:val="bottom"/>
          </w:tcPr>
          <w:p w:rsidR="00731A0B" w:rsidRPr="001B0626" w:rsidRDefault="00731A0B" w:rsidP="005151A7">
            <w:pPr>
              <w:pStyle w:val="TableBodyText"/>
              <w:rPr>
                <w:sz w:val="18"/>
                <w:szCs w:val="18"/>
              </w:rPr>
            </w:pPr>
            <w:r>
              <w:rPr>
                <w:sz w:val="18"/>
                <w:szCs w:val="18"/>
              </w:rPr>
              <w:noBreakHyphen/>
            </w:r>
          </w:p>
        </w:tc>
        <w:tc>
          <w:tcPr>
            <w:tcW w:w="488" w:type="pct"/>
            <w:vAlign w:val="bottom"/>
          </w:tcPr>
          <w:p w:rsidR="00731A0B" w:rsidRPr="001B0626" w:rsidRDefault="00731A0B" w:rsidP="005151A7">
            <w:pPr>
              <w:pStyle w:val="TableBodyText"/>
              <w:rPr>
                <w:sz w:val="18"/>
                <w:szCs w:val="18"/>
              </w:rPr>
            </w:pPr>
            <w:r>
              <w:rPr>
                <w:sz w:val="18"/>
                <w:szCs w:val="18"/>
              </w:rPr>
              <w:noBreakHyphen/>
            </w:r>
          </w:p>
        </w:tc>
      </w:tr>
      <w:tr w:rsidR="00731A0B" w:rsidTr="005151A7">
        <w:trPr>
          <w:trHeight w:val="227"/>
        </w:trPr>
        <w:tc>
          <w:tcPr>
            <w:tcW w:w="1946" w:type="pct"/>
            <w:vAlign w:val="bottom"/>
          </w:tcPr>
          <w:p w:rsidR="00731A0B" w:rsidRPr="007758AB" w:rsidRDefault="00731A0B" w:rsidP="005151A7">
            <w:pPr>
              <w:pStyle w:val="TableBodyText"/>
              <w:jc w:val="left"/>
              <w:rPr>
                <w:sz w:val="18"/>
                <w:szCs w:val="18"/>
              </w:rPr>
            </w:pPr>
            <w:r w:rsidRPr="007758AB">
              <w:rPr>
                <w:sz w:val="18"/>
                <w:szCs w:val="18"/>
              </w:rPr>
              <w:t>Sheep, beef cattle and grain farming</w:t>
            </w:r>
          </w:p>
        </w:tc>
        <w:tc>
          <w:tcPr>
            <w:tcW w:w="586" w:type="pct"/>
            <w:vAlign w:val="bottom"/>
          </w:tcPr>
          <w:p w:rsidR="00731A0B" w:rsidRPr="001B0626" w:rsidRDefault="00731A0B" w:rsidP="005151A7">
            <w:pPr>
              <w:pStyle w:val="TableBodyText"/>
              <w:rPr>
                <w:sz w:val="18"/>
                <w:szCs w:val="18"/>
              </w:rPr>
            </w:pPr>
            <w:r w:rsidRPr="001B0626">
              <w:rPr>
                <w:sz w:val="18"/>
                <w:szCs w:val="18"/>
              </w:rPr>
              <w:t>0.4</w:t>
            </w:r>
          </w:p>
        </w:tc>
        <w:tc>
          <w:tcPr>
            <w:tcW w:w="495" w:type="pct"/>
            <w:vAlign w:val="bottom"/>
          </w:tcPr>
          <w:p w:rsidR="00731A0B" w:rsidRPr="001B0626" w:rsidRDefault="00731A0B" w:rsidP="005151A7">
            <w:pPr>
              <w:pStyle w:val="TableBodyText"/>
              <w:rPr>
                <w:sz w:val="18"/>
                <w:szCs w:val="18"/>
              </w:rPr>
            </w:pPr>
            <w:r w:rsidRPr="001B0626">
              <w:rPr>
                <w:sz w:val="18"/>
                <w:szCs w:val="18"/>
              </w:rPr>
              <w:t>0.8</w:t>
            </w:r>
          </w:p>
        </w:tc>
        <w:tc>
          <w:tcPr>
            <w:tcW w:w="495" w:type="pct"/>
            <w:vAlign w:val="bottom"/>
          </w:tcPr>
          <w:p w:rsidR="00731A0B" w:rsidRPr="001B0626" w:rsidRDefault="00731A0B" w:rsidP="005151A7">
            <w:pPr>
              <w:pStyle w:val="TableBodyText"/>
              <w:rPr>
                <w:sz w:val="18"/>
                <w:szCs w:val="18"/>
              </w:rPr>
            </w:pPr>
            <w:r w:rsidRPr="001B0626">
              <w:rPr>
                <w:sz w:val="18"/>
                <w:szCs w:val="18"/>
              </w:rPr>
              <w:t>0.2</w:t>
            </w:r>
          </w:p>
        </w:tc>
        <w:tc>
          <w:tcPr>
            <w:tcW w:w="495" w:type="pct"/>
            <w:vAlign w:val="bottom"/>
          </w:tcPr>
          <w:p w:rsidR="00731A0B" w:rsidRPr="001B0626" w:rsidRDefault="00731A0B" w:rsidP="005151A7">
            <w:pPr>
              <w:pStyle w:val="TableBodyText"/>
              <w:rPr>
                <w:sz w:val="18"/>
                <w:szCs w:val="18"/>
              </w:rPr>
            </w:pPr>
            <w:r>
              <w:rPr>
                <w:sz w:val="18"/>
                <w:szCs w:val="18"/>
              </w:rPr>
              <w:noBreakHyphen/>
            </w:r>
          </w:p>
        </w:tc>
        <w:tc>
          <w:tcPr>
            <w:tcW w:w="495" w:type="pct"/>
            <w:vAlign w:val="bottom"/>
          </w:tcPr>
          <w:p w:rsidR="00731A0B" w:rsidRPr="001B0626" w:rsidRDefault="00731A0B" w:rsidP="005151A7">
            <w:pPr>
              <w:pStyle w:val="TableBodyText"/>
              <w:rPr>
                <w:sz w:val="18"/>
                <w:szCs w:val="18"/>
              </w:rPr>
            </w:pPr>
            <w:r>
              <w:rPr>
                <w:sz w:val="18"/>
                <w:szCs w:val="18"/>
              </w:rPr>
              <w:noBreakHyphen/>
            </w:r>
          </w:p>
        </w:tc>
        <w:tc>
          <w:tcPr>
            <w:tcW w:w="488" w:type="pct"/>
            <w:vAlign w:val="bottom"/>
          </w:tcPr>
          <w:p w:rsidR="00731A0B" w:rsidRPr="001B0626" w:rsidRDefault="00731A0B" w:rsidP="005151A7">
            <w:pPr>
              <w:pStyle w:val="TableBodyText"/>
              <w:rPr>
                <w:sz w:val="18"/>
                <w:szCs w:val="18"/>
              </w:rPr>
            </w:pPr>
            <w:r>
              <w:rPr>
                <w:sz w:val="18"/>
                <w:szCs w:val="18"/>
              </w:rPr>
              <w:noBreakHyphen/>
            </w:r>
          </w:p>
        </w:tc>
      </w:tr>
      <w:tr w:rsidR="00731A0B" w:rsidTr="005151A7">
        <w:trPr>
          <w:trHeight w:val="227"/>
        </w:trPr>
        <w:tc>
          <w:tcPr>
            <w:tcW w:w="1946" w:type="pct"/>
            <w:vAlign w:val="bottom"/>
          </w:tcPr>
          <w:p w:rsidR="00731A0B" w:rsidRPr="007758AB" w:rsidRDefault="00731A0B" w:rsidP="005151A7">
            <w:pPr>
              <w:pStyle w:val="TableBodyText"/>
              <w:jc w:val="left"/>
              <w:rPr>
                <w:sz w:val="18"/>
                <w:szCs w:val="18"/>
              </w:rPr>
            </w:pPr>
            <w:r>
              <w:rPr>
                <w:sz w:val="18"/>
                <w:szCs w:val="18"/>
              </w:rPr>
              <w:t>Other livestock farming</w:t>
            </w:r>
          </w:p>
        </w:tc>
        <w:tc>
          <w:tcPr>
            <w:tcW w:w="586" w:type="pct"/>
            <w:vAlign w:val="bottom"/>
          </w:tcPr>
          <w:p w:rsidR="00731A0B" w:rsidRPr="001B0626" w:rsidRDefault="00731A0B" w:rsidP="005151A7">
            <w:pPr>
              <w:pStyle w:val="TableBodyText"/>
              <w:rPr>
                <w:sz w:val="18"/>
                <w:szCs w:val="18"/>
              </w:rPr>
            </w:pPr>
            <w:r w:rsidRPr="001B0626">
              <w:rPr>
                <w:sz w:val="18"/>
                <w:szCs w:val="18"/>
              </w:rPr>
              <w:t>1.0</w:t>
            </w:r>
          </w:p>
        </w:tc>
        <w:tc>
          <w:tcPr>
            <w:tcW w:w="495" w:type="pct"/>
            <w:vAlign w:val="bottom"/>
          </w:tcPr>
          <w:p w:rsidR="00731A0B" w:rsidRPr="001B0626" w:rsidRDefault="00731A0B" w:rsidP="005151A7">
            <w:pPr>
              <w:pStyle w:val="TableBodyText"/>
              <w:rPr>
                <w:sz w:val="18"/>
                <w:szCs w:val="18"/>
              </w:rPr>
            </w:pPr>
            <w:r w:rsidRPr="001B0626">
              <w:rPr>
                <w:sz w:val="18"/>
                <w:szCs w:val="18"/>
              </w:rPr>
              <w:t>1.0</w:t>
            </w:r>
          </w:p>
        </w:tc>
        <w:tc>
          <w:tcPr>
            <w:tcW w:w="495" w:type="pct"/>
            <w:vAlign w:val="bottom"/>
          </w:tcPr>
          <w:p w:rsidR="00731A0B" w:rsidRPr="001B0626" w:rsidRDefault="00731A0B" w:rsidP="005151A7">
            <w:pPr>
              <w:pStyle w:val="TableBodyText"/>
              <w:rPr>
                <w:sz w:val="18"/>
                <w:szCs w:val="18"/>
              </w:rPr>
            </w:pPr>
            <w:r w:rsidRPr="001B0626">
              <w:rPr>
                <w:sz w:val="18"/>
                <w:szCs w:val="18"/>
              </w:rPr>
              <w:t>0.3</w:t>
            </w:r>
          </w:p>
        </w:tc>
        <w:tc>
          <w:tcPr>
            <w:tcW w:w="495" w:type="pct"/>
            <w:shd w:val="clear" w:color="auto" w:fill="auto"/>
            <w:vAlign w:val="bottom"/>
          </w:tcPr>
          <w:p w:rsidR="00731A0B" w:rsidRPr="001B0626" w:rsidRDefault="00731A0B" w:rsidP="005151A7">
            <w:pPr>
              <w:pStyle w:val="TableBodyText"/>
              <w:rPr>
                <w:sz w:val="18"/>
                <w:szCs w:val="18"/>
              </w:rPr>
            </w:pPr>
            <w:r>
              <w:rPr>
                <w:sz w:val="18"/>
                <w:szCs w:val="18"/>
              </w:rPr>
              <w:noBreakHyphen/>
            </w:r>
          </w:p>
        </w:tc>
        <w:tc>
          <w:tcPr>
            <w:tcW w:w="495" w:type="pct"/>
            <w:shd w:val="clear" w:color="auto" w:fill="auto"/>
            <w:vAlign w:val="bottom"/>
          </w:tcPr>
          <w:p w:rsidR="00731A0B" w:rsidRPr="001B0626" w:rsidRDefault="00731A0B" w:rsidP="005151A7">
            <w:pPr>
              <w:pStyle w:val="TableBodyText"/>
              <w:rPr>
                <w:sz w:val="18"/>
                <w:szCs w:val="18"/>
              </w:rPr>
            </w:pPr>
            <w:r>
              <w:rPr>
                <w:sz w:val="18"/>
                <w:szCs w:val="18"/>
              </w:rPr>
              <w:noBreakHyphen/>
            </w:r>
          </w:p>
        </w:tc>
        <w:tc>
          <w:tcPr>
            <w:tcW w:w="488" w:type="pct"/>
            <w:shd w:val="clear" w:color="auto" w:fill="auto"/>
            <w:vAlign w:val="bottom"/>
          </w:tcPr>
          <w:p w:rsidR="00731A0B" w:rsidRPr="001B0626" w:rsidRDefault="00731A0B" w:rsidP="005151A7">
            <w:pPr>
              <w:pStyle w:val="TableBodyText"/>
              <w:rPr>
                <w:sz w:val="18"/>
                <w:szCs w:val="18"/>
              </w:rPr>
            </w:pPr>
            <w:r>
              <w:rPr>
                <w:sz w:val="18"/>
                <w:szCs w:val="18"/>
              </w:rPr>
              <w:noBreakHyphen/>
            </w:r>
          </w:p>
        </w:tc>
      </w:tr>
      <w:tr w:rsidR="00731A0B" w:rsidTr="005151A7">
        <w:trPr>
          <w:trHeight w:val="227"/>
        </w:trPr>
        <w:tc>
          <w:tcPr>
            <w:tcW w:w="1946" w:type="pct"/>
            <w:vAlign w:val="bottom"/>
          </w:tcPr>
          <w:p w:rsidR="00731A0B" w:rsidRPr="007758AB" w:rsidRDefault="00731A0B" w:rsidP="005151A7">
            <w:pPr>
              <w:pStyle w:val="TableBodyText"/>
              <w:jc w:val="left"/>
              <w:rPr>
                <w:sz w:val="18"/>
                <w:szCs w:val="18"/>
              </w:rPr>
            </w:pPr>
            <w:r>
              <w:rPr>
                <w:sz w:val="18"/>
                <w:szCs w:val="18"/>
              </w:rPr>
              <w:t>Aquaculture and fishing</w:t>
            </w:r>
          </w:p>
        </w:tc>
        <w:tc>
          <w:tcPr>
            <w:tcW w:w="586" w:type="pct"/>
            <w:vAlign w:val="bottom"/>
          </w:tcPr>
          <w:p w:rsidR="00731A0B" w:rsidRPr="001B0626" w:rsidRDefault="00731A0B" w:rsidP="005151A7">
            <w:pPr>
              <w:pStyle w:val="TableBodyText"/>
              <w:rPr>
                <w:sz w:val="18"/>
                <w:szCs w:val="18"/>
              </w:rPr>
            </w:pPr>
            <w:r w:rsidRPr="001B0626">
              <w:rPr>
                <w:sz w:val="18"/>
                <w:szCs w:val="18"/>
              </w:rPr>
              <w:t>0.5</w:t>
            </w:r>
          </w:p>
        </w:tc>
        <w:tc>
          <w:tcPr>
            <w:tcW w:w="495" w:type="pct"/>
            <w:vAlign w:val="bottom"/>
          </w:tcPr>
          <w:p w:rsidR="00731A0B" w:rsidRPr="001B0626" w:rsidRDefault="00731A0B" w:rsidP="005151A7">
            <w:pPr>
              <w:pStyle w:val="TableBodyText"/>
              <w:rPr>
                <w:sz w:val="18"/>
                <w:szCs w:val="18"/>
              </w:rPr>
            </w:pPr>
            <w:r w:rsidRPr="001B0626">
              <w:rPr>
                <w:sz w:val="18"/>
                <w:szCs w:val="18"/>
              </w:rPr>
              <w:t>0.2</w:t>
            </w:r>
          </w:p>
        </w:tc>
        <w:tc>
          <w:tcPr>
            <w:tcW w:w="495" w:type="pct"/>
            <w:vAlign w:val="bottom"/>
          </w:tcPr>
          <w:p w:rsidR="00731A0B" w:rsidRPr="001B0626" w:rsidRDefault="00731A0B" w:rsidP="005151A7">
            <w:pPr>
              <w:pStyle w:val="TableBodyText"/>
              <w:rPr>
                <w:sz w:val="18"/>
                <w:szCs w:val="18"/>
              </w:rPr>
            </w:pPr>
            <w:r>
              <w:rPr>
                <w:sz w:val="18"/>
                <w:szCs w:val="18"/>
              </w:rPr>
              <w:t>&lt;</w:t>
            </w:r>
            <w:r w:rsidRPr="001B0626">
              <w:rPr>
                <w:sz w:val="18"/>
                <w:szCs w:val="18"/>
              </w:rPr>
              <w:t>0.1</w:t>
            </w:r>
          </w:p>
        </w:tc>
        <w:tc>
          <w:tcPr>
            <w:tcW w:w="495" w:type="pct"/>
            <w:shd w:val="clear" w:color="auto" w:fill="auto"/>
            <w:vAlign w:val="bottom"/>
          </w:tcPr>
          <w:p w:rsidR="00731A0B" w:rsidRPr="001B0626" w:rsidRDefault="00731A0B" w:rsidP="005151A7">
            <w:pPr>
              <w:pStyle w:val="TableBodyText"/>
              <w:rPr>
                <w:sz w:val="18"/>
                <w:szCs w:val="18"/>
              </w:rPr>
            </w:pPr>
            <w:r>
              <w:rPr>
                <w:sz w:val="18"/>
                <w:szCs w:val="18"/>
              </w:rPr>
              <w:noBreakHyphen/>
            </w:r>
          </w:p>
        </w:tc>
        <w:tc>
          <w:tcPr>
            <w:tcW w:w="495" w:type="pct"/>
            <w:shd w:val="clear" w:color="auto" w:fill="auto"/>
            <w:vAlign w:val="bottom"/>
          </w:tcPr>
          <w:p w:rsidR="00731A0B" w:rsidRPr="001B0626" w:rsidRDefault="00731A0B" w:rsidP="005151A7">
            <w:pPr>
              <w:pStyle w:val="TableBodyText"/>
              <w:rPr>
                <w:sz w:val="18"/>
                <w:szCs w:val="18"/>
              </w:rPr>
            </w:pPr>
            <w:r>
              <w:rPr>
                <w:sz w:val="18"/>
                <w:szCs w:val="18"/>
              </w:rPr>
              <w:noBreakHyphen/>
            </w:r>
          </w:p>
        </w:tc>
        <w:tc>
          <w:tcPr>
            <w:tcW w:w="488" w:type="pct"/>
            <w:shd w:val="clear" w:color="auto" w:fill="auto"/>
            <w:vAlign w:val="bottom"/>
          </w:tcPr>
          <w:p w:rsidR="00731A0B" w:rsidRPr="001B0626" w:rsidRDefault="00731A0B" w:rsidP="005151A7">
            <w:pPr>
              <w:pStyle w:val="TableBodyText"/>
              <w:rPr>
                <w:sz w:val="18"/>
                <w:szCs w:val="18"/>
              </w:rPr>
            </w:pPr>
            <w:r>
              <w:rPr>
                <w:sz w:val="18"/>
                <w:szCs w:val="18"/>
              </w:rPr>
              <w:noBreakHyphen/>
            </w:r>
          </w:p>
        </w:tc>
      </w:tr>
      <w:tr w:rsidR="00731A0B" w:rsidTr="005151A7">
        <w:trPr>
          <w:trHeight w:val="227"/>
        </w:trPr>
        <w:tc>
          <w:tcPr>
            <w:tcW w:w="1946" w:type="pct"/>
            <w:vAlign w:val="bottom"/>
          </w:tcPr>
          <w:p w:rsidR="00731A0B" w:rsidRPr="007758AB" w:rsidRDefault="00731A0B" w:rsidP="005151A7">
            <w:pPr>
              <w:pStyle w:val="TableBodyText"/>
              <w:jc w:val="left"/>
              <w:rPr>
                <w:sz w:val="18"/>
                <w:szCs w:val="18"/>
              </w:rPr>
            </w:pPr>
            <w:r>
              <w:rPr>
                <w:sz w:val="18"/>
                <w:szCs w:val="18"/>
              </w:rPr>
              <w:t>Forestry and logging</w:t>
            </w:r>
          </w:p>
        </w:tc>
        <w:tc>
          <w:tcPr>
            <w:tcW w:w="586" w:type="pct"/>
            <w:vAlign w:val="bottom"/>
          </w:tcPr>
          <w:p w:rsidR="00731A0B" w:rsidRPr="001B0626" w:rsidRDefault="00731A0B" w:rsidP="005151A7">
            <w:pPr>
              <w:pStyle w:val="TableBodyText"/>
              <w:rPr>
                <w:sz w:val="18"/>
                <w:szCs w:val="18"/>
              </w:rPr>
            </w:pPr>
            <w:r w:rsidRPr="001B0626">
              <w:rPr>
                <w:sz w:val="18"/>
                <w:szCs w:val="18"/>
              </w:rPr>
              <w:t>0.4</w:t>
            </w:r>
          </w:p>
        </w:tc>
        <w:tc>
          <w:tcPr>
            <w:tcW w:w="495" w:type="pct"/>
            <w:vAlign w:val="bottom"/>
          </w:tcPr>
          <w:p w:rsidR="00731A0B" w:rsidRPr="001B0626" w:rsidRDefault="00731A0B" w:rsidP="005151A7">
            <w:pPr>
              <w:pStyle w:val="TableBodyText"/>
              <w:rPr>
                <w:sz w:val="18"/>
                <w:szCs w:val="18"/>
              </w:rPr>
            </w:pPr>
            <w:r>
              <w:rPr>
                <w:sz w:val="18"/>
                <w:szCs w:val="18"/>
              </w:rPr>
              <w:t>&lt;</w:t>
            </w:r>
            <w:r w:rsidRPr="001B0626">
              <w:rPr>
                <w:sz w:val="18"/>
                <w:szCs w:val="18"/>
              </w:rPr>
              <w:t>0.1</w:t>
            </w:r>
          </w:p>
        </w:tc>
        <w:tc>
          <w:tcPr>
            <w:tcW w:w="495" w:type="pct"/>
            <w:vAlign w:val="bottom"/>
          </w:tcPr>
          <w:p w:rsidR="00731A0B" w:rsidRPr="001B0626" w:rsidRDefault="00731A0B" w:rsidP="005151A7">
            <w:pPr>
              <w:pStyle w:val="TableBodyText"/>
              <w:rPr>
                <w:sz w:val="18"/>
                <w:szCs w:val="18"/>
              </w:rPr>
            </w:pPr>
            <w:r>
              <w:rPr>
                <w:sz w:val="18"/>
                <w:szCs w:val="18"/>
              </w:rPr>
              <w:t>&lt;</w:t>
            </w:r>
            <w:r w:rsidRPr="00E17EEF">
              <w:rPr>
                <w:sz w:val="18"/>
                <w:szCs w:val="18"/>
              </w:rPr>
              <w:t>0.</w:t>
            </w:r>
            <w:r>
              <w:rPr>
                <w:sz w:val="18"/>
                <w:szCs w:val="18"/>
              </w:rPr>
              <w:t>1</w:t>
            </w:r>
          </w:p>
        </w:tc>
        <w:tc>
          <w:tcPr>
            <w:tcW w:w="495" w:type="pct"/>
            <w:shd w:val="clear" w:color="auto" w:fill="auto"/>
            <w:vAlign w:val="bottom"/>
          </w:tcPr>
          <w:p w:rsidR="00731A0B" w:rsidRPr="001B0626" w:rsidRDefault="00731A0B" w:rsidP="005151A7">
            <w:pPr>
              <w:pStyle w:val="TableBodyText"/>
              <w:rPr>
                <w:sz w:val="18"/>
                <w:szCs w:val="18"/>
              </w:rPr>
            </w:pPr>
            <w:r>
              <w:rPr>
                <w:sz w:val="18"/>
                <w:szCs w:val="18"/>
              </w:rPr>
              <w:noBreakHyphen/>
            </w:r>
          </w:p>
        </w:tc>
        <w:tc>
          <w:tcPr>
            <w:tcW w:w="495" w:type="pct"/>
            <w:shd w:val="clear" w:color="auto" w:fill="auto"/>
            <w:vAlign w:val="bottom"/>
          </w:tcPr>
          <w:p w:rsidR="00731A0B" w:rsidRPr="001B0626" w:rsidRDefault="00731A0B" w:rsidP="005151A7">
            <w:pPr>
              <w:pStyle w:val="TableBodyText"/>
              <w:rPr>
                <w:sz w:val="18"/>
                <w:szCs w:val="18"/>
              </w:rPr>
            </w:pPr>
            <w:r>
              <w:rPr>
                <w:sz w:val="18"/>
                <w:szCs w:val="18"/>
              </w:rPr>
              <w:noBreakHyphen/>
            </w:r>
          </w:p>
        </w:tc>
        <w:tc>
          <w:tcPr>
            <w:tcW w:w="488" w:type="pct"/>
            <w:shd w:val="clear" w:color="auto" w:fill="auto"/>
            <w:vAlign w:val="bottom"/>
          </w:tcPr>
          <w:p w:rsidR="00731A0B" w:rsidRPr="001B0626" w:rsidRDefault="00731A0B" w:rsidP="005151A7">
            <w:pPr>
              <w:pStyle w:val="TableBodyText"/>
              <w:rPr>
                <w:sz w:val="18"/>
                <w:szCs w:val="18"/>
              </w:rPr>
            </w:pPr>
            <w:r>
              <w:rPr>
                <w:sz w:val="18"/>
                <w:szCs w:val="18"/>
              </w:rPr>
              <w:noBreakHyphen/>
            </w:r>
          </w:p>
        </w:tc>
      </w:tr>
      <w:tr w:rsidR="00731A0B" w:rsidTr="005151A7">
        <w:trPr>
          <w:trHeight w:val="227"/>
        </w:trPr>
        <w:tc>
          <w:tcPr>
            <w:tcW w:w="1946" w:type="pct"/>
            <w:vAlign w:val="bottom"/>
          </w:tcPr>
          <w:p w:rsidR="00731A0B" w:rsidRPr="007758AB" w:rsidRDefault="00731A0B" w:rsidP="005151A7">
            <w:pPr>
              <w:pStyle w:val="TableBodyText"/>
              <w:jc w:val="left"/>
              <w:rPr>
                <w:sz w:val="18"/>
                <w:szCs w:val="18"/>
              </w:rPr>
            </w:pPr>
            <w:r>
              <w:rPr>
                <w:sz w:val="18"/>
                <w:szCs w:val="18"/>
              </w:rPr>
              <w:t>Unallocated primary production</w:t>
            </w:r>
            <w:r w:rsidRPr="009B56F1">
              <w:rPr>
                <w:rStyle w:val="NoteLabel"/>
              </w:rPr>
              <w:t>a</w:t>
            </w:r>
          </w:p>
        </w:tc>
        <w:tc>
          <w:tcPr>
            <w:tcW w:w="586" w:type="pct"/>
            <w:vAlign w:val="bottom"/>
          </w:tcPr>
          <w:p w:rsidR="00731A0B" w:rsidRPr="001B0626" w:rsidRDefault="00731A0B" w:rsidP="005151A7">
            <w:pPr>
              <w:pStyle w:val="TableBodyText"/>
              <w:rPr>
                <w:sz w:val="18"/>
                <w:szCs w:val="18"/>
              </w:rPr>
            </w:pPr>
            <w:r>
              <w:rPr>
                <w:sz w:val="18"/>
                <w:szCs w:val="18"/>
              </w:rPr>
              <w:noBreakHyphen/>
            </w:r>
          </w:p>
        </w:tc>
        <w:tc>
          <w:tcPr>
            <w:tcW w:w="495" w:type="pct"/>
            <w:vAlign w:val="bottom"/>
          </w:tcPr>
          <w:p w:rsidR="00731A0B" w:rsidRPr="001B0626" w:rsidRDefault="00731A0B" w:rsidP="005151A7">
            <w:pPr>
              <w:pStyle w:val="TableBodyText"/>
              <w:rPr>
                <w:sz w:val="18"/>
                <w:szCs w:val="18"/>
              </w:rPr>
            </w:pPr>
            <w:r w:rsidRPr="001B0626">
              <w:rPr>
                <w:sz w:val="18"/>
                <w:szCs w:val="18"/>
              </w:rPr>
              <w:t>0.3</w:t>
            </w:r>
          </w:p>
        </w:tc>
        <w:tc>
          <w:tcPr>
            <w:tcW w:w="495" w:type="pct"/>
            <w:vAlign w:val="bottom"/>
          </w:tcPr>
          <w:p w:rsidR="00731A0B" w:rsidRPr="001B0626" w:rsidRDefault="00731A0B" w:rsidP="005151A7">
            <w:pPr>
              <w:pStyle w:val="TableBodyText"/>
              <w:rPr>
                <w:sz w:val="18"/>
                <w:szCs w:val="18"/>
              </w:rPr>
            </w:pPr>
            <w:r w:rsidRPr="001B0626">
              <w:rPr>
                <w:sz w:val="18"/>
                <w:szCs w:val="18"/>
              </w:rPr>
              <w:t>0.1</w:t>
            </w:r>
          </w:p>
        </w:tc>
        <w:tc>
          <w:tcPr>
            <w:tcW w:w="495" w:type="pct"/>
            <w:shd w:val="clear" w:color="auto" w:fill="auto"/>
            <w:vAlign w:val="bottom"/>
          </w:tcPr>
          <w:p w:rsidR="00731A0B" w:rsidRPr="001B0626" w:rsidRDefault="00731A0B" w:rsidP="005151A7">
            <w:pPr>
              <w:pStyle w:val="TableBodyText"/>
              <w:rPr>
                <w:sz w:val="18"/>
                <w:szCs w:val="18"/>
              </w:rPr>
            </w:pPr>
            <w:r>
              <w:rPr>
                <w:sz w:val="18"/>
                <w:szCs w:val="18"/>
              </w:rPr>
              <w:noBreakHyphen/>
            </w:r>
          </w:p>
        </w:tc>
        <w:tc>
          <w:tcPr>
            <w:tcW w:w="495" w:type="pct"/>
            <w:shd w:val="clear" w:color="auto" w:fill="auto"/>
            <w:vAlign w:val="bottom"/>
          </w:tcPr>
          <w:p w:rsidR="00731A0B" w:rsidRPr="001B0626" w:rsidRDefault="00731A0B" w:rsidP="005151A7">
            <w:pPr>
              <w:pStyle w:val="TableBodyText"/>
              <w:rPr>
                <w:sz w:val="18"/>
                <w:szCs w:val="18"/>
              </w:rPr>
            </w:pPr>
            <w:r>
              <w:rPr>
                <w:sz w:val="18"/>
                <w:szCs w:val="18"/>
              </w:rPr>
              <w:noBreakHyphen/>
            </w:r>
          </w:p>
        </w:tc>
        <w:tc>
          <w:tcPr>
            <w:tcW w:w="488" w:type="pct"/>
            <w:shd w:val="clear" w:color="auto" w:fill="auto"/>
            <w:vAlign w:val="bottom"/>
          </w:tcPr>
          <w:p w:rsidR="00731A0B" w:rsidRPr="001B0626" w:rsidRDefault="00731A0B" w:rsidP="005151A7">
            <w:pPr>
              <w:pStyle w:val="TableBodyText"/>
              <w:rPr>
                <w:sz w:val="18"/>
                <w:szCs w:val="18"/>
              </w:rPr>
            </w:pPr>
            <w:r>
              <w:rPr>
                <w:sz w:val="18"/>
                <w:szCs w:val="18"/>
              </w:rPr>
              <w:noBreakHyphen/>
            </w:r>
          </w:p>
        </w:tc>
      </w:tr>
      <w:tr w:rsidR="00731A0B" w:rsidTr="005151A7">
        <w:trPr>
          <w:trHeight w:val="227"/>
        </w:trPr>
        <w:tc>
          <w:tcPr>
            <w:tcW w:w="1946" w:type="pct"/>
            <w:tcBorders>
              <w:bottom w:val="single" w:sz="4" w:space="0" w:color="auto"/>
            </w:tcBorders>
            <w:vAlign w:val="bottom"/>
          </w:tcPr>
          <w:p w:rsidR="00731A0B" w:rsidRPr="007758AB" w:rsidRDefault="00731A0B" w:rsidP="005151A7">
            <w:pPr>
              <w:pStyle w:val="TableBodyText"/>
              <w:jc w:val="left"/>
              <w:rPr>
                <w:b/>
                <w:bCs/>
                <w:sz w:val="18"/>
                <w:szCs w:val="18"/>
              </w:rPr>
            </w:pPr>
            <w:r w:rsidRPr="007758AB">
              <w:rPr>
                <w:b/>
                <w:bCs/>
                <w:sz w:val="18"/>
                <w:szCs w:val="18"/>
              </w:rPr>
              <w:t>Total</w:t>
            </w:r>
          </w:p>
        </w:tc>
        <w:tc>
          <w:tcPr>
            <w:tcW w:w="586" w:type="pct"/>
            <w:tcBorders>
              <w:bottom w:val="single" w:sz="4" w:space="0" w:color="auto"/>
            </w:tcBorders>
            <w:vAlign w:val="bottom"/>
          </w:tcPr>
          <w:p w:rsidR="00731A0B" w:rsidRPr="001B0626" w:rsidRDefault="00731A0B" w:rsidP="005151A7">
            <w:pPr>
              <w:pStyle w:val="TableBodyText"/>
              <w:rPr>
                <w:b/>
                <w:sz w:val="18"/>
                <w:szCs w:val="18"/>
              </w:rPr>
            </w:pPr>
            <w:r w:rsidRPr="001B0626">
              <w:rPr>
                <w:b/>
                <w:sz w:val="18"/>
                <w:szCs w:val="18"/>
              </w:rPr>
              <w:t>5.3</w:t>
            </w:r>
          </w:p>
        </w:tc>
        <w:tc>
          <w:tcPr>
            <w:tcW w:w="495" w:type="pct"/>
            <w:tcBorders>
              <w:bottom w:val="single" w:sz="4" w:space="0" w:color="auto"/>
            </w:tcBorders>
            <w:vAlign w:val="bottom"/>
          </w:tcPr>
          <w:p w:rsidR="00731A0B" w:rsidRPr="001B0626" w:rsidRDefault="00731A0B" w:rsidP="005151A7">
            <w:pPr>
              <w:pStyle w:val="TableBodyText"/>
              <w:rPr>
                <w:b/>
                <w:sz w:val="18"/>
                <w:szCs w:val="18"/>
              </w:rPr>
            </w:pPr>
            <w:r w:rsidRPr="001B0626">
              <w:rPr>
                <w:b/>
                <w:sz w:val="18"/>
                <w:szCs w:val="18"/>
              </w:rPr>
              <w:t>5.2</w:t>
            </w:r>
          </w:p>
        </w:tc>
        <w:tc>
          <w:tcPr>
            <w:tcW w:w="495" w:type="pct"/>
            <w:tcBorders>
              <w:bottom w:val="single" w:sz="4" w:space="0" w:color="auto"/>
            </w:tcBorders>
            <w:vAlign w:val="bottom"/>
          </w:tcPr>
          <w:p w:rsidR="00731A0B" w:rsidRPr="001B0626" w:rsidRDefault="00731A0B" w:rsidP="005151A7">
            <w:pPr>
              <w:pStyle w:val="TableBodyText"/>
              <w:rPr>
                <w:b/>
                <w:sz w:val="18"/>
                <w:szCs w:val="18"/>
              </w:rPr>
            </w:pPr>
            <w:r w:rsidRPr="001B0626">
              <w:rPr>
                <w:b/>
                <w:sz w:val="18"/>
                <w:szCs w:val="18"/>
              </w:rPr>
              <w:t>1.6</w:t>
            </w:r>
          </w:p>
        </w:tc>
        <w:tc>
          <w:tcPr>
            <w:tcW w:w="495" w:type="pct"/>
            <w:tcBorders>
              <w:bottom w:val="single" w:sz="4" w:space="0" w:color="auto"/>
            </w:tcBorders>
            <w:shd w:val="clear" w:color="auto" w:fill="auto"/>
            <w:vAlign w:val="bottom"/>
          </w:tcPr>
          <w:p w:rsidR="00731A0B" w:rsidRPr="001B0626" w:rsidRDefault="00731A0B" w:rsidP="005151A7">
            <w:pPr>
              <w:pStyle w:val="TableBodyText"/>
              <w:rPr>
                <w:b/>
                <w:sz w:val="18"/>
                <w:szCs w:val="18"/>
              </w:rPr>
            </w:pPr>
            <w:r w:rsidRPr="001B0626">
              <w:rPr>
                <w:b/>
                <w:sz w:val="18"/>
                <w:szCs w:val="18"/>
              </w:rPr>
              <w:noBreakHyphen/>
            </w:r>
          </w:p>
        </w:tc>
        <w:tc>
          <w:tcPr>
            <w:tcW w:w="495" w:type="pct"/>
            <w:tcBorders>
              <w:bottom w:val="single" w:sz="4" w:space="0" w:color="auto"/>
            </w:tcBorders>
            <w:shd w:val="clear" w:color="auto" w:fill="auto"/>
            <w:vAlign w:val="bottom"/>
          </w:tcPr>
          <w:p w:rsidR="00731A0B" w:rsidRPr="001B0626" w:rsidRDefault="00731A0B" w:rsidP="005151A7">
            <w:pPr>
              <w:pStyle w:val="TableBodyText"/>
              <w:rPr>
                <w:b/>
                <w:sz w:val="18"/>
                <w:szCs w:val="18"/>
              </w:rPr>
            </w:pPr>
            <w:r w:rsidRPr="001B0626">
              <w:rPr>
                <w:b/>
                <w:sz w:val="18"/>
                <w:szCs w:val="18"/>
              </w:rPr>
              <w:noBreakHyphen/>
            </w:r>
          </w:p>
        </w:tc>
        <w:tc>
          <w:tcPr>
            <w:tcW w:w="488" w:type="pct"/>
            <w:tcBorders>
              <w:bottom w:val="single" w:sz="4" w:space="0" w:color="auto"/>
            </w:tcBorders>
            <w:shd w:val="clear" w:color="auto" w:fill="auto"/>
            <w:vAlign w:val="bottom"/>
          </w:tcPr>
          <w:p w:rsidR="00731A0B" w:rsidRPr="001B0626" w:rsidRDefault="00731A0B" w:rsidP="005151A7">
            <w:pPr>
              <w:pStyle w:val="TableBodyText"/>
              <w:rPr>
                <w:b/>
                <w:sz w:val="18"/>
                <w:szCs w:val="18"/>
              </w:rPr>
            </w:pPr>
            <w:r w:rsidRPr="001B0626">
              <w:rPr>
                <w:b/>
                <w:sz w:val="18"/>
                <w:szCs w:val="18"/>
              </w:rPr>
              <w:noBreakHyphen/>
            </w:r>
          </w:p>
        </w:tc>
      </w:tr>
    </w:tbl>
    <w:p w:rsidR="00731A0B" w:rsidRDefault="00731A0B" w:rsidP="00731A0B">
      <w:pPr>
        <w:pStyle w:val="Source"/>
        <w:spacing w:after="0"/>
        <w:rPr>
          <w:i/>
        </w:rPr>
      </w:pPr>
      <w:r w:rsidRPr="00A2379F">
        <w:noBreakHyphen/>
        <w:t xml:space="preserve"> </w:t>
      </w:r>
      <w:r>
        <w:t>Nil</w:t>
      </w:r>
      <w:r w:rsidRPr="00A2379F">
        <w:t>.</w:t>
      </w:r>
      <w:r>
        <w:t xml:space="preserve"> </w:t>
      </w:r>
      <w:r w:rsidRPr="009B56F1">
        <w:rPr>
          <w:rStyle w:val="NoteLabel"/>
        </w:rPr>
        <w:t>a</w:t>
      </w:r>
      <w:r w:rsidRPr="009B56F1">
        <w:t xml:space="preserve"> Unallocated includes general programs where detai</w:t>
      </w:r>
      <w:r>
        <w:t>ls of beneficiaries are unknown.</w:t>
      </w:r>
    </w:p>
    <w:p w:rsidR="00731A0B" w:rsidRDefault="00731A0B" w:rsidP="00731A0B">
      <w:pPr>
        <w:pStyle w:val="Source"/>
      </w:pPr>
      <w:r>
        <w:rPr>
          <w:i/>
        </w:rPr>
        <w:t>Source</w:t>
      </w:r>
      <w:r w:rsidR="000F7DD5">
        <w:rPr>
          <w:i/>
        </w:rPr>
        <w:t>s</w:t>
      </w:r>
      <w:r>
        <w:t xml:space="preserve">: </w:t>
      </w:r>
      <w:r w:rsidRPr="00AF6D67">
        <w:t xml:space="preserve">Commission estimates based on </w:t>
      </w:r>
      <w:r>
        <w:t>DAFF Annual Report 2008</w:t>
      </w:r>
      <w:r>
        <w:noBreakHyphen/>
        <w:t>09 (and earlier years); DAFF Portfolio Budget Statements 2007</w:t>
      </w:r>
      <w:r>
        <w:noBreakHyphen/>
        <w:t>08; and detailed DAFF data by ANZSIC industry.</w:t>
      </w:r>
    </w:p>
    <w:p w:rsidR="00731A0B" w:rsidRDefault="00FA09C3" w:rsidP="00731A0B">
      <w:pPr>
        <w:pStyle w:val="Heading2"/>
      </w:pPr>
      <w:r>
        <w:t>A.</w:t>
      </w:r>
      <w:r>
        <w:rPr>
          <w:noProof/>
        </w:rPr>
        <w:t>174</w:t>
      </w:r>
      <w:r w:rsidR="00731A0B">
        <w:tab/>
        <w:t>Indigenous Tourism Business Ready Program</w:t>
      </w:r>
    </w:p>
    <w:p w:rsidR="00731A0B" w:rsidRDefault="00731A0B" w:rsidP="00731A0B">
      <w:pPr>
        <w:pStyle w:val="BodyText"/>
      </w:pPr>
      <w:r>
        <w:t xml:space="preserve">The Indigenous Tourism Business Ready Program assisted Indigenous tourism businesses to develop, establish and run successful tourism businesses </w:t>
      </w:r>
      <w:r w:rsidRPr="00045836">
        <w:t>to meet growing international and domestic demand for Indigenous tourism products. It also aim</w:t>
      </w:r>
      <w:r>
        <w:t>ed</w:t>
      </w:r>
      <w:r w:rsidRPr="00045836">
        <w:t xml:space="preserve"> to improve employment outcomes for Indigenous people in the tourism industry</w:t>
      </w:r>
      <w:r w:rsidRPr="007878EA">
        <w:t xml:space="preserve">. </w:t>
      </w:r>
      <w:r>
        <w:t xml:space="preserve">The program </w:t>
      </w:r>
      <w:r w:rsidR="000F7DD5" w:rsidRPr="007878EA">
        <w:t>fund</w:t>
      </w:r>
      <w:r w:rsidR="000F7DD5">
        <w:t>ed</w:t>
      </w:r>
      <w:r w:rsidR="000F7DD5" w:rsidRPr="007878EA">
        <w:t xml:space="preserve"> </w:t>
      </w:r>
      <w:r w:rsidRPr="007878EA">
        <w:t>mentors to deliver support to tourism businesses with an emphasis on the development of the skills necessary to run a financially viable business in the tourism industry.</w:t>
      </w:r>
      <w:r>
        <w:t xml:space="preserve"> (</w:t>
      </w:r>
      <w:r w:rsidRPr="00C305B5">
        <w:t>DSS 2013</w:t>
      </w:r>
      <w:r>
        <w:t>.</w:t>
      </w:r>
    </w:p>
    <w:p w:rsidR="006156BE" w:rsidRDefault="00731A0B" w:rsidP="00C26E82">
      <w:pPr>
        <w:pStyle w:val="BodyText"/>
      </w:pPr>
      <w:r>
        <w:t xml:space="preserve">Based on information obtained from the Department of Resources, Energy and Tourism, expenditure under the program was allocated to the </w:t>
      </w:r>
      <w:r w:rsidRPr="007A37AF">
        <w:rPr>
          <w:i/>
        </w:rPr>
        <w:t>Property, professional and administrative services</w:t>
      </w:r>
      <w:r>
        <w:t xml:space="preserve"> and the </w:t>
      </w:r>
      <w:r w:rsidRPr="005F73E5">
        <w:rPr>
          <w:i/>
        </w:rPr>
        <w:t>Education and training</w:t>
      </w:r>
      <w:r>
        <w:t xml:space="preserve"> industry groupings in the Commission’s ANZSIC-based classification (table A.17</w:t>
      </w:r>
      <w:r w:rsidR="00886F15">
        <w:t>4</w:t>
      </w:r>
      <w:r>
        <w:t>).</w:t>
      </w:r>
      <w:r w:rsidR="006156BE">
        <w:t xml:space="preserve"> </w:t>
      </w:r>
    </w:p>
    <w:p w:rsidR="00731A0B" w:rsidRDefault="00731A0B" w:rsidP="00731A0B">
      <w:pPr>
        <w:pStyle w:val="TableTitle"/>
      </w:pPr>
      <w:r>
        <w:rPr>
          <w:b w:val="0"/>
        </w:rPr>
        <w:t xml:space="preserve">Table </w:t>
      </w:r>
      <w:r w:rsidR="00FA09C3">
        <w:rPr>
          <w:b w:val="0"/>
        </w:rPr>
        <w:t>A.</w:t>
      </w:r>
      <w:r w:rsidR="00FA09C3">
        <w:rPr>
          <w:b w:val="0"/>
          <w:noProof/>
        </w:rPr>
        <w:t>174</w:t>
      </w:r>
      <w:r>
        <w:tab/>
      </w:r>
      <w:r w:rsidR="00E33679">
        <w:t xml:space="preserve">Allocation of </w:t>
      </w:r>
      <w:r>
        <w:t>Indigenous Tourism Business Ready Program</w:t>
      </w:r>
      <w:r w:rsidR="00E33679">
        <w:t xml:space="preserve"> </w:t>
      </w:r>
      <w:r w:rsidR="00E471E2" w:rsidRPr="00E471E2">
        <w:t>to industry</w:t>
      </w:r>
      <w:r w:rsidR="00E33679">
        <w:t>, 2006</w:t>
      </w:r>
      <w:r w:rsidR="00E33679">
        <w:noBreakHyphen/>
        <w:t>07 to 2011</w:t>
      </w:r>
      <w:r w:rsidR="00E33679">
        <w:noBreakHyphen/>
        <w:t>12</w:t>
      </w:r>
    </w:p>
    <w:p w:rsidR="00731A0B" w:rsidRDefault="00731A0B" w:rsidP="00731A0B">
      <w:pPr>
        <w:pStyle w:val="Subtitle"/>
      </w:pPr>
      <w:r>
        <w:t>$</w:t>
      </w:r>
      <w:r w:rsidR="000F7DD5">
        <w:t xml:space="preserve"> </w:t>
      </w:r>
      <w:r>
        <w:t>million (nominal)</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4F68F9" w:rsidRPr="006156BE" w:rsidTr="00A74BCE">
        <w:trPr>
          <w:trHeight w:val="340"/>
        </w:trPr>
        <w:tc>
          <w:tcPr>
            <w:tcW w:w="1958" w:type="pct"/>
            <w:tcBorders>
              <w:top w:val="single" w:sz="6" w:space="0" w:color="auto"/>
              <w:bottom w:val="single" w:sz="6" w:space="0" w:color="auto"/>
            </w:tcBorders>
          </w:tcPr>
          <w:p w:rsidR="004F68F9" w:rsidRPr="006156BE" w:rsidRDefault="004F68F9" w:rsidP="005151A7">
            <w:pPr>
              <w:pStyle w:val="TableColumnHeading"/>
              <w:jc w:val="left"/>
              <w:rPr>
                <w:rFonts w:cs="Arial"/>
                <w:sz w:val="18"/>
                <w:szCs w:val="18"/>
              </w:rPr>
            </w:pPr>
            <w:r w:rsidRPr="006156BE">
              <w:rPr>
                <w:rFonts w:cs="Arial"/>
                <w:sz w:val="18"/>
                <w:szCs w:val="18"/>
              </w:rPr>
              <w:t>Industry grouping</w:t>
            </w:r>
          </w:p>
        </w:tc>
        <w:tc>
          <w:tcPr>
            <w:tcW w:w="507" w:type="pct"/>
            <w:tcBorders>
              <w:top w:val="single" w:sz="6" w:space="0" w:color="auto"/>
              <w:bottom w:val="single" w:sz="6" w:space="0" w:color="auto"/>
            </w:tcBorders>
          </w:tcPr>
          <w:p w:rsidR="004F68F9" w:rsidRPr="006156BE" w:rsidRDefault="004F68F9" w:rsidP="005151A7">
            <w:pPr>
              <w:pStyle w:val="TableColumnHeading"/>
              <w:ind w:right="28"/>
              <w:rPr>
                <w:rFonts w:cs="Arial"/>
                <w:sz w:val="18"/>
                <w:szCs w:val="18"/>
              </w:rPr>
            </w:pPr>
            <w:r w:rsidRPr="006156BE">
              <w:rPr>
                <w:rFonts w:cs="Arial"/>
                <w:sz w:val="18"/>
                <w:szCs w:val="18"/>
              </w:rPr>
              <w:t>2006-07</w:t>
            </w:r>
          </w:p>
        </w:tc>
        <w:tc>
          <w:tcPr>
            <w:tcW w:w="507" w:type="pct"/>
            <w:tcBorders>
              <w:top w:val="single" w:sz="6" w:space="0" w:color="auto"/>
              <w:bottom w:val="single" w:sz="6" w:space="0" w:color="auto"/>
            </w:tcBorders>
          </w:tcPr>
          <w:p w:rsidR="004F68F9" w:rsidRPr="006156BE" w:rsidRDefault="004F68F9" w:rsidP="005151A7">
            <w:pPr>
              <w:pStyle w:val="TableColumnHeading"/>
              <w:ind w:right="28"/>
              <w:rPr>
                <w:rFonts w:cs="Arial"/>
                <w:sz w:val="18"/>
                <w:szCs w:val="18"/>
              </w:rPr>
            </w:pPr>
            <w:r w:rsidRPr="006156BE">
              <w:rPr>
                <w:rFonts w:cs="Arial"/>
                <w:sz w:val="18"/>
                <w:szCs w:val="18"/>
              </w:rPr>
              <w:t>2007-08</w:t>
            </w:r>
          </w:p>
        </w:tc>
        <w:tc>
          <w:tcPr>
            <w:tcW w:w="507" w:type="pct"/>
            <w:tcBorders>
              <w:top w:val="single" w:sz="6" w:space="0" w:color="auto"/>
              <w:bottom w:val="single" w:sz="6" w:space="0" w:color="auto"/>
            </w:tcBorders>
          </w:tcPr>
          <w:p w:rsidR="004F68F9" w:rsidRPr="006156BE" w:rsidRDefault="004F68F9" w:rsidP="005151A7">
            <w:pPr>
              <w:pStyle w:val="TableColumnHeading"/>
              <w:ind w:right="28"/>
              <w:rPr>
                <w:rFonts w:cs="Arial"/>
                <w:sz w:val="18"/>
                <w:szCs w:val="18"/>
              </w:rPr>
            </w:pPr>
            <w:r w:rsidRPr="006156BE">
              <w:rPr>
                <w:rFonts w:cs="Arial"/>
                <w:sz w:val="18"/>
                <w:szCs w:val="18"/>
              </w:rPr>
              <w:t>2008-09</w:t>
            </w:r>
          </w:p>
        </w:tc>
        <w:tc>
          <w:tcPr>
            <w:tcW w:w="507" w:type="pct"/>
            <w:tcBorders>
              <w:top w:val="single" w:sz="6" w:space="0" w:color="auto"/>
              <w:bottom w:val="single" w:sz="6" w:space="0" w:color="auto"/>
            </w:tcBorders>
          </w:tcPr>
          <w:p w:rsidR="004F68F9" w:rsidRPr="006156BE" w:rsidRDefault="004F68F9" w:rsidP="005151A7">
            <w:pPr>
              <w:pStyle w:val="TableColumnHeading"/>
              <w:ind w:right="28"/>
              <w:rPr>
                <w:rFonts w:cs="Arial"/>
                <w:sz w:val="18"/>
                <w:szCs w:val="18"/>
              </w:rPr>
            </w:pPr>
            <w:r w:rsidRPr="006156BE">
              <w:rPr>
                <w:rFonts w:cs="Arial"/>
                <w:sz w:val="18"/>
                <w:szCs w:val="18"/>
              </w:rPr>
              <w:t>2009-10</w:t>
            </w:r>
          </w:p>
        </w:tc>
        <w:tc>
          <w:tcPr>
            <w:tcW w:w="507" w:type="pct"/>
            <w:tcBorders>
              <w:top w:val="single" w:sz="6" w:space="0" w:color="auto"/>
              <w:bottom w:val="single" w:sz="6" w:space="0" w:color="auto"/>
            </w:tcBorders>
            <w:shd w:val="clear" w:color="auto" w:fill="auto"/>
          </w:tcPr>
          <w:p w:rsidR="004F68F9" w:rsidRPr="006156BE" w:rsidRDefault="004F68F9" w:rsidP="005151A7">
            <w:pPr>
              <w:pStyle w:val="TableColumnHeading"/>
              <w:ind w:right="28"/>
              <w:rPr>
                <w:rFonts w:cs="Arial"/>
                <w:sz w:val="18"/>
                <w:szCs w:val="18"/>
              </w:rPr>
            </w:pPr>
            <w:r w:rsidRPr="006156BE">
              <w:rPr>
                <w:rFonts w:cs="Arial"/>
                <w:sz w:val="18"/>
                <w:szCs w:val="18"/>
              </w:rPr>
              <w:t>2010-11</w:t>
            </w:r>
          </w:p>
        </w:tc>
        <w:tc>
          <w:tcPr>
            <w:tcW w:w="507" w:type="pct"/>
            <w:tcBorders>
              <w:top w:val="single" w:sz="6" w:space="0" w:color="auto"/>
              <w:bottom w:val="single" w:sz="6" w:space="0" w:color="auto"/>
            </w:tcBorders>
            <w:shd w:val="clear" w:color="auto" w:fill="auto"/>
          </w:tcPr>
          <w:p w:rsidR="004F68F9" w:rsidRPr="006156BE" w:rsidRDefault="004F68F9" w:rsidP="005151A7">
            <w:pPr>
              <w:pStyle w:val="TableColumnHeading"/>
              <w:ind w:right="28"/>
              <w:rPr>
                <w:rFonts w:cs="Arial"/>
                <w:sz w:val="18"/>
                <w:szCs w:val="18"/>
              </w:rPr>
            </w:pPr>
            <w:r w:rsidRPr="006156BE">
              <w:rPr>
                <w:rFonts w:cs="Arial"/>
                <w:sz w:val="18"/>
                <w:szCs w:val="18"/>
              </w:rPr>
              <w:t>2011-12</w:t>
            </w:r>
          </w:p>
        </w:tc>
      </w:tr>
      <w:tr w:rsidR="004F68F9" w:rsidRPr="005E0FB3" w:rsidTr="00C305B5">
        <w:tc>
          <w:tcPr>
            <w:tcW w:w="1958" w:type="pct"/>
            <w:vAlign w:val="bottom"/>
          </w:tcPr>
          <w:p w:rsidR="004F68F9" w:rsidRPr="00573C47" w:rsidRDefault="004F68F9" w:rsidP="005151A7">
            <w:pPr>
              <w:pStyle w:val="TableBodyText"/>
              <w:jc w:val="left"/>
              <w:rPr>
                <w:b/>
                <w:sz w:val="18"/>
                <w:szCs w:val="18"/>
              </w:rPr>
            </w:pPr>
            <w:r w:rsidRPr="00573C47">
              <w:rPr>
                <w:b/>
                <w:sz w:val="18"/>
                <w:szCs w:val="18"/>
              </w:rPr>
              <w:t>Services</w:t>
            </w:r>
          </w:p>
        </w:tc>
        <w:tc>
          <w:tcPr>
            <w:tcW w:w="507" w:type="pct"/>
            <w:vAlign w:val="bottom"/>
          </w:tcPr>
          <w:p w:rsidR="004F68F9" w:rsidRPr="00573C47" w:rsidRDefault="004F68F9" w:rsidP="005151A7">
            <w:pPr>
              <w:pStyle w:val="TableBodyText"/>
              <w:rPr>
                <w:b/>
                <w:sz w:val="18"/>
                <w:szCs w:val="18"/>
              </w:rPr>
            </w:pPr>
            <w:r w:rsidRPr="00573C47">
              <w:rPr>
                <w:b/>
                <w:sz w:val="18"/>
                <w:szCs w:val="18"/>
              </w:rPr>
              <w:t>1.1</w:t>
            </w:r>
          </w:p>
        </w:tc>
        <w:tc>
          <w:tcPr>
            <w:tcW w:w="507" w:type="pct"/>
            <w:vAlign w:val="bottom"/>
          </w:tcPr>
          <w:p w:rsidR="004F68F9" w:rsidRPr="00573C47" w:rsidRDefault="004F68F9" w:rsidP="005151A7">
            <w:pPr>
              <w:pStyle w:val="TableBodyText"/>
              <w:rPr>
                <w:b/>
                <w:sz w:val="18"/>
                <w:szCs w:val="18"/>
              </w:rPr>
            </w:pPr>
            <w:r w:rsidRPr="00573C47">
              <w:rPr>
                <w:b/>
                <w:sz w:val="18"/>
                <w:szCs w:val="18"/>
              </w:rPr>
              <w:t>0.4</w:t>
            </w:r>
          </w:p>
        </w:tc>
        <w:tc>
          <w:tcPr>
            <w:tcW w:w="507" w:type="pct"/>
            <w:vAlign w:val="bottom"/>
          </w:tcPr>
          <w:p w:rsidR="004F68F9" w:rsidRPr="00573C47" w:rsidRDefault="004F68F9" w:rsidP="005151A7">
            <w:pPr>
              <w:pStyle w:val="TableBodyText"/>
              <w:rPr>
                <w:b/>
                <w:sz w:val="18"/>
                <w:szCs w:val="18"/>
              </w:rPr>
            </w:pPr>
            <w:r w:rsidRPr="00573C47">
              <w:rPr>
                <w:b/>
                <w:sz w:val="18"/>
                <w:szCs w:val="18"/>
              </w:rPr>
              <w:t>1.2</w:t>
            </w:r>
          </w:p>
        </w:tc>
        <w:tc>
          <w:tcPr>
            <w:tcW w:w="507" w:type="pct"/>
            <w:vAlign w:val="bottom"/>
          </w:tcPr>
          <w:p w:rsidR="004F68F9" w:rsidRPr="00573C47" w:rsidRDefault="004F68F9" w:rsidP="005151A7">
            <w:pPr>
              <w:pStyle w:val="TableBodyText"/>
              <w:rPr>
                <w:b/>
                <w:sz w:val="18"/>
                <w:szCs w:val="18"/>
              </w:rPr>
            </w:pPr>
            <w:r w:rsidRPr="00573C47">
              <w:rPr>
                <w:b/>
                <w:sz w:val="18"/>
                <w:szCs w:val="18"/>
              </w:rPr>
              <w:t>–</w:t>
            </w:r>
          </w:p>
        </w:tc>
        <w:tc>
          <w:tcPr>
            <w:tcW w:w="507" w:type="pct"/>
            <w:shd w:val="clear" w:color="auto" w:fill="auto"/>
            <w:vAlign w:val="bottom"/>
          </w:tcPr>
          <w:p w:rsidR="004F68F9" w:rsidRPr="00573C47" w:rsidRDefault="004F68F9" w:rsidP="005151A7">
            <w:pPr>
              <w:pStyle w:val="TableBodyText"/>
              <w:rPr>
                <w:b/>
                <w:sz w:val="18"/>
                <w:szCs w:val="18"/>
              </w:rPr>
            </w:pPr>
            <w:r w:rsidRPr="00573C47">
              <w:rPr>
                <w:b/>
                <w:sz w:val="18"/>
                <w:szCs w:val="18"/>
              </w:rPr>
              <w:t>–</w:t>
            </w:r>
          </w:p>
        </w:tc>
        <w:tc>
          <w:tcPr>
            <w:tcW w:w="507" w:type="pct"/>
            <w:shd w:val="clear" w:color="auto" w:fill="auto"/>
            <w:vAlign w:val="bottom"/>
          </w:tcPr>
          <w:p w:rsidR="004F68F9" w:rsidRPr="00573C47" w:rsidRDefault="004F68F9" w:rsidP="005151A7">
            <w:pPr>
              <w:pStyle w:val="TableBodyText"/>
              <w:rPr>
                <w:b/>
                <w:sz w:val="18"/>
                <w:szCs w:val="18"/>
              </w:rPr>
            </w:pPr>
            <w:r w:rsidRPr="00573C47">
              <w:rPr>
                <w:b/>
                <w:sz w:val="18"/>
                <w:szCs w:val="18"/>
              </w:rPr>
              <w:t>–</w:t>
            </w:r>
          </w:p>
        </w:tc>
      </w:tr>
      <w:tr w:rsidR="004F68F9" w:rsidRPr="005E0FB3" w:rsidTr="00C305B5">
        <w:tc>
          <w:tcPr>
            <w:tcW w:w="1958" w:type="pct"/>
            <w:vAlign w:val="bottom"/>
          </w:tcPr>
          <w:p w:rsidR="004F68F9" w:rsidRPr="00573C47" w:rsidRDefault="004F68F9" w:rsidP="005151A7">
            <w:pPr>
              <w:pStyle w:val="TableBodyText"/>
              <w:jc w:val="left"/>
              <w:rPr>
                <w:sz w:val="18"/>
                <w:szCs w:val="18"/>
              </w:rPr>
            </w:pPr>
            <w:r w:rsidRPr="00573C47">
              <w:rPr>
                <w:sz w:val="18"/>
                <w:szCs w:val="18"/>
              </w:rPr>
              <w:t>Property, professional and administrative services</w:t>
            </w:r>
          </w:p>
        </w:tc>
        <w:tc>
          <w:tcPr>
            <w:tcW w:w="507" w:type="pct"/>
            <w:vAlign w:val="bottom"/>
          </w:tcPr>
          <w:p w:rsidR="004F68F9" w:rsidRPr="00573C47" w:rsidRDefault="004F68F9" w:rsidP="005151A7">
            <w:pPr>
              <w:pStyle w:val="TableBodyText"/>
              <w:rPr>
                <w:sz w:val="18"/>
                <w:szCs w:val="18"/>
              </w:rPr>
            </w:pPr>
            <w:r w:rsidRPr="00573C47">
              <w:rPr>
                <w:sz w:val="18"/>
                <w:szCs w:val="18"/>
              </w:rPr>
              <w:t>–</w:t>
            </w:r>
          </w:p>
        </w:tc>
        <w:tc>
          <w:tcPr>
            <w:tcW w:w="507" w:type="pct"/>
            <w:vAlign w:val="bottom"/>
          </w:tcPr>
          <w:p w:rsidR="004F68F9" w:rsidRPr="00573C47" w:rsidRDefault="004F68F9" w:rsidP="005151A7">
            <w:pPr>
              <w:pStyle w:val="TableBodyText"/>
              <w:rPr>
                <w:sz w:val="18"/>
                <w:szCs w:val="18"/>
              </w:rPr>
            </w:pPr>
            <w:r w:rsidRPr="00573C47">
              <w:rPr>
                <w:sz w:val="18"/>
                <w:szCs w:val="18"/>
              </w:rPr>
              <w:t>–</w:t>
            </w:r>
          </w:p>
        </w:tc>
        <w:tc>
          <w:tcPr>
            <w:tcW w:w="507" w:type="pct"/>
            <w:vAlign w:val="bottom"/>
          </w:tcPr>
          <w:p w:rsidR="004F68F9" w:rsidRPr="00573C47" w:rsidRDefault="004F68F9" w:rsidP="005151A7">
            <w:pPr>
              <w:pStyle w:val="TableBodyText"/>
              <w:rPr>
                <w:sz w:val="18"/>
                <w:szCs w:val="18"/>
              </w:rPr>
            </w:pPr>
            <w:r w:rsidRPr="00573C47">
              <w:rPr>
                <w:sz w:val="18"/>
                <w:szCs w:val="18"/>
              </w:rPr>
              <w:t>0.4</w:t>
            </w:r>
          </w:p>
        </w:tc>
        <w:tc>
          <w:tcPr>
            <w:tcW w:w="507" w:type="pct"/>
            <w:vAlign w:val="bottom"/>
          </w:tcPr>
          <w:p w:rsidR="004F68F9" w:rsidRPr="00573C47" w:rsidRDefault="004F68F9" w:rsidP="005151A7">
            <w:pPr>
              <w:pStyle w:val="TableBodyText"/>
              <w:rPr>
                <w:sz w:val="18"/>
                <w:szCs w:val="18"/>
              </w:rPr>
            </w:pPr>
            <w:r w:rsidRPr="00573C47">
              <w:rPr>
                <w:sz w:val="18"/>
                <w:szCs w:val="18"/>
              </w:rPr>
              <w:t>–</w:t>
            </w:r>
          </w:p>
        </w:tc>
        <w:tc>
          <w:tcPr>
            <w:tcW w:w="507" w:type="pct"/>
            <w:shd w:val="clear" w:color="auto" w:fill="auto"/>
            <w:vAlign w:val="bottom"/>
          </w:tcPr>
          <w:p w:rsidR="004F68F9" w:rsidRPr="00573C47" w:rsidRDefault="004F68F9" w:rsidP="005151A7">
            <w:pPr>
              <w:pStyle w:val="TableBodyText"/>
              <w:rPr>
                <w:sz w:val="18"/>
                <w:szCs w:val="18"/>
              </w:rPr>
            </w:pPr>
            <w:r w:rsidRPr="00573C47">
              <w:rPr>
                <w:sz w:val="18"/>
                <w:szCs w:val="18"/>
              </w:rPr>
              <w:t>–</w:t>
            </w:r>
          </w:p>
        </w:tc>
        <w:tc>
          <w:tcPr>
            <w:tcW w:w="507" w:type="pct"/>
            <w:shd w:val="clear" w:color="auto" w:fill="auto"/>
            <w:vAlign w:val="bottom"/>
          </w:tcPr>
          <w:p w:rsidR="004F68F9" w:rsidRPr="00573C47" w:rsidRDefault="004F68F9" w:rsidP="005151A7">
            <w:pPr>
              <w:pStyle w:val="TableBodyText"/>
              <w:rPr>
                <w:sz w:val="18"/>
                <w:szCs w:val="18"/>
              </w:rPr>
            </w:pPr>
            <w:r w:rsidRPr="00573C47">
              <w:rPr>
                <w:sz w:val="18"/>
                <w:szCs w:val="18"/>
              </w:rPr>
              <w:t>–</w:t>
            </w:r>
          </w:p>
        </w:tc>
      </w:tr>
      <w:tr w:rsidR="004F68F9" w:rsidRPr="005E0FB3" w:rsidTr="00C305B5">
        <w:tc>
          <w:tcPr>
            <w:tcW w:w="1958" w:type="pct"/>
            <w:vAlign w:val="bottom"/>
          </w:tcPr>
          <w:p w:rsidR="004F68F9" w:rsidRPr="00573C47" w:rsidRDefault="004F68F9" w:rsidP="005151A7">
            <w:pPr>
              <w:pStyle w:val="TableBodyText"/>
              <w:jc w:val="left"/>
              <w:rPr>
                <w:sz w:val="18"/>
                <w:szCs w:val="18"/>
              </w:rPr>
            </w:pPr>
            <w:r w:rsidRPr="00573C47">
              <w:rPr>
                <w:sz w:val="18"/>
                <w:szCs w:val="18"/>
              </w:rPr>
              <w:t>Education and training</w:t>
            </w:r>
          </w:p>
        </w:tc>
        <w:tc>
          <w:tcPr>
            <w:tcW w:w="507" w:type="pct"/>
            <w:vAlign w:val="bottom"/>
          </w:tcPr>
          <w:p w:rsidR="004F68F9" w:rsidRPr="00573C47" w:rsidRDefault="004F68F9" w:rsidP="005151A7">
            <w:pPr>
              <w:pStyle w:val="TableBodyText"/>
              <w:rPr>
                <w:sz w:val="18"/>
                <w:szCs w:val="18"/>
              </w:rPr>
            </w:pPr>
            <w:r w:rsidRPr="00573C47">
              <w:rPr>
                <w:sz w:val="18"/>
                <w:szCs w:val="18"/>
              </w:rPr>
              <w:t>–</w:t>
            </w:r>
          </w:p>
        </w:tc>
        <w:tc>
          <w:tcPr>
            <w:tcW w:w="507" w:type="pct"/>
            <w:vAlign w:val="bottom"/>
          </w:tcPr>
          <w:p w:rsidR="004F68F9" w:rsidRPr="00573C47" w:rsidRDefault="004F68F9" w:rsidP="005151A7">
            <w:pPr>
              <w:pStyle w:val="TableBodyText"/>
              <w:rPr>
                <w:sz w:val="18"/>
                <w:szCs w:val="18"/>
              </w:rPr>
            </w:pPr>
            <w:r w:rsidRPr="00573C47">
              <w:rPr>
                <w:sz w:val="18"/>
                <w:szCs w:val="18"/>
              </w:rPr>
              <w:t>–</w:t>
            </w:r>
          </w:p>
        </w:tc>
        <w:tc>
          <w:tcPr>
            <w:tcW w:w="507" w:type="pct"/>
            <w:vAlign w:val="bottom"/>
          </w:tcPr>
          <w:p w:rsidR="004F68F9" w:rsidRPr="00573C47" w:rsidRDefault="004F68F9" w:rsidP="005151A7">
            <w:pPr>
              <w:pStyle w:val="TableBodyText"/>
              <w:rPr>
                <w:sz w:val="18"/>
                <w:szCs w:val="18"/>
              </w:rPr>
            </w:pPr>
            <w:r w:rsidRPr="00573C47">
              <w:rPr>
                <w:sz w:val="18"/>
                <w:szCs w:val="18"/>
              </w:rPr>
              <w:t>0.2</w:t>
            </w:r>
          </w:p>
        </w:tc>
        <w:tc>
          <w:tcPr>
            <w:tcW w:w="507" w:type="pct"/>
            <w:vAlign w:val="bottom"/>
          </w:tcPr>
          <w:p w:rsidR="004F68F9" w:rsidRPr="00573C47" w:rsidRDefault="004F68F9" w:rsidP="005151A7">
            <w:pPr>
              <w:pStyle w:val="TableBodyText"/>
              <w:rPr>
                <w:sz w:val="18"/>
                <w:szCs w:val="18"/>
              </w:rPr>
            </w:pPr>
            <w:r w:rsidRPr="00573C47">
              <w:rPr>
                <w:sz w:val="18"/>
                <w:szCs w:val="18"/>
              </w:rPr>
              <w:t>–</w:t>
            </w:r>
          </w:p>
        </w:tc>
        <w:tc>
          <w:tcPr>
            <w:tcW w:w="507" w:type="pct"/>
            <w:shd w:val="clear" w:color="auto" w:fill="auto"/>
            <w:vAlign w:val="bottom"/>
          </w:tcPr>
          <w:p w:rsidR="004F68F9" w:rsidRPr="00573C47" w:rsidRDefault="004F68F9" w:rsidP="005151A7">
            <w:pPr>
              <w:pStyle w:val="TableBodyText"/>
              <w:rPr>
                <w:sz w:val="18"/>
                <w:szCs w:val="18"/>
              </w:rPr>
            </w:pPr>
            <w:r w:rsidRPr="00573C47">
              <w:rPr>
                <w:sz w:val="18"/>
                <w:szCs w:val="18"/>
              </w:rPr>
              <w:t>–</w:t>
            </w:r>
          </w:p>
        </w:tc>
        <w:tc>
          <w:tcPr>
            <w:tcW w:w="507" w:type="pct"/>
            <w:shd w:val="clear" w:color="auto" w:fill="auto"/>
            <w:vAlign w:val="bottom"/>
          </w:tcPr>
          <w:p w:rsidR="004F68F9" w:rsidRPr="00573C47" w:rsidRDefault="004F68F9" w:rsidP="005151A7">
            <w:pPr>
              <w:pStyle w:val="TableBodyText"/>
              <w:rPr>
                <w:sz w:val="18"/>
                <w:szCs w:val="18"/>
              </w:rPr>
            </w:pPr>
            <w:r w:rsidRPr="00573C47">
              <w:rPr>
                <w:sz w:val="18"/>
                <w:szCs w:val="18"/>
              </w:rPr>
              <w:t>–</w:t>
            </w:r>
          </w:p>
        </w:tc>
      </w:tr>
      <w:tr w:rsidR="004F68F9" w:rsidRPr="005E0FB3" w:rsidTr="00C305B5">
        <w:tc>
          <w:tcPr>
            <w:tcW w:w="1958" w:type="pct"/>
            <w:vAlign w:val="bottom"/>
          </w:tcPr>
          <w:p w:rsidR="004F68F9" w:rsidRPr="00573C47" w:rsidRDefault="004F68F9" w:rsidP="005151A7">
            <w:pPr>
              <w:pStyle w:val="TableBodyText"/>
              <w:jc w:val="left"/>
              <w:rPr>
                <w:sz w:val="18"/>
                <w:szCs w:val="18"/>
              </w:rPr>
            </w:pPr>
            <w:r w:rsidRPr="00573C47">
              <w:rPr>
                <w:sz w:val="18"/>
                <w:szCs w:val="18"/>
              </w:rPr>
              <w:t>Unallocated services</w:t>
            </w:r>
            <w:r w:rsidRPr="00573C47">
              <w:rPr>
                <w:rStyle w:val="NoteLabel"/>
                <w:szCs w:val="18"/>
              </w:rPr>
              <w:t>a</w:t>
            </w:r>
          </w:p>
        </w:tc>
        <w:tc>
          <w:tcPr>
            <w:tcW w:w="507" w:type="pct"/>
            <w:vAlign w:val="bottom"/>
          </w:tcPr>
          <w:p w:rsidR="004F68F9" w:rsidRPr="00573C47" w:rsidRDefault="004F68F9" w:rsidP="005151A7">
            <w:pPr>
              <w:pStyle w:val="TableBodyText"/>
              <w:rPr>
                <w:sz w:val="18"/>
                <w:szCs w:val="18"/>
              </w:rPr>
            </w:pPr>
            <w:r w:rsidRPr="00573C47">
              <w:rPr>
                <w:sz w:val="18"/>
                <w:szCs w:val="18"/>
              </w:rPr>
              <w:t>1.1</w:t>
            </w:r>
          </w:p>
        </w:tc>
        <w:tc>
          <w:tcPr>
            <w:tcW w:w="507" w:type="pct"/>
            <w:vAlign w:val="bottom"/>
          </w:tcPr>
          <w:p w:rsidR="004F68F9" w:rsidRPr="00573C47" w:rsidRDefault="004F68F9" w:rsidP="005151A7">
            <w:pPr>
              <w:pStyle w:val="TableBodyText"/>
              <w:rPr>
                <w:sz w:val="18"/>
                <w:szCs w:val="18"/>
              </w:rPr>
            </w:pPr>
            <w:r w:rsidRPr="00573C47">
              <w:rPr>
                <w:sz w:val="18"/>
                <w:szCs w:val="18"/>
              </w:rPr>
              <w:t>0.4</w:t>
            </w:r>
          </w:p>
        </w:tc>
        <w:tc>
          <w:tcPr>
            <w:tcW w:w="507" w:type="pct"/>
            <w:vAlign w:val="bottom"/>
          </w:tcPr>
          <w:p w:rsidR="004F68F9" w:rsidRPr="00573C47" w:rsidRDefault="004F68F9" w:rsidP="005151A7">
            <w:pPr>
              <w:pStyle w:val="TableBodyText"/>
              <w:rPr>
                <w:sz w:val="18"/>
                <w:szCs w:val="18"/>
              </w:rPr>
            </w:pPr>
            <w:r w:rsidRPr="00573C47">
              <w:rPr>
                <w:sz w:val="18"/>
                <w:szCs w:val="18"/>
              </w:rPr>
              <w:t>0.6</w:t>
            </w:r>
          </w:p>
        </w:tc>
        <w:tc>
          <w:tcPr>
            <w:tcW w:w="507" w:type="pct"/>
            <w:vAlign w:val="bottom"/>
          </w:tcPr>
          <w:p w:rsidR="004F68F9" w:rsidRPr="00573C47" w:rsidRDefault="004F68F9" w:rsidP="005151A7">
            <w:pPr>
              <w:pStyle w:val="TableBodyText"/>
              <w:rPr>
                <w:sz w:val="18"/>
                <w:szCs w:val="18"/>
              </w:rPr>
            </w:pPr>
            <w:r w:rsidRPr="00573C47">
              <w:rPr>
                <w:sz w:val="18"/>
                <w:szCs w:val="18"/>
              </w:rPr>
              <w:t>–</w:t>
            </w:r>
          </w:p>
        </w:tc>
        <w:tc>
          <w:tcPr>
            <w:tcW w:w="507" w:type="pct"/>
            <w:shd w:val="clear" w:color="auto" w:fill="auto"/>
            <w:vAlign w:val="bottom"/>
          </w:tcPr>
          <w:p w:rsidR="004F68F9" w:rsidRPr="00573C47" w:rsidRDefault="004F68F9" w:rsidP="005151A7">
            <w:pPr>
              <w:pStyle w:val="TableBodyText"/>
              <w:rPr>
                <w:sz w:val="18"/>
                <w:szCs w:val="18"/>
              </w:rPr>
            </w:pPr>
            <w:r w:rsidRPr="00573C47">
              <w:rPr>
                <w:sz w:val="18"/>
                <w:szCs w:val="18"/>
              </w:rPr>
              <w:t>–</w:t>
            </w:r>
          </w:p>
        </w:tc>
        <w:tc>
          <w:tcPr>
            <w:tcW w:w="507" w:type="pct"/>
            <w:shd w:val="clear" w:color="auto" w:fill="auto"/>
            <w:vAlign w:val="bottom"/>
          </w:tcPr>
          <w:p w:rsidR="004F68F9" w:rsidRPr="00573C47" w:rsidRDefault="004F68F9" w:rsidP="005151A7">
            <w:pPr>
              <w:pStyle w:val="TableBodyText"/>
              <w:rPr>
                <w:sz w:val="18"/>
                <w:szCs w:val="18"/>
              </w:rPr>
            </w:pPr>
            <w:r w:rsidRPr="00573C47">
              <w:rPr>
                <w:sz w:val="18"/>
                <w:szCs w:val="18"/>
              </w:rPr>
              <w:t>–</w:t>
            </w:r>
          </w:p>
        </w:tc>
      </w:tr>
      <w:tr w:rsidR="004F68F9" w:rsidRPr="005E0FB3" w:rsidTr="00C305B5">
        <w:tc>
          <w:tcPr>
            <w:tcW w:w="1958" w:type="pct"/>
            <w:tcBorders>
              <w:bottom w:val="single" w:sz="4" w:space="0" w:color="auto"/>
            </w:tcBorders>
            <w:vAlign w:val="bottom"/>
          </w:tcPr>
          <w:p w:rsidR="004F68F9" w:rsidRPr="00573C47" w:rsidRDefault="004F68F9" w:rsidP="005151A7">
            <w:pPr>
              <w:pStyle w:val="TableBodyText"/>
              <w:jc w:val="left"/>
              <w:rPr>
                <w:b/>
                <w:sz w:val="18"/>
                <w:szCs w:val="18"/>
              </w:rPr>
            </w:pPr>
            <w:r w:rsidRPr="00573C47">
              <w:rPr>
                <w:b/>
                <w:sz w:val="18"/>
                <w:szCs w:val="18"/>
              </w:rPr>
              <w:t>Total</w:t>
            </w:r>
          </w:p>
        </w:tc>
        <w:tc>
          <w:tcPr>
            <w:tcW w:w="507" w:type="pct"/>
            <w:tcBorders>
              <w:bottom w:val="single" w:sz="4" w:space="0" w:color="auto"/>
            </w:tcBorders>
            <w:vAlign w:val="bottom"/>
          </w:tcPr>
          <w:p w:rsidR="004F68F9" w:rsidRPr="00573C47" w:rsidRDefault="004F68F9" w:rsidP="005151A7">
            <w:pPr>
              <w:pStyle w:val="TableBodyText"/>
              <w:rPr>
                <w:b/>
                <w:sz w:val="18"/>
                <w:szCs w:val="18"/>
              </w:rPr>
            </w:pPr>
            <w:r w:rsidRPr="00573C47">
              <w:rPr>
                <w:b/>
                <w:sz w:val="18"/>
                <w:szCs w:val="18"/>
              </w:rPr>
              <w:t>1.1</w:t>
            </w:r>
          </w:p>
        </w:tc>
        <w:tc>
          <w:tcPr>
            <w:tcW w:w="507" w:type="pct"/>
            <w:tcBorders>
              <w:bottom w:val="single" w:sz="4" w:space="0" w:color="auto"/>
            </w:tcBorders>
            <w:vAlign w:val="bottom"/>
          </w:tcPr>
          <w:p w:rsidR="004F68F9" w:rsidRPr="00573C47" w:rsidRDefault="004F68F9" w:rsidP="005151A7">
            <w:pPr>
              <w:pStyle w:val="TableBodyText"/>
              <w:rPr>
                <w:b/>
                <w:sz w:val="18"/>
                <w:szCs w:val="18"/>
              </w:rPr>
            </w:pPr>
            <w:r w:rsidRPr="00573C47">
              <w:rPr>
                <w:b/>
                <w:sz w:val="18"/>
                <w:szCs w:val="18"/>
              </w:rPr>
              <w:t>0.4</w:t>
            </w:r>
          </w:p>
        </w:tc>
        <w:tc>
          <w:tcPr>
            <w:tcW w:w="507" w:type="pct"/>
            <w:tcBorders>
              <w:bottom w:val="single" w:sz="4" w:space="0" w:color="auto"/>
            </w:tcBorders>
            <w:vAlign w:val="bottom"/>
          </w:tcPr>
          <w:p w:rsidR="004F68F9" w:rsidRPr="00573C47" w:rsidRDefault="004F68F9" w:rsidP="005151A7">
            <w:pPr>
              <w:pStyle w:val="TableBodyText"/>
              <w:rPr>
                <w:b/>
                <w:sz w:val="18"/>
                <w:szCs w:val="18"/>
              </w:rPr>
            </w:pPr>
            <w:r w:rsidRPr="00573C47">
              <w:rPr>
                <w:b/>
                <w:sz w:val="18"/>
                <w:szCs w:val="18"/>
              </w:rPr>
              <w:t>1.2</w:t>
            </w:r>
          </w:p>
        </w:tc>
        <w:tc>
          <w:tcPr>
            <w:tcW w:w="507" w:type="pct"/>
            <w:tcBorders>
              <w:bottom w:val="single" w:sz="4" w:space="0" w:color="auto"/>
            </w:tcBorders>
            <w:vAlign w:val="bottom"/>
          </w:tcPr>
          <w:p w:rsidR="004F68F9" w:rsidRPr="00573C47" w:rsidRDefault="004F68F9" w:rsidP="005151A7">
            <w:pPr>
              <w:pStyle w:val="TableBodyText"/>
              <w:rPr>
                <w:b/>
                <w:sz w:val="18"/>
                <w:szCs w:val="18"/>
              </w:rPr>
            </w:pPr>
            <w:r w:rsidRPr="00573C47">
              <w:rPr>
                <w:b/>
                <w:sz w:val="18"/>
                <w:szCs w:val="18"/>
              </w:rPr>
              <w:t>–</w:t>
            </w:r>
          </w:p>
        </w:tc>
        <w:tc>
          <w:tcPr>
            <w:tcW w:w="507" w:type="pct"/>
            <w:tcBorders>
              <w:bottom w:val="single" w:sz="4" w:space="0" w:color="auto"/>
            </w:tcBorders>
            <w:shd w:val="clear" w:color="auto" w:fill="auto"/>
            <w:vAlign w:val="bottom"/>
          </w:tcPr>
          <w:p w:rsidR="004F68F9" w:rsidRPr="00573C47" w:rsidRDefault="004F68F9" w:rsidP="005151A7">
            <w:pPr>
              <w:pStyle w:val="TableBodyText"/>
              <w:rPr>
                <w:b/>
                <w:sz w:val="18"/>
                <w:szCs w:val="18"/>
              </w:rPr>
            </w:pPr>
            <w:r w:rsidRPr="00573C47">
              <w:rPr>
                <w:b/>
                <w:sz w:val="18"/>
                <w:szCs w:val="18"/>
              </w:rPr>
              <w:t>–</w:t>
            </w:r>
          </w:p>
        </w:tc>
        <w:tc>
          <w:tcPr>
            <w:tcW w:w="507" w:type="pct"/>
            <w:tcBorders>
              <w:bottom w:val="single" w:sz="4" w:space="0" w:color="auto"/>
            </w:tcBorders>
            <w:shd w:val="clear" w:color="auto" w:fill="auto"/>
            <w:vAlign w:val="bottom"/>
          </w:tcPr>
          <w:p w:rsidR="004F68F9" w:rsidRPr="00573C47" w:rsidRDefault="004F68F9" w:rsidP="005151A7">
            <w:pPr>
              <w:pStyle w:val="TableBodyText"/>
              <w:rPr>
                <w:b/>
                <w:sz w:val="18"/>
                <w:szCs w:val="18"/>
              </w:rPr>
            </w:pPr>
            <w:r w:rsidRPr="00573C47">
              <w:rPr>
                <w:b/>
                <w:sz w:val="18"/>
                <w:szCs w:val="18"/>
              </w:rPr>
              <w:t>–</w:t>
            </w:r>
          </w:p>
        </w:tc>
      </w:tr>
    </w:tbl>
    <w:p w:rsidR="00731A0B" w:rsidRDefault="00731A0B" w:rsidP="00731A0B">
      <w:pPr>
        <w:pStyle w:val="Note"/>
      </w:pPr>
      <w:r>
        <w:t>– Nil</w:t>
      </w:r>
      <w:r w:rsidR="00C73AE0">
        <w:t>.</w:t>
      </w:r>
      <w:r>
        <w:t xml:space="preserve"> </w:t>
      </w:r>
      <w:r w:rsidRPr="008E77FE">
        <w:rPr>
          <w:rStyle w:val="NoteLabel"/>
        </w:rPr>
        <w:t>a</w:t>
      </w:r>
      <w:r>
        <w:t xml:space="preserve"> Unallocated includes general programs where details of beneficiaries are unknown.</w:t>
      </w:r>
    </w:p>
    <w:p w:rsidR="00731A0B" w:rsidRPr="008E77FE" w:rsidRDefault="00731A0B" w:rsidP="00731A0B">
      <w:pPr>
        <w:pStyle w:val="Source"/>
      </w:pPr>
      <w:r>
        <w:rPr>
          <w:i/>
        </w:rPr>
        <w:t>Sources</w:t>
      </w:r>
      <w:r>
        <w:t>: Commission estimates based on DIISR Annual Report 2007</w:t>
      </w:r>
      <w:r>
        <w:noBreakHyphen/>
        <w:t>08; Department of Industry, Tourism and Development Annual Report 2006</w:t>
      </w:r>
      <w:r>
        <w:noBreakHyphen/>
        <w:t>07; and detailed Department of Resources, Energy and Tourism data by ANZSIC industry.</w:t>
      </w:r>
    </w:p>
    <w:p w:rsidR="00731A0B" w:rsidRDefault="00FA09C3" w:rsidP="00731A0B">
      <w:pPr>
        <w:pStyle w:val="Heading2"/>
      </w:pPr>
      <w:r>
        <w:t>A.</w:t>
      </w:r>
      <w:r>
        <w:rPr>
          <w:noProof/>
        </w:rPr>
        <w:t>175</w:t>
      </w:r>
      <w:r w:rsidR="00731A0B">
        <w:tab/>
        <w:t>Sustainable Regions Program</w:t>
      </w:r>
    </w:p>
    <w:p w:rsidR="00731A0B" w:rsidRDefault="00731A0B" w:rsidP="00731A0B">
      <w:pPr>
        <w:pStyle w:val="BodyText"/>
      </w:pPr>
      <w:r>
        <w:t xml:space="preserve">The Sustainable Regions Program, which commenced in August 2001, was intended to offer a planned and integrated approach to structural adjustment in identified regions. Over the life of the program, 280 projects were supported </w:t>
      </w:r>
      <w:r w:rsidRPr="00224F43">
        <w:t>(</w:t>
      </w:r>
      <w:r w:rsidRPr="00C305B5">
        <w:t>DITRDLG 2009</w:t>
      </w:r>
      <w:r>
        <w:t>).</w:t>
      </w:r>
    </w:p>
    <w:p w:rsidR="00731A0B" w:rsidRDefault="00731A0B" w:rsidP="00731A0B">
      <w:pPr>
        <w:pStyle w:val="BodyText"/>
      </w:pPr>
      <w:r>
        <w:t>The Program was closed to new applications in May 2008.</w:t>
      </w:r>
    </w:p>
    <w:p w:rsidR="00731A0B" w:rsidRDefault="00731A0B" w:rsidP="00731A0B">
      <w:pPr>
        <w:pStyle w:val="BodyText"/>
      </w:pPr>
      <w:r>
        <w:t xml:space="preserve">Information on the industry incidence of the program has not been readily available. Accordingly, the budget outlay has been classified to the </w:t>
      </w:r>
      <w:r w:rsidRPr="00C114FA">
        <w:rPr>
          <w:i/>
        </w:rPr>
        <w:t>Unallocated other</w:t>
      </w:r>
      <w:r>
        <w:t xml:space="preserve"> industry grouping in the Commission’s ANZSIC-based classification (table A.17</w:t>
      </w:r>
      <w:r w:rsidR="00886F15">
        <w:t>5</w:t>
      </w:r>
      <w:r>
        <w:t>).</w:t>
      </w:r>
    </w:p>
    <w:p w:rsidR="00C26E82" w:rsidRDefault="00216629" w:rsidP="00216629">
      <w:pPr>
        <w:pStyle w:val="BodyText"/>
      </w:pPr>
      <w:r>
        <w:br w:type="page"/>
      </w:r>
    </w:p>
    <w:p w:rsidR="00731A0B" w:rsidRDefault="00731A0B" w:rsidP="00731A0B">
      <w:pPr>
        <w:pStyle w:val="TableTitle"/>
      </w:pPr>
      <w:r>
        <w:rPr>
          <w:b w:val="0"/>
        </w:rPr>
        <w:t xml:space="preserve">Table </w:t>
      </w:r>
      <w:r w:rsidR="00FA09C3">
        <w:rPr>
          <w:b w:val="0"/>
        </w:rPr>
        <w:t>A.</w:t>
      </w:r>
      <w:r w:rsidR="00FA09C3">
        <w:rPr>
          <w:b w:val="0"/>
          <w:noProof/>
        </w:rPr>
        <w:t>175</w:t>
      </w:r>
      <w:r>
        <w:tab/>
        <w:t>Allocation of Sustainable Regions Program</w:t>
      </w:r>
      <w:r w:rsidR="00E471E2" w:rsidRPr="00E471E2">
        <w:t xml:space="preserve"> to industry</w:t>
      </w:r>
      <w:r>
        <w:t>, 2006</w:t>
      </w:r>
      <w:r>
        <w:noBreakHyphen/>
        <w:t>07 to 2011</w:t>
      </w:r>
      <w:r>
        <w:noBreakHyphen/>
        <w:t>12</w:t>
      </w:r>
    </w:p>
    <w:p w:rsidR="00731A0B" w:rsidRDefault="00731A0B" w:rsidP="00731A0B">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731A0B" w:rsidRPr="00AF699A" w:rsidTr="005151A7">
        <w:tc>
          <w:tcPr>
            <w:tcW w:w="1960" w:type="pct"/>
            <w:tcBorders>
              <w:top w:val="single" w:sz="6" w:space="0" w:color="auto"/>
              <w:bottom w:val="single" w:sz="6" w:space="0" w:color="auto"/>
            </w:tcBorders>
          </w:tcPr>
          <w:p w:rsidR="00731A0B" w:rsidRPr="00AF699A" w:rsidRDefault="00731A0B" w:rsidP="005151A7">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731A0B" w:rsidRPr="00AF699A" w:rsidRDefault="00731A0B" w:rsidP="005151A7">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731A0B" w:rsidRPr="00AF699A" w:rsidRDefault="00731A0B" w:rsidP="005151A7">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731A0B" w:rsidRPr="00AF699A" w:rsidRDefault="00731A0B" w:rsidP="005151A7">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731A0B" w:rsidRPr="00AF699A" w:rsidRDefault="00731A0B" w:rsidP="005151A7">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731A0B" w:rsidRPr="00AF699A" w:rsidRDefault="00731A0B" w:rsidP="005151A7">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731A0B" w:rsidRPr="00AF699A" w:rsidRDefault="00731A0B" w:rsidP="005151A7">
            <w:pPr>
              <w:pStyle w:val="TableColumnHeading"/>
              <w:ind w:right="28"/>
              <w:rPr>
                <w:rFonts w:cs="Arial"/>
                <w:sz w:val="18"/>
                <w:szCs w:val="18"/>
              </w:rPr>
            </w:pPr>
            <w:r w:rsidRPr="00AF699A">
              <w:rPr>
                <w:rFonts w:cs="Arial"/>
                <w:sz w:val="18"/>
                <w:szCs w:val="18"/>
              </w:rPr>
              <w:t>2011-12</w:t>
            </w:r>
          </w:p>
        </w:tc>
      </w:tr>
      <w:tr w:rsidR="00731A0B" w:rsidRPr="006C5A80" w:rsidTr="005151A7">
        <w:tc>
          <w:tcPr>
            <w:tcW w:w="1960" w:type="pct"/>
            <w:tcBorders>
              <w:bottom w:val="single" w:sz="4" w:space="0" w:color="auto"/>
            </w:tcBorders>
            <w:vAlign w:val="bottom"/>
          </w:tcPr>
          <w:p w:rsidR="00731A0B" w:rsidRPr="00C944BA" w:rsidRDefault="00731A0B" w:rsidP="005151A7">
            <w:pPr>
              <w:pStyle w:val="TableBodyText"/>
              <w:jc w:val="left"/>
            </w:pPr>
            <w:r>
              <w:t>Unallocated other</w:t>
            </w:r>
            <w:r w:rsidRPr="00A74BCE">
              <w:rPr>
                <w:rStyle w:val="NoteLabel"/>
                <w:szCs w:val="18"/>
              </w:rPr>
              <w:t>a</w:t>
            </w:r>
          </w:p>
        </w:tc>
        <w:tc>
          <w:tcPr>
            <w:tcW w:w="507" w:type="pct"/>
            <w:tcBorders>
              <w:bottom w:val="single" w:sz="4" w:space="0" w:color="auto"/>
            </w:tcBorders>
            <w:vAlign w:val="bottom"/>
          </w:tcPr>
          <w:p w:rsidR="00731A0B" w:rsidRPr="00B113CE" w:rsidRDefault="00731A0B" w:rsidP="005151A7">
            <w:pPr>
              <w:pStyle w:val="TableBodyText"/>
            </w:pPr>
            <w:r w:rsidRPr="00B113CE">
              <w:t>7.</w:t>
            </w:r>
            <w:r>
              <w:t>1</w:t>
            </w:r>
          </w:p>
        </w:tc>
        <w:tc>
          <w:tcPr>
            <w:tcW w:w="507" w:type="pct"/>
            <w:tcBorders>
              <w:bottom w:val="single" w:sz="4" w:space="0" w:color="auto"/>
            </w:tcBorders>
            <w:vAlign w:val="bottom"/>
          </w:tcPr>
          <w:p w:rsidR="00731A0B" w:rsidRPr="00B113CE" w:rsidRDefault="00731A0B" w:rsidP="005151A7">
            <w:pPr>
              <w:pStyle w:val="TableBodyText"/>
            </w:pPr>
            <w:r w:rsidRPr="00B113CE">
              <w:t>4.7</w:t>
            </w:r>
          </w:p>
        </w:tc>
        <w:tc>
          <w:tcPr>
            <w:tcW w:w="507" w:type="pct"/>
            <w:tcBorders>
              <w:bottom w:val="single" w:sz="4" w:space="0" w:color="auto"/>
            </w:tcBorders>
            <w:vAlign w:val="bottom"/>
          </w:tcPr>
          <w:p w:rsidR="00731A0B" w:rsidRPr="00B113CE" w:rsidRDefault="00731A0B" w:rsidP="005151A7">
            <w:pPr>
              <w:pStyle w:val="TableBodyText"/>
            </w:pPr>
            <w:r w:rsidRPr="00B113CE">
              <w:t>0.9</w:t>
            </w:r>
          </w:p>
        </w:tc>
        <w:tc>
          <w:tcPr>
            <w:tcW w:w="507" w:type="pct"/>
            <w:tcBorders>
              <w:bottom w:val="single" w:sz="4" w:space="0" w:color="auto"/>
            </w:tcBorders>
            <w:vAlign w:val="bottom"/>
          </w:tcPr>
          <w:p w:rsidR="00731A0B" w:rsidRPr="00B113CE" w:rsidRDefault="00731A0B" w:rsidP="005151A7">
            <w:pPr>
              <w:pStyle w:val="TableBodyText"/>
            </w:pPr>
            <w:r>
              <w:noBreakHyphen/>
            </w:r>
          </w:p>
        </w:tc>
        <w:tc>
          <w:tcPr>
            <w:tcW w:w="507" w:type="pct"/>
            <w:tcBorders>
              <w:bottom w:val="single" w:sz="4" w:space="0" w:color="auto"/>
            </w:tcBorders>
            <w:shd w:val="clear" w:color="auto" w:fill="auto"/>
            <w:vAlign w:val="bottom"/>
          </w:tcPr>
          <w:p w:rsidR="00731A0B" w:rsidRPr="00B113CE" w:rsidRDefault="00731A0B" w:rsidP="005151A7">
            <w:pPr>
              <w:pStyle w:val="TableBodyText"/>
            </w:pPr>
            <w:r>
              <w:noBreakHyphen/>
            </w:r>
          </w:p>
        </w:tc>
        <w:tc>
          <w:tcPr>
            <w:tcW w:w="505" w:type="pct"/>
            <w:tcBorders>
              <w:bottom w:val="single" w:sz="4" w:space="0" w:color="auto"/>
            </w:tcBorders>
            <w:shd w:val="clear" w:color="auto" w:fill="auto"/>
            <w:vAlign w:val="bottom"/>
          </w:tcPr>
          <w:p w:rsidR="00731A0B" w:rsidRPr="00B113CE" w:rsidRDefault="00731A0B" w:rsidP="005151A7">
            <w:pPr>
              <w:pStyle w:val="TableBodyText"/>
            </w:pPr>
            <w:r>
              <w:noBreakHyphen/>
            </w:r>
          </w:p>
        </w:tc>
      </w:tr>
    </w:tbl>
    <w:p w:rsidR="00731A0B" w:rsidRPr="00F60026" w:rsidRDefault="00731A0B" w:rsidP="00731A0B">
      <w:pPr>
        <w:pStyle w:val="Source"/>
        <w:spacing w:after="0"/>
        <w:rPr>
          <w:i/>
        </w:rPr>
      </w:pPr>
      <w:r>
        <w:t xml:space="preserve">– Nil. </w:t>
      </w:r>
      <w:r w:rsidRPr="009B56F1">
        <w:rPr>
          <w:rStyle w:val="NoteLabel"/>
        </w:rPr>
        <w:t>a</w:t>
      </w:r>
      <w:r w:rsidRPr="009B56F1">
        <w:t xml:space="preserve"> Unallocated includes general programs where detai</w:t>
      </w:r>
      <w:r>
        <w:t>ls of beneficiaries are unknown.</w:t>
      </w:r>
    </w:p>
    <w:p w:rsidR="006156BE" w:rsidRPr="006156BE" w:rsidRDefault="00731A0B" w:rsidP="00C26E82">
      <w:pPr>
        <w:pStyle w:val="Source"/>
      </w:pPr>
      <w:r>
        <w:rPr>
          <w:i/>
        </w:rPr>
        <w:t>Sources</w:t>
      </w:r>
      <w:r>
        <w:t>: Commission estimates based on DITRDLG Annual Report 2008</w:t>
      </w:r>
      <w:r>
        <w:noBreakHyphen/>
        <w:t>09 (and earlier years); and Department of Transport and Regional Services Annual Report 2006</w:t>
      </w:r>
      <w:r>
        <w:noBreakHyphen/>
        <w:t>07.</w:t>
      </w:r>
    </w:p>
    <w:p w:rsidR="00731A0B" w:rsidRDefault="00FA09C3" w:rsidP="00731A0B">
      <w:pPr>
        <w:pStyle w:val="Heading2"/>
      </w:pPr>
      <w:r>
        <w:t>A.</w:t>
      </w:r>
      <w:r>
        <w:rPr>
          <w:noProof/>
        </w:rPr>
        <w:t>176</w:t>
      </w:r>
      <w:r w:rsidR="00731A0B">
        <w:tab/>
        <w:t>Land transport infrastructure borrowings tax offsets scheme</w:t>
      </w:r>
    </w:p>
    <w:p w:rsidR="00731A0B" w:rsidRDefault="00731A0B" w:rsidP="00731A0B">
      <w:pPr>
        <w:pStyle w:val="BodyText"/>
      </w:pPr>
      <w:r>
        <w:t>The Land transport infrastructure borrowings tax offsets scheme provided a tax offset, at the company tax rate and capped at $75 million per annum, for resident lenders who receive</w:t>
      </w:r>
      <w:r w:rsidR="000F7DD5">
        <w:t>d</w:t>
      </w:r>
      <w:r>
        <w:t xml:space="preserve"> interest income from loans given for approved land transport infrastructure projects. The offset was available for the first five years of interest payments. The interest paid by the borrower was not deductible. No new projects have been admitted to the scheme since May 2004. The scheme was repealed in 2011 </w:t>
      </w:r>
      <w:r w:rsidRPr="00224F43">
        <w:t>(</w:t>
      </w:r>
      <w:r w:rsidRPr="00C305B5">
        <w:t>Tax Expenditure Statement, Australian Government</w:t>
      </w:r>
      <w:r>
        <w:t> </w:t>
      </w:r>
      <w:r w:rsidRPr="00C305B5">
        <w:t>2013, Item B 49</w:t>
      </w:r>
      <w:r w:rsidRPr="00224F43">
        <w:t>)</w:t>
      </w:r>
      <w:r>
        <w:t>.</w:t>
      </w:r>
    </w:p>
    <w:p w:rsidR="00731A0B" w:rsidRDefault="00731A0B" w:rsidP="00731A0B">
      <w:pPr>
        <w:pStyle w:val="BodyText"/>
      </w:pPr>
      <w:r>
        <w:t xml:space="preserve">Based on information obtained from Australian Government press releases detailing approved projects and Development Allowance Authority (DAA) annual reports, this offset has been allocated across the </w:t>
      </w:r>
      <w:r w:rsidRPr="002F077A">
        <w:rPr>
          <w:i/>
        </w:rPr>
        <w:t>Transport, postal and warehousing</w:t>
      </w:r>
      <w:r>
        <w:t xml:space="preserve"> and </w:t>
      </w:r>
      <w:r w:rsidRPr="002F077A">
        <w:rPr>
          <w:i/>
        </w:rPr>
        <w:t>Financial and insurance services</w:t>
      </w:r>
      <w:r>
        <w:t xml:space="preserve"> industry groupings in the Commission’s ANZSIC-based classification (table A.17</w:t>
      </w:r>
      <w:r w:rsidR="00886F15">
        <w:t>6</w:t>
      </w:r>
      <w:r>
        <w:t>).</w:t>
      </w:r>
    </w:p>
    <w:p w:rsidR="00731A0B" w:rsidRDefault="00731A0B" w:rsidP="00731A0B">
      <w:pPr>
        <w:pStyle w:val="TableTitle"/>
      </w:pPr>
      <w:r>
        <w:rPr>
          <w:b w:val="0"/>
        </w:rPr>
        <w:t xml:space="preserve">Table </w:t>
      </w:r>
      <w:r w:rsidR="00FA09C3">
        <w:rPr>
          <w:b w:val="0"/>
        </w:rPr>
        <w:t>A.</w:t>
      </w:r>
      <w:r w:rsidR="00FA09C3">
        <w:rPr>
          <w:b w:val="0"/>
          <w:noProof/>
        </w:rPr>
        <w:t>176</w:t>
      </w:r>
      <w:r>
        <w:tab/>
        <w:t xml:space="preserve">Allocation of Land transport infrastructure borrowings tax offsets scheme </w:t>
      </w:r>
      <w:r w:rsidR="00E471E2" w:rsidRPr="00E471E2">
        <w:t>to industry</w:t>
      </w:r>
      <w:r>
        <w:t>, 2006</w:t>
      </w:r>
      <w:r>
        <w:noBreakHyphen/>
        <w:t>07 to 2011</w:t>
      </w:r>
      <w:r>
        <w:noBreakHyphen/>
        <w:t>12</w:t>
      </w:r>
    </w:p>
    <w:p w:rsidR="00731A0B" w:rsidRDefault="00731A0B" w:rsidP="00731A0B">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731A0B" w:rsidRPr="00AF699A" w:rsidTr="005151A7">
        <w:tc>
          <w:tcPr>
            <w:tcW w:w="1960" w:type="pct"/>
            <w:tcBorders>
              <w:top w:val="single" w:sz="6" w:space="0" w:color="auto"/>
              <w:bottom w:val="single" w:sz="6" w:space="0" w:color="auto"/>
            </w:tcBorders>
          </w:tcPr>
          <w:p w:rsidR="00731A0B" w:rsidRPr="00AF699A" w:rsidRDefault="00731A0B" w:rsidP="005151A7">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731A0B" w:rsidRPr="00AF699A" w:rsidRDefault="00731A0B" w:rsidP="005151A7">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731A0B" w:rsidRPr="00AF699A" w:rsidRDefault="00731A0B" w:rsidP="005151A7">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731A0B" w:rsidRPr="00AF699A" w:rsidRDefault="00731A0B" w:rsidP="005151A7">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731A0B" w:rsidRPr="00AF699A" w:rsidRDefault="00731A0B" w:rsidP="005151A7">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731A0B" w:rsidRPr="00AF699A" w:rsidRDefault="00731A0B" w:rsidP="005151A7">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731A0B" w:rsidRPr="00AF699A" w:rsidRDefault="00731A0B" w:rsidP="005151A7">
            <w:pPr>
              <w:pStyle w:val="TableColumnHeading"/>
              <w:ind w:right="28"/>
              <w:rPr>
                <w:rFonts w:cs="Arial"/>
                <w:sz w:val="18"/>
                <w:szCs w:val="18"/>
              </w:rPr>
            </w:pPr>
            <w:r w:rsidRPr="00AF699A">
              <w:rPr>
                <w:rFonts w:cs="Arial"/>
                <w:sz w:val="18"/>
                <w:szCs w:val="18"/>
              </w:rPr>
              <w:t>2011-12</w:t>
            </w:r>
          </w:p>
        </w:tc>
      </w:tr>
      <w:tr w:rsidR="00731A0B" w:rsidRPr="006C5A80" w:rsidTr="005151A7">
        <w:tc>
          <w:tcPr>
            <w:tcW w:w="1960" w:type="pct"/>
            <w:vAlign w:val="bottom"/>
          </w:tcPr>
          <w:p w:rsidR="00731A0B" w:rsidRPr="00C944BA" w:rsidRDefault="00731A0B" w:rsidP="005151A7">
            <w:pPr>
              <w:pStyle w:val="TableBodyText"/>
              <w:jc w:val="left"/>
            </w:pPr>
            <w:r>
              <w:t>Transport, postal and warehousing</w:t>
            </w:r>
          </w:p>
        </w:tc>
        <w:tc>
          <w:tcPr>
            <w:tcW w:w="507" w:type="pct"/>
            <w:vAlign w:val="bottom"/>
          </w:tcPr>
          <w:p w:rsidR="00731A0B" w:rsidRPr="00B113CE" w:rsidRDefault="00731A0B" w:rsidP="005151A7">
            <w:pPr>
              <w:pStyle w:val="TableBodyText"/>
            </w:pPr>
            <w:r>
              <w:t>0.4</w:t>
            </w:r>
          </w:p>
        </w:tc>
        <w:tc>
          <w:tcPr>
            <w:tcW w:w="507" w:type="pct"/>
            <w:vAlign w:val="bottom"/>
          </w:tcPr>
          <w:p w:rsidR="00731A0B" w:rsidRPr="00B113CE" w:rsidRDefault="00731A0B" w:rsidP="005151A7">
            <w:pPr>
              <w:pStyle w:val="TableBodyText"/>
            </w:pPr>
            <w:r>
              <w:t>0.4</w:t>
            </w:r>
          </w:p>
        </w:tc>
        <w:tc>
          <w:tcPr>
            <w:tcW w:w="507" w:type="pct"/>
            <w:vAlign w:val="bottom"/>
          </w:tcPr>
          <w:p w:rsidR="00731A0B" w:rsidRPr="00B113CE" w:rsidRDefault="00731A0B" w:rsidP="005151A7">
            <w:pPr>
              <w:pStyle w:val="TableBodyText"/>
            </w:pPr>
            <w:r>
              <w:t>0.4</w:t>
            </w:r>
          </w:p>
        </w:tc>
        <w:tc>
          <w:tcPr>
            <w:tcW w:w="507" w:type="pct"/>
            <w:vAlign w:val="bottom"/>
          </w:tcPr>
          <w:p w:rsidR="00731A0B" w:rsidRPr="00B113CE" w:rsidRDefault="00731A0B" w:rsidP="005151A7">
            <w:pPr>
              <w:pStyle w:val="TableBodyText"/>
            </w:pPr>
            <w:r>
              <w:noBreakHyphen/>
            </w:r>
          </w:p>
        </w:tc>
        <w:tc>
          <w:tcPr>
            <w:tcW w:w="507" w:type="pct"/>
            <w:shd w:val="clear" w:color="auto" w:fill="auto"/>
            <w:vAlign w:val="bottom"/>
          </w:tcPr>
          <w:p w:rsidR="00731A0B" w:rsidRPr="00B113CE" w:rsidRDefault="00731A0B" w:rsidP="005151A7">
            <w:pPr>
              <w:pStyle w:val="TableBodyText"/>
            </w:pPr>
            <w:r>
              <w:noBreakHyphen/>
            </w:r>
          </w:p>
        </w:tc>
        <w:tc>
          <w:tcPr>
            <w:tcW w:w="505" w:type="pct"/>
            <w:shd w:val="clear" w:color="auto" w:fill="auto"/>
            <w:vAlign w:val="bottom"/>
          </w:tcPr>
          <w:p w:rsidR="00731A0B" w:rsidRPr="00B113CE" w:rsidRDefault="00731A0B" w:rsidP="005151A7">
            <w:pPr>
              <w:pStyle w:val="TableBodyText"/>
            </w:pPr>
            <w:r>
              <w:noBreakHyphen/>
            </w:r>
          </w:p>
        </w:tc>
      </w:tr>
      <w:tr w:rsidR="00731A0B" w:rsidRPr="006C5A80" w:rsidTr="00C305B5">
        <w:tc>
          <w:tcPr>
            <w:tcW w:w="1960" w:type="pct"/>
            <w:vAlign w:val="bottom"/>
          </w:tcPr>
          <w:p w:rsidR="00731A0B" w:rsidRDefault="00731A0B" w:rsidP="005151A7">
            <w:pPr>
              <w:pStyle w:val="TableBodyText"/>
              <w:jc w:val="left"/>
            </w:pPr>
            <w:r>
              <w:t>Financial and insurance services</w:t>
            </w:r>
          </w:p>
        </w:tc>
        <w:tc>
          <w:tcPr>
            <w:tcW w:w="507" w:type="pct"/>
            <w:vAlign w:val="bottom"/>
          </w:tcPr>
          <w:p w:rsidR="00731A0B" w:rsidRPr="00B113CE" w:rsidRDefault="00731A0B" w:rsidP="005151A7">
            <w:pPr>
              <w:pStyle w:val="TableBodyText"/>
            </w:pPr>
            <w:r>
              <w:t>0.1</w:t>
            </w:r>
          </w:p>
        </w:tc>
        <w:tc>
          <w:tcPr>
            <w:tcW w:w="507" w:type="pct"/>
            <w:vAlign w:val="bottom"/>
          </w:tcPr>
          <w:p w:rsidR="00731A0B" w:rsidRPr="00B113CE" w:rsidRDefault="00731A0B" w:rsidP="005151A7">
            <w:pPr>
              <w:pStyle w:val="TableBodyText"/>
            </w:pPr>
            <w:r>
              <w:t>0.1</w:t>
            </w:r>
          </w:p>
        </w:tc>
        <w:tc>
          <w:tcPr>
            <w:tcW w:w="507" w:type="pct"/>
            <w:vAlign w:val="bottom"/>
          </w:tcPr>
          <w:p w:rsidR="00731A0B" w:rsidRPr="00B113CE" w:rsidRDefault="00731A0B" w:rsidP="005151A7">
            <w:pPr>
              <w:pStyle w:val="TableBodyText"/>
            </w:pPr>
            <w:r>
              <w:t>0.1</w:t>
            </w:r>
          </w:p>
        </w:tc>
        <w:tc>
          <w:tcPr>
            <w:tcW w:w="507" w:type="pct"/>
            <w:vAlign w:val="bottom"/>
          </w:tcPr>
          <w:p w:rsidR="00731A0B" w:rsidRDefault="00731A0B" w:rsidP="005151A7">
            <w:pPr>
              <w:pStyle w:val="TableBodyText"/>
            </w:pPr>
            <w:r>
              <w:noBreakHyphen/>
            </w:r>
          </w:p>
        </w:tc>
        <w:tc>
          <w:tcPr>
            <w:tcW w:w="507" w:type="pct"/>
            <w:shd w:val="clear" w:color="auto" w:fill="auto"/>
            <w:vAlign w:val="bottom"/>
          </w:tcPr>
          <w:p w:rsidR="00731A0B" w:rsidRDefault="00731A0B" w:rsidP="005151A7">
            <w:pPr>
              <w:pStyle w:val="TableBodyText"/>
            </w:pPr>
            <w:r>
              <w:noBreakHyphen/>
            </w:r>
          </w:p>
        </w:tc>
        <w:tc>
          <w:tcPr>
            <w:tcW w:w="505" w:type="pct"/>
            <w:shd w:val="clear" w:color="auto" w:fill="auto"/>
            <w:vAlign w:val="bottom"/>
          </w:tcPr>
          <w:p w:rsidR="00731A0B" w:rsidRDefault="00731A0B" w:rsidP="005151A7">
            <w:pPr>
              <w:pStyle w:val="TableBodyText"/>
            </w:pPr>
            <w:r>
              <w:noBreakHyphen/>
            </w:r>
          </w:p>
        </w:tc>
      </w:tr>
      <w:tr w:rsidR="004F68F9" w:rsidRPr="004F68F9" w:rsidTr="005151A7">
        <w:tc>
          <w:tcPr>
            <w:tcW w:w="1960" w:type="pct"/>
            <w:tcBorders>
              <w:bottom w:val="single" w:sz="4" w:space="0" w:color="auto"/>
            </w:tcBorders>
            <w:vAlign w:val="bottom"/>
          </w:tcPr>
          <w:p w:rsidR="004F68F9" w:rsidRPr="00C305B5" w:rsidRDefault="004F68F9" w:rsidP="005151A7">
            <w:pPr>
              <w:pStyle w:val="TableBodyText"/>
              <w:jc w:val="left"/>
              <w:rPr>
                <w:b/>
              </w:rPr>
            </w:pPr>
            <w:r w:rsidRPr="00C305B5">
              <w:rPr>
                <w:b/>
              </w:rPr>
              <w:t>Total</w:t>
            </w:r>
          </w:p>
        </w:tc>
        <w:tc>
          <w:tcPr>
            <w:tcW w:w="507" w:type="pct"/>
            <w:tcBorders>
              <w:bottom w:val="single" w:sz="4" w:space="0" w:color="auto"/>
            </w:tcBorders>
            <w:vAlign w:val="bottom"/>
          </w:tcPr>
          <w:p w:rsidR="004F68F9" w:rsidRPr="00C305B5" w:rsidRDefault="004F68F9" w:rsidP="005151A7">
            <w:pPr>
              <w:pStyle w:val="TableBodyText"/>
              <w:framePr w:w="2155" w:hSpace="227" w:vSpace="181" w:wrap="around" w:vAnchor="text" w:hAnchor="page" w:xAlign="outside" w:y="1"/>
              <w:rPr>
                <w:b/>
              </w:rPr>
            </w:pPr>
            <w:r w:rsidRPr="00C305B5">
              <w:rPr>
                <w:b/>
              </w:rPr>
              <w:t>0.5</w:t>
            </w:r>
          </w:p>
        </w:tc>
        <w:tc>
          <w:tcPr>
            <w:tcW w:w="507" w:type="pct"/>
            <w:tcBorders>
              <w:bottom w:val="single" w:sz="4" w:space="0" w:color="auto"/>
            </w:tcBorders>
            <w:vAlign w:val="bottom"/>
          </w:tcPr>
          <w:p w:rsidR="004F68F9" w:rsidRPr="00C305B5" w:rsidRDefault="004F68F9" w:rsidP="005151A7">
            <w:pPr>
              <w:pStyle w:val="TableBodyText"/>
              <w:framePr w:w="2155" w:hSpace="227" w:vSpace="181" w:wrap="around" w:vAnchor="text" w:hAnchor="page" w:xAlign="outside" w:y="1"/>
              <w:rPr>
                <w:b/>
              </w:rPr>
            </w:pPr>
            <w:r w:rsidRPr="00C305B5">
              <w:rPr>
                <w:b/>
              </w:rPr>
              <w:t>0.5</w:t>
            </w:r>
          </w:p>
        </w:tc>
        <w:tc>
          <w:tcPr>
            <w:tcW w:w="507" w:type="pct"/>
            <w:tcBorders>
              <w:bottom w:val="single" w:sz="4" w:space="0" w:color="auto"/>
            </w:tcBorders>
            <w:vAlign w:val="bottom"/>
          </w:tcPr>
          <w:p w:rsidR="004F68F9" w:rsidRPr="00C305B5" w:rsidRDefault="004F68F9" w:rsidP="005151A7">
            <w:pPr>
              <w:pStyle w:val="TableBodyText"/>
              <w:framePr w:w="2155" w:hSpace="227" w:vSpace="181" w:wrap="around" w:vAnchor="text" w:hAnchor="page" w:xAlign="outside" w:y="1"/>
              <w:rPr>
                <w:b/>
              </w:rPr>
            </w:pPr>
            <w:r w:rsidRPr="00C305B5">
              <w:rPr>
                <w:b/>
              </w:rPr>
              <w:t>0.5</w:t>
            </w:r>
          </w:p>
        </w:tc>
        <w:tc>
          <w:tcPr>
            <w:tcW w:w="507" w:type="pct"/>
            <w:tcBorders>
              <w:bottom w:val="single" w:sz="4" w:space="0" w:color="auto"/>
            </w:tcBorders>
            <w:vAlign w:val="bottom"/>
          </w:tcPr>
          <w:p w:rsidR="004F68F9" w:rsidRPr="00C305B5" w:rsidRDefault="004F68F9" w:rsidP="005151A7">
            <w:pPr>
              <w:pStyle w:val="TableBodyText"/>
              <w:rPr>
                <w:b/>
              </w:rPr>
            </w:pPr>
          </w:p>
        </w:tc>
        <w:tc>
          <w:tcPr>
            <w:tcW w:w="507" w:type="pct"/>
            <w:tcBorders>
              <w:bottom w:val="single" w:sz="4" w:space="0" w:color="auto"/>
            </w:tcBorders>
            <w:shd w:val="clear" w:color="auto" w:fill="auto"/>
            <w:vAlign w:val="bottom"/>
          </w:tcPr>
          <w:p w:rsidR="004F68F9" w:rsidRPr="00C305B5" w:rsidRDefault="004F68F9" w:rsidP="005151A7">
            <w:pPr>
              <w:pStyle w:val="TableBodyText"/>
              <w:rPr>
                <w:b/>
              </w:rPr>
            </w:pPr>
          </w:p>
        </w:tc>
        <w:tc>
          <w:tcPr>
            <w:tcW w:w="505" w:type="pct"/>
            <w:tcBorders>
              <w:bottom w:val="single" w:sz="4" w:space="0" w:color="auto"/>
            </w:tcBorders>
            <w:shd w:val="clear" w:color="auto" w:fill="auto"/>
            <w:vAlign w:val="bottom"/>
          </w:tcPr>
          <w:p w:rsidR="004F68F9" w:rsidRPr="00C305B5" w:rsidRDefault="004F68F9" w:rsidP="005151A7">
            <w:pPr>
              <w:pStyle w:val="TableBodyText"/>
              <w:rPr>
                <w:b/>
              </w:rPr>
            </w:pPr>
          </w:p>
        </w:tc>
      </w:tr>
    </w:tbl>
    <w:p w:rsidR="00731A0B" w:rsidRPr="00F60026" w:rsidRDefault="00731A0B" w:rsidP="00731A0B">
      <w:pPr>
        <w:pStyle w:val="Source"/>
        <w:spacing w:after="0"/>
        <w:rPr>
          <w:i/>
        </w:rPr>
      </w:pPr>
      <w:r>
        <w:t>– Nil.</w:t>
      </w:r>
    </w:p>
    <w:p w:rsidR="00731A0B" w:rsidRDefault="00731A0B" w:rsidP="00731A0B">
      <w:pPr>
        <w:pStyle w:val="Source"/>
      </w:pPr>
      <w:r>
        <w:rPr>
          <w:i/>
        </w:rPr>
        <w:t>Sources</w:t>
      </w:r>
      <w:r>
        <w:t>: Commission estimates based on Tax Expenditure Statement 2012, Australian Government 2013, p. 89, Item B49; Development Allowance Authority Annual Report 2008</w:t>
      </w:r>
      <w:r>
        <w:noBreakHyphen/>
        <w:t>09 (and earlier years); and Australian Government press releases (various years).</w:t>
      </w:r>
    </w:p>
    <w:p w:rsidR="00731A0B" w:rsidRDefault="00FA09C3" w:rsidP="00731A0B">
      <w:pPr>
        <w:pStyle w:val="Heading2"/>
      </w:pPr>
      <w:r>
        <w:t>A.</w:t>
      </w:r>
      <w:r>
        <w:rPr>
          <w:noProof/>
        </w:rPr>
        <w:t>177</w:t>
      </w:r>
      <w:r w:rsidR="00731A0B">
        <w:tab/>
        <w:t>Structural Adjustment Fund for South Australia</w:t>
      </w:r>
    </w:p>
    <w:p w:rsidR="00731A0B" w:rsidRDefault="00731A0B" w:rsidP="00731A0B">
      <w:pPr>
        <w:pStyle w:val="BodyText"/>
      </w:pPr>
      <w:r>
        <w:t xml:space="preserve">In May 2004, the Australian Government announced a Structural Adjustment Fund for South Australia (SAFSA) in response to the closure of Mitsubishi’s engine plant in Lonsdale, South Australia. The Government’s intension for the fund was that it </w:t>
      </w:r>
      <w:r w:rsidR="00DC06E8">
        <w:t xml:space="preserve">would </w:t>
      </w:r>
      <w:r>
        <w:t xml:space="preserve">support investment </w:t>
      </w:r>
      <w:r w:rsidR="00DC06E8">
        <w:t>to</w:t>
      </w:r>
      <w:r>
        <w:t xml:space="preserve"> create  new jobs in South Australia, with a focus on the </w:t>
      </w:r>
      <w:r w:rsidR="00DC06E8">
        <w:t xml:space="preserve">southern </w:t>
      </w:r>
      <w:r>
        <w:t xml:space="preserve">districts of Adelaide. The SAFSA was to provide funding of up to $40 million </w:t>
      </w:r>
      <w:r w:rsidRPr="003A737C">
        <w:t>(</w:t>
      </w:r>
      <w:r w:rsidRPr="00C305B5">
        <w:t>Howard 2004</w:t>
      </w:r>
      <w:r w:rsidRPr="003A737C">
        <w:t xml:space="preserve"> </w:t>
      </w:r>
      <w:r>
        <w:t>and</w:t>
      </w:r>
      <w:r w:rsidRPr="00AE465C">
        <w:t xml:space="preserve"> </w:t>
      </w:r>
      <w:r w:rsidRPr="00C305B5">
        <w:t>DITR 2005</w:t>
      </w:r>
      <w:r>
        <w:t>). The fund was closed to new applications in 2006.</w:t>
      </w:r>
    </w:p>
    <w:p w:rsidR="00731A0B" w:rsidRDefault="00731A0B" w:rsidP="00731A0B">
      <w:pPr>
        <w:pStyle w:val="BodyText"/>
      </w:pPr>
      <w:r>
        <w:t>DIISR has provided information on the industry incidence of SAFSA funding by the ANZSIC industry classification (table A.17</w:t>
      </w:r>
      <w:r w:rsidR="00886F15">
        <w:t>7</w:t>
      </w:r>
      <w:r>
        <w:t>).</w:t>
      </w:r>
    </w:p>
    <w:p w:rsidR="00731A0B" w:rsidRDefault="00731A0B" w:rsidP="00731A0B">
      <w:pPr>
        <w:pStyle w:val="TableTitle"/>
      </w:pPr>
      <w:r>
        <w:rPr>
          <w:b w:val="0"/>
        </w:rPr>
        <w:t xml:space="preserve">Table </w:t>
      </w:r>
      <w:r w:rsidR="00FA09C3">
        <w:rPr>
          <w:b w:val="0"/>
        </w:rPr>
        <w:t>A.</w:t>
      </w:r>
      <w:r w:rsidR="00FA09C3">
        <w:rPr>
          <w:b w:val="0"/>
          <w:noProof/>
        </w:rPr>
        <w:t>177</w:t>
      </w:r>
      <w:r>
        <w:tab/>
        <w:t xml:space="preserve">Allocation of Structural Adjustment Fund for South Australia </w:t>
      </w:r>
      <w:r w:rsidR="00E471E2" w:rsidRPr="00E471E2">
        <w:t>to industry</w:t>
      </w:r>
      <w:r>
        <w:t>, 2006</w:t>
      </w:r>
      <w:r>
        <w:noBreakHyphen/>
        <w:t>07 to 2011</w:t>
      </w:r>
      <w:r>
        <w:noBreakHyphen/>
        <w:t>12</w:t>
      </w:r>
    </w:p>
    <w:p w:rsidR="00731A0B" w:rsidRDefault="00731A0B" w:rsidP="00731A0B">
      <w:pPr>
        <w:pStyle w:val="Subtitle"/>
      </w:pPr>
      <w:r>
        <w:t>$ million (nominal)</w:t>
      </w:r>
    </w:p>
    <w:tbl>
      <w:tblPr>
        <w:tblW w:w="5000" w:type="pct"/>
        <w:tblCellMar>
          <w:left w:w="0" w:type="dxa"/>
          <w:right w:w="0" w:type="dxa"/>
        </w:tblCellMar>
        <w:tblLook w:val="0000" w:firstRow="0" w:lastRow="0" w:firstColumn="0" w:lastColumn="0" w:noHBand="0" w:noVBand="0"/>
      </w:tblPr>
      <w:tblGrid>
        <w:gridCol w:w="3421"/>
        <w:gridCol w:w="1030"/>
        <w:gridCol w:w="870"/>
        <w:gridCol w:w="870"/>
        <w:gridCol w:w="870"/>
        <w:gridCol w:w="870"/>
        <w:gridCol w:w="858"/>
      </w:tblGrid>
      <w:tr w:rsidR="00731A0B" w:rsidRPr="006156BE" w:rsidTr="005151A7">
        <w:trPr>
          <w:trHeight w:val="227"/>
        </w:trPr>
        <w:tc>
          <w:tcPr>
            <w:tcW w:w="1946" w:type="pct"/>
            <w:tcBorders>
              <w:top w:val="single" w:sz="6" w:space="0" w:color="auto"/>
              <w:bottom w:val="single" w:sz="6" w:space="0" w:color="auto"/>
            </w:tcBorders>
          </w:tcPr>
          <w:p w:rsidR="00731A0B" w:rsidRPr="006156BE" w:rsidRDefault="00731A0B" w:rsidP="005151A7">
            <w:pPr>
              <w:pStyle w:val="TableColumnHeading"/>
              <w:jc w:val="left"/>
              <w:rPr>
                <w:sz w:val="18"/>
                <w:szCs w:val="18"/>
              </w:rPr>
            </w:pPr>
            <w:r w:rsidRPr="006156BE">
              <w:rPr>
                <w:sz w:val="18"/>
                <w:szCs w:val="18"/>
              </w:rPr>
              <w:t>Industry grouping</w:t>
            </w:r>
          </w:p>
        </w:tc>
        <w:tc>
          <w:tcPr>
            <w:tcW w:w="586" w:type="pct"/>
            <w:tcBorders>
              <w:top w:val="single" w:sz="6" w:space="0" w:color="auto"/>
              <w:bottom w:val="single" w:sz="6" w:space="0" w:color="auto"/>
            </w:tcBorders>
          </w:tcPr>
          <w:p w:rsidR="00731A0B" w:rsidRPr="006156BE" w:rsidRDefault="00731A0B" w:rsidP="005151A7">
            <w:pPr>
              <w:pStyle w:val="TableColumnHeading"/>
              <w:ind w:right="28"/>
              <w:rPr>
                <w:sz w:val="18"/>
                <w:szCs w:val="18"/>
              </w:rPr>
            </w:pPr>
            <w:r w:rsidRPr="006156BE">
              <w:rPr>
                <w:sz w:val="18"/>
                <w:szCs w:val="18"/>
              </w:rPr>
              <w:t>2006-07</w:t>
            </w:r>
          </w:p>
        </w:tc>
        <w:tc>
          <w:tcPr>
            <w:tcW w:w="495" w:type="pct"/>
            <w:tcBorders>
              <w:top w:val="single" w:sz="6" w:space="0" w:color="auto"/>
              <w:bottom w:val="single" w:sz="6" w:space="0" w:color="auto"/>
            </w:tcBorders>
          </w:tcPr>
          <w:p w:rsidR="00731A0B" w:rsidRPr="006156BE" w:rsidRDefault="00731A0B" w:rsidP="005151A7">
            <w:pPr>
              <w:pStyle w:val="TableColumnHeading"/>
              <w:ind w:right="28"/>
              <w:rPr>
                <w:sz w:val="18"/>
                <w:szCs w:val="18"/>
              </w:rPr>
            </w:pPr>
            <w:r w:rsidRPr="006156BE">
              <w:rPr>
                <w:sz w:val="18"/>
                <w:szCs w:val="18"/>
              </w:rPr>
              <w:t>2007-08</w:t>
            </w:r>
          </w:p>
        </w:tc>
        <w:tc>
          <w:tcPr>
            <w:tcW w:w="495" w:type="pct"/>
            <w:tcBorders>
              <w:top w:val="single" w:sz="6" w:space="0" w:color="auto"/>
              <w:bottom w:val="single" w:sz="6" w:space="0" w:color="auto"/>
            </w:tcBorders>
          </w:tcPr>
          <w:p w:rsidR="00731A0B" w:rsidRPr="006156BE" w:rsidRDefault="00731A0B" w:rsidP="005151A7">
            <w:pPr>
              <w:pStyle w:val="TableColumnHeading"/>
              <w:ind w:right="28"/>
              <w:rPr>
                <w:sz w:val="18"/>
                <w:szCs w:val="18"/>
              </w:rPr>
            </w:pPr>
            <w:r w:rsidRPr="006156BE">
              <w:rPr>
                <w:sz w:val="18"/>
                <w:szCs w:val="18"/>
              </w:rPr>
              <w:t>2008-09</w:t>
            </w:r>
          </w:p>
        </w:tc>
        <w:tc>
          <w:tcPr>
            <w:tcW w:w="495" w:type="pct"/>
            <w:tcBorders>
              <w:top w:val="single" w:sz="6" w:space="0" w:color="auto"/>
              <w:bottom w:val="single" w:sz="6" w:space="0" w:color="auto"/>
            </w:tcBorders>
            <w:shd w:val="clear" w:color="auto" w:fill="auto"/>
          </w:tcPr>
          <w:p w:rsidR="00731A0B" w:rsidRPr="006156BE" w:rsidRDefault="00731A0B" w:rsidP="005151A7">
            <w:pPr>
              <w:pStyle w:val="TableColumnHeading"/>
              <w:ind w:right="28"/>
              <w:rPr>
                <w:sz w:val="18"/>
                <w:szCs w:val="18"/>
              </w:rPr>
            </w:pPr>
            <w:r w:rsidRPr="006156BE">
              <w:rPr>
                <w:sz w:val="18"/>
                <w:szCs w:val="18"/>
              </w:rPr>
              <w:t>2009-10</w:t>
            </w:r>
          </w:p>
        </w:tc>
        <w:tc>
          <w:tcPr>
            <w:tcW w:w="495" w:type="pct"/>
            <w:tcBorders>
              <w:top w:val="single" w:sz="6" w:space="0" w:color="auto"/>
              <w:bottom w:val="single" w:sz="6" w:space="0" w:color="auto"/>
            </w:tcBorders>
            <w:shd w:val="clear" w:color="auto" w:fill="auto"/>
          </w:tcPr>
          <w:p w:rsidR="00731A0B" w:rsidRPr="006156BE" w:rsidRDefault="00731A0B" w:rsidP="005151A7">
            <w:pPr>
              <w:pStyle w:val="TableColumnHeading"/>
              <w:ind w:right="28"/>
              <w:rPr>
                <w:sz w:val="18"/>
                <w:szCs w:val="18"/>
              </w:rPr>
            </w:pPr>
            <w:r w:rsidRPr="006156BE">
              <w:rPr>
                <w:sz w:val="18"/>
                <w:szCs w:val="18"/>
              </w:rPr>
              <w:t>2010-11</w:t>
            </w:r>
          </w:p>
        </w:tc>
        <w:tc>
          <w:tcPr>
            <w:tcW w:w="488" w:type="pct"/>
            <w:tcBorders>
              <w:top w:val="single" w:sz="6" w:space="0" w:color="auto"/>
              <w:bottom w:val="single" w:sz="6" w:space="0" w:color="auto"/>
            </w:tcBorders>
            <w:shd w:val="clear" w:color="auto" w:fill="auto"/>
          </w:tcPr>
          <w:p w:rsidR="00731A0B" w:rsidRPr="006156BE" w:rsidRDefault="00731A0B" w:rsidP="005151A7">
            <w:pPr>
              <w:pStyle w:val="TableColumnHeading"/>
              <w:ind w:right="28"/>
              <w:rPr>
                <w:sz w:val="18"/>
                <w:szCs w:val="18"/>
              </w:rPr>
            </w:pPr>
            <w:r w:rsidRPr="006156BE">
              <w:rPr>
                <w:sz w:val="18"/>
                <w:szCs w:val="18"/>
              </w:rPr>
              <w:t>2011-12</w:t>
            </w:r>
          </w:p>
        </w:tc>
      </w:tr>
      <w:tr w:rsidR="00731A0B" w:rsidTr="005151A7">
        <w:trPr>
          <w:trHeight w:val="227"/>
        </w:trPr>
        <w:tc>
          <w:tcPr>
            <w:tcW w:w="1946" w:type="pct"/>
            <w:tcBorders>
              <w:top w:val="single" w:sz="6" w:space="0" w:color="auto"/>
            </w:tcBorders>
            <w:vAlign w:val="bottom"/>
          </w:tcPr>
          <w:p w:rsidR="00731A0B" w:rsidRPr="00DC145C" w:rsidRDefault="00731A0B" w:rsidP="005151A7">
            <w:pPr>
              <w:pStyle w:val="TableBodyText"/>
              <w:jc w:val="left"/>
              <w:rPr>
                <w:b/>
                <w:sz w:val="18"/>
                <w:szCs w:val="18"/>
              </w:rPr>
            </w:pPr>
            <w:r>
              <w:rPr>
                <w:b/>
                <w:sz w:val="18"/>
                <w:szCs w:val="18"/>
              </w:rPr>
              <w:t>Manufacturing</w:t>
            </w:r>
          </w:p>
        </w:tc>
        <w:tc>
          <w:tcPr>
            <w:tcW w:w="586" w:type="pct"/>
            <w:tcBorders>
              <w:top w:val="single" w:sz="6" w:space="0" w:color="auto"/>
            </w:tcBorders>
            <w:vAlign w:val="bottom"/>
          </w:tcPr>
          <w:p w:rsidR="00731A0B" w:rsidRPr="009A0E4B" w:rsidRDefault="00731A0B" w:rsidP="005151A7">
            <w:pPr>
              <w:pStyle w:val="TableBodyText"/>
              <w:rPr>
                <w:b/>
                <w:sz w:val="18"/>
                <w:szCs w:val="18"/>
              </w:rPr>
            </w:pPr>
            <w:r w:rsidRPr="009A0E4B">
              <w:rPr>
                <w:b/>
                <w:sz w:val="18"/>
                <w:szCs w:val="18"/>
              </w:rPr>
              <w:noBreakHyphen/>
            </w:r>
          </w:p>
        </w:tc>
        <w:tc>
          <w:tcPr>
            <w:tcW w:w="495" w:type="pct"/>
            <w:tcBorders>
              <w:top w:val="single" w:sz="6" w:space="0" w:color="auto"/>
            </w:tcBorders>
            <w:vAlign w:val="bottom"/>
          </w:tcPr>
          <w:p w:rsidR="00731A0B" w:rsidRPr="009A0E4B" w:rsidRDefault="00731A0B" w:rsidP="005151A7">
            <w:pPr>
              <w:pStyle w:val="TableBodyText"/>
              <w:rPr>
                <w:b/>
                <w:sz w:val="18"/>
                <w:szCs w:val="18"/>
              </w:rPr>
            </w:pPr>
            <w:r w:rsidRPr="009A0E4B">
              <w:rPr>
                <w:b/>
                <w:sz w:val="18"/>
                <w:szCs w:val="18"/>
              </w:rPr>
              <w:noBreakHyphen/>
            </w:r>
          </w:p>
        </w:tc>
        <w:tc>
          <w:tcPr>
            <w:tcW w:w="495" w:type="pct"/>
            <w:tcBorders>
              <w:top w:val="single" w:sz="6" w:space="0" w:color="auto"/>
            </w:tcBorders>
            <w:vAlign w:val="bottom"/>
          </w:tcPr>
          <w:p w:rsidR="00731A0B" w:rsidRPr="009A0E4B" w:rsidRDefault="00731A0B" w:rsidP="005151A7">
            <w:pPr>
              <w:pStyle w:val="TableBodyText"/>
              <w:rPr>
                <w:b/>
                <w:sz w:val="18"/>
                <w:szCs w:val="18"/>
              </w:rPr>
            </w:pPr>
            <w:r w:rsidRPr="009A0E4B">
              <w:rPr>
                <w:b/>
                <w:sz w:val="18"/>
                <w:szCs w:val="18"/>
              </w:rPr>
              <w:t>0.3</w:t>
            </w:r>
          </w:p>
        </w:tc>
        <w:tc>
          <w:tcPr>
            <w:tcW w:w="495" w:type="pct"/>
            <w:tcBorders>
              <w:top w:val="single" w:sz="6" w:space="0" w:color="auto"/>
            </w:tcBorders>
            <w:vAlign w:val="bottom"/>
          </w:tcPr>
          <w:p w:rsidR="00731A0B" w:rsidRPr="009A0E4B" w:rsidRDefault="00731A0B" w:rsidP="005151A7">
            <w:pPr>
              <w:pStyle w:val="TableBodyText"/>
              <w:rPr>
                <w:b/>
                <w:sz w:val="18"/>
                <w:szCs w:val="18"/>
              </w:rPr>
            </w:pPr>
            <w:r w:rsidRPr="009A0E4B">
              <w:rPr>
                <w:b/>
                <w:sz w:val="18"/>
                <w:szCs w:val="18"/>
              </w:rPr>
              <w:noBreakHyphen/>
            </w:r>
          </w:p>
        </w:tc>
        <w:tc>
          <w:tcPr>
            <w:tcW w:w="495" w:type="pct"/>
            <w:tcBorders>
              <w:top w:val="single" w:sz="6" w:space="0" w:color="auto"/>
            </w:tcBorders>
            <w:vAlign w:val="bottom"/>
          </w:tcPr>
          <w:p w:rsidR="00731A0B" w:rsidRPr="009A0E4B" w:rsidRDefault="00731A0B" w:rsidP="005151A7">
            <w:pPr>
              <w:pStyle w:val="TableBodyText"/>
              <w:rPr>
                <w:b/>
                <w:sz w:val="18"/>
                <w:szCs w:val="18"/>
              </w:rPr>
            </w:pPr>
            <w:r w:rsidRPr="009A0E4B">
              <w:rPr>
                <w:b/>
                <w:sz w:val="18"/>
                <w:szCs w:val="18"/>
              </w:rPr>
              <w:noBreakHyphen/>
            </w:r>
          </w:p>
        </w:tc>
        <w:tc>
          <w:tcPr>
            <w:tcW w:w="488" w:type="pct"/>
            <w:tcBorders>
              <w:top w:val="single" w:sz="6" w:space="0" w:color="auto"/>
            </w:tcBorders>
            <w:vAlign w:val="bottom"/>
          </w:tcPr>
          <w:p w:rsidR="00731A0B" w:rsidRPr="009A0E4B" w:rsidRDefault="00731A0B" w:rsidP="005151A7">
            <w:pPr>
              <w:pStyle w:val="TableBodyText"/>
              <w:rPr>
                <w:b/>
                <w:sz w:val="18"/>
                <w:szCs w:val="18"/>
              </w:rPr>
            </w:pPr>
            <w:r w:rsidRPr="009A0E4B">
              <w:rPr>
                <w:b/>
                <w:sz w:val="18"/>
                <w:szCs w:val="18"/>
              </w:rPr>
              <w:noBreakHyphen/>
            </w:r>
          </w:p>
        </w:tc>
      </w:tr>
      <w:tr w:rsidR="00731A0B" w:rsidTr="005151A7">
        <w:trPr>
          <w:trHeight w:val="227"/>
        </w:trPr>
        <w:tc>
          <w:tcPr>
            <w:tcW w:w="1946" w:type="pct"/>
            <w:vAlign w:val="bottom"/>
          </w:tcPr>
          <w:p w:rsidR="00731A0B" w:rsidRPr="007758AB" w:rsidRDefault="00731A0B" w:rsidP="005151A7">
            <w:pPr>
              <w:pStyle w:val="TableBodyText"/>
              <w:jc w:val="left"/>
              <w:rPr>
                <w:sz w:val="18"/>
                <w:szCs w:val="18"/>
              </w:rPr>
            </w:pPr>
            <w:r>
              <w:rPr>
                <w:sz w:val="18"/>
                <w:szCs w:val="18"/>
              </w:rPr>
              <w:t>Furniture and other manufacturing</w:t>
            </w:r>
          </w:p>
        </w:tc>
        <w:tc>
          <w:tcPr>
            <w:tcW w:w="586" w:type="pct"/>
            <w:vAlign w:val="bottom"/>
          </w:tcPr>
          <w:p w:rsidR="00731A0B" w:rsidRPr="003050B2" w:rsidRDefault="00731A0B" w:rsidP="005151A7">
            <w:pPr>
              <w:pStyle w:val="TableBodyText"/>
              <w:rPr>
                <w:sz w:val="18"/>
                <w:szCs w:val="18"/>
              </w:rPr>
            </w:pPr>
            <w:r>
              <w:rPr>
                <w:sz w:val="18"/>
                <w:szCs w:val="18"/>
              </w:rPr>
              <w:noBreakHyphen/>
            </w:r>
          </w:p>
        </w:tc>
        <w:tc>
          <w:tcPr>
            <w:tcW w:w="495" w:type="pct"/>
            <w:vAlign w:val="bottom"/>
          </w:tcPr>
          <w:p w:rsidR="00731A0B" w:rsidRPr="003050B2" w:rsidRDefault="00731A0B" w:rsidP="005151A7">
            <w:pPr>
              <w:pStyle w:val="TableBodyText"/>
              <w:rPr>
                <w:sz w:val="18"/>
                <w:szCs w:val="18"/>
              </w:rPr>
            </w:pPr>
            <w:r>
              <w:rPr>
                <w:sz w:val="18"/>
                <w:szCs w:val="18"/>
              </w:rPr>
              <w:noBreakHyphen/>
            </w:r>
          </w:p>
        </w:tc>
        <w:tc>
          <w:tcPr>
            <w:tcW w:w="495" w:type="pct"/>
            <w:vAlign w:val="bottom"/>
          </w:tcPr>
          <w:p w:rsidR="00731A0B" w:rsidRPr="003050B2" w:rsidRDefault="00731A0B" w:rsidP="005151A7">
            <w:pPr>
              <w:pStyle w:val="TableBodyText"/>
              <w:rPr>
                <w:sz w:val="18"/>
                <w:szCs w:val="18"/>
              </w:rPr>
            </w:pPr>
            <w:r>
              <w:rPr>
                <w:sz w:val="18"/>
                <w:szCs w:val="18"/>
              </w:rPr>
              <w:t>&lt;</w:t>
            </w:r>
            <w:r w:rsidRPr="00E17EEF">
              <w:rPr>
                <w:sz w:val="18"/>
                <w:szCs w:val="18"/>
              </w:rPr>
              <w:t>0.</w:t>
            </w:r>
            <w:r>
              <w:rPr>
                <w:sz w:val="18"/>
                <w:szCs w:val="18"/>
              </w:rPr>
              <w:t>1</w:t>
            </w:r>
          </w:p>
        </w:tc>
        <w:tc>
          <w:tcPr>
            <w:tcW w:w="495" w:type="pct"/>
            <w:shd w:val="clear" w:color="auto" w:fill="auto"/>
            <w:vAlign w:val="bottom"/>
          </w:tcPr>
          <w:p w:rsidR="00731A0B" w:rsidRPr="003050B2" w:rsidRDefault="00731A0B" w:rsidP="005151A7">
            <w:pPr>
              <w:pStyle w:val="TableBodyText"/>
              <w:rPr>
                <w:sz w:val="18"/>
                <w:szCs w:val="18"/>
              </w:rPr>
            </w:pPr>
            <w:r>
              <w:rPr>
                <w:sz w:val="18"/>
                <w:szCs w:val="18"/>
              </w:rPr>
              <w:noBreakHyphen/>
            </w:r>
          </w:p>
        </w:tc>
        <w:tc>
          <w:tcPr>
            <w:tcW w:w="495" w:type="pct"/>
            <w:shd w:val="clear" w:color="auto" w:fill="auto"/>
            <w:vAlign w:val="bottom"/>
          </w:tcPr>
          <w:p w:rsidR="00731A0B" w:rsidRPr="003050B2" w:rsidRDefault="00731A0B" w:rsidP="005151A7">
            <w:pPr>
              <w:pStyle w:val="TableBodyText"/>
              <w:rPr>
                <w:sz w:val="18"/>
                <w:szCs w:val="18"/>
              </w:rPr>
            </w:pPr>
            <w:r>
              <w:rPr>
                <w:sz w:val="18"/>
                <w:szCs w:val="18"/>
              </w:rPr>
              <w:noBreakHyphen/>
            </w:r>
          </w:p>
        </w:tc>
        <w:tc>
          <w:tcPr>
            <w:tcW w:w="488" w:type="pct"/>
            <w:shd w:val="clear" w:color="auto" w:fill="auto"/>
            <w:vAlign w:val="bottom"/>
          </w:tcPr>
          <w:p w:rsidR="00731A0B" w:rsidRPr="003050B2" w:rsidRDefault="00731A0B" w:rsidP="005151A7">
            <w:pPr>
              <w:pStyle w:val="TableBodyText"/>
              <w:rPr>
                <w:sz w:val="18"/>
                <w:szCs w:val="18"/>
              </w:rPr>
            </w:pPr>
            <w:r>
              <w:rPr>
                <w:sz w:val="18"/>
                <w:szCs w:val="18"/>
              </w:rPr>
              <w:noBreakHyphen/>
            </w:r>
          </w:p>
        </w:tc>
      </w:tr>
      <w:tr w:rsidR="00731A0B" w:rsidTr="005151A7">
        <w:trPr>
          <w:trHeight w:val="227"/>
        </w:trPr>
        <w:tc>
          <w:tcPr>
            <w:tcW w:w="1946" w:type="pct"/>
            <w:vAlign w:val="bottom"/>
          </w:tcPr>
          <w:p w:rsidR="00731A0B" w:rsidRPr="007758AB" w:rsidRDefault="00731A0B" w:rsidP="005151A7">
            <w:pPr>
              <w:pStyle w:val="TableBodyText"/>
              <w:jc w:val="left"/>
              <w:rPr>
                <w:sz w:val="18"/>
                <w:szCs w:val="18"/>
              </w:rPr>
            </w:pPr>
            <w:r>
              <w:rPr>
                <w:sz w:val="18"/>
                <w:szCs w:val="18"/>
              </w:rPr>
              <w:t>Unallocated manufacturing</w:t>
            </w:r>
            <w:r w:rsidRPr="009B56F1">
              <w:rPr>
                <w:rStyle w:val="NoteLabel"/>
              </w:rPr>
              <w:t>a</w:t>
            </w:r>
          </w:p>
        </w:tc>
        <w:tc>
          <w:tcPr>
            <w:tcW w:w="586" w:type="pct"/>
            <w:vAlign w:val="bottom"/>
          </w:tcPr>
          <w:p w:rsidR="00731A0B" w:rsidRPr="003050B2" w:rsidRDefault="00731A0B" w:rsidP="005151A7">
            <w:pPr>
              <w:pStyle w:val="TableBodyText"/>
              <w:rPr>
                <w:sz w:val="18"/>
                <w:szCs w:val="18"/>
              </w:rPr>
            </w:pPr>
            <w:r>
              <w:rPr>
                <w:sz w:val="18"/>
                <w:szCs w:val="18"/>
              </w:rPr>
              <w:noBreakHyphen/>
            </w:r>
          </w:p>
        </w:tc>
        <w:tc>
          <w:tcPr>
            <w:tcW w:w="495" w:type="pct"/>
            <w:vAlign w:val="bottom"/>
          </w:tcPr>
          <w:p w:rsidR="00731A0B" w:rsidRPr="003050B2" w:rsidRDefault="00731A0B" w:rsidP="005151A7">
            <w:pPr>
              <w:pStyle w:val="TableBodyText"/>
              <w:rPr>
                <w:sz w:val="18"/>
                <w:szCs w:val="18"/>
              </w:rPr>
            </w:pPr>
            <w:r>
              <w:rPr>
                <w:sz w:val="18"/>
                <w:szCs w:val="18"/>
              </w:rPr>
              <w:noBreakHyphen/>
            </w:r>
          </w:p>
        </w:tc>
        <w:tc>
          <w:tcPr>
            <w:tcW w:w="495" w:type="pct"/>
            <w:vAlign w:val="bottom"/>
          </w:tcPr>
          <w:p w:rsidR="00731A0B" w:rsidRPr="003050B2" w:rsidRDefault="00731A0B" w:rsidP="005151A7">
            <w:pPr>
              <w:pStyle w:val="TableBodyText"/>
              <w:rPr>
                <w:sz w:val="18"/>
                <w:szCs w:val="18"/>
              </w:rPr>
            </w:pPr>
            <w:r w:rsidRPr="003050B2">
              <w:rPr>
                <w:sz w:val="18"/>
                <w:szCs w:val="18"/>
              </w:rPr>
              <w:t>0.3</w:t>
            </w:r>
          </w:p>
        </w:tc>
        <w:tc>
          <w:tcPr>
            <w:tcW w:w="495" w:type="pct"/>
            <w:shd w:val="clear" w:color="auto" w:fill="auto"/>
            <w:vAlign w:val="bottom"/>
          </w:tcPr>
          <w:p w:rsidR="00731A0B" w:rsidRPr="003050B2" w:rsidRDefault="00731A0B" w:rsidP="005151A7">
            <w:pPr>
              <w:pStyle w:val="TableBodyText"/>
              <w:rPr>
                <w:sz w:val="18"/>
                <w:szCs w:val="18"/>
              </w:rPr>
            </w:pPr>
            <w:r>
              <w:rPr>
                <w:sz w:val="18"/>
                <w:szCs w:val="18"/>
              </w:rPr>
              <w:noBreakHyphen/>
            </w:r>
          </w:p>
        </w:tc>
        <w:tc>
          <w:tcPr>
            <w:tcW w:w="495" w:type="pct"/>
            <w:shd w:val="clear" w:color="auto" w:fill="auto"/>
            <w:vAlign w:val="bottom"/>
          </w:tcPr>
          <w:p w:rsidR="00731A0B" w:rsidRPr="003050B2" w:rsidRDefault="00731A0B" w:rsidP="005151A7">
            <w:pPr>
              <w:pStyle w:val="TableBodyText"/>
              <w:rPr>
                <w:sz w:val="18"/>
                <w:szCs w:val="18"/>
              </w:rPr>
            </w:pPr>
            <w:r>
              <w:rPr>
                <w:sz w:val="18"/>
                <w:szCs w:val="18"/>
              </w:rPr>
              <w:noBreakHyphen/>
            </w:r>
          </w:p>
        </w:tc>
        <w:tc>
          <w:tcPr>
            <w:tcW w:w="488" w:type="pct"/>
            <w:shd w:val="clear" w:color="auto" w:fill="auto"/>
            <w:vAlign w:val="bottom"/>
          </w:tcPr>
          <w:p w:rsidR="00731A0B" w:rsidRPr="003050B2" w:rsidRDefault="00731A0B" w:rsidP="005151A7">
            <w:pPr>
              <w:pStyle w:val="TableBodyText"/>
              <w:rPr>
                <w:sz w:val="18"/>
                <w:szCs w:val="18"/>
              </w:rPr>
            </w:pPr>
            <w:r>
              <w:rPr>
                <w:sz w:val="18"/>
                <w:szCs w:val="18"/>
              </w:rPr>
              <w:noBreakHyphen/>
            </w:r>
          </w:p>
        </w:tc>
      </w:tr>
      <w:tr w:rsidR="00731A0B" w:rsidTr="005151A7">
        <w:trPr>
          <w:trHeight w:val="227"/>
        </w:trPr>
        <w:tc>
          <w:tcPr>
            <w:tcW w:w="1946" w:type="pct"/>
            <w:vAlign w:val="bottom"/>
          </w:tcPr>
          <w:p w:rsidR="00731A0B" w:rsidRPr="00DC145C" w:rsidRDefault="00731A0B" w:rsidP="005151A7">
            <w:pPr>
              <w:pStyle w:val="TableBodyText"/>
              <w:jc w:val="left"/>
              <w:rPr>
                <w:b/>
                <w:sz w:val="18"/>
                <w:szCs w:val="18"/>
              </w:rPr>
            </w:pPr>
            <w:r w:rsidRPr="00DC145C">
              <w:rPr>
                <w:b/>
                <w:sz w:val="18"/>
                <w:szCs w:val="18"/>
              </w:rPr>
              <w:t>Services</w:t>
            </w:r>
          </w:p>
        </w:tc>
        <w:tc>
          <w:tcPr>
            <w:tcW w:w="586" w:type="pct"/>
            <w:vAlign w:val="bottom"/>
          </w:tcPr>
          <w:p w:rsidR="00731A0B" w:rsidRPr="009A0E4B" w:rsidRDefault="00731A0B" w:rsidP="005151A7">
            <w:pPr>
              <w:pStyle w:val="TableBodyText"/>
              <w:rPr>
                <w:b/>
                <w:sz w:val="18"/>
                <w:szCs w:val="18"/>
              </w:rPr>
            </w:pPr>
            <w:r w:rsidRPr="009A0E4B">
              <w:rPr>
                <w:b/>
                <w:sz w:val="18"/>
                <w:szCs w:val="18"/>
              </w:rPr>
              <w:noBreakHyphen/>
            </w:r>
          </w:p>
        </w:tc>
        <w:tc>
          <w:tcPr>
            <w:tcW w:w="495" w:type="pct"/>
            <w:vAlign w:val="bottom"/>
          </w:tcPr>
          <w:p w:rsidR="00731A0B" w:rsidRPr="009A0E4B" w:rsidRDefault="00731A0B" w:rsidP="005151A7">
            <w:pPr>
              <w:pStyle w:val="TableBodyText"/>
              <w:rPr>
                <w:b/>
                <w:sz w:val="18"/>
                <w:szCs w:val="18"/>
              </w:rPr>
            </w:pPr>
            <w:r w:rsidRPr="009A0E4B">
              <w:rPr>
                <w:b/>
                <w:sz w:val="18"/>
                <w:szCs w:val="18"/>
              </w:rPr>
              <w:noBreakHyphen/>
            </w:r>
          </w:p>
        </w:tc>
        <w:tc>
          <w:tcPr>
            <w:tcW w:w="495" w:type="pct"/>
            <w:vAlign w:val="bottom"/>
          </w:tcPr>
          <w:p w:rsidR="00731A0B" w:rsidRPr="009A0E4B" w:rsidRDefault="00731A0B" w:rsidP="005151A7">
            <w:pPr>
              <w:pStyle w:val="TableBodyText"/>
              <w:rPr>
                <w:b/>
                <w:sz w:val="18"/>
                <w:szCs w:val="18"/>
              </w:rPr>
            </w:pPr>
            <w:r w:rsidRPr="009A0E4B">
              <w:rPr>
                <w:b/>
                <w:sz w:val="18"/>
                <w:szCs w:val="18"/>
              </w:rPr>
              <w:t>0.2</w:t>
            </w:r>
          </w:p>
        </w:tc>
        <w:tc>
          <w:tcPr>
            <w:tcW w:w="495" w:type="pct"/>
            <w:shd w:val="clear" w:color="auto" w:fill="auto"/>
            <w:vAlign w:val="bottom"/>
          </w:tcPr>
          <w:p w:rsidR="00731A0B" w:rsidRPr="009A0E4B" w:rsidRDefault="00731A0B" w:rsidP="005151A7">
            <w:pPr>
              <w:pStyle w:val="TableBodyText"/>
              <w:rPr>
                <w:b/>
                <w:sz w:val="18"/>
                <w:szCs w:val="18"/>
              </w:rPr>
            </w:pPr>
            <w:r w:rsidRPr="009A0E4B">
              <w:rPr>
                <w:b/>
                <w:sz w:val="18"/>
                <w:szCs w:val="18"/>
              </w:rPr>
              <w:noBreakHyphen/>
            </w:r>
          </w:p>
        </w:tc>
        <w:tc>
          <w:tcPr>
            <w:tcW w:w="495" w:type="pct"/>
            <w:shd w:val="clear" w:color="auto" w:fill="auto"/>
            <w:vAlign w:val="bottom"/>
          </w:tcPr>
          <w:p w:rsidR="00731A0B" w:rsidRPr="009A0E4B" w:rsidRDefault="00731A0B" w:rsidP="005151A7">
            <w:pPr>
              <w:pStyle w:val="TableBodyText"/>
              <w:rPr>
                <w:b/>
                <w:sz w:val="18"/>
                <w:szCs w:val="18"/>
              </w:rPr>
            </w:pPr>
            <w:r w:rsidRPr="009A0E4B">
              <w:rPr>
                <w:b/>
                <w:sz w:val="18"/>
                <w:szCs w:val="18"/>
              </w:rPr>
              <w:noBreakHyphen/>
            </w:r>
          </w:p>
        </w:tc>
        <w:tc>
          <w:tcPr>
            <w:tcW w:w="488" w:type="pct"/>
            <w:shd w:val="clear" w:color="auto" w:fill="auto"/>
            <w:vAlign w:val="bottom"/>
          </w:tcPr>
          <w:p w:rsidR="00731A0B" w:rsidRPr="009A0E4B" w:rsidRDefault="00731A0B" w:rsidP="005151A7">
            <w:pPr>
              <w:pStyle w:val="TableBodyText"/>
              <w:rPr>
                <w:b/>
                <w:sz w:val="18"/>
                <w:szCs w:val="18"/>
              </w:rPr>
            </w:pPr>
            <w:r w:rsidRPr="009A0E4B">
              <w:rPr>
                <w:b/>
                <w:sz w:val="18"/>
                <w:szCs w:val="18"/>
              </w:rPr>
              <w:noBreakHyphen/>
            </w:r>
          </w:p>
        </w:tc>
      </w:tr>
      <w:tr w:rsidR="00731A0B" w:rsidTr="005151A7">
        <w:trPr>
          <w:trHeight w:val="227"/>
        </w:trPr>
        <w:tc>
          <w:tcPr>
            <w:tcW w:w="1946" w:type="pct"/>
            <w:vAlign w:val="bottom"/>
          </w:tcPr>
          <w:p w:rsidR="00731A0B" w:rsidRPr="007758AB" w:rsidRDefault="00731A0B" w:rsidP="005151A7">
            <w:pPr>
              <w:pStyle w:val="TableBodyText"/>
              <w:jc w:val="left"/>
              <w:rPr>
                <w:sz w:val="18"/>
                <w:szCs w:val="18"/>
              </w:rPr>
            </w:pPr>
            <w:r>
              <w:rPr>
                <w:sz w:val="18"/>
                <w:szCs w:val="18"/>
              </w:rPr>
              <w:t>Education and training</w:t>
            </w:r>
          </w:p>
        </w:tc>
        <w:tc>
          <w:tcPr>
            <w:tcW w:w="586" w:type="pct"/>
            <w:vAlign w:val="bottom"/>
          </w:tcPr>
          <w:p w:rsidR="00731A0B" w:rsidRPr="003050B2" w:rsidRDefault="00731A0B" w:rsidP="005151A7">
            <w:pPr>
              <w:pStyle w:val="TableBodyText"/>
              <w:rPr>
                <w:sz w:val="18"/>
                <w:szCs w:val="18"/>
              </w:rPr>
            </w:pPr>
            <w:r>
              <w:rPr>
                <w:sz w:val="18"/>
                <w:szCs w:val="18"/>
              </w:rPr>
              <w:noBreakHyphen/>
            </w:r>
          </w:p>
        </w:tc>
        <w:tc>
          <w:tcPr>
            <w:tcW w:w="495" w:type="pct"/>
            <w:vAlign w:val="bottom"/>
          </w:tcPr>
          <w:p w:rsidR="00731A0B" w:rsidRPr="003050B2" w:rsidRDefault="00731A0B" w:rsidP="005151A7">
            <w:pPr>
              <w:pStyle w:val="TableBodyText"/>
              <w:rPr>
                <w:sz w:val="18"/>
                <w:szCs w:val="18"/>
              </w:rPr>
            </w:pPr>
            <w:r>
              <w:rPr>
                <w:sz w:val="18"/>
                <w:szCs w:val="18"/>
              </w:rPr>
              <w:noBreakHyphen/>
            </w:r>
          </w:p>
        </w:tc>
        <w:tc>
          <w:tcPr>
            <w:tcW w:w="495" w:type="pct"/>
            <w:vAlign w:val="bottom"/>
          </w:tcPr>
          <w:p w:rsidR="00731A0B" w:rsidRPr="003050B2" w:rsidRDefault="00731A0B" w:rsidP="005151A7">
            <w:pPr>
              <w:pStyle w:val="TableBodyText"/>
              <w:rPr>
                <w:sz w:val="18"/>
                <w:szCs w:val="18"/>
              </w:rPr>
            </w:pPr>
            <w:r w:rsidRPr="003050B2">
              <w:rPr>
                <w:sz w:val="18"/>
                <w:szCs w:val="18"/>
              </w:rPr>
              <w:t>0.2</w:t>
            </w:r>
          </w:p>
        </w:tc>
        <w:tc>
          <w:tcPr>
            <w:tcW w:w="495" w:type="pct"/>
            <w:shd w:val="clear" w:color="auto" w:fill="auto"/>
            <w:vAlign w:val="bottom"/>
          </w:tcPr>
          <w:p w:rsidR="00731A0B" w:rsidRPr="003050B2" w:rsidRDefault="00731A0B" w:rsidP="005151A7">
            <w:pPr>
              <w:pStyle w:val="TableBodyText"/>
              <w:rPr>
                <w:sz w:val="18"/>
                <w:szCs w:val="18"/>
              </w:rPr>
            </w:pPr>
            <w:r>
              <w:rPr>
                <w:sz w:val="18"/>
                <w:szCs w:val="18"/>
              </w:rPr>
              <w:noBreakHyphen/>
            </w:r>
          </w:p>
        </w:tc>
        <w:tc>
          <w:tcPr>
            <w:tcW w:w="495" w:type="pct"/>
            <w:shd w:val="clear" w:color="auto" w:fill="auto"/>
            <w:vAlign w:val="bottom"/>
          </w:tcPr>
          <w:p w:rsidR="00731A0B" w:rsidRPr="003050B2" w:rsidRDefault="00731A0B" w:rsidP="005151A7">
            <w:pPr>
              <w:pStyle w:val="TableBodyText"/>
              <w:rPr>
                <w:sz w:val="18"/>
                <w:szCs w:val="18"/>
              </w:rPr>
            </w:pPr>
            <w:r>
              <w:rPr>
                <w:sz w:val="18"/>
                <w:szCs w:val="18"/>
              </w:rPr>
              <w:noBreakHyphen/>
            </w:r>
          </w:p>
        </w:tc>
        <w:tc>
          <w:tcPr>
            <w:tcW w:w="488" w:type="pct"/>
            <w:shd w:val="clear" w:color="auto" w:fill="auto"/>
            <w:vAlign w:val="bottom"/>
          </w:tcPr>
          <w:p w:rsidR="00731A0B" w:rsidRPr="003050B2" w:rsidRDefault="00731A0B" w:rsidP="005151A7">
            <w:pPr>
              <w:pStyle w:val="TableBodyText"/>
              <w:rPr>
                <w:sz w:val="18"/>
                <w:szCs w:val="18"/>
              </w:rPr>
            </w:pPr>
            <w:r>
              <w:rPr>
                <w:sz w:val="18"/>
                <w:szCs w:val="18"/>
              </w:rPr>
              <w:noBreakHyphen/>
            </w:r>
          </w:p>
        </w:tc>
      </w:tr>
      <w:tr w:rsidR="00731A0B" w:rsidTr="005151A7">
        <w:trPr>
          <w:trHeight w:val="227"/>
        </w:trPr>
        <w:tc>
          <w:tcPr>
            <w:tcW w:w="1946" w:type="pct"/>
            <w:vAlign w:val="bottom"/>
          </w:tcPr>
          <w:p w:rsidR="00731A0B" w:rsidRPr="007758AB" w:rsidRDefault="00731A0B" w:rsidP="005151A7">
            <w:pPr>
              <w:pStyle w:val="TableBodyText"/>
              <w:jc w:val="left"/>
              <w:rPr>
                <w:sz w:val="18"/>
                <w:szCs w:val="18"/>
              </w:rPr>
            </w:pPr>
            <w:r>
              <w:rPr>
                <w:sz w:val="18"/>
                <w:szCs w:val="18"/>
              </w:rPr>
              <w:t>Unallocated other</w:t>
            </w:r>
            <w:r w:rsidRPr="009B56F1">
              <w:rPr>
                <w:rStyle w:val="NoteLabel"/>
              </w:rPr>
              <w:t>a</w:t>
            </w:r>
          </w:p>
        </w:tc>
        <w:tc>
          <w:tcPr>
            <w:tcW w:w="586" w:type="pct"/>
            <w:vAlign w:val="bottom"/>
          </w:tcPr>
          <w:p w:rsidR="00731A0B" w:rsidRPr="003050B2" w:rsidRDefault="00731A0B" w:rsidP="005151A7">
            <w:pPr>
              <w:pStyle w:val="TableBodyText"/>
              <w:rPr>
                <w:sz w:val="18"/>
                <w:szCs w:val="18"/>
              </w:rPr>
            </w:pPr>
            <w:r w:rsidRPr="003050B2">
              <w:rPr>
                <w:sz w:val="18"/>
                <w:szCs w:val="18"/>
              </w:rPr>
              <w:t>10.5</w:t>
            </w:r>
          </w:p>
        </w:tc>
        <w:tc>
          <w:tcPr>
            <w:tcW w:w="495" w:type="pct"/>
            <w:vAlign w:val="bottom"/>
          </w:tcPr>
          <w:p w:rsidR="00731A0B" w:rsidRPr="003050B2" w:rsidRDefault="00731A0B" w:rsidP="005151A7">
            <w:pPr>
              <w:pStyle w:val="TableBodyText"/>
              <w:rPr>
                <w:sz w:val="18"/>
                <w:szCs w:val="18"/>
              </w:rPr>
            </w:pPr>
            <w:r w:rsidRPr="003050B2">
              <w:rPr>
                <w:sz w:val="18"/>
                <w:szCs w:val="18"/>
              </w:rPr>
              <w:t>7.0</w:t>
            </w:r>
          </w:p>
        </w:tc>
        <w:tc>
          <w:tcPr>
            <w:tcW w:w="495" w:type="pct"/>
            <w:vAlign w:val="bottom"/>
          </w:tcPr>
          <w:p w:rsidR="00731A0B" w:rsidRPr="003050B2" w:rsidRDefault="00731A0B" w:rsidP="005151A7">
            <w:pPr>
              <w:pStyle w:val="TableBodyText"/>
              <w:rPr>
                <w:sz w:val="18"/>
                <w:szCs w:val="18"/>
              </w:rPr>
            </w:pPr>
            <w:r>
              <w:rPr>
                <w:sz w:val="18"/>
                <w:szCs w:val="18"/>
              </w:rPr>
              <w:noBreakHyphen/>
            </w:r>
          </w:p>
        </w:tc>
        <w:tc>
          <w:tcPr>
            <w:tcW w:w="495" w:type="pct"/>
            <w:shd w:val="clear" w:color="auto" w:fill="auto"/>
            <w:vAlign w:val="bottom"/>
          </w:tcPr>
          <w:p w:rsidR="00731A0B" w:rsidRPr="003050B2" w:rsidRDefault="00731A0B" w:rsidP="005151A7">
            <w:pPr>
              <w:pStyle w:val="TableBodyText"/>
              <w:rPr>
                <w:sz w:val="18"/>
                <w:szCs w:val="18"/>
              </w:rPr>
            </w:pPr>
            <w:r>
              <w:rPr>
                <w:sz w:val="18"/>
                <w:szCs w:val="18"/>
              </w:rPr>
              <w:noBreakHyphen/>
            </w:r>
          </w:p>
        </w:tc>
        <w:tc>
          <w:tcPr>
            <w:tcW w:w="495" w:type="pct"/>
            <w:shd w:val="clear" w:color="auto" w:fill="auto"/>
            <w:vAlign w:val="bottom"/>
          </w:tcPr>
          <w:p w:rsidR="00731A0B" w:rsidRPr="003050B2" w:rsidRDefault="00731A0B" w:rsidP="005151A7">
            <w:pPr>
              <w:pStyle w:val="TableBodyText"/>
              <w:rPr>
                <w:sz w:val="18"/>
                <w:szCs w:val="18"/>
              </w:rPr>
            </w:pPr>
            <w:r>
              <w:rPr>
                <w:sz w:val="18"/>
                <w:szCs w:val="18"/>
              </w:rPr>
              <w:noBreakHyphen/>
            </w:r>
          </w:p>
        </w:tc>
        <w:tc>
          <w:tcPr>
            <w:tcW w:w="488" w:type="pct"/>
            <w:shd w:val="clear" w:color="auto" w:fill="auto"/>
            <w:vAlign w:val="bottom"/>
          </w:tcPr>
          <w:p w:rsidR="00731A0B" w:rsidRPr="003050B2" w:rsidRDefault="00731A0B" w:rsidP="005151A7">
            <w:pPr>
              <w:pStyle w:val="TableBodyText"/>
              <w:rPr>
                <w:sz w:val="18"/>
                <w:szCs w:val="18"/>
              </w:rPr>
            </w:pPr>
            <w:r>
              <w:rPr>
                <w:sz w:val="18"/>
                <w:szCs w:val="18"/>
              </w:rPr>
              <w:noBreakHyphen/>
            </w:r>
          </w:p>
        </w:tc>
      </w:tr>
      <w:tr w:rsidR="00731A0B" w:rsidTr="005151A7">
        <w:trPr>
          <w:trHeight w:val="227"/>
        </w:trPr>
        <w:tc>
          <w:tcPr>
            <w:tcW w:w="1946" w:type="pct"/>
            <w:tcBorders>
              <w:bottom w:val="single" w:sz="4" w:space="0" w:color="auto"/>
            </w:tcBorders>
            <w:vAlign w:val="bottom"/>
          </w:tcPr>
          <w:p w:rsidR="00731A0B" w:rsidRPr="007758AB" w:rsidRDefault="00731A0B" w:rsidP="005151A7">
            <w:pPr>
              <w:pStyle w:val="TableBodyText"/>
              <w:jc w:val="left"/>
              <w:rPr>
                <w:b/>
                <w:bCs/>
                <w:sz w:val="18"/>
                <w:szCs w:val="18"/>
              </w:rPr>
            </w:pPr>
            <w:r w:rsidRPr="007758AB">
              <w:rPr>
                <w:b/>
                <w:bCs/>
                <w:sz w:val="18"/>
                <w:szCs w:val="18"/>
              </w:rPr>
              <w:t>Total</w:t>
            </w:r>
          </w:p>
        </w:tc>
        <w:tc>
          <w:tcPr>
            <w:tcW w:w="586" w:type="pct"/>
            <w:tcBorders>
              <w:bottom w:val="single" w:sz="4" w:space="0" w:color="auto"/>
            </w:tcBorders>
            <w:vAlign w:val="bottom"/>
          </w:tcPr>
          <w:p w:rsidR="00731A0B" w:rsidRPr="009A0E4B" w:rsidRDefault="00731A0B" w:rsidP="005151A7">
            <w:pPr>
              <w:pStyle w:val="TableBodyText"/>
              <w:rPr>
                <w:b/>
                <w:sz w:val="18"/>
                <w:szCs w:val="18"/>
              </w:rPr>
            </w:pPr>
            <w:r w:rsidRPr="009A0E4B">
              <w:rPr>
                <w:b/>
                <w:sz w:val="18"/>
                <w:szCs w:val="18"/>
              </w:rPr>
              <w:t>10.5</w:t>
            </w:r>
          </w:p>
        </w:tc>
        <w:tc>
          <w:tcPr>
            <w:tcW w:w="495" w:type="pct"/>
            <w:tcBorders>
              <w:bottom w:val="single" w:sz="4" w:space="0" w:color="auto"/>
            </w:tcBorders>
            <w:vAlign w:val="bottom"/>
          </w:tcPr>
          <w:p w:rsidR="00731A0B" w:rsidRPr="009A0E4B" w:rsidRDefault="00731A0B" w:rsidP="005151A7">
            <w:pPr>
              <w:pStyle w:val="TableBodyText"/>
              <w:rPr>
                <w:b/>
                <w:sz w:val="18"/>
                <w:szCs w:val="18"/>
              </w:rPr>
            </w:pPr>
            <w:r w:rsidRPr="009A0E4B">
              <w:rPr>
                <w:b/>
                <w:sz w:val="18"/>
                <w:szCs w:val="18"/>
              </w:rPr>
              <w:t>7.0</w:t>
            </w:r>
          </w:p>
        </w:tc>
        <w:tc>
          <w:tcPr>
            <w:tcW w:w="495" w:type="pct"/>
            <w:tcBorders>
              <w:bottom w:val="single" w:sz="4" w:space="0" w:color="auto"/>
            </w:tcBorders>
            <w:vAlign w:val="bottom"/>
          </w:tcPr>
          <w:p w:rsidR="00731A0B" w:rsidRPr="009A0E4B" w:rsidRDefault="00731A0B" w:rsidP="005151A7">
            <w:pPr>
              <w:pStyle w:val="TableBodyText"/>
              <w:rPr>
                <w:b/>
                <w:sz w:val="18"/>
                <w:szCs w:val="18"/>
              </w:rPr>
            </w:pPr>
            <w:r w:rsidRPr="009A0E4B">
              <w:rPr>
                <w:b/>
                <w:sz w:val="18"/>
                <w:szCs w:val="18"/>
              </w:rPr>
              <w:t>0.5</w:t>
            </w:r>
          </w:p>
        </w:tc>
        <w:tc>
          <w:tcPr>
            <w:tcW w:w="495" w:type="pct"/>
            <w:tcBorders>
              <w:bottom w:val="single" w:sz="4" w:space="0" w:color="auto"/>
            </w:tcBorders>
            <w:shd w:val="clear" w:color="auto" w:fill="auto"/>
            <w:vAlign w:val="bottom"/>
          </w:tcPr>
          <w:p w:rsidR="00731A0B" w:rsidRPr="009A0E4B" w:rsidRDefault="00731A0B" w:rsidP="005151A7">
            <w:pPr>
              <w:pStyle w:val="TableBodyText"/>
              <w:rPr>
                <w:b/>
                <w:sz w:val="18"/>
                <w:szCs w:val="18"/>
              </w:rPr>
            </w:pPr>
            <w:r w:rsidRPr="009A0E4B">
              <w:rPr>
                <w:b/>
                <w:sz w:val="18"/>
                <w:szCs w:val="18"/>
              </w:rPr>
              <w:noBreakHyphen/>
            </w:r>
          </w:p>
        </w:tc>
        <w:tc>
          <w:tcPr>
            <w:tcW w:w="495" w:type="pct"/>
            <w:tcBorders>
              <w:bottom w:val="single" w:sz="4" w:space="0" w:color="auto"/>
            </w:tcBorders>
            <w:shd w:val="clear" w:color="auto" w:fill="auto"/>
            <w:vAlign w:val="bottom"/>
          </w:tcPr>
          <w:p w:rsidR="00731A0B" w:rsidRPr="009A0E4B" w:rsidRDefault="00731A0B" w:rsidP="005151A7">
            <w:pPr>
              <w:pStyle w:val="TableBodyText"/>
              <w:rPr>
                <w:b/>
                <w:sz w:val="18"/>
                <w:szCs w:val="18"/>
              </w:rPr>
            </w:pPr>
            <w:r w:rsidRPr="009A0E4B">
              <w:rPr>
                <w:b/>
                <w:sz w:val="18"/>
                <w:szCs w:val="18"/>
              </w:rPr>
              <w:noBreakHyphen/>
            </w:r>
          </w:p>
        </w:tc>
        <w:tc>
          <w:tcPr>
            <w:tcW w:w="488" w:type="pct"/>
            <w:tcBorders>
              <w:bottom w:val="single" w:sz="4" w:space="0" w:color="auto"/>
            </w:tcBorders>
            <w:shd w:val="clear" w:color="auto" w:fill="auto"/>
            <w:vAlign w:val="bottom"/>
          </w:tcPr>
          <w:p w:rsidR="00731A0B" w:rsidRPr="009A0E4B" w:rsidRDefault="00731A0B" w:rsidP="005151A7">
            <w:pPr>
              <w:pStyle w:val="TableBodyText"/>
              <w:rPr>
                <w:b/>
                <w:sz w:val="18"/>
                <w:szCs w:val="18"/>
              </w:rPr>
            </w:pPr>
            <w:r w:rsidRPr="009A0E4B">
              <w:rPr>
                <w:b/>
                <w:sz w:val="18"/>
                <w:szCs w:val="18"/>
              </w:rPr>
              <w:noBreakHyphen/>
            </w:r>
          </w:p>
        </w:tc>
      </w:tr>
    </w:tbl>
    <w:p w:rsidR="00731A0B" w:rsidRDefault="00731A0B" w:rsidP="00731A0B">
      <w:pPr>
        <w:pStyle w:val="Source"/>
        <w:spacing w:after="0"/>
        <w:rPr>
          <w:i/>
        </w:rPr>
      </w:pPr>
      <w:r>
        <w:t xml:space="preserve">– Nil. </w:t>
      </w:r>
      <w:r w:rsidRPr="009B56F1">
        <w:rPr>
          <w:rStyle w:val="NoteLabel"/>
        </w:rPr>
        <w:t>a</w:t>
      </w:r>
      <w:r w:rsidRPr="009B56F1">
        <w:t xml:space="preserve"> Unallocated includes general programs where detai</w:t>
      </w:r>
      <w:r>
        <w:t>ls of beneficiaries are unknown.</w:t>
      </w:r>
    </w:p>
    <w:p w:rsidR="00731A0B" w:rsidRPr="008E77FE" w:rsidRDefault="00731A0B" w:rsidP="00731A0B">
      <w:pPr>
        <w:pStyle w:val="Source"/>
      </w:pPr>
      <w:r>
        <w:rPr>
          <w:i/>
        </w:rPr>
        <w:t>Source</w:t>
      </w:r>
      <w:r w:rsidR="00DC06E8">
        <w:rPr>
          <w:i/>
        </w:rPr>
        <w:t>s</w:t>
      </w:r>
      <w:r>
        <w:t>: Commission estimates based on DIISR Annual Report 2007</w:t>
      </w:r>
      <w:r>
        <w:noBreakHyphen/>
        <w:t>08; Department of Industry, Tourism and Resources Annual Report 2006</w:t>
      </w:r>
      <w:r>
        <w:noBreakHyphen/>
        <w:t>07; and detailed DIISR data by ANZSIC industry.</w:t>
      </w:r>
    </w:p>
    <w:p w:rsidR="00671816" w:rsidRDefault="00FA09C3" w:rsidP="00671816">
      <w:pPr>
        <w:pStyle w:val="Heading2"/>
      </w:pPr>
      <w:r>
        <w:t>A.</w:t>
      </w:r>
      <w:r>
        <w:rPr>
          <w:noProof/>
        </w:rPr>
        <w:t>178</w:t>
      </w:r>
      <w:r w:rsidR="00671816">
        <w:tab/>
        <w:t>Queensland Tourism Assistance Package</w:t>
      </w:r>
    </w:p>
    <w:p w:rsidR="00671816" w:rsidRDefault="00671816" w:rsidP="00671816">
      <w:pPr>
        <w:pStyle w:val="BodyText"/>
      </w:pPr>
      <w:r w:rsidRPr="00486E3F">
        <w:t xml:space="preserve">Announced </w:t>
      </w:r>
      <w:r>
        <w:t xml:space="preserve">by the Australian Government </w:t>
      </w:r>
      <w:r w:rsidRPr="00486E3F">
        <w:t>on 11</w:t>
      </w:r>
      <w:r>
        <w:t> </w:t>
      </w:r>
      <w:r w:rsidRPr="00486E3F">
        <w:t>June</w:t>
      </w:r>
      <w:r>
        <w:t> </w:t>
      </w:r>
      <w:r w:rsidRPr="00486E3F">
        <w:t>2008, the Queensland Tourism Assistance Package</w:t>
      </w:r>
      <w:r>
        <w:t xml:space="preserve"> aimed to support the tourism industry in Tropical North Queensland (the region’s major employment and economic activity)</w:t>
      </w:r>
      <w:r w:rsidRPr="00486E3F">
        <w:t xml:space="preserve"> </w:t>
      </w:r>
      <w:r>
        <w:t>in</w:t>
      </w:r>
      <w:r w:rsidRPr="00486E3F">
        <w:t xml:space="preserve"> response to a commercial decision by a number of airlines to reduce aviation services to North Queensland</w:t>
      </w:r>
      <w:r>
        <w:t xml:space="preserve"> (</w:t>
      </w:r>
      <w:r w:rsidRPr="00C305B5">
        <w:t>DRET 2009</w:t>
      </w:r>
      <w:r>
        <w:t>)</w:t>
      </w:r>
      <w:r w:rsidRPr="00486E3F">
        <w:t>.</w:t>
      </w:r>
      <w:r>
        <w:t xml:space="preserve"> The Package was intended to include marketing measures (managed by Tourism Australia), as well as measures to strengthen the supply side of the industry (managed by the Department of Resources, Energy and Tourism).</w:t>
      </w:r>
    </w:p>
    <w:p w:rsidR="00671816" w:rsidRPr="00742CAC" w:rsidRDefault="00671816" w:rsidP="00671816">
      <w:pPr>
        <w:pStyle w:val="BodyText"/>
      </w:pPr>
      <w:r w:rsidRPr="00742CAC">
        <w:t xml:space="preserve">The package selectively benefited activities providing tourism services. </w:t>
      </w:r>
      <w:r>
        <w:t>However, information on</w:t>
      </w:r>
      <w:r w:rsidRPr="00742CAC">
        <w:t xml:space="preserve"> the specific industry incidence of the </w:t>
      </w:r>
      <w:r>
        <w:t>program</w:t>
      </w:r>
      <w:r w:rsidRPr="00742CAC">
        <w:t xml:space="preserve"> </w:t>
      </w:r>
      <w:r>
        <w:t xml:space="preserve">has not been readily available. Accordingly, the budget outlay has been classified </w:t>
      </w:r>
      <w:r w:rsidRPr="00742CAC">
        <w:t xml:space="preserve">to the </w:t>
      </w:r>
      <w:r w:rsidRPr="00742CAC">
        <w:rPr>
          <w:i/>
        </w:rPr>
        <w:t>Unallocated services</w:t>
      </w:r>
      <w:r w:rsidRPr="00742CAC">
        <w:t xml:space="preserve"> </w:t>
      </w:r>
      <w:r>
        <w:t xml:space="preserve">industry </w:t>
      </w:r>
      <w:r w:rsidRPr="00742CAC">
        <w:t>grouping in the Commission’s ANZSIC-based classification (table A.</w:t>
      </w:r>
      <w:r>
        <w:t>17</w:t>
      </w:r>
      <w:r w:rsidR="00886F15">
        <w:t>8</w:t>
      </w:r>
      <w:r w:rsidRPr="00742CAC">
        <w:t>).</w:t>
      </w:r>
    </w:p>
    <w:p w:rsidR="00671816" w:rsidRDefault="00671816" w:rsidP="00671816">
      <w:pPr>
        <w:pStyle w:val="TableTitle"/>
      </w:pPr>
      <w:r>
        <w:rPr>
          <w:b w:val="0"/>
        </w:rPr>
        <w:t xml:space="preserve">Table </w:t>
      </w:r>
      <w:r w:rsidR="00FA09C3">
        <w:rPr>
          <w:b w:val="0"/>
        </w:rPr>
        <w:t>A.</w:t>
      </w:r>
      <w:r w:rsidR="00FA09C3">
        <w:rPr>
          <w:b w:val="0"/>
          <w:noProof/>
        </w:rPr>
        <w:t>178</w:t>
      </w:r>
      <w:r>
        <w:tab/>
        <w:t>Allocation of Queensland Tourism Assistance Package</w:t>
      </w:r>
      <w:r w:rsidR="00E471E2" w:rsidRPr="00E471E2">
        <w:t xml:space="preserve"> to industry</w:t>
      </w:r>
      <w:r>
        <w:t>, 2006</w:t>
      </w:r>
      <w:r>
        <w:noBreakHyphen/>
        <w:t>07 to 2011</w:t>
      </w:r>
      <w:r>
        <w:noBreakHyphen/>
        <w:t>12</w:t>
      </w:r>
    </w:p>
    <w:p w:rsidR="00671816" w:rsidRDefault="00671816" w:rsidP="00671816">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671816" w:rsidRPr="00AF699A" w:rsidTr="005151A7">
        <w:tc>
          <w:tcPr>
            <w:tcW w:w="1960" w:type="pct"/>
            <w:tcBorders>
              <w:top w:val="single" w:sz="6" w:space="0" w:color="auto"/>
              <w:bottom w:val="single" w:sz="6" w:space="0" w:color="auto"/>
            </w:tcBorders>
          </w:tcPr>
          <w:p w:rsidR="00671816" w:rsidRPr="00AF699A" w:rsidRDefault="00671816" w:rsidP="005151A7">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671816" w:rsidRPr="00AF699A" w:rsidRDefault="00671816" w:rsidP="005151A7">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671816" w:rsidRPr="00AF699A" w:rsidRDefault="00671816" w:rsidP="005151A7">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671816" w:rsidRPr="00AF699A" w:rsidRDefault="00671816" w:rsidP="005151A7">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671816" w:rsidRPr="00AF699A" w:rsidRDefault="00671816" w:rsidP="005151A7">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671816" w:rsidRPr="00AF699A" w:rsidRDefault="00671816" w:rsidP="005151A7">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671816" w:rsidRPr="00AF699A" w:rsidRDefault="00671816" w:rsidP="005151A7">
            <w:pPr>
              <w:pStyle w:val="TableColumnHeading"/>
              <w:ind w:right="28"/>
              <w:rPr>
                <w:rFonts w:cs="Arial"/>
                <w:sz w:val="18"/>
                <w:szCs w:val="18"/>
              </w:rPr>
            </w:pPr>
            <w:r w:rsidRPr="00AF699A">
              <w:rPr>
                <w:rFonts w:cs="Arial"/>
                <w:sz w:val="18"/>
                <w:szCs w:val="18"/>
              </w:rPr>
              <w:t>2011-12</w:t>
            </w:r>
          </w:p>
        </w:tc>
      </w:tr>
      <w:tr w:rsidR="00671816" w:rsidRPr="006C5A80" w:rsidTr="005151A7">
        <w:tc>
          <w:tcPr>
            <w:tcW w:w="1960" w:type="pct"/>
            <w:tcBorders>
              <w:bottom w:val="single" w:sz="4" w:space="0" w:color="auto"/>
            </w:tcBorders>
            <w:vAlign w:val="bottom"/>
          </w:tcPr>
          <w:p w:rsidR="00671816" w:rsidRPr="00C944BA" w:rsidRDefault="00671816" w:rsidP="005151A7">
            <w:pPr>
              <w:pStyle w:val="TableBodyText"/>
              <w:jc w:val="left"/>
            </w:pPr>
            <w:r>
              <w:t>Unallocated services</w:t>
            </w:r>
            <w:r w:rsidRPr="00A74BCE">
              <w:rPr>
                <w:rStyle w:val="NoteLabel"/>
                <w:szCs w:val="18"/>
              </w:rPr>
              <w:t>a</w:t>
            </w:r>
          </w:p>
        </w:tc>
        <w:tc>
          <w:tcPr>
            <w:tcW w:w="507" w:type="pct"/>
            <w:tcBorders>
              <w:bottom w:val="single" w:sz="4" w:space="0" w:color="auto"/>
            </w:tcBorders>
            <w:vAlign w:val="bottom"/>
          </w:tcPr>
          <w:p w:rsidR="00671816" w:rsidRPr="0078553F" w:rsidRDefault="00671816" w:rsidP="005151A7">
            <w:pPr>
              <w:pStyle w:val="TableBodyText"/>
            </w:pPr>
            <w:r>
              <w:noBreakHyphen/>
            </w:r>
          </w:p>
        </w:tc>
        <w:tc>
          <w:tcPr>
            <w:tcW w:w="507" w:type="pct"/>
            <w:tcBorders>
              <w:bottom w:val="single" w:sz="4" w:space="0" w:color="auto"/>
            </w:tcBorders>
            <w:vAlign w:val="bottom"/>
          </w:tcPr>
          <w:p w:rsidR="00671816" w:rsidRPr="0078553F" w:rsidRDefault="00671816" w:rsidP="005151A7">
            <w:pPr>
              <w:pStyle w:val="TableBodyText"/>
            </w:pPr>
            <w:r>
              <w:noBreakHyphen/>
            </w:r>
          </w:p>
        </w:tc>
        <w:tc>
          <w:tcPr>
            <w:tcW w:w="507" w:type="pct"/>
            <w:tcBorders>
              <w:bottom w:val="single" w:sz="4" w:space="0" w:color="auto"/>
            </w:tcBorders>
            <w:vAlign w:val="bottom"/>
          </w:tcPr>
          <w:p w:rsidR="00671816" w:rsidRPr="0078553F" w:rsidRDefault="00671816" w:rsidP="005151A7">
            <w:pPr>
              <w:pStyle w:val="TableBodyText"/>
            </w:pPr>
            <w:r>
              <w:t>0.3</w:t>
            </w:r>
          </w:p>
        </w:tc>
        <w:tc>
          <w:tcPr>
            <w:tcW w:w="507" w:type="pct"/>
            <w:tcBorders>
              <w:bottom w:val="single" w:sz="4" w:space="0" w:color="auto"/>
            </w:tcBorders>
            <w:vAlign w:val="bottom"/>
          </w:tcPr>
          <w:p w:rsidR="00671816" w:rsidRPr="0078553F" w:rsidRDefault="00671816" w:rsidP="005151A7">
            <w:pPr>
              <w:pStyle w:val="TableBodyText"/>
            </w:pPr>
            <w:r>
              <w:noBreakHyphen/>
            </w:r>
          </w:p>
        </w:tc>
        <w:tc>
          <w:tcPr>
            <w:tcW w:w="507" w:type="pct"/>
            <w:tcBorders>
              <w:bottom w:val="single" w:sz="4" w:space="0" w:color="auto"/>
            </w:tcBorders>
            <w:shd w:val="clear" w:color="auto" w:fill="auto"/>
            <w:vAlign w:val="bottom"/>
          </w:tcPr>
          <w:p w:rsidR="00671816" w:rsidRPr="0078553F" w:rsidRDefault="00671816" w:rsidP="005151A7">
            <w:pPr>
              <w:pStyle w:val="TableBodyText"/>
            </w:pPr>
            <w:r>
              <w:noBreakHyphen/>
            </w:r>
          </w:p>
        </w:tc>
        <w:tc>
          <w:tcPr>
            <w:tcW w:w="505" w:type="pct"/>
            <w:tcBorders>
              <w:bottom w:val="single" w:sz="4" w:space="0" w:color="auto"/>
            </w:tcBorders>
            <w:shd w:val="clear" w:color="auto" w:fill="auto"/>
            <w:vAlign w:val="bottom"/>
          </w:tcPr>
          <w:p w:rsidR="00671816" w:rsidRPr="0078553F" w:rsidRDefault="00671816" w:rsidP="005151A7">
            <w:pPr>
              <w:pStyle w:val="TableBodyText"/>
            </w:pPr>
            <w:r>
              <w:noBreakHyphen/>
            </w:r>
          </w:p>
        </w:tc>
      </w:tr>
    </w:tbl>
    <w:p w:rsidR="00671816" w:rsidRPr="00F60026" w:rsidRDefault="00671816" w:rsidP="00671816">
      <w:pPr>
        <w:pStyle w:val="Source"/>
        <w:spacing w:after="0"/>
        <w:rPr>
          <w:i/>
        </w:rPr>
      </w:pPr>
      <w:r w:rsidRPr="00A2379F">
        <w:noBreakHyphen/>
        <w:t xml:space="preserve"> </w:t>
      </w:r>
      <w:r>
        <w:t>Nil</w:t>
      </w:r>
      <w:r w:rsidRPr="00A2379F">
        <w:t>.</w:t>
      </w:r>
      <w:r w:rsidRPr="00B1392F">
        <w:t xml:space="preserve"> </w:t>
      </w:r>
      <w:r w:rsidRPr="009B56F1">
        <w:rPr>
          <w:rStyle w:val="NoteLabel"/>
        </w:rPr>
        <w:t>a</w:t>
      </w:r>
      <w:r w:rsidRPr="009B56F1">
        <w:t xml:space="preserve"> Unallocated includes general programs where detai</w:t>
      </w:r>
      <w:r>
        <w:t>ls of beneficiaries are unknown.</w:t>
      </w:r>
    </w:p>
    <w:p w:rsidR="00671816" w:rsidRDefault="00671816" w:rsidP="00671816">
      <w:pPr>
        <w:pStyle w:val="Source"/>
      </w:pPr>
      <w:r>
        <w:rPr>
          <w:i/>
        </w:rPr>
        <w:t>Source</w:t>
      </w:r>
      <w:r>
        <w:t>: Commission estimates based on DRET Annual Report 2008-09.</w:t>
      </w:r>
    </w:p>
    <w:p w:rsidR="00840C1E" w:rsidRDefault="00FA09C3" w:rsidP="00840C1E">
      <w:pPr>
        <w:pStyle w:val="Heading2"/>
      </w:pPr>
      <w:r>
        <w:t>A.</w:t>
      </w:r>
      <w:r>
        <w:rPr>
          <w:noProof/>
        </w:rPr>
        <w:t>179</w:t>
      </w:r>
      <w:r w:rsidR="00840C1E">
        <w:tab/>
        <w:t>Torres Strait Prawn Fisheries Program</w:t>
      </w:r>
    </w:p>
    <w:p w:rsidR="00840C1E" w:rsidRDefault="00840C1E" w:rsidP="00840C1E">
      <w:pPr>
        <w:pStyle w:val="BodyText"/>
      </w:pPr>
      <w:r>
        <w:t>The Torres Strait Prawn Fisheries Program (TSPFP) provided funding for research into alternative management strategies to ensure the fishery’s long term viability, and also increased funding to the Australian Fisheries management Authority in response to increased costs during the development of new management arrangements (</w:t>
      </w:r>
      <w:r w:rsidRPr="00C305B5">
        <w:t>DAFF 2008</w:t>
      </w:r>
      <w:r>
        <w:t>).</w:t>
      </w:r>
    </w:p>
    <w:p w:rsidR="00840C1E" w:rsidRDefault="00840C1E" w:rsidP="00840C1E">
      <w:pPr>
        <w:pStyle w:val="BodyText"/>
      </w:pPr>
      <w:r>
        <w:t xml:space="preserve">The TSPFP selectively benefited prawn fishing activities and funding from the program has been allocated to the </w:t>
      </w:r>
      <w:r w:rsidRPr="005B4DBB">
        <w:rPr>
          <w:i/>
        </w:rPr>
        <w:t>Aquaculture</w:t>
      </w:r>
      <w:r w:rsidRPr="007E1D49">
        <w:rPr>
          <w:i/>
        </w:rPr>
        <w:t xml:space="preserve"> and </w:t>
      </w:r>
      <w:r>
        <w:rPr>
          <w:i/>
        </w:rPr>
        <w:t>f</w:t>
      </w:r>
      <w:r w:rsidRPr="005B4DBB">
        <w:rPr>
          <w:i/>
        </w:rPr>
        <w:t>ishing</w:t>
      </w:r>
      <w:r>
        <w:t xml:space="preserve"> industry grouping in the Commission’s ANZSIC-based classification (table A.17</w:t>
      </w:r>
      <w:r w:rsidR="00886F15">
        <w:t>9</w:t>
      </w:r>
      <w:r>
        <w:t>).</w:t>
      </w:r>
    </w:p>
    <w:p w:rsidR="00840C1E" w:rsidRDefault="00840C1E" w:rsidP="00840C1E">
      <w:pPr>
        <w:pStyle w:val="TableTitle"/>
      </w:pPr>
      <w:r>
        <w:rPr>
          <w:b w:val="0"/>
        </w:rPr>
        <w:t xml:space="preserve">Table </w:t>
      </w:r>
      <w:r w:rsidR="00FA09C3">
        <w:rPr>
          <w:b w:val="0"/>
        </w:rPr>
        <w:t>A.</w:t>
      </w:r>
      <w:r w:rsidR="00FA09C3">
        <w:rPr>
          <w:b w:val="0"/>
          <w:noProof/>
        </w:rPr>
        <w:t>179</w:t>
      </w:r>
      <w:r>
        <w:tab/>
        <w:t>Allocation of Torres Strait Prawn Fisheries Program</w:t>
      </w:r>
      <w:r w:rsidR="00E471E2" w:rsidRPr="00E471E2">
        <w:t xml:space="preserve"> to industry</w:t>
      </w:r>
      <w:r>
        <w:t>, 2006</w:t>
      </w:r>
      <w:r>
        <w:noBreakHyphen/>
        <w:t>07 to 2011</w:t>
      </w:r>
      <w:r>
        <w:noBreakHyphen/>
        <w:t>12</w:t>
      </w:r>
    </w:p>
    <w:p w:rsidR="00840C1E" w:rsidRDefault="00840C1E" w:rsidP="00840C1E">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840C1E" w:rsidRPr="00AF699A" w:rsidTr="005151A7">
        <w:tc>
          <w:tcPr>
            <w:tcW w:w="1960" w:type="pct"/>
            <w:tcBorders>
              <w:top w:val="single" w:sz="6" w:space="0" w:color="auto"/>
              <w:bottom w:val="single" w:sz="6" w:space="0" w:color="auto"/>
            </w:tcBorders>
          </w:tcPr>
          <w:p w:rsidR="00840C1E" w:rsidRPr="00AF699A" w:rsidRDefault="00840C1E" w:rsidP="005151A7">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840C1E" w:rsidRPr="00AF699A" w:rsidRDefault="00840C1E" w:rsidP="005151A7">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840C1E" w:rsidRPr="00AF699A" w:rsidRDefault="00840C1E" w:rsidP="005151A7">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840C1E" w:rsidRPr="00AF699A" w:rsidRDefault="00840C1E" w:rsidP="005151A7">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840C1E" w:rsidRPr="00AF699A" w:rsidRDefault="00840C1E" w:rsidP="005151A7">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840C1E" w:rsidRPr="00AF699A" w:rsidRDefault="00840C1E" w:rsidP="005151A7">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840C1E" w:rsidRPr="00AF699A" w:rsidRDefault="00840C1E" w:rsidP="005151A7">
            <w:pPr>
              <w:pStyle w:val="TableColumnHeading"/>
              <w:ind w:right="28"/>
              <w:rPr>
                <w:rFonts w:cs="Arial"/>
                <w:sz w:val="18"/>
                <w:szCs w:val="18"/>
              </w:rPr>
            </w:pPr>
            <w:r w:rsidRPr="00AF699A">
              <w:rPr>
                <w:rFonts w:cs="Arial"/>
                <w:sz w:val="18"/>
                <w:szCs w:val="18"/>
              </w:rPr>
              <w:t>2011-12</w:t>
            </w:r>
          </w:p>
        </w:tc>
      </w:tr>
      <w:tr w:rsidR="00840C1E" w:rsidRPr="006C5A80" w:rsidTr="005151A7">
        <w:tc>
          <w:tcPr>
            <w:tcW w:w="1960" w:type="pct"/>
            <w:tcBorders>
              <w:bottom w:val="single" w:sz="4" w:space="0" w:color="auto"/>
            </w:tcBorders>
            <w:vAlign w:val="bottom"/>
          </w:tcPr>
          <w:p w:rsidR="00840C1E" w:rsidRPr="00C944BA" w:rsidRDefault="00840C1E" w:rsidP="005151A7">
            <w:pPr>
              <w:pStyle w:val="TableBodyText"/>
              <w:jc w:val="left"/>
            </w:pPr>
            <w:r>
              <w:t>Aquaculture and fishing</w:t>
            </w:r>
          </w:p>
        </w:tc>
        <w:tc>
          <w:tcPr>
            <w:tcW w:w="507" w:type="pct"/>
            <w:tcBorders>
              <w:bottom w:val="single" w:sz="4" w:space="0" w:color="auto"/>
            </w:tcBorders>
            <w:vAlign w:val="bottom"/>
          </w:tcPr>
          <w:p w:rsidR="00840C1E" w:rsidRPr="00A818FD" w:rsidRDefault="00840C1E" w:rsidP="005151A7">
            <w:pPr>
              <w:pStyle w:val="TableBodyText"/>
            </w:pPr>
            <w:r w:rsidRPr="00A818FD">
              <w:t>0.6</w:t>
            </w:r>
          </w:p>
        </w:tc>
        <w:tc>
          <w:tcPr>
            <w:tcW w:w="507" w:type="pct"/>
            <w:tcBorders>
              <w:bottom w:val="single" w:sz="4" w:space="0" w:color="auto"/>
            </w:tcBorders>
            <w:vAlign w:val="bottom"/>
          </w:tcPr>
          <w:p w:rsidR="00840C1E" w:rsidRPr="00A818FD" w:rsidRDefault="00840C1E" w:rsidP="005151A7">
            <w:pPr>
              <w:pStyle w:val="TableBodyText"/>
            </w:pPr>
            <w:r w:rsidRPr="00A818FD">
              <w:t>21.1</w:t>
            </w:r>
          </w:p>
        </w:tc>
        <w:tc>
          <w:tcPr>
            <w:tcW w:w="507" w:type="pct"/>
            <w:tcBorders>
              <w:bottom w:val="single" w:sz="4" w:space="0" w:color="auto"/>
            </w:tcBorders>
            <w:vAlign w:val="bottom"/>
          </w:tcPr>
          <w:p w:rsidR="00840C1E" w:rsidRPr="00A818FD" w:rsidRDefault="00840C1E" w:rsidP="005151A7">
            <w:pPr>
              <w:pStyle w:val="TableBodyText"/>
            </w:pPr>
            <w:r w:rsidRPr="00A818FD">
              <w:t>0.2</w:t>
            </w:r>
          </w:p>
        </w:tc>
        <w:tc>
          <w:tcPr>
            <w:tcW w:w="507" w:type="pct"/>
            <w:tcBorders>
              <w:bottom w:val="single" w:sz="4" w:space="0" w:color="auto"/>
            </w:tcBorders>
            <w:vAlign w:val="bottom"/>
          </w:tcPr>
          <w:p w:rsidR="00840C1E" w:rsidRPr="00A818FD" w:rsidRDefault="00840C1E" w:rsidP="005151A7">
            <w:pPr>
              <w:pStyle w:val="TableBodyText"/>
            </w:pPr>
            <w:r>
              <w:noBreakHyphen/>
            </w:r>
          </w:p>
        </w:tc>
        <w:tc>
          <w:tcPr>
            <w:tcW w:w="507" w:type="pct"/>
            <w:tcBorders>
              <w:bottom w:val="single" w:sz="4" w:space="0" w:color="auto"/>
            </w:tcBorders>
            <w:shd w:val="clear" w:color="auto" w:fill="auto"/>
            <w:vAlign w:val="bottom"/>
          </w:tcPr>
          <w:p w:rsidR="00840C1E" w:rsidRPr="00A818FD" w:rsidRDefault="00840C1E" w:rsidP="005151A7">
            <w:pPr>
              <w:pStyle w:val="TableBodyText"/>
            </w:pPr>
            <w:r>
              <w:noBreakHyphen/>
            </w:r>
          </w:p>
        </w:tc>
        <w:tc>
          <w:tcPr>
            <w:tcW w:w="505" w:type="pct"/>
            <w:tcBorders>
              <w:bottom w:val="single" w:sz="4" w:space="0" w:color="auto"/>
            </w:tcBorders>
            <w:shd w:val="clear" w:color="auto" w:fill="auto"/>
            <w:vAlign w:val="bottom"/>
          </w:tcPr>
          <w:p w:rsidR="00840C1E" w:rsidRPr="00A818FD" w:rsidRDefault="00840C1E" w:rsidP="005151A7">
            <w:pPr>
              <w:pStyle w:val="TableBodyText"/>
            </w:pPr>
            <w:r>
              <w:noBreakHyphen/>
            </w:r>
          </w:p>
        </w:tc>
      </w:tr>
    </w:tbl>
    <w:p w:rsidR="00840C1E" w:rsidRPr="00F60026" w:rsidRDefault="00840C1E" w:rsidP="00840C1E">
      <w:pPr>
        <w:pStyle w:val="Source"/>
        <w:spacing w:after="0"/>
        <w:rPr>
          <w:i/>
        </w:rPr>
      </w:pPr>
      <w:r w:rsidRPr="00A2379F">
        <w:noBreakHyphen/>
        <w:t xml:space="preserve"> </w:t>
      </w:r>
      <w:r>
        <w:t>Nil</w:t>
      </w:r>
      <w:r w:rsidRPr="00A2379F">
        <w:t>.</w:t>
      </w:r>
    </w:p>
    <w:p w:rsidR="00840C1E" w:rsidRDefault="00840C1E" w:rsidP="00840C1E">
      <w:pPr>
        <w:pStyle w:val="Source"/>
      </w:pPr>
      <w:r>
        <w:rPr>
          <w:i/>
        </w:rPr>
        <w:t>Source</w:t>
      </w:r>
      <w:r>
        <w:t>: Commission estimates based on DAFF Annual Report 2008</w:t>
      </w:r>
      <w:r>
        <w:noBreakHyphen/>
        <w:t>09 (and earlier years).</w:t>
      </w:r>
    </w:p>
    <w:p w:rsidR="00840C1E" w:rsidRDefault="00FA09C3" w:rsidP="00840C1E">
      <w:pPr>
        <w:pStyle w:val="Heading2"/>
      </w:pPr>
      <w:r>
        <w:t>A.</w:t>
      </w:r>
      <w:r>
        <w:rPr>
          <w:noProof/>
        </w:rPr>
        <w:t>180</w:t>
      </w:r>
      <w:r w:rsidR="00840C1E">
        <w:tab/>
        <w:t>New Industries Development Program</w:t>
      </w:r>
    </w:p>
    <w:p w:rsidR="00840C1E" w:rsidRDefault="00840C1E" w:rsidP="00840C1E">
      <w:pPr>
        <w:pStyle w:val="BodyText"/>
      </w:pPr>
      <w:r>
        <w:t>The New Industries Development Program (NIDP) commenced in 2001. The NIDP was intended to help small to medium-sized enterprises gain financial assistance and business skills to commercialise new agribusiness projects, services and technologies (</w:t>
      </w:r>
      <w:r w:rsidRPr="00C305B5">
        <w:t>DAFF 2009</w:t>
      </w:r>
      <w:r>
        <w:t>).</w:t>
      </w:r>
    </w:p>
    <w:p w:rsidR="00840C1E" w:rsidRDefault="00840C1E" w:rsidP="00840C1E">
      <w:pPr>
        <w:pStyle w:val="BodyText"/>
      </w:pPr>
      <w:r>
        <w:t>Information from Australian Government press releases detailing approved projects have been used to allocate total program funding across the Commission’s ANZSIC-based industry classification (table A.1</w:t>
      </w:r>
      <w:r w:rsidR="00886F15">
        <w:t>80</w:t>
      </w:r>
      <w:r>
        <w:t>).</w:t>
      </w:r>
    </w:p>
    <w:p w:rsidR="00840C1E" w:rsidRDefault="00840C1E" w:rsidP="00840C1E">
      <w:pPr>
        <w:pStyle w:val="TableTitle"/>
      </w:pPr>
      <w:r>
        <w:rPr>
          <w:b w:val="0"/>
        </w:rPr>
        <w:t xml:space="preserve">Table </w:t>
      </w:r>
      <w:r w:rsidR="00FA09C3">
        <w:rPr>
          <w:b w:val="0"/>
        </w:rPr>
        <w:t>A.</w:t>
      </w:r>
      <w:r w:rsidR="00FA09C3">
        <w:rPr>
          <w:b w:val="0"/>
          <w:noProof/>
        </w:rPr>
        <w:t>180</w:t>
      </w:r>
      <w:r>
        <w:tab/>
      </w:r>
      <w:r w:rsidR="00D31572">
        <w:t xml:space="preserve">Allocation of </w:t>
      </w:r>
      <w:r>
        <w:t>New Industries Development Program</w:t>
      </w:r>
      <w:r w:rsidR="00E471E2" w:rsidRPr="00E471E2">
        <w:t xml:space="preserve"> to industry</w:t>
      </w:r>
      <w:r w:rsidR="00D31572">
        <w:t>, 2006</w:t>
      </w:r>
      <w:r w:rsidR="00D31572">
        <w:noBreakHyphen/>
        <w:t>07 to 2011</w:t>
      </w:r>
      <w:r w:rsidR="00D31572">
        <w:noBreakHyphen/>
        <w:t>12</w:t>
      </w:r>
    </w:p>
    <w:p w:rsidR="00840C1E" w:rsidRDefault="00840C1E" w:rsidP="00840C1E">
      <w:pPr>
        <w:pStyle w:val="Subtitle"/>
      </w:pPr>
      <w:r>
        <w:t>$</w:t>
      </w:r>
      <w:r w:rsidR="00DC06E8">
        <w:t xml:space="preserve"> </w:t>
      </w:r>
      <w:r>
        <w:t xml:space="preserve">million (nominal) </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4F68F9" w:rsidRPr="00AF699A" w:rsidTr="00A74BCE">
        <w:trPr>
          <w:trHeight w:val="340"/>
        </w:trPr>
        <w:tc>
          <w:tcPr>
            <w:tcW w:w="1958" w:type="pct"/>
            <w:tcBorders>
              <w:top w:val="single" w:sz="6" w:space="0" w:color="auto"/>
              <w:bottom w:val="single" w:sz="6" w:space="0" w:color="auto"/>
            </w:tcBorders>
          </w:tcPr>
          <w:p w:rsidR="004F68F9" w:rsidRPr="00AF699A" w:rsidRDefault="004F68F9" w:rsidP="005151A7">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4F68F9" w:rsidRPr="00AF699A" w:rsidRDefault="004F68F9" w:rsidP="005151A7">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4F68F9" w:rsidRPr="00AF699A" w:rsidRDefault="004F68F9" w:rsidP="005151A7">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4F68F9" w:rsidRPr="00AF699A" w:rsidRDefault="004F68F9" w:rsidP="005151A7">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4F68F9" w:rsidRPr="00AF699A" w:rsidRDefault="004F68F9" w:rsidP="005151A7">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4F68F9" w:rsidRPr="00AF699A" w:rsidRDefault="004F68F9" w:rsidP="005151A7">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4F68F9" w:rsidRPr="00AF699A" w:rsidRDefault="004F68F9" w:rsidP="005151A7">
            <w:pPr>
              <w:pStyle w:val="TableColumnHeading"/>
              <w:ind w:right="28"/>
              <w:rPr>
                <w:rFonts w:cs="Arial"/>
                <w:sz w:val="18"/>
                <w:szCs w:val="18"/>
              </w:rPr>
            </w:pPr>
            <w:r w:rsidRPr="00AF699A">
              <w:rPr>
                <w:rFonts w:cs="Arial"/>
                <w:sz w:val="18"/>
                <w:szCs w:val="18"/>
              </w:rPr>
              <w:t>2011-12</w:t>
            </w:r>
          </w:p>
        </w:tc>
      </w:tr>
      <w:tr w:rsidR="004F68F9" w:rsidRPr="00CE1906" w:rsidTr="00C305B5">
        <w:tc>
          <w:tcPr>
            <w:tcW w:w="1958" w:type="pct"/>
            <w:vAlign w:val="bottom"/>
          </w:tcPr>
          <w:p w:rsidR="004F68F9" w:rsidRPr="0021030D" w:rsidRDefault="004F68F9" w:rsidP="005151A7">
            <w:pPr>
              <w:pStyle w:val="TableBodyText"/>
              <w:jc w:val="left"/>
              <w:rPr>
                <w:b/>
                <w:sz w:val="18"/>
                <w:szCs w:val="18"/>
              </w:rPr>
            </w:pPr>
            <w:r w:rsidRPr="0021030D">
              <w:rPr>
                <w:b/>
                <w:sz w:val="18"/>
                <w:szCs w:val="18"/>
              </w:rPr>
              <w:t>Primary production</w:t>
            </w:r>
          </w:p>
        </w:tc>
        <w:tc>
          <w:tcPr>
            <w:tcW w:w="507" w:type="pct"/>
            <w:vAlign w:val="bottom"/>
          </w:tcPr>
          <w:p w:rsidR="004F68F9" w:rsidRPr="0021030D" w:rsidRDefault="004F68F9" w:rsidP="005151A7">
            <w:pPr>
              <w:pStyle w:val="TableBodyText"/>
              <w:rPr>
                <w:b/>
                <w:sz w:val="18"/>
                <w:szCs w:val="18"/>
              </w:rPr>
            </w:pPr>
            <w:r w:rsidRPr="0021030D">
              <w:rPr>
                <w:b/>
                <w:sz w:val="18"/>
                <w:szCs w:val="18"/>
              </w:rPr>
              <w:t>1.3</w:t>
            </w:r>
          </w:p>
        </w:tc>
        <w:tc>
          <w:tcPr>
            <w:tcW w:w="507" w:type="pct"/>
            <w:vAlign w:val="bottom"/>
          </w:tcPr>
          <w:p w:rsidR="004F68F9" w:rsidRPr="0021030D" w:rsidRDefault="004F68F9" w:rsidP="005151A7">
            <w:pPr>
              <w:pStyle w:val="TableBodyText"/>
              <w:rPr>
                <w:b/>
                <w:sz w:val="18"/>
                <w:szCs w:val="18"/>
              </w:rPr>
            </w:pPr>
            <w:r w:rsidRPr="0021030D">
              <w:rPr>
                <w:b/>
                <w:sz w:val="18"/>
                <w:szCs w:val="18"/>
              </w:rPr>
              <w:t>0.6</w:t>
            </w:r>
          </w:p>
        </w:tc>
        <w:tc>
          <w:tcPr>
            <w:tcW w:w="507" w:type="pct"/>
            <w:vAlign w:val="bottom"/>
          </w:tcPr>
          <w:p w:rsidR="004F68F9" w:rsidRPr="0021030D" w:rsidRDefault="004F68F9" w:rsidP="005151A7">
            <w:pPr>
              <w:pStyle w:val="TableBodyText"/>
              <w:rPr>
                <w:b/>
                <w:sz w:val="18"/>
                <w:szCs w:val="18"/>
              </w:rPr>
            </w:pPr>
            <w:r w:rsidRPr="0021030D">
              <w:rPr>
                <w:b/>
                <w:sz w:val="18"/>
                <w:szCs w:val="18"/>
              </w:rPr>
              <w:t>&lt;0.1</w:t>
            </w:r>
          </w:p>
        </w:tc>
        <w:tc>
          <w:tcPr>
            <w:tcW w:w="507" w:type="pct"/>
            <w:vAlign w:val="bottom"/>
          </w:tcPr>
          <w:p w:rsidR="004F68F9" w:rsidRPr="0021030D" w:rsidRDefault="004F68F9" w:rsidP="005151A7">
            <w:pPr>
              <w:pStyle w:val="TableBodyText"/>
              <w:rPr>
                <w:b/>
                <w:sz w:val="18"/>
                <w:szCs w:val="18"/>
              </w:rPr>
            </w:pPr>
            <w:r w:rsidRPr="0021030D">
              <w:rPr>
                <w:sz w:val="18"/>
                <w:szCs w:val="18"/>
              </w:rPr>
              <w:noBreakHyphen/>
            </w:r>
          </w:p>
        </w:tc>
        <w:tc>
          <w:tcPr>
            <w:tcW w:w="507" w:type="pct"/>
            <w:shd w:val="clear" w:color="auto" w:fill="auto"/>
            <w:vAlign w:val="bottom"/>
          </w:tcPr>
          <w:p w:rsidR="004F68F9" w:rsidRPr="0021030D" w:rsidRDefault="004F68F9" w:rsidP="005151A7">
            <w:pPr>
              <w:pStyle w:val="TableBodyText"/>
              <w:rPr>
                <w:b/>
                <w:sz w:val="18"/>
                <w:szCs w:val="18"/>
              </w:rPr>
            </w:pPr>
            <w:r w:rsidRPr="0021030D">
              <w:rPr>
                <w:sz w:val="18"/>
                <w:szCs w:val="18"/>
              </w:rPr>
              <w:noBreakHyphen/>
            </w:r>
          </w:p>
        </w:tc>
        <w:tc>
          <w:tcPr>
            <w:tcW w:w="507" w:type="pct"/>
            <w:shd w:val="clear" w:color="auto" w:fill="auto"/>
            <w:vAlign w:val="bottom"/>
          </w:tcPr>
          <w:p w:rsidR="004F68F9" w:rsidRPr="0021030D" w:rsidRDefault="004F68F9" w:rsidP="005151A7">
            <w:pPr>
              <w:pStyle w:val="TableBodyText"/>
              <w:rPr>
                <w:b/>
                <w:sz w:val="18"/>
                <w:szCs w:val="18"/>
              </w:rPr>
            </w:pPr>
            <w:r w:rsidRPr="0021030D">
              <w:rPr>
                <w:sz w:val="18"/>
                <w:szCs w:val="18"/>
              </w:rPr>
              <w:noBreakHyphen/>
            </w:r>
          </w:p>
        </w:tc>
      </w:tr>
      <w:tr w:rsidR="004F68F9" w:rsidRPr="00CE1906" w:rsidTr="00C305B5">
        <w:tc>
          <w:tcPr>
            <w:tcW w:w="1958" w:type="pct"/>
            <w:vAlign w:val="bottom"/>
          </w:tcPr>
          <w:p w:rsidR="004F68F9" w:rsidRPr="0021030D" w:rsidRDefault="004F68F9" w:rsidP="005151A7">
            <w:pPr>
              <w:pStyle w:val="TableBodyText"/>
              <w:jc w:val="left"/>
              <w:rPr>
                <w:sz w:val="18"/>
                <w:szCs w:val="18"/>
              </w:rPr>
            </w:pPr>
            <w:r w:rsidRPr="0021030D">
              <w:rPr>
                <w:sz w:val="18"/>
                <w:szCs w:val="18"/>
              </w:rPr>
              <w:t>Horticulture and fruit growing</w:t>
            </w:r>
          </w:p>
        </w:tc>
        <w:tc>
          <w:tcPr>
            <w:tcW w:w="507" w:type="pct"/>
            <w:vAlign w:val="bottom"/>
          </w:tcPr>
          <w:p w:rsidR="004F68F9" w:rsidRPr="0021030D" w:rsidRDefault="004F68F9" w:rsidP="005151A7">
            <w:pPr>
              <w:pStyle w:val="TableBodyText"/>
              <w:rPr>
                <w:sz w:val="18"/>
                <w:szCs w:val="18"/>
              </w:rPr>
            </w:pPr>
            <w:r w:rsidRPr="0021030D">
              <w:rPr>
                <w:sz w:val="18"/>
                <w:szCs w:val="18"/>
              </w:rPr>
              <w:t>0.6</w:t>
            </w:r>
          </w:p>
        </w:tc>
        <w:tc>
          <w:tcPr>
            <w:tcW w:w="507" w:type="pct"/>
            <w:vAlign w:val="bottom"/>
          </w:tcPr>
          <w:p w:rsidR="004F68F9" w:rsidRPr="0021030D" w:rsidRDefault="004F68F9" w:rsidP="005151A7">
            <w:pPr>
              <w:pStyle w:val="TableBodyText"/>
              <w:rPr>
                <w:sz w:val="18"/>
                <w:szCs w:val="18"/>
              </w:rPr>
            </w:pPr>
            <w:r w:rsidRPr="0021030D">
              <w:rPr>
                <w:sz w:val="18"/>
                <w:szCs w:val="18"/>
              </w:rPr>
              <w:t>0.3</w:t>
            </w:r>
          </w:p>
        </w:tc>
        <w:tc>
          <w:tcPr>
            <w:tcW w:w="507" w:type="pct"/>
            <w:vAlign w:val="bottom"/>
          </w:tcPr>
          <w:p w:rsidR="004F68F9" w:rsidRPr="0021030D" w:rsidRDefault="004F68F9" w:rsidP="005151A7">
            <w:pPr>
              <w:pStyle w:val="TableBodyText"/>
              <w:rPr>
                <w:sz w:val="18"/>
                <w:szCs w:val="18"/>
              </w:rPr>
            </w:pPr>
            <w:r w:rsidRPr="0021030D">
              <w:rPr>
                <w:sz w:val="18"/>
                <w:szCs w:val="18"/>
              </w:rPr>
              <w:t>&lt;0.1</w:t>
            </w:r>
          </w:p>
        </w:tc>
        <w:tc>
          <w:tcPr>
            <w:tcW w:w="507" w:type="pct"/>
            <w:vAlign w:val="bottom"/>
          </w:tcPr>
          <w:p w:rsidR="004F68F9" w:rsidRPr="0021030D" w:rsidRDefault="004F68F9" w:rsidP="005151A7">
            <w:pPr>
              <w:pStyle w:val="TableBodyText"/>
              <w:rPr>
                <w:sz w:val="18"/>
                <w:szCs w:val="18"/>
              </w:rPr>
            </w:pPr>
            <w:r w:rsidRPr="0021030D">
              <w:rPr>
                <w:sz w:val="18"/>
                <w:szCs w:val="18"/>
              </w:rPr>
              <w:noBreakHyphen/>
            </w:r>
          </w:p>
        </w:tc>
        <w:tc>
          <w:tcPr>
            <w:tcW w:w="507" w:type="pct"/>
            <w:shd w:val="clear" w:color="auto" w:fill="auto"/>
            <w:vAlign w:val="bottom"/>
          </w:tcPr>
          <w:p w:rsidR="004F68F9" w:rsidRPr="0021030D" w:rsidRDefault="004F68F9" w:rsidP="005151A7">
            <w:pPr>
              <w:pStyle w:val="TableBodyText"/>
              <w:rPr>
                <w:sz w:val="18"/>
                <w:szCs w:val="18"/>
              </w:rPr>
            </w:pPr>
            <w:r w:rsidRPr="0021030D">
              <w:rPr>
                <w:sz w:val="18"/>
                <w:szCs w:val="18"/>
              </w:rPr>
              <w:noBreakHyphen/>
            </w:r>
          </w:p>
        </w:tc>
        <w:tc>
          <w:tcPr>
            <w:tcW w:w="507" w:type="pct"/>
            <w:shd w:val="clear" w:color="auto" w:fill="auto"/>
            <w:vAlign w:val="bottom"/>
          </w:tcPr>
          <w:p w:rsidR="004F68F9" w:rsidRPr="0021030D" w:rsidRDefault="004F68F9" w:rsidP="005151A7">
            <w:pPr>
              <w:pStyle w:val="TableBodyText"/>
              <w:rPr>
                <w:sz w:val="18"/>
                <w:szCs w:val="18"/>
              </w:rPr>
            </w:pPr>
            <w:r w:rsidRPr="0021030D">
              <w:rPr>
                <w:sz w:val="18"/>
                <w:szCs w:val="18"/>
              </w:rPr>
              <w:noBreakHyphen/>
            </w:r>
          </w:p>
        </w:tc>
      </w:tr>
      <w:tr w:rsidR="004F68F9" w:rsidRPr="00CE1906" w:rsidTr="00C305B5">
        <w:tc>
          <w:tcPr>
            <w:tcW w:w="1958" w:type="pct"/>
            <w:vAlign w:val="bottom"/>
          </w:tcPr>
          <w:p w:rsidR="004F68F9" w:rsidRPr="0021030D" w:rsidRDefault="004F68F9" w:rsidP="005151A7">
            <w:pPr>
              <w:pStyle w:val="TableBodyText"/>
              <w:jc w:val="left"/>
              <w:rPr>
                <w:sz w:val="18"/>
                <w:szCs w:val="18"/>
              </w:rPr>
            </w:pPr>
            <w:r w:rsidRPr="0021030D">
              <w:rPr>
                <w:sz w:val="18"/>
                <w:szCs w:val="18"/>
              </w:rPr>
              <w:t>Sheep, beef cattle and grain farming</w:t>
            </w:r>
          </w:p>
        </w:tc>
        <w:tc>
          <w:tcPr>
            <w:tcW w:w="507" w:type="pct"/>
            <w:vAlign w:val="bottom"/>
          </w:tcPr>
          <w:p w:rsidR="004F68F9" w:rsidRPr="0021030D" w:rsidRDefault="004F68F9" w:rsidP="005151A7">
            <w:pPr>
              <w:pStyle w:val="TableBodyText"/>
              <w:rPr>
                <w:sz w:val="18"/>
                <w:szCs w:val="18"/>
              </w:rPr>
            </w:pPr>
            <w:r w:rsidRPr="0021030D">
              <w:rPr>
                <w:sz w:val="18"/>
                <w:szCs w:val="18"/>
              </w:rPr>
              <w:t>0.1</w:t>
            </w:r>
          </w:p>
        </w:tc>
        <w:tc>
          <w:tcPr>
            <w:tcW w:w="507" w:type="pct"/>
            <w:vAlign w:val="bottom"/>
          </w:tcPr>
          <w:p w:rsidR="004F68F9" w:rsidRPr="0021030D" w:rsidRDefault="004F68F9" w:rsidP="005151A7">
            <w:pPr>
              <w:pStyle w:val="TableBodyText"/>
              <w:rPr>
                <w:sz w:val="18"/>
                <w:szCs w:val="18"/>
              </w:rPr>
            </w:pPr>
            <w:r w:rsidRPr="0021030D">
              <w:rPr>
                <w:sz w:val="18"/>
                <w:szCs w:val="18"/>
              </w:rPr>
              <w:t>&lt;0.1</w:t>
            </w:r>
          </w:p>
        </w:tc>
        <w:tc>
          <w:tcPr>
            <w:tcW w:w="507" w:type="pct"/>
            <w:vAlign w:val="bottom"/>
          </w:tcPr>
          <w:p w:rsidR="004F68F9" w:rsidRPr="0021030D" w:rsidRDefault="004F68F9" w:rsidP="005151A7">
            <w:pPr>
              <w:pStyle w:val="TableBodyText"/>
              <w:rPr>
                <w:sz w:val="18"/>
                <w:szCs w:val="18"/>
              </w:rPr>
            </w:pPr>
            <w:r w:rsidRPr="0021030D">
              <w:rPr>
                <w:sz w:val="18"/>
                <w:szCs w:val="18"/>
              </w:rPr>
              <w:t>&lt;0.1</w:t>
            </w:r>
          </w:p>
        </w:tc>
        <w:tc>
          <w:tcPr>
            <w:tcW w:w="507" w:type="pct"/>
            <w:vAlign w:val="bottom"/>
          </w:tcPr>
          <w:p w:rsidR="004F68F9" w:rsidRPr="0021030D" w:rsidRDefault="004F68F9" w:rsidP="005151A7">
            <w:pPr>
              <w:pStyle w:val="TableBodyText"/>
              <w:rPr>
                <w:sz w:val="18"/>
                <w:szCs w:val="18"/>
              </w:rPr>
            </w:pPr>
            <w:r w:rsidRPr="0021030D">
              <w:rPr>
                <w:sz w:val="18"/>
                <w:szCs w:val="18"/>
              </w:rPr>
              <w:noBreakHyphen/>
            </w:r>
          </w:p>
        </w:tc>
        <w:tc>
          <w:tcPr>
            <w:tcW w:w="507" w:type="pct"/>
            <w:shd w:val="clear" w:color="auto" w:fill="auto"/>
            <w:vAlign w:val="bottom"/>
          </w:tcPr>
          <w:p w:rsidR="004F68F9" w:rsidRPr="0021030D" w:rsidRDefault="004F68F9" w:rsidP="005151A7">
            <w:pPr>
              <w:pStyle w:val="TableBodyText"/>
              <w:rPr>
                <w:sz w:val="18"/>
                <w:szCs w:val="18"/>
              </w:rPr>
            </w:pPr>
            <w:r w:rsidRPr="0021030D">
              <w:rPr>
                <w:sz w:val="18"/>
                <w:szCs w:val="18"/>
              </w:rPr>
              <w:noBreakHyphen/>
            </w:r>
          </w:p>
        </w:tc>
        <w:tc>
          <w:tcPr>
            <w:tcW w:w="507" w:type="pct"/>
            <w:shd w:val="clear" w:color="auto" w:fill="auto"/>
            <w:vAlign w:val="bottom"/>
          </w:tcPr>
          <w:p w:rsidR="004F68F9" w:rsidRPr="0021030D" w:rsidRDefault="004F68F9" w:rsidP="005151A7">
            <w:pPr>
              <w:pStyle w:val="TableBodyText"/>
              <w:rPr>
                <w:sz w:val="18"/>
                <w:szCs w:val="18"/>
              </w:rPr>
            </w:pPr>
            <w:r w:rsidRPr="0021030D">
              <w:rPr>
                <w:sz w:val="18"/>
                <w:szCs w:val="18"/>
              </w:rPr>
              <w:noBreakHyphen/>
            </w:r>
          </w:p>
        </w:tc>
      </w:tr>
      <w:tr w:rsidR="004F68F9" w:rsidRPr="00CE1906" w:rsidTr="00C305B5">
        <w:tc>
          <w:tcPr>
            <w:tcW w:w="1958" w:type="pct"/>
            <w:vAlign w:val="bottom"/>
          </w:tcPr>
          <w:p w:rsidR="004F68F9" w:rsidRPr="0021030D" w:rsidRDefault="004F68F9" w:rsidP="005151A7">
            <w:pPr>
              <w:pStyle w:val="TableBodyText"/>
              <w:jc w:val="left"/>
              <w:rPr>
                <w:sz w:val="18"/>
                <w:szCs w:val="18"/>
              </w:rPr>
            </w:pPr>
            <w:r w:rsidRPr="0021030D">
              <w:rPr>
                <w:sz w:val="18"/>
                <w:szCs w:val="18"/>
              </w:rPr>
              <w:t>Other crop growing</w:t>
            </w:r>
          </w:p>
        </w:tc>
        <w:tc>
          <w:tcPr>
            <w:tcW w:w="507" w:type="pct"/>
            <w:vAlign w:val="bottom"/>
          </w:tcPr>
          <w:p w:rsidR="004F68F9" w:rsidRPr="0021030D" w:rsidRDefault="004F68F9" w:rsidP="005151A7">
            <w:pPr>
              <w:pStyle w:val="TableBodyText"/>
              <w:rPr>
                <w:sz w:val="18"/>
                <w:szCs w:val="18"/>
              </w:rPr>
            </w:pPr>
            <w:r w:rsidRPr="0021030D">
              <w:rPr>
                <w:sz w:val="18"/>
                <w:szCs w:val="18"/>
              </w:rPr>
              <w:t>&lt;0.1</w:t>
            </w:r>
          </w:p>
        </w:tc>
        <w:tc>
          <w:tcPr>
            <w:tcW w:w="507" w:type="pct"/>
            <w:vAlign w:val="bottom"/>
          </w:tcPr>
          <w:p w:rsidR="004F68F9" w:rsidRPr="0021030D" w:rsidRDefault="004F68F9" w:rsidP="005151A7">
            <w:pPr>
              <w:pStyle w:val="TableBodyText"/>
              <w:rPr>
                <w:sz w:val="18"/>
                <w:szCs w:val="18"/>
              </w:rPr>
            </w:pPr>
            <w:r w:rsidRPr="0021030D">
              <w:rPr>
                <w:sz w:val="18"/>
                <w:szCs w:val="18"/>
              </w:rPr>
              <w:t>&lt;0.1</w:t>
            </w:r>
          </w:p>
        </w:tc>
        <w:tc>
          <w:tcPr>
            <w:tcW w:w="507" w:type="pct"/>
            <w:vAlign w:val="bottom"/>
          </w:tcPr>
          <w:p w:rsidR="004F68F9" w:rsidRPr="0021030D" w:rsidRDefault="004F68F9" w:rsidP="005151A7">
            <w:pPr>
              <w:pStyle w:val="TableBodyText"/>
              <w:rPr>
                <w:sz w:val="18"/>
                <w:szCs w:val="18"/>
              </w:rPr>
            </w:pPr>
            <w:r w:rsidRPr="0021030D">
              <w:rPr>
                <w:sz w:val="18"/>
                <w:szCs w:val="18"/>
              </w:rPr>
              <w:t>&lt;0.1</w:t>
            </w:r>
          </w:p>
        </w:tc>
        <w:tc>
          <w:tcPr>
            <w:tcW w:w="507" w:type="pct"/>
            <w:vAlign w:val="bottom"/>
          </w:tcPr>
          <w:p w:rsidR="004F68F9" w:rsidRPr="0021030D" w:rsidRDefault="004F68F9" w:rsidP="005151A7">
            <w:pPr>
              <w:pStyle w:val="TableBodyText"/>
              <w:rPr>
                <w:sz w:val="18"/>
                <w:szCs w:val="18"/>
              </w:rPr>
            </w:pPr>
            <w:r w:rsidRPr="0021030D">
              <w:rPr>
                <w:sz w:val="18"/>
                <w:szCs w:val="18"/>
              </w:rPr>
              <w:noBreakHyphen/>
            </w:r>
          </w:p>
        </w:tc>
        <w:tc>
          <w:tcPr>
            <w:tcW w:w="507" w:type="pct"/>
            <w:shd w:val="clear" w:color="auto" w:fill="auto"/>
            <w:vAlign w:val="bottom"/>
          </w:tcPr>
          <w:p w:rsidR="004F68F9" w:rsidRPr="0021030D" w:rsidRDefault="004F68F9" w:rsidP="005151A7">
            <w:pPr>
              <w:pStyle w:val="TableBodyText"/>
              <w:rPr>
                <w:sz w:val="18"/>
                <w:szCs w:val="18"/>
              </w:rPr>
            </w:pPr>
            <w:r w:rsidRPr="0021030D">
              <w:rPr>
                <w:sz w:val="18"/>
                <w:szCs w:val="18"/>
              </w:rPr>
              <w:noBreakHyphen/>
            </w:r>
          </w:p>
        </w:tc>
        <w:tc>
          <w:tcPr>
            <w:tcW w:w="507" w:type="pct"/>
            <w:shd w:val="clear" w:color="auto" w:fill="auto"/>
            <w:vAlign w:val="bottom"/>
          </w:tcPr>
          <w:p w:rsidR="004F68F9" w:rsidRPr="0021030D" w:rsidRDefault="004F68F9" w:rsidP="005151A7">
            <w:pPr>
              <w:pStyle w:val="TableBodyText"/>
              <w:rPr>
                <w:sz w:val="18"/>
                <w:szCs w:val="18"/>
              </w:rPr>
            </w:pPr>
            <w:r w:rsidRPr="0021030D">
              <w:rPr>
                <w:sz w:val="18"/>
                <w:szCs w:val="18"/>
              </w:rPr>
              <w:noBreakHyphen/>
            </w:r>
          </w:p>
        </w:tc>
      </w:tr>
      <w:tr w:rsidR="004F68F9" w:rsidRPr="00CE1906" w:rsidTr="00C305B5">
        <w:tc>
          <w:tcPr>
            <w:tcW w:w="1958" w:type="pct"/>
            <w:vAlign w:val="bottom"/>
          </w:tcPr>
          <w:p w:rsidR="004F68F9" w:rsidRPr="0021030D" w:rsidRDefault="004F68F9" w:rsidP="005151A7">
            <w:pPr>
              <w:pStyle w:val="TableBodyText"/>
              <w:jc w:val="left"/>
              <w:rPr>
                <w:sz w:val="18"/>
                <w:szCs w:val="18"/>
              </w:rPr>
            </w:pPr>
            <w:r w:rsidRPr="0021030D">
              <w:rPr>
                <w:sz w:val="18"/>
                <w:szCs w:val="18"/>
              </w:rPr>
              <w:t>Dairy cattle farming</w:t>
            </w:r>
          </w:p>
        </w:tc>
        <w:tc>
          <w:tcPr>
            <w:tcW w:w="507" w:type="pct"/>
            <w:vAlign w:val="bottom"/>
          </w:tcPr>
          <w:p w:rsidR="004F68F9" w:rsidRPr="0021030D" w:rsidRDefault="004F68F9" w:rsidP="005151A7">
            <w:pPr>
              <w:pStyle w:val="TableBodyText"/>
              <w:rPr>
                <w:sz w:val="18"/>
                <w:szCs w:val="18"/>
              </w:rPr>
            </w:pPr>
            <w:r w:rsidRPr="0021030D">
              <w:rPr>
                <w:sz w:val="18"/>
                <w:szCs w:val="18"/>
              </w:rPr>
              <w:t>0.1</w:t>
            </w:r>
          </w:p>
        </w:tc>
        <w:tc>
          <w:tcPr>
            <w:tcW w:w="507" w:type="pct"/>
            <w:vAlign w:val="bottom"/>
          </w:tcPr>
          <w:p w:rsidR="004F68F9" w:rsidRPr="0021030D" w:rsidRDefault="004F68F9" w:rsidP="005151A7">
            <w:pPr>
              <w:pStyle w:val="TableBodyText"/>
              <w:rPr>
                <w:sz w:val="18"/>
                <w:szCs w:val="18"/>
              </w:rPr>
            </w:pPr>
            <w:r w:rsidRPr="0021030D">
              <w:rPr>
                <w:sz w:val="18"/>
                <w:szCs w:val="18"/>
              </w:rPr>
              <w:t>&lt;0.1</w:t>
            </w:r>
          </w:p>
        </w:tc>
        <w:tc>
          <w:tcPr>
            <w:tcW w:w="507" w:type="pct"/>
            <w:vAlign w:val="bottom"/>
          </w:tcPr>
          <w:p w:rsidR="004F68F9" w:rsidRPr="0021030D" w:rsidRDefault="004F68F9" w:rsidP="005151A7">
            <w:pPr>
              <w:pStyle w:val="TableBodyText"/>
              <w:rPr>
                <w:sz w:val="18"/>
                <w:szCs w:val="18"/>
              </w:rPr>
            </w:pPr>
            <w:r w:rsidRPr="0021030D">
              <w:rPr>
                <w:sz w:val="18"/>
                <w:szCs w:val="18"/>
              </w:rPr>
              <w:t>&lt;0.1</w:t>
            </w:r>
          </w:p>
        </w:tc>
        <w:tc>
          <w:tcPr>
            <w:tcW w:w="507" w:type="pct"/>
            <w:vAlign w:val="bottom"/>
          </w:tcPr>
          <w:p w:rsidR="004F68F9" w:rsidRPr="0021030D" w:rsidRDefault="004F68F9" w:rsidP="005151A7">
            <w:pPr>
              <w:pStyle w:val="TableBodyText"/>
              <w:rPr>
                <w:sz w:val="18"/>
                <w:szCs w:val="18"/>
              </w:rPr>
            </w:pPr>
            <w:r w:rsidRPr="0021030D">
              <w:rPr>
                <w:sz w:val="18"/>
                <w:szCs w:val="18"/>
              </w:rPr>
              <w:noBreakHyphen/>
            </w:r>
          </w:p>
        </w:tc>
        <w:tc>
          <w:tcPr>
            <w:tcW w:w="507" w:type="pct"/>
            <w:shd w:val="clear" w:color="auto" w:fill="auto"/>
            <w:vAlign w:val="bottom"/>
          </w:tcPr>
          <w:p w:rsidR="004F68F9" w:rsidRPr="0021030D" w:rsidRDefault="004F68F9" w:rsidP="005151A7">
            <w:pPr>
              <w:pStyle w:val="TableBodyText"/>
              <w:rPr>
                <w:sz w:val="18"/>
                <w:szCs w:val="18"/>
              </w:rPr>
            </w:pPr>
            <w:r w:rsidRPr="0021030D">
              <w:rPr>
                <w:sz w:val="18"/>
                <w:szCs w:val="18"/>
              </w:rPr>
              <w:noBreakHyphen/>
            </w:r>
          </w:p>
        </w:tc>
        <w:tc>
          <w:tcPr>
            <w:tcW w:w="507" w:type="pct"/>
            <w:shd w:val="clear" w:color="auto" w:fill="auto"/>
            <w:vAlign w:val="bottom"/>
          </w:tcPr>
          <w:p w:rsidR="004F68F9" w:rsidRPr="0021030D" w:rsidRDefault="004F68F9" w:rsidP="005151A7">
            <w:pPr>
              <w:pStyle w:val="TableBodyText"/>
              <w:rPr>
                <w:sz w:val="18"/>
                <w:szCs w:val="18"/>
              </w:rPr>
            </w:pPr>
            <w:r w:rsidRPr="0021030D">
              <w:rPr>
                <w:sz w:val="18"/>
                <w:szCs w:val="18"/>
              </w:rPr>
              <w:noBreakHyphen/>
            </w:r>
          </w:p>
        </w:tc>
      </w:tr>
      <w:tr w:rsidR="004F68F9" w:rsidRPr="00CE1906" w:rsidTr="00C305B5">
        <w:tc>
          <w:tcPr>
            <w:tcW w:w="1958" w:type="pct"/>
            <w:vAlign w:val="bottom"/>
          </w:tcPr>
          <w:p w:rsidR="004F68F9" w:rsidRPr="0021030D" w:rsidRDefault="004F68F9" w:rsidP="005151A7">
            <w:pPr>
              <w:pStyle w:val="TableBodyText"/>
              <w:jc w:val="left"/>
              <w:rPr>
                <w:sz w:val="18"/>
                <w:szCs w:val="18"/>
              </w:rPr>
            </w:pPr>
            <w:r w:rsidRPr="0021030D">
              <w:rPr>
                <w:sz w:val="18"/>
                <w:szCs w:val="18"/>
              </w:rPr>
              <w:t>Other livestock farming</w:t>
            </w:r>
          </w:p>
        </w:tc>
        <w:tc>
          <w:tcPr>
            <w:tcW w:w="507" w:type="pct"/>
            <w:vAlign w:val="bottom"/>
          </w:tcPr>
          <w:p w:rsidR="004F68F9" w:rsidRPr="0021030D" w:rsidRDefault="004F68F9" w:rsidP="005151A7">
            <w:pPr>
              <w:pStyle w:val="TableBodyText"/>
              <w:rPr>
                <w:sz w:val="18"/>
                <w:szCs w:val="18"/>
              </w:rPr>
            </w:pPr>
            <w:r w:rsidRPr="0021030D">
              <w:rPr>
                <w:sz w:val="18"/>
                <w:szCs w:val="18"/>
              </w:rPr>
              <w:t>0.2</w:t>
            </w:r>
          </w:p>
        </w:tc>
        <w:tc>
          <w:tcPr>
            <w:tcW w:w="507" w:type="pct"/>
            <w:vAlign w:val="bottom"/>
          </w:tcPr>
          <w:p w:rsidR="004F68F9" w:rsidRPr="0021030D" w:rsidRDefault="004F68F9" w:rsidP="005151A7">
            <w:pPr>
              <w:pStyle w:val="TableBodyText"/>
              <w:rPr>
                <w:sz w:val="18"/>
                <w:szCs w:val="18"/>
              </w:rPr>
            </w:pPr>
            <w:r w:rsidRPr="0021030D">
              <w:rPr>
                <w:sz w:val="18"/>
                <w:szCs w:val="18"/>
              </w:rPr>
              <w:t>&lt;0.1</w:t>
            </w:r>
          </w:p>
        </w:tc>
        <w:tc>
          <w:tcPr>
            <w:tcW w:w="507" w:type="pct"/>
            <w:vAlign w:val="bottom"/>
          </w:tcPr>
          <w:p w:rsidR="004F68F9" w:rsidRPr="0021030D" w:rsidRDefault="004F68F9" w:rsidP="005151A7">
            <w:pPr>
              <w:pStyle w:val="TableBodyText"/>
              <w:rPr>
                <w:sz w:val="18"/>
                <w:szCs w:val="18"/>
              </w:rPr>
            </w:pPr>
            <w:r w:rsidRPr="0021030D">
              <w:rPr>
                <w:sz w:val="18"/>
                <w:szCs w:val="18"/>
              </w:rPr>
              <w:t>&lt;0.1</w:t>
            </w:r>
          </w:p>
        </w:tc>
        <w:tc>
          <w:tcPr>
            <w:tcW w:w="507" w:type="pct"/>
            <w:vAlign w:val="bottom"/>
          </w:tcPr>
          <w:p w:rsidR="004F68F9" w:rsidRPr="0021030D" w:rsidRDefault="004F68F9" w:rsidP="005151A7">
            <w:pPr>
              <w:pStyle w:val="TableBodyText"/>
              <w:rPr>
                <w:sz w:val="18"/>
                <w:szCs w:val="18"/>
              </w:rPr>
            </w:pPr>
            <w:r w:rsidRPr="0021030D">
              <w:rPr>
                <w:sz w:val="18"/>
                <w:szCs w:val="18"/>
              </w:rPr>
              <w:noBreakHyphen/>
            </w:r>
          </w:p>
        </w:tc>
        <w:tc>
          <w:tcPr>
            <w:tcW w:w="507" w:type="pct"/>
            <w:shd w:val="clear" w:color="auto" w:fill="auto"/>
            <w:vAlign w:val="bottom"/>
          </w:tcPr>
          <w:p w:rsidR="004F68F9" w:rsidRPr="0021030D" w:rsidRDefault="004F68F9" w:rsidP="005151A7">
            <w:pPr>
              <w:pStyle w:val="TableBodyText"/>
              <w:rPr>
                <w:sz w:val="18"/>
                <w:szCs w:val="18"/>
              </w:rPr>
            </w:pPr>
            <w:r w:rsidRPr="0021030D">
              <w:rPr>
                <w:sz w:val="18"/>
                <w:szCs w:val="18"/>
              </w:rPr>
              <w:noBreakHyphen/>
            </w:r>
          </w:p>
        </w:tc>
        <w:tc>
          <w:tcPr>
            <w:tcW w:w="507" w:type="pct"/>
            <w:shd w:val="clear" w:color="auto" w:fill="auto"/>
            <w:vAlign w:val="bottom"/>
          </w:tcPr>
          <w:p w:rsidR="004F68F9" w:rsidRPr="0021030D" w:rsidRDefault="004F68F9" w:rsidP="005151A7">
            <w:pPr>
              <w:pStyle w:val="TableBodyText"/>
              <w:rPr>
                <w:sz w:val="18"/>
                <w:szCs w:val="18"/>
              </w:rPr>
            </w:pPr>
            <w:r w:rsidRPr="0021030D">
              <w:rPr>
                <w:sz w:val="18"/>
                <w:szCs w:val="18"/>
              </w:rPr>
              <w:noBreakHyphen/>
            </w:r>
          </w:p>
        </w:tc>
      </w:tr>
      <w:tr w:rsidR="004F68F9" w:rsidRPr="00CE1906" w:rsidTr="00C305B5">
        <w:tc>
          <w:tcPr>
            <w:tcW w:w="1958" w:type="pct"/>
            <w:vAlign w:val="bottom"/>
          </w:tcPr>
          <w:p w:rsidR="004F68F9" w:rsidRPr="0021030D" w:rsidRDefault="004F68F9" w:rsidP="005151A7">
            <w:pPr>
              <w:pStyle w:val="TableBodyText"/>
              <w:jc w:val="left"/>
              <w:rPr>
                <w:sz w:val="18"/>
                <w:szCs w:val="18"/>
              </w:rPr>
            </w:pPr>
            <w:r w:rsidRPr="0021030D">
              <w:rPr>
                <w:sz w:val="18"/>
                <w:szCs w:val="18"/>
              </w:rPr>
              <w:t>Aquaculture and fishing</w:t>
            </w:r>
          </w:p>
        </w:tc>
        <w:tc>
          <w:tcPr>
            <w:tcW w:w="507" w:type="pct"/>
            <w:vAlign w:val="bottom"/>
          </w:tcPr>
          <w:p w:rsidR="004F68F9" w:rsidRPr="0021030D" w:rsidRDefault="004F68F9" w:rsidP="005151A7">
            <w:pPr>
              <w:pStyle w:val="TableBodyText"/>
              <w:rPr>
                <w:sz w:val="18"/>
                <w:szCs w:val="18"/>
              </w:rPr>
            </w:pPr>
            <w:r w:rsidRPr="0021030D">
              <w:rPr>
                <w:sz w:val="18"/>
                <w:szCs w:val="18"/>
              </w:rPr>
              <w:t>0.2</w:t>
            </w:r>
          </w:p>
        </w:tc>
        <w:tc>
          <w:tcPr>
            <w:tcW w:w="507" w:type="pct"/>
            <w:vAlign w:val="bottom"/>
          </w:tcPr>
          <w:p w:rsidR="004F68F9" w:rsidRPr="0021030D" w:rsidRDefault="004F68F9" w:rsidP="005151A7">
            <w:pPr>
              <w:pStyle w:val="TableBodyText"/>
              <w:rPr>
                <w:sz w:val="18"/>
                <w:szCs w:val="18"/>
              </w:rPr>
            </w:pPr>
            <w:r w:rsidRPr="0021030D">
              <w:rPr>
                <w:sz w:val="18"/>
                <w:szCs w:val="18"/>
              </w:rPr>
              <w:t>&lt;0.1</w:t>
            </w:r>
          </w:p>
        </w:tc>
        <w:tc>
          <w:tcPr>
            <w:tcW w:w="507" w:type="pct"/>
            <w:vAlign w:val="bottom"/>
          </w:tcPr>
          <w:p w:rsidR="004F68F9" w:rsidRPr="0021030D" w:rsidRDefault="004F68F9" w:rsidP="005151A7">
            <w:pPr>
              <w:pStyle w:val="TableBodyText"/>
              <w:rPr>
                <w:sz w:val="18"/>
                <w:szCs w:val="18"/>
              </w:rPr>
            </w:pPr>
            <w:r w:rsidRPr="0021030D">
              <w:rPr>
                <w:sz w:val="18"/>
                <w:szCs w:val="18"/>
              </w:rPr>
              <w:t>&lt;0.1</w:t>
            </w:r>
          </w:p>
        </w:tc>
        <w:tc>
          <w:tcPr>
            <w:tcW w:w="507" w:type="pct"/>
            <w:vAlign w:val="bottom"/>
          </w:tcPr>
          <w:p w:rsidR="004F68F9" w:rsidRPr="0021030D" w:rsidRDefault="004F68F9" w:rsidP="005151A7">
            <w:pPr>
              <w:pStyle w:val="TableBodyText"/>
              <w:rPr>
                <w:sz w:val="18"/>
                <w:szCs w:val="18"/>
              </w:rPr>
            </w:pPr>
            <w:r w:rsidRPr="0021030D">
              <w:rPr>
                <w:sz w:val="18"/>
                <w:szCs w:val="18"/>
              </w:rPr>
              <w:noBreakHyphen/>
            </w:r>
          </w:p>
        </w:tc>
        <w:tc>
          <w:tcPr>
            <w:tcW w:w="507" w:type="pct"/>
            <w:shd w:val="clear" w:color="auto" w:fill="auto"/>
            <w:vAlign w:val="bottom"/>
          </w:tcPr>
          <w:p w:rsidR="004F68F9" w:rsidRPr="0021030D" w:rsidRDefault="004F68F9" w:rsidP="005151A7">
            <w:pPr>
              <w:pStyle w:val="TableBodyText"/>
              <w:rPr>
                <w:sz w:val="18"/>
                <w:szCs w:val="18"/>
              </w:rPr>
            </w:pPr>
            <w:r w:rsidRPr="0021030D">
              <w:rPr>
                <w:sz w:val="18"/>
                <w:szCs w:val="18"/>
              </w:rPr>
              <w:noBreakHyphen/>
            </w:r>
          </w:p>
        </w:tc>
        <w:tc>
          <w:tcPr>
            <w:tcW w:w="507" w:type="pct"/>
            <w:shd w:val="clear" w:color="auto" w:fill="auto"/>
            <w:vAlign w:val="bottom"/>
          </w:tcPr>
          <w:p w:rsidR="004F68F9" w:rsidRPr="0021030D" w:rsidRDefault="004F68F9" w:rsidP="005151A7">
            <w:pPr>
              <w:pStyle w:val="TableBodyText"/>
              <w:rPr>
                <w:sz w:val="18"/>
                <w:szCs w:val="18"/>
              </w:rPr>
            </w:pPr>
            <w:r w:rsidRPr="0021030D">
              <w:rPr>
                <w:sz w:val="18"/>
                <w:szCs w:val="18"/>
              </w:rPr>
              <w:noBreakHyphen/>
            </w:r>
          </w:p>
        </w:tc>
      </w:tr>
      <w:tr w:rsidR="004F68F9" w:rsidRPr="00CE1906" w:rsidTr="00C305B5">
        <w:tc>
          <w:tcPr>
            <w:tcW w:w="1958" w:type="pct"/>
            <w:vAlign w:val="bottom"/>
          </w:tcPr>
          <w:p w:rsidR="004F68F9" w:rsidRPr="0021030D" w:rsidRDefault="004F68F9" w:rsidP="005151A7">
            <w:pPr>
              <w:pStyle w:val="TableBodyText"/>
              <w:jc w:val="left"/>
              <w:rPr>
                <w:b/>
                <w:sz w:val="18"/>
                <w:szCs w:val="18"/>
              </w:rPr>
            </w:pPr>
            <w:r w:rsidRPr="0021030D">
              <w:rPr>
                <w:b/>
                <w:sz w:val="18"/>
                <w:szCs w:val="18"/>
              </w:rPr>
              <w:t>Mining</w:t>
            </w:r>
          </w:p>
        </w:tc>
        <w:tc>
          <w:tcPr>
            <w:tcW w:w="507" w:type="pct"/>
            <w:vAlign w:val="bottom"/>
          </w:tcPr>
          <w:p w:rsidR="004F68F9" w:rsidRPr="0021030D" w:rsidRDefault="004F68F9" w:rsidP="005151A7">
            <w:pPr>
              <w:pStyle w:val="TableBodyText"/>
              <w:rPr>
                <w:b/>
                <w:sz w:val="18"/>
                <w:szCs w:val="18"/>
              </w:rPr>
            </w:pPr>
            <w:r w:rsidRPr="0021030D">
              <w:rPr>
                <w:b/>
                <w:sz w:val="18"/>
                <w:szCs w:val="18"/>
              </w:rPr>
              <w:t>&lt;0.1</w:t>
            </w:r>
          </w:p>
        </w:tc>
        <w:tc>
          <w:tcPr>
            <w:tcW w:w="507" w:type="pct"/>
            <w:vAlign w:val="bottom"/>
          </w:tcPr>
          <w:p w:rsidR="004F68F9" w:rsidRPr="0021030D" w:rsidRDefault="004F68F9" w:rsidP="005151A7">
            <w:pPr>
              <w:pStyle w:val="TableBodyText"/>
              <w:rPr>
                <w:b/>
                <w:sz w:val="18"/>
                <w:szCs w:val="18"/>
              </w:rPr>
            </w:pPr>
            <w:r w:rsidRPr="0021030D">
              <w:rPr>
                <w:b/>
                <w:sz w:val="18"/>
                <w:szCs w:val="18"/>
              </w:rPr>
              <w:t>&lt;0.1</w:t>
            </w:r>
          </w:p>
        </w:tc>
        <w:tc>
          <w:tcPr>
            <w:tcW w:w="507" w:type="pct"/>
            <w:vAlign w:val="bottom"/>
          </w:tcPr>
          <w:p w:rsidR="004F68F9" w:rsidRPr="0021030D" w:rsidRDefault="004F68F9" w:rsidP="005151A7">
            <w:pPr>
              <w:pStyle w:val="TableBodyText"/>
              <w:rPr>
                <w:b/>
                <w:sz w:val="18"/>
                <w:szCs w:val="18"/>
              </w:rPr>
            </w:pPr>
            <w:r w:rsidRPr="0021030D">
              <w:rPr>
                <w:b/>
                <w:sz w:val="18"/>
                <w:szCs w:val="18"/>
              </w:rPr>
              <w:t>&lt;0.1</w:t>
            </w:r>
          </w:p>
        </w:tc>
        <w:tc>
          <w:tcPr>
            <w:tcW w:w="507" w:type="pct"/>
            <w:vAlign w:val="bottom"/>
          </w:tcPr>
          <w:p w:rsidR="004F68F9" w:rsidRPr="0021030D" w:rsidRDefault="004F68F9" w:rsidP="005151A7">
            <w:pPr>
              <w:pStyle w:val="TableBodyText"/>
              <w:rPr>
                <w:b/>
                <w:sz w:val="18"/>
                <w:szCs w:val="18"/>
              </w:rPr>
            </w:pPr>
            <w:r w:rsidRPr="0021030D">
              <w:rPr>
                <w:b/>
                <w:sz w:val="18"/>
                <w:szCs w:val="18"/>
              </w:rPr>
              <w:noBreakHyphen/>
            </w:r>
          </w:p>
        </w:tc>
        <w:tc>
          <w:tcPr>
            <w:tcW w:w="507" w:type="pct"/>
            <w:shd w:val="clear" w:color="auto" w:fill="auto"/>
            <w:vAlign w:val="bottom"/>
          </w:tcPr>
          <w:p w:rsidR="004F68F9" w:rsidRPr="0021030D" w:rsidRDefault="004F68F9" w:rsidP="005151A7">
            <w:pPr>
              <w:pStyle w:val="TableBodyText"/>
              <w:rPr>
                <w:b/>
                <w:sz w:val="18"/>
                <w:szCs w:val="18"/>
              </w:rPr>
            </w:pPr>
            <w:r w:rsidRPr="0021030D">
              <w:rPr>
                <w:b/>
                <w:sz w:val="18"/>
                <w:szCs w:val="18"/>
              </w:rPr>
              <w:noBreakHyphen/>
            </w:r>
          </w:p>
        </w:tc>
        <w:tc>
          <w:tcPr>
            <w:tcW w:w="507" w:type="pct"/>
            <w:shd w:val="clear" w:color="auto" w:fill="auto"/>
            <w:vAlign w:val="bottom"/>
          </w:tcPr>
          <w:p w:rsidR="004F68F9" w:rsidRPr="0021030D" w:rsidRDefault="004F68F9" w:rsidP="005151A7">
            <w:pPr>
              <w:pStyle w:val="TableBodyText"/>
              <w:rPr>
                <w:b/>
                <w:sz w:val="18"/>
                <w:szCs w:val="18"/>
              </w:rPr>
            </w:pPr>
            <w:r w:rsidRPr="0021030D">
              <w:rPr>
                <w:b/>
                <w:sz w:val="18"/>
                <w:szCs w:val="18"/>
              </w:rPr>
              <w:noBreakHyphen/>
            </w:r>
          </w:p>
        </w:tc>
      </w:tr>
      <w:tr w:rsidR="004F68F9" w:rsidRPr="00CE1906" w:rsidTr="00C305B5">
        <w:tc>
          <w:tcPr>
            <w:tcW w:w="1958" w:type="pct"/>
            <w:vAlign w:val="bottom"/>
          </w:tcPr>
          <w:p w:rsidR="004F68F9" w:rsidRPr="0021030D" w:rsidRDefault="004F68F9" w:rsidP="005151A7">
            <w:pPr>
              <w:pStyle w:val="TableBodyText"/>
              <w:jc w:val="left"/>
              <w:rPr>
                <w:b/>
                <w:sz w:val="18"/>
                <w:szCs w:val="18"/>
              </w:rPr>
            </w:pPr>
            <w:r w:rsidRPr="0021030D">
              <w:rPr>
                <w:b/>
                <w:sz w:val="18"/>
                <w:szCs w:val="18"/>
              </w:rPr>
              <w:t>Manufacturing</w:t>
            </w:r>
          </w:p>
        </w:tc>
        <w:tc>
          <w:tcPr>
            <w:tcW w:w="507" w:type="pct"/>
            <w:vAlign w:val="bottom"/>
          </w:tcPr>
          <w:p w:rsidR="004F68F9" w:rsidRPr="0021030D" w:rsidRDefault="004F68F9" w:rsidP="005151A7">
            <w:pPr>
              <w:pStyle w:val="TableBodyText"/>
              <w:rPr>
                <w:b/>
                <w:sz w:val="18"/>
                <w:szCs w:val="18"/>
              </w:rPr>
            </w:pPr>
            <w:r w:rsidRPr="0021030D">
              <w:rPr>
                <w:b/>
                <w:sz w:val="18"/>
                <w:szCs w:val="18"/>
              </w:rPr>
              <w:t>0.4</w:t>
            </w:r>
          </w:p>
        </w:tc>
        <w:tc>
          <w:tcPr>
            <w:tcW w:w="507" w:type="pct"/>
            <w:vAlign w:val="bottom"/>
          </w:tcPr>
          <w:p w:rsidR="004F68F9" w:rsidRPr="0021030D" w:rsidRDefault="004F68F9" w:rsidP="005151A7">
            <w:pPr>
              <w:pStyle w:val="TableBodyText"/>
              <w:rPr>
                <w:b/>
                <w:sz w:val="18"/>
                <w:szCs w:val="18"/>
              </w:rPr>
            </w:pPr>
            <w:r w:rsidRPr="0021030D">
              <w:rPr>
                <w:b/>
                <w:sz w:val="18"/>
                <w:szCs w:val="18"/>
              </w:rPr>
              <w:t>0.2</w:t>
            </w:r>
          </w:p>
        </w:tc>
        <w:tc>
          <w:tcPr>
            <w:tcW w:w="507" w:type="pct"/>
            <w:vAlign w:val="bottom"/>
          </w:tcPr>
          <w:p w:rsidR="004F68F9" w:rsidRPr="0021030D" w:rsidRDefault="004F68F9" w:rsidP="005151A7">
            <w:pPr>
              <w:pStyle w:val="TableBodyText"/>
              <w:rPr>
                <w:b/>
                <w:sz w:val="18"/>
                <w:szCs w:val="18"/>
              </w:rPr>
            </w:pPr>
            <w:r w:rsidRPr="0021030D">
              <w:rPr>
                <w:b/>
                <w:sz w:val="18"/>
                <w:szCs w:val="18"/>
              </w:rPr>
              <w:t>&lt;0.1</w:t>
            </w:r>
          </w:p>
        </w:tc>
        <w:tc>
          <w:tcPr>
            <w:tcW w:w="507" w:type="pct"/>
            <w:vAlign w:val="bottom"/>
          </w:tcPr>
          <w:p w:rsidR="004F68F9" w:rsidRPr="0021030D" w:rsidRDefault="004F68F9" w:rsidP="005151A7">
            <w:pPr>
              <w:pStyle w:val="TableBodyText"/>
              <w:rPr>
                <w:b/>
                <w:sz w:val="18"/>
                <w:szCs w:val="18"/>
              </w:rPr>
            </w:pPr>
            <w:r w:rsidRPr="0021030D">
              <w:rPr>
                <w:sz w:val="18"/>
                <w:szCs w:val="18"/>
              </w:rPr>
              <w:noBreakHyphen/>
            </w:r>
          </w:p>
        </w:tc>
        <w:tc>
          <w:tcPr>
            <w:tcW w:w="507" w:type="pct"/>
            <w:shd w:val="clear" w:color="auto" w:fill="auto"/>
            <w:vAlign w:val="bottom"/>
          </w:tcPr>
          <w:p w:rsidR="004F68F9" w:rsidRPr="0021030D" w:rsidRDefault="004F68F9" w:rsidP="005151A7">
            <w:pPr>
              <w:pStyle w:val="TableBodyText"/>
              <w:rPr>
                <w:b/>
                <w:sz w:val="18"/>
                <w:szCs w:val="18"/>
              </w:rPr>
            </w:pPr>
            <w:r w:rsidRPr="0021030D">
              <w:rPr>
                <w:sz w:val="18"/>
                <w:szCs w:val="18"/>
              </w:rPr>
              <w:noBreakHyphen/>
            </w:r>
          </w:p>
        </w:tc>
        <w:tc>
          <w:tcPr>
            <w:tcW w:w="507" w:type="pct"/>
            <w:shd w:val="clear" w:color="auto" w:fill="auto"/>
            <w:vAlign w:val="bottom"/>
          </w:tcPr>
          <w:p w:rsidR="004F68F9" w:rsidRPr="0021030D" w:rsidRDefault="004F68F9" w:rsidP="005151A7">
            <w:pPr>
              <w:pStyle w:val="TableBodyText"/>
              <w:rPr>
                <w:b/>
                <w:sz w:val="18"/>
                <w:szCs w:val="18"/>
              </w:rPr>
            </w:pPr>
            <w:r w:rsidRPr="0021030D">
              <w:rPr>
                <w:sz w:val="18"/>
                <w:szCs w:val="18"/>
              </w:rPr>
              <w:noBreakHyphen/>
            </w:r>
          </w:p>
        </w:tc>
      </w:tr>
      <w:tr w:rsidR="004F68F9" w:rsidRPr="00CE1906" w:rsidTr="00C305B5">
        <w:tc>
          <w:tcPr>
            <w:tcW w:w="1958" w:type="pct"/>
            <w:vAlign w:val="bottom"/>
          </w:tcPr>
          <w:p w:rsidR="004F68F9" w:rsidRPr="0021030D" w:rsidRDefault="004F68F9" w:rsidP="005151A7">
            <w:pPr>
              <w:pStyle w:val="TableBodyText"/>
              <w:jc w:val="left"/>
              <w:rPr>
                <w:sz w:val="18"/>
                <w:szCs w:val="18"/>
              </w:rPr>
            </w:pPr>
            <w:r w:rsidRPr="0021030D">
              <w:rPr>
                <w:sz w:val="18"/>
                <w:szCs w:val="18"/>
              </w:rPr>
              <w:t>Food, beverages and tobacco</w:t>
            </w:r>
          </w:p>
        </w:tc>
        <w:tc>
          <w:tcPr>
            <w:tcW w:w="507" w:type="pct"/>
            <w:vAlign w:val="bottom"/>
          </w:tcPr>
          <w:p w:rsidR="004F68F9" w:rsidRPr="0021030D" w:rsidRDefault="004F68F9" w:rsidP="005151A7">
            <w:pPr>
              <w:pStyle w:val="TableBodyText"/>
              <w:rPr>
                <w:sz w:val="18"/>
                <w:szCs w:val="18"/>
              </w:rPr>
            </w:pPr>
            <w:r w:rsidRPr="0021030D">
              <w:rPr>
                <w:sz w:val="18"/>
                <w:szCs w:val="18"/>
              </w:rPr>
              <w:t>0.2</w:t>
            </w:r>
          </w:p>
        </w:tc>
        <w:tc>
          <w:tcPr>
            <w:tcW w:w="507" w:type="pct"/>
            <w:vAlign w:val="bottom"/>
          </w:tcPr>
          <w:p w:rsidR="004F68F9" w:rsidRPr="0021030D" w:rsidRDefault="004F68F9" w:rsidP="005151A7">
            <w:pPr>
              <w:pStyle w:val="TableBodyText"/>
              <w:rPr>
                <w:sz w:val="18"/>
                <w:szCs w:val="18"/>
              </w:rPr>
            </w:pPr>
            <w:r w:rsidRPr="0021030D">
              <w:rPr>
                <w:sz w:val="18"/>
                <w:szCs w:val="18"/>
              </w:rPr>
              <w:t>&lt;0.1</w:t>
            </w:r>
          </w:p>
        </w:tc>
        <w:tc>
          <w:tcPr>
            <w:tcW w:w="507" w:type="pct"/>
            <w:vAlign w:val="bottom"/>
          </w:tcPr>
          <w:p w:rsidR="004F68F9" w:rsidRPr="0021030D" w:rsidRDefault="004F68F9" w:rsidP="005151A7">
            <w:pPr>
              <w:pStyle w:val="TableBodyText"/>
              <w:rPr>
                <w:sz w:val="18"/>
                <w:szCs w:val="18"/>
              </w:rPr>
            </w:pPr>
            <w:r w:rsidRPr="0021030D">
              <w:rPr>
                <w:sz w:val="18"/>
                <w:szCs w:val="18"/>
              </w:rPr>
              <w:t>&lt;0.1</w:t>
            </w:r>
          </w:p>
        </w:tc>
        <w:tc>
          <w:tcPr>
            <w:tcW w:w="507" w:type="pct"/>
            <w:vAlign w:val="bottom"/>
          </w:tcPr>
          <w:p w:rsidR="004F68F9" w:rsidRPr="0021030D" w:rsidRDefault="004F68F9" w:rsidP="005151A7">
            <w:pPr>
              <w:pStyle w:val="TableBodyText"/>
              <w:rPr>
                <w:sz w:val="18"/>
                <w:szCs w:val="18"/>
              </w:rPr>
            </w:pPr>
            <w:r w:rsidRPr="0021030D">
              <w:rPr>
                <w:sz w:val="18"/>
                <w:szCs w:val="18"/>
              </w:rPr>
              <w:noBreakHyphen/>
            </w:r>
          </w:p>
        </w:tc>
        <w:tc>
          <w:tcPr>
            <w:tcW w:w="507" w:type="pct"/>
            <w:shd w:val="clear" w:color="auto" w:fill="auto"/>
            <w:vAlign w:val="bottom"/>
          </w:tcPr>
          <w:p w:rsidR="004F68F9" w:rsidRPr="0021030D" w:rsidRDefault="004F68F9" w:rsidP="005151A7">
            <w:pPr>
              <w:pStyle w:val="TableBodyText"/>
              <w:rPr>
                <w:sz w:val="18"/>
                <w:szCs w:val="18"/>
              </w:rPr>
            </w:pPr>
            <w:r w:rsidRPr="0021030D">
              <w:rPr>
                <w:sz w:val="18"/>
                <w:szCs w:val="18"/>
              </w:rPr>
              <w:noBreakHyphen/>
            </w:r>
          </w:p>
        </w:tc>
        <w:tc>
          <w:tcPr>
            <w:tcW w:w="507" w:type="pct"/>
            <w:shd w:val="clear" w:color="auto" w:fill="auto"/>
            <w:vAlign w:val="bottom"/>
          </w:tcPr>
          <w:p w:rsidR="004F68F9" w:rsidRPr="0021030D" w:rsidRDefault="004F68F9" w:rsidP="005151A7">
            <w:pPr>
              <w:pStyle w:val="TableBodyText"/>
              <w:rPr>
                <w:sz w:val="18"/>
                <w:szCs w:val="18"/>
              </w:rPr>
            </w:pPr>
            <w:r w:rsidRPr="0021030D">
              <w:rPr>
                <w:sz w:val="18"/>
                <w:szCs w:val="18"/>
              </w:rPr>
              <w:noBreakHyphen/>
            </w:r>
          </w:p>
        </w:tc>
      </w:tr>
      <w:tr w:rsidR="004F68F9" w:rsidRPr="00CE1906" w:rsidTr="00C305B5">
        <w:tc>
          <w:tcPr>
            <w:tcW w:w="1958" w:type="pct"/>
            <w:vAlign w:val="bottom"/>
          </w:tcPr>
          <w:p w:rsidR="004F68F9" w:rsidRPr="0021030D" w:rsidRDefault="004F68F9" w:rsidP="005151A7">
            <w:pPr>
              <w:pStyle w:val="TableBodyText"/>
              <w:jc w:val="left"/>
              <w:rPr>
                <w:sz w:val="18"/>
                <w:szCs w:val="18"/>
              </w:rPr>
            </w:pPr>
            <w:r w:rsidRPr="0021030D">
              <w:rPr>
                <w:sz w:val="18"/>
                <w:szCs w:val="18"/>
              </w:rPr>
              <w:t>Petroleum, coal, chemical and rubber products</w:t>
            </w:r>
          </w:p>
        </w:tc>
        <w:tc>
          <w:tcPr>
            <w:tcW w:w="507" w:type="pct"/>
            <w:vAlign w:val="bottom"/>
          </w:tcPr>
          <w:p w:rsidR="004F68F9" w:rsidRPr="0021030D" w:rsidRDefault="004F68F9" w:rsidP="005151A7">
            <w:pPr>
              <w:pStyle w:val="TableBodyText"/>
              <w:rPr>
                <w:sz w:val="18"/>
                <w:szCs w:val="18"/>
              </w:rPr>
            </w:pPr>
            <w:r w:rsidRPr="0021030D">
              <w:rPr>
                <w:sz w:val="18"/>
                <w:szCs w:val="18"/>
              </w:rPr>
              <w:t>0.1</w:t>
            </w:r>
          </w:p>
        </w:tc>
        <w:tc>
          <w:tcPr>
            <w:tcW w:w="507" w:type="pct"/>
            <w:vAlign w:val="bottom"/>
          </w:tcPr>
          <w:p w:rsidR="004F68F9" w:rsidRPr="0021030D" w:rsidRDefault="004F68F9" w:rsidP="005151A7">
            <w:pPr>
              <w:pStyle w:val="TableBodyText"/>
              <w:rPr>
                <w:sz w:val="18"/>
                <w:szCs w:val="18"/>
              </w:rPr>
            </w:pPr>
            <w:r w:rsidRPr="0021030D">
              <w:rPr>
                <w:sz w:val="18"/>
                <w:szCs w:val="18"/>
              </w:rPr>
              <w:t>&lt;0.1</w:t>
            </w:r>
          </w:p>
        </w:tc>
        <w:tc>
          <w:tcPr>
            <w:tcW w:w="507" w:type="pct"/>
            <w:vAlign w:val="bottom"/>
          </w:tcPr>
          <w:p w:rsidR="004F68F9" w:rsidRPr="0021030D" w:rsidRDefault="004F68F9" w:rsidP="005151A7">
            <w:pPr>
              <w:pStyle w:val="TableBodyText"/>
              <w:rPr>
                <w:sz w:val="18"/>
                <w:szCs w:val="18"/>
              </w:rPr>
            </w:pPr>
            <w:r w:rsidRPr="0021030D">
              <w:rPr>
                <w:sz w:val="18"/>
                <w:szCs w:val="18"/>
              </w:rPr>
              <w:t>&lt;0.1</w:t>
            </w:r>
          </w:p>
        </w:tc>
        <w:tc>
          <w:tcPr>
            <w:tcW w:w="507" w:type="pct"/>
            <w:vAlign w:val="bottom"/>
          </w:tcPr>
          <w:p w:rsidR="004F68F9" w:rsidRPr="0021030D" w:rsidRDefault="004F68F9" w:rsidP="005151A7">
            <w:pPr>
              <w:pStyle w:val="TableBodyText"/>
              <w:rPr>
                <w:sz w:val="18"/>
                <w:szCs w:val="18"/>
              </w:rPr>
            </w:pPr>
            <w:r w:rsidRPr="0021030D">
              <w:rPr>
                <w:sz w:val="18"/>
                <w:szCs w:val="18"/>
              </w:rPr>
              <w:noBreakHyphen/>
            </w:r>
          </w:p>
        </w:tc>
        <w:tc>
          <w:tcPr>
            <w:tcW w:w="507" w:type="pct"/>
            <w:shd w:val="clear" w:color="auto" w:fill="auto"/>
            <w:vAlign w:val="bottom"/>
          </w:tcPr>
          <w:p w:rsidR="004F68F9" w:rsidRPr="0021030D" w:rsidRDefault="004F68F9" w:rsidP="005151A7">
            <w:pPr>
              <w:pStyle w:val="TableBodyText"/>
              <w:rPr>
                <w:sz w:val="18"/>
                <w:szCs w:val="18"/>
              </w:rPr>
            </w:pPr>
            <w:r w:rsidRPr="0021030D">
              <w:rPr>
                <w:sz w:val="18"/>
                <w:szCs w:val="18"/>
              </w:rPr>
              <w:noBreakHyphen/>
            </w:r>
          </w:p>
        </w:tc>
        <w:tc>
          <w:tcPr>
            <w:tcW w:w="507" w:type="pct"/>
            <w:shd w:val="clear" w:color="auto" w:fill="auto"/>
            <w:vAlign w:val="bottom"/>
          </w:tcPr>
          <w:p w:rsidR="004F68F9" w:rsidRPr="0021030D" w:rsidRDefault="004F68F9" w:rsidP="005151A7">
            <w:pPr>
              <w:pStyle w:val="TableBodyText"/>
              <w:rPr>
                <w:sz w:val="18"/>
                <w:szCs w:val="18"/>
              </w:rPr>
            </w:pPr>
            <w:r w:rsidRPr="0021030D">
              <w:rPr>
                <w:sz w:val="18"/>
                <w:szCs w:val="18"/>
              </w:rPr>
              <w:noBreakHyphen/>
            </w:r>
          </w:p>
        </w:tc>
      </w:tr>
      <w:tr w:rsidR="004F68F9" w:rsidRPr="00CE1906" w:rsidTr="00C305B5">
        <w:tc>
          <w:tcPr>
            <w:tcW w:w="1958" w:type="pct"/>
            <w:vAlign w:val="bottom"/>
          </w:tcPr>
          <w:p w:rsidR="004F68F9" w:rsidRPr="0021030D" w:rsidRDefault="004F68F9" w:rsidP="005151A7">
            <w:pPr>
              <w:pStyle w:val="TableBodyText"/>
              <w:jc w:val="left"/>
              <w:rPr>
                <w:sz w:val="18"/>
                <w:szCs w:val="18"/>
              </w:rPr>
            </w:pPr>
            <w:r w:rsidRPr="0021030D">
              <w:rPr>
                <w:sz w:val="18"/>
                <w:szCs w:val="18"/>
              </w:rPr>
              <w:t>Machinery and equipment manufacturing</w:t>
            </w:r>
          </w:p>
        </w:tc>
        <w:tc>
          <w:tcPr>
            <w:tcW w:w="507" w:type="pct"/>
            <w:vAlign w:val="bottom"/>
          </w:tcPr>
          <w:p w:rsidR="004F68F9" w:rsidRPr="0021030D" w:rsidRDefault="004F68F9" w:rsidP="005151A7">
            <w:pPr>
              <w:pStyle w:val="TableBodyText"/>
              <w:rPr>
                <w:sz w:val="18"/>
                <w:szCs w:val="18"/>
              </w:rPr>
            </w:pPr>
            <w:r w:rsidRPr="0021030D">
              <w:rPr>
                <w:sz w:val="18"/>
                <w:szCs w:val="18"/>
              </w:rPr>
              <w:t>&lt;0.1</w:t>
            </w:r>
          </w:p>
        </w:tc>
        <w:tc>
          <w:tcPr>
            <w:tcW w:w="507" w:type="pct"/>
            <w:vAlign w:val="bottom"/>
          </w:tcPr>
          <w:p w:rsidR="004F68F9" w:rsidRPr="0021030D" w:rsidRDefault="004F68F9" w:rsidP="005151A7">
            <w:pPr>
              <w:pStyle w:val="TableBodyText"/>
              <w:rPr>
                <w:sz w:val="18"/>
                <w:szCs w:val="18"/>
              </w:rPr>
            </w:pPr>
            <w:r w:rsidRPr="0021030D">
              <w:rPr>
                <w:sz w:val="18"/>
                <w:szCs w:val="18"/>
              </w:rPr>
              <w:t>&lt;0.1</w:t>
            </w:r>
          </w:p>
        </w:tc>
        <w:tc>
          <w:tcPr>
            <w:tcW w:w="507" w:type="pct"/>
            <w:vAlign w:val="bottom"/>
          </w:tcPr>
          <w:p w:rsidR="004F68F9" w:rsidRPr="0021030D" w:rsidRDefault="004F68F9" w:rsidP="005151A7">
            <w:pPr>
              <w:pStyle w:val="TableBodyText"/>
              <w:rPr>
                <w:sz w:val="18"/>
                <w:szCs w:val="18"/>
              </w:rPr>
            </w:pPr>
            <w:r w:rsidRPr="0021030D">
              <w:rPr>
                <w:sz w:val="18"/>
                <w:szCs w:val="18"/>
              </w:rPr>
              <w:t>&lt;0.1</w:t>
            </w:r>
          </w:p>
        </w:tc>
        <w:tc>
          <w:tcPr>
            <w:tcW w:w="507" w:type="pct"/>
            <w:vAlign w:val="bottom"/>
          </w:tcPr>
          <w:p w:rsidR="004F68F9" w:rsidRPr="0021030D" w:rsidRDefault="004F68F9" w:rsidP="005151A7">
            <w:pPr>
              <w:pStyle w:val="TableBodyText"/>
              <w:rPr>
                <w:sz w:val="18"/>
                <w:szCs w:val="18"/>
              </w:rPr>
            </w:pPr>
            <w:r w:rsidRPr="0021030D">
              <w:rPr>
                <w:sz w:val="18"/>
                <w:szCs w:val="18"/>
              </w:rPr>
              <w:noBreakHyphen/>
            </w:r>
          </w:p>
        </w:tc>
        <w:tc>
          <w:tcPr>
            <w:tcW w:w="507" w:type="pct"/>
            <w:shd w:val="clear" w:color="auto" w:fill="auto"/>
            <w:vAlign w:val="bottom"/>
          </w:tcPr>
          <w:p w:rsidR="004F68F9" w:rsidRPr="0021030D" w:rsidRDefault="004F68F9" w:rsidP="005151A7">
            <w:pPr>
              <w:pStyle w:val="TableBodyText"/>
              <w:rPr>
                <w:sz w:val="18"/>
                <w:szCs w:val="18"/>
              </w:rPr>
            </w:pPr>
            <w:r w:rsidRPr="0021030D">
              <w:rPr>
                <w:sz w:val="18"/>
                <w:szCs w:val="18"/>
              </w:rPr>
              <w:noBreakHyphen/>
            </w:r>
          </w:p>
        </w:tc>
        <w:tc>
          <w:tcPr>
            <w:tcW w:w="507" w:type="pct"/>
            <w:shd w:val="clear" w:color="auto" w:fill="auto"/>
            <w:vAlign w:val="bottom"/>
          </w:tcPr>
          <w:p w:rsidR="004F68F9" w:rsidRPr="0021030D" w:rsidRDefault="004F68F9" w:rsidP="005151A7">
            <w:pPr>
              <w:pStyle w:val="TableBodyText"/>
              <w:rPr>
                <w:sz w:val="18"/>
                <w:szCs w:val="18"/>
              </w:rPr>
            </w:pPr>
            <w:r w:rsidRPr="0021030D">
              <w:rPr>
                <w:sz w:val="18"/>
                <w:szCs w:val="18"/>
              </w:rPr>
              <w:noBreakHyphen/>
            </w:r>
          </w:p>
        </w:tc>
      </w:tr>
      <w:tr w:rsidR="004F68F9" w:rsidRPr="00CE1906" w:rsidTr="00C305B5">
        <w:tc>
          <w:tcPr>
            <w:tcW w:w="1958" w:type="pct"/>
            <w:tcBorders>
              <w:bottom w:val="single" w:sz="4" w:space="0" w:color="auto"/>
            </w:tcBorders>
            <w:vAlign w:val="bottom"/>
          </w:tcPr>
          <w:p w:rsidR="004F68F9" w:rsidRPr="0021030D" w:rsidRDefault="004F68F9" w:rsidP="005151A7">
            <w:pPr>
              <w:pStyle w:val="TableBodyText"/>
              <w:jc w:val="left"/>
              <w:rPr>
                <w:b/>
                <w:bCs/>
                <w:sz w:val="18"/>
                <w:szCs w:val="18"/>
              </w:rPr>
            </w:pPr>
            <w:r w:rsidRPr="0021030D">
              <w:rPr>
                <w:b/>
                <w:bCs/>
                <w:sz w:val="18"/>
                <w:szCs w:val="18"/>
              </w:rPr>
              <w:t>Total</w:t>
            </w:r>
          </w:p>
        </w:tc>
        <w:tc>
          <w:tcPr>
            <w:tcW w:w="507" w:type="pct"/>
            <w:tcBorders>
              <w:bottom w:val="single" w:sz="4" w:space="0" w:color="auto"/>
            </w:tcBorders>
            <w:vAlign w:val="bottom"/>
          </w:tcPr>
          <w:p w:rsidR="004F68F9" w:rsidRPr="0021030D" w:rsidRDefault="004F68F9" w:rsidP="005151A7">
            <w:pPr>
              <w:pStyle w:val="TableBodyText"/>
              <w:rPr>
                <w:b/>
                <w:sz w:val="18"/>
                <w:szCs w:val="18"/>
              </w:rPr>
            </w:pPr>
            <w:r w:rsidRPr="0021030D">
              <w:rPr>
                <w:b/>
                <w:sz w:val="18"/>
                <w:szCs w:val="18"/>
              </w:rPr>
              <w:t>1.7</w:t>
            </w:r>
          </w:p>
        </w:tc>
        <w:tc>
          <w:tcPr>
            <w:tcW w:w="507" w:type="pct"/>
            <w:tcBorders>
              <w:bottom w:val="single" w:sz="4" w:space="0" w:color="auto"/>
            </w:tcBorders>
            <w:vAlign w:val="bottom"/>
          </w:tcPr>
          <w:p w:rsidR="004F68F9" w:rsidRPr="0021030D" w:rsidRDefault="004F68F9" w:rsidP="005151A7">
            <w:pPr>
              <w:pStyle w:val="TableBodyText"/>
              <w:rPr>
                <w:b/>
                <w:sz w:val="18"/>
                <w:szCs w:val="18"/>
              </w:rPr>
            </w:pPr>
            <w:r w:rsidRPr="0021030D">
              <w:rPr>
                <w:b/>
                <w:sz w:val="18"/>
                <w:szCs w:val="18"/>
              </w:rPr>
              <w:t>0.8</w:t>
            </w:r>
          </w:p>
        </w:tc>
        <w:tc>
          <w:tcPr>
            <w:tcW w:w="507" w:type="pct"/>
            <w:tcBorders>
              <w:bottom w:val="single" w:sz="4" w:space="0" w:color="auto"/>
            </w:tcBorders>
            <w:vAlign w:val="bottom"/>
          </w:tcPr>
          <w:p w:rsidR="004F68F9" w:rsidRPr="0021030D" w:rsidRDefault="004F68F9" w:rsidP="005151A7">
            <w:pPr>
              <w:pStyle w:val="TableBodyText"/>
              <w:rPr>
                <w:b/>
                <w:sz w:val="18"/>
                <w:szCs w:val="18"/>
              </w:rPr>
            </w:pPr>
            <w:r w:rsidRPr="0021030D">
              <w:rPr>
                <w:b/>
                <w:sz w:val="18"/>
                <w:szCs w:val="18"/>
              </w:rPr>
              <w:t>&lt;0.1</w:t>
            </w:r>
          </w:p>
        </w:tc>
        <w:tc>
          <w:tcPr>
            <w:tcW w:w="507" w:type="pct"/>
            <w:tcBorders>
              <w:bottom w:val="single" w:sz="4" w:space="0" w:color="auto"/>
            </w:tcBorders>
            <w:vAlign w:val="bottom"/>
          </w:tcPr>
          <w:p w:rsidR="004F68F9" w:rsidRPr="0021030D" w:rsidRDefault="004F68F9" w:rsidP="005151A7">
            <w:pPr>
              <w:pStyle w:val="TableBodyText"/>
              <w:rPr>
                <w:b/>
                <w:bCs/>
                <w:sz w:val="18"/>
                <w:szCs w:val="18"/>
              </w:rPr>
            </w:pPr>
            <w:r w:rsidRPr="0021030D">
              <w:rPr>
                <w:sz w:val="18"/>
                <w:szCs w:val="18"/>
              </w:rPr>
              <w:noBreakHyphen/>
            </w:r>
          </w:p>
        </w:tc>
        <w:tc>
          <w:tcPr>
            <w:tcW w:w="507" w:type="pct"/>
            <w:tcBorders>
              <w:bottom w:val="single" w:sz="4" w:space="0" w:color="auto"/>
            </w:tcBorders>
            <w:shd w:val="clear" w:color="auto" w:fill="auto"/>
            <w:vAlign w:val="bottom"/>
          </w:tcPr>
          <w:p w:rsidR="004F68F9" w:rsidRPr="0021030D" w:rsidRDefault="004F68F9" w:rsidP="005151A7">
            <w:pPr>
              <w:pStyle w:val="TableBodyText"/>
              <w:rPr>
                <w:b/>
                <w:bCs/>
                <w:sz w:val="18"/>
                <w:szCs w:val="18"/>
              </w:rPr>
            </w:pPr>
            <w:r w:rsidRPr="0021030D">
              <w:rPr>
                <w:sz w:val="18"/>
                <w:szCs w:val="18"/>
              </w:rPr>
              <w:noBreakHyphen/>
            </w:r>
          </w:p>
        </w:tc>
        <w:tc>
          <w:tcPr>
            <w:tcW w:w="507" w:type="pct"/>
            <w:tcBorders>
              <w:bottom w:val="single" w:sz="4" w:space="0" w:color="auto"/>
            </w:tcBorders>
            <w:shd w:val="clear" w:color="auto" w:fill="auto"/>
            <w:vAlign w:val="bottom"/>
          </w:tcPr>
          <w:p w:rsidR="004F68F9" w:rsidRPr="0021030D" w:rsidRDefault="004F68F9" w:rsidP="005151A7">
            <w:pPr>
              <w:pStyle w:val="TableBodyText"/>
              <w:rPr>
                <w:b/>
                <w:bCs/>
                <w:sz w:val="18"/>
                <w:szCs w:val="18"/>
              </w:rPr>
            </w:pPr>
            <w:r w:rsidRPr="0021030D">
              <w:rPr>
                <w:sz w:val="18"/>
                <w:szCs w:val="18"/>
              </w:rPr>
              <w:noBreakHyphen/>
            </w:r>
          </w:p>
        </w:tc>
      </w:tr>
    </w:tbl>
    <w:p w:rsidR="00840C1E" w:rsidRPr="00EC033A" w:rsidRDefault="00840C1E" w:rsidP="00840C1E">
      <w:pPr>
        <w:pStyle w:val="Source"/>
        <w:spacing w:after="0"/>
        <w:rPr>
          <w:i/>
        </w:rPr>
      </w:pPr>
      <w:r w:rsidRPr="00A2379F">
        <w:noBreakHyphen/>
        <w:t xml:space="preserve"> </w:t>
      </w:r>
      <w:r>
        <w:t>Nil</w:t>
      </w:r>
      <w:r w:rsidRPr="00A2379F">
        <w:t>.</w:t>
      </w:r>
    </w:p>
    <w:p w:rsidR="00840C1E" w:rsidRPr="008E77FE" w:rsidRDefault="00840C1E" w:rsidP="00840C1E">
      <w:pPr>
        <w:pStyle w:val="Source"/>
      </w:pPr>
      <w:r>
        <w:rPr>
          <w:i/>
        </w:rPr>
        <w:t>Sources</w:t>
      </w:r>
      <w:r>
        <w:t>: DAFF Annual Report 2008</w:t>
      </w:r>
      <w:r>
        <w:noBreakHyphen/>
        <w:t>09 (and earlier years); DAFF Portfolio Budget Statements 2007</w:t>
      </w:r>
      <w:r>
        <w:noBreakHyphen/>
        <w:t>08; and detailed DAFF data by ANZSIC industry.</w:t>
      </w:r>
    </w:p>
    <w:p w:rsidR="00840C1E" w:rsidRDefault="00FA09C3" w:rsidP="00840C1E">
      <w:pPr>
        <w:pStyle w:val="Heading2"/>
      </w:pPr>
      <w:r>
        <w:t>A.</w:t>
      </w:r>
      <w:r>
        <w:rPr>
          <w:noProof/>
        </w:rPr>
        <w:t>181</w:t>
      </w:r>
      <w:r w:rsidR="00840C1E">
        <w:tab/>
        <w:t>Australian Vegetable Industry Development Group</w:t>
      </w:r>
    </w:p>
    <w:p w:rsidR="00840C1E" w:rsidRDefault="00840C1E" w:rsidP="00840C1E">
      <w:pPr>
        <w:pStyle w:val="BodyText"/>
      </w:pPr>
      <w:r>
        <w:t>The Australian Government established the Australian Vegetable Industry Development Group (AVIDG) to examine options for improving the vegetable industry’s competitiveness. The AVIDG established seven project themes</w:t>
      </w:r>
      <w:r w:rsidR="00DC06E8">
        <w:t xml:space="preserve">: </w:t>
      </w:r>
      <w:r>
        <w:t xml:space="preserve">the development of a vegetable industry strategic plan; market development; industry information and decision support frameworks; global comparative analysis; leadership and industry structures; industry benchmarking; and business skill development. The </w:t>
      </w:r>
      <w:r w:rsidR="00DC06E8">
        <w:t xml:space="preserve">Australian </w:t>
      </w:r>
      <w:r>
        <w:t>Government provided funding for specific projects to address these themes (</w:t>
      </w:r>
      <w:r w:rsidRPr="00C305B5">
        <w:t>DAFF 2008</w:t>
      </w:r>
      <w:r>
        <w:t>).</w:t>
      </w:r>
    </w:p>
    <w:p w:rsidR="00840C1E" w:rsidRDefault="00840C1E" w:rsidP="00840C1E">
      <w:pPr>
        <w:pStyle w:val="BodyText"/>
      </w:pPr>
      <w:r>
        <w:t xml:space="preserve">Funding from the program selectively benefited vegetable growers which are part of the </w:t>
      </w:r>
      <w:r w:rsidRPr="00EE4C1E">
        <w:rPr>
          <w:i/>
        </w:rPr>
        <w:t>Horticulture and fruit growing</w:t>
      </w:r>
      <w:r>
        <w:t xml:space="preserve"> industry grouping in the Commission’s ANZSIC-based classification (table A.18</w:t>
      </w:r>
      <w:r w:rsidR="00886F15">
        <w:t>1</w:t>
      </w:r>
      <w:r>
        <w:t>).</w:t>
      </w:r>
    </w:p>
    <w:p w:rsidR="00D31572" w:rsidRDefault="00D31572">
      <w:pPr>
        <w:rPr>
          <w:szCs w:val="20"/>
        </w:rPr>
      </w:pPr>
      <w:r>
        <w:br w:type="page"/>
      </w:r>
    </w:p>
    <w:p w:rsidR="00840C1E" w:rsidRDefault="00840C1E" w:rsidP="00840C1E">
      <w:pPr>
        <w:pStyle w:val="TableTitle"/>
      </w:pPr>
      <w:r>
        <w:rPr>
          <w:b w:val="0"/>
        </w:rPr>
        <w:t xml:space="preserve">Table </w:t>
      </w:r>
      <w:r w:rsidR="00FA09C3">
        <w:rPr>
          <w:b w:val="0"/>
        </w:rPr>
        <w:t>A.</w:t>
      </w:r>
      <w:r w:rsidR="00FA09C3">
        <w:rPr>
          <w:b w:val="0"/>
          <w:noProof/>
        </w:rPr>
        <w:t>181</w:t>
      </w:r>
      <w:r>
        <w:tab/>
        <w:t xml:space="preserve">Allocation of </w:t>
      </w:r>
      <w:r w:rsidR="00D31572">
        <w:t>Australian Vegetable Industry Development Group funding</w:t>
      </w:r>
      <w:r w:rsidR="00E471E2" w:rsidRPr="00E471E2">
        <w:t xml:space="preserve"> to industry</w:t>
      </w:r>
      <w:r>
        <w:t>, 2006</w:t>
      </w:r>
      <w:r>
        <w:noBreakHyphen/>
        <w:t>07 to 2011</w:t>
      </w:r>
      <w:r>
        <w:noBreakHyphen/>
        <w:t>12</w:t>
      </w:r>
    </w:p>
    <w:p w:rsidR="00840C1E" w:rsidRDefault="00840C1E" w:rsidP="00840C1E">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840C1E" w:rsidRPr="00AF699A" w:rsidTr="005151A7">
        <w:tc>
          <w:tcPr>
            <w:tcW w:w="1960" w:type="pct"/>
            <w:tcBorders>
              <w:top w:val="single" w:sz="6" w:space="0" w:color="auto"/>
              <w:bottom w:val="single" w:sz="6" w:space="0" w:color="auto"/>
            </w:tcBorders>
          </w:tcPr>
          <w:p w:rsidR="00840C1E" w:rsidRPr="00AF699A" w:rsidRDefault="00840C1E" w:rsidP="005151A7">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840C1E" w:rsidRPr="00AF699A" w:rsidRDefault="00840C1E" w:rsidP="005151A7">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840C1E" w:rsidRPr="00AF699A" w:rsidRDefault="00840C1E" w:rsidP="005151A7">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840C1E" w:rsidRPr="00AF699A" w:rsidRDefault="00840C1E" w:rsidP="005151A7">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840C1E" w:rsidRPr="00AF699A" w:rsidRDefault="00840C1E" w:rsidP="005151A7">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840C1E" w:rsidRPr="00AF699A" w:rsidRDefault="00840C1E" w:rsidP="005151A7">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840C1E" w:rsidRPr="00AF699A" w:rsidRDefault="00840C1E" w:rsidP="005151A7">
            <w:pPr>
              <w:pStyle w:val="TableColumnHeading"/>
              <w:ind w:right="28"/>
              <w:rPr>
                <w:rFonts w:cs="Arial"/>
                <w:sz w:val="18"/>
                <w:szCs w:val="18"/>
              </w:rPr>
            </w:pPr>
            <w:r w:rsidRPr="00AF699A">
              <w:rPr>
                <w:rFonts w:cs="Arial"/>
                <w:sz w:val="18"/>
                <w:szCs w:val="18"/>
              </w:rPr>
              <w:t>2011-12</w:t>
            </w:r>
          </w:p>
        </w:tc>
      </w:tr>
      <w:tr w:rsidR="00840C1E" w:rsidRPr="006C5A80" w:rsidTr="005151A7">
        <w:tc>
          <w:tcPr>
            <w:tcW w:w="1960" w:type="pct"/>
            <w:tcBorders>
              <w:bottom w:val="single" w:sz="4" w:space="0" w:color="auto"/>
            </w:tcBorders>
            <w:vAlign w:val="bottom"/>
          </w:tcPr>
          <w:p w:rsidR="00840C1E" w:rsidRPr="00C944BA" w:rsidRDefault="00840C1E" w:rsidP="005151A7">
            <w:pPr>
              <w:pStyle w:val="TableBodyText"/>
              <w:jc w:val="left"/>
            </w:pPr>
            <w:r>
              <w:t>Horticulture and fruit growing</w:t>
            </w:r>
          </w:p>
        </w:tc>
        <w:tc>
          <w:tcPr>
            <w:tcW w:w="507" w:type="pct"/>
            <w:tcBorders>
              <w:bottom w:val="single" w:sz="4" w:space="0" w:color="auto"/>
            </w:tcBorders>
            <w:vAlign w:val="bottom"/>
          </w:tcPr>
          <w:p w:rsidR="00840C1E" w:rsidRPr="009B5A8F" w:rsidRDefault="00840C1E" w:rsidP="005151A7">
            <w:pPr>
              <w:pStyle w:val="TableBodyText"/>
            </w:pPr>
            <w:r>
              <w:t>1.0</w:t>
            </w:r>
          </w:p>
        </w:tc>
        <w:tc>
          <w:tcPr>
            <w:tcW w:w="507" w:type="pct"/>
            <w:tcBorders>
              <w:bottom w:val="single" w:sz="4" w:space="0" w:color="auto"/>
            </w:tcBorders>
            <w:vAlign w:val="bottom"/>
          </w:tcPr>
          <w:p w:rsidR="00840C1E" w:rsidRPr="009B5A8F" w:rsidRDefault="00840C1E" w:rsidP="005151A7">
            <w:pPr>
              <w:pStyle w:val="TableBodyText"/>
            </w:pPr>
            <w:r>
              <w:t>1.1</w:t>
            </w:r>
          </w:p>
        </w:tc>
        <w:tc>
          <w:tcPr>
            <w:tcW w:w="507" w:type="pct"/>
            <w:tcBorders>
              <w:bottom w:val="single" w:sz="4" w:space="0" w:color="auto"/>
            </w:tcBorders>
            <w:vAlign w:val="bottom"/>
          </w:tcPr>
          <w:p w:rsidR="00840C1E" w:rsidRPr="009B5A8F" w:rsidRDefault="00840C1E" w:rsidP="005151A7">
            <w:pPr>
              <w:pStyle w:val="TableBodyText"/>
            </w:pPr>
            <w:r>
              <w:t>&lt;0.1</w:t>
            </w:r>
          </w:p>
        </w:tc>
        <w:tc>
          <w:tcPr>
            <w:tcW w:w="507" w:type="pct"/>
            <w:tcBorders>
              <w:bottom w:val="single" w:sz="4" w:space="0" w:color="auto"/>
            </w:tcBorders>
            <w:vAlign w:val="bottom"/>
          </w:tcPr>
          <w:p w:rsidR="00840C1E" w:rsidRPr="009B5A8F" w:rsidRDefault="00840C1E" w:rsidP="005151A7">
            <w:pPr>
              <w:pStyle w:val="TableBodyText"/>
            </w:pPr>
            <w:r>
              <w:noBreakHyphen/>
            </w:r>
          </w:p>
        </w:tc>
        <w:tc>
          <w:tcPr>
            <w:tcW w:w="507" w:type="pct"/>
            <w:tcBorders>
              <w:bottom w:val="single" w:sz="4" w:space="0" w:color="auto"/>
            </w:tcBorders>
            <w:shd w:val="clear" w:color="auto" w:fill="auto"/>
            <w:vAlign w:val="bottom"/>
          </w:tcPr>
          <w:p w:rsidR="00840C1E" w:rsidRPr="009B5A8F" w:rsidRDefault="00840C1E" w:rsidP="005151A7">
            <w:pPr>
              <w:pStyle w:val="TableBodyText"/>
            </w:pPr>
            <w:r>
              <w:noBreakHyphen/>
            </w:r>
          </w:p>
        </w:tc>
        <w:tc>
          <w:tcPr>
            <w:tcW w:w="505" w:type="pct"/>
            <w:tcBorders>
              <w:bottom w:val="single" w:sz="4" w:space="0" w:color="auto"/>
            </w:tcBorders>
            <w:shd w:val="clear" w:color="auto" w:fill="auto"/>
            <w:vAlign w:val="bottom"/>
          </w:tcPr>
          <w:p w:rsidR="00840C1E" w:rsidRPr="009B5A8F" w:rsidRDefault="00840C1E" w:rsidP="005151A7">
            <w:pPr>
              <w:pStyle w:val="TableBodyText"/>
            </w:pPr>
            <w:r>
              <w:noBreakHyphen/>
            </w:r>
          </w:p>
        </w:tc>
      </w:tr>
    </w:tbl>
    <w:p w:rsidR="00840C1E" w:rsidRPr="00F60026" w:rsidRDefault="00840C1E" w:rsidP="00840C1E">
      <w:pPr>
        <w:pStyle w:val="Source"/>
        <w:spacing w:after="0"/>
        <w:rPr>
          <w:i/>
        </w:rPr>
      </w:pPr>
      <w:r w:rsidRPr="00A2379F">
        <w:noBreakHyphen/>
        <w:t xml:space="preserve"> </w:t>
      </w:r>
      <w:r>
        <w:t>Nil</w:t>
      </w:r>
      <w:r w:rsidRPr="00A2379F">
        <w:t>.</w:t>
      </w:r>
    </w:p>
    <w:p w:rsidR="00840C1E" w:rsidRDefault="00840C1E" w:rsidP="00840C1E">
      <w:pPr>
        <w:pStyle w:val="Source"/>
      </w:pPr>
      <w:r>
        <w:rPr>
          <w:i/>
        </w:rPr>
        <w:t>Sources</w:t>
      </w:r>
      <w:r>
        <w:t>: Commission estimates based on DAFF Annual Report 2008</w:t>
      </w:r>
      <w:r>
        <w:noBreakHyphen/>
        <w:t>09 (and earlier years); and DAFF Portfolio Budget Statements 2007</w:t>
      </w:r>
      <w:r>
        <w:noBreakHyphen/>
        <w:t>08.</w:t>
      </w:r>
    </w:p>
    <w:p w:rsidR="00840C1E" w:rsidRDefault="00FA09C3" w:rsidP="00840C1E">
      <w:pPr>
        <w:pStyle w:val="Heading2"/>
      </w:pPr>
      <w:r>
        <w:t>A.</w:t>
      </w:r>
      <w:r>
        <w:rPr>
          <w:noProof/>
        </w:rPr>
        <w:t>182</w:t>
      </w:r>
      <w:r w:rsidR="00840C1E">
        <w:tab/>
        <w:t>Howe Leather – loans and repayments</w:t>
      </w:r>
    </w:p>
    <w:p w:rsidR="00840C1E" w:rsidRDefault="00840C1E" w:rsidP="00840C1E">
      <w:pPr>
        <w:pStyle w:val="BodyText"/>
      </w:pPr>
      <w:r>
        <w:t>In June 1998, a World Trade Organization (WTO) panel was established to determine whether a grant and loan to Howe Leather were export subsidies. The Panel found that the grant (but not the loan) was an export subsidy and recommended that Australia withdraw the grant within 90 days.</w:t>
      </w:r>
    </w:p>
    <w:p w:rsidR="00840C1E" w:rsidRDefault="00840C1E" w:rsidP="00840C1E">
      <w:pPr>
        <w:pStyle w:val="BodyText"/>
      </w:pPr>
      <w:r>
        <w:t>In September 1999, the Australian Government announced that, to comply with the WTO finding, the grant contract would be terminated and that Howe Leather was to repay $8 million of the $30 million provided in 1997. The Government also announced that it would provide an additional loan of around $14 million to Howe Leather.</w:t>
      </w:r>
    </w:p>
    <w:p w:rsidR="00840C1E" w:rsidRDefault="00840C1E" w:rsidP="00840C1E">
      <w:pPr>
        <w:pStyle w:val="BodyText"/>
      </w:pPr>
      <w:r>
        <w:t xml:space="preserve">In October 1999, the United States further submitted to the WTO Dispute Settlement Body that the (partial) withdrawal of the grant and the new loan by the Australian Government were inconsistent with the WTO original finding. The United States requested the original Panel to rule on the new assistance regime within </w:t>
      </w:r>
      <w:r w:rsidR="00DC06E8">
        <w:t xml:space="preserve">90 </w:t>
      </w:r>
      <w:r>
        <w:t>days.</w:t>
      </w:r>
    </w:p>
    <w:p w:rsidR="00840C1E" w:rsidRDefault="00840C1E" w:rsidP="00840C1E">
      <w:pPr>
        <w:pStyle w:val="BodyText"/>
      </w:pPr>
      <w:r>
        <w:t>In January 2000, the WTO Panel found that Australia had failed to withdraw the subsidy, and therefore had not taken measures to comply with the previous ruling. It considered that provision of the new loan of $14 million was specifically conditioned on, and therefore nullified, Howe Leather’s repayment of $8 million, such that no repayment had effectively taken place.</w:t>
      </w:r>
    </w:p>
    <w:p w:rsidR="00840C1E" w:rsidRDefault="00840C1E" w:rsidP="00840C1E">
      <w:pPr>
        <w:pStyle w:val="BodyText"/>
      </w:pPr>
      <w:r>
        <w:t xml:space="preserve">The measure applies specifically to Howe Leather whose activities are part of the </w:t>
      </w:r>
      <w:r w:rsidRPr="00DE1D98">
        <w:rPr>
          <w:i/>
        </w:rPr>
        <w:t>Textile, leather</w:t>
      </w:r>
      <w:r>
        <w:rPr>
          <w:i/>
        </w:rPr>
        <w:t>,</w:t>
      </w:r>
      <w:r w:rsidRPr="00DE1D98">
        <w:rPr>
          <w:i/>
        </w:rPr>
        <w:t xml:space="preserve"> clothing and footwear</w:t>
      </w:r>
      <w:r>
        <w:t xml:space="preserve"> industry grouping in the Commission’s ANZSIC-based classification (table</w:t>
      </w:r>
      <w:r w:rsidR="00605FAE">
        <w:t> </w:t>
      </w:r>
      <w:r>
        <w:t>A.18</w:t>
      </w:r>
      <w:r w:rsidR="00886F15">
        <w:t>2</w:t>
      </w:r>
      <w:r>
        <w:t>). A negative number in the table means a net flow of funds from Howe Leather to the Government.</w:t>
      </w:r>
    </w:p>
    <w:p w:rsidR="00840C1E" w:rsidRDefault="00840C1E" w:rsidP="00840C1E">
      <w:pPr>
        <w:pStyle w:val="TableTitle"/>
      </w:pPr>
      <w:r>
        <w:rPr>
          <w:b w:val="0"/>
        </w:rPr>
        <w:t xml:space="preserve">Table </w:t>
      </w:r>
      <w:r w:rsidR="00FA09C3">
        <w:rPr>
          <w:b w:val="0"/>
        </w:rPr>
        <w:t>A.</w:t>
      </w:r>
      <w:r w:rsidR="00FA09C3">
        <w:rPr>
          <w:b w:val="0"/>
          <w:noProof/>
        </w:rPr>
        <w:t>182</w:t>
      </w:r>
      <w:r>
        <w:tab/>
        <w:t>Allocation of Howe Leather – loans and repayments</w:t>
      </w:r>
      <w:r w:rsidR="00E471E2" w:rsidRPr="00E471E2">
        <w:t xml:space="preserve"> to industry</w:t>
      </w:r>
      <w:r>
        <w:t>, 2006</w:t>
      </w:r>
      <w:r>
        <w:noBreakHyphen/>
        <w:t>07 to 2011</w:t>
      </w:r>
      <w:r>
        <w:noBreakHyphen/>
        <w:t>12</w:t>
      </w:r>
    </w:p>
    <w:p w:rsidR="00840C1E" w:rsidRDefault="00840C1E" w:rsidP="00840C1E">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840C1E" w:rsidRPr="00AF699A" w:rsidTr="005151A7">
        <w:tc>
          <w:tcPr>
            <w:tcW w:w="1960" w:type="pct"/>
            <w:tcBorders>
              <w:top w:val="single" w:sz="6" w:space="0" w:color="auto"/>
              <w:bottom w:val="single" w:sz="6" w:space="0" w:color="auto"/>
            </w:tcBorders>
          </w:tcPr>
          <w:p w:rsidR="00840C1E" w:rsidRPr="00AF699A" w:rsidRDefault="00840C1E" w:rsidP="005151A7">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840C1E" w:rsidRPr="00AF699A" w:rsidRDefault="00840C1E" w:rsidP="005151A7">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840C1E" w:rsidRPr="00AF699A" w:rsidRDefault="00840C1E" w:rsidP="005151A7">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840C1E" w:rsidRPr="00AF699A" w:rsidRDefault="00840C1E" w:rsidP="005151A7">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840C1E" w:rsidRPr="00AF699A" w:rsidRDefault="00840C1E" w:rsidP="005151A7">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840C1E" w:rsidRPr="00AF699A" w:rsidRDefault="00840C1E" w:rsidP="005151A7">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840C1E" w:rsidRPr="00AF699A" w:rsidRDefault="00840C1E" w:rsidP="005151A7">
            <w:pPr>
              <w:pStyle w:val="TableColumnHeading"/>
              <w:ind w:right="28"/>
              <w:rPr>
                <w:rFonts w:cs="Arial"/>
                <w:sz w:val="18"/>
                <w:szCs w:val="18"/>
              </w:rPr>
            </w:pPr>
            <w:r w:rsidRPr="00AF699A">
              <w:rPr>
                <w:rFonts w:cs="Arial"/>
                <w:sz w:val="18"/>
                <w:szCs w:val="18"/>
              </w:rPr>
              <w:t>2011-12</w:t>
            </w:r>
          </w:p>
        </w:tc>
      </w:tr>
      <w:tr w:rsidR="00840C1E" w:rsidRPr="006C5A80" w:rsidTr="005151A7">
        <w:tc>
          <w:tcPr>
            <w:tcW w:w="1960" w:type="pct"/>
            <w:tcBorders>
              <w:bottom w:val="single" w:sz="4" w:space="0" w:color="auto"/>
            </w:tcBorders>
            <w:vAlign w:val="bottom"/>
          </w:tcPr>
          <w:p w:rsidR="00840C1E" w:rsidRPr="00C944BA" w:rsidRDefault="00840C1E" w:rsidP="005151A7">
            <w:pPr>
              <w:pStyle w:val="TableBodyText"/>
              <w:jc w:val="left"/>
            </w:pPr>
            <w:r>
              <w:t>Textile, leather, clothing and footwear</w:t>
            </w:r>
          </w:p>
        </w:tc>
        <w:tc>
          <w:tcPr>
            <w:tcW w:w="507" w:type="pct"/>
            <w:tcBorders>
              <w:bottom w:val="single" w:sz="4" w:space="0" w:color="auto"/>
            </w:tcBorders>
            <w:vAlign w:val="bottom"/>
          </w:tcPr>
          <w:p w:rsidR="00840C1E" w:rsidRPr="005E67C3" w:rsidRDefault="00840C1E" w:rsidP="005151A7">
            <w:pPr>
              <w:pStyle w:val="TableBodyText"/>
            </w:pPr>
            <w:r w:rsidRPr="005E67C3">
              <w:t>-3.2</w:t>
            </w:r>
          </w:p>
        </w:tc>
        <w:tc>
          <w:tcPr>
            <w:tcW w:w="507" w:type="pct"/>
            <w:tcBorders>
              <w:bottom w:val="single" w:sz="4" w:space="0" w:color="auto"/>
            </w:tcBorders>
            <w:vAlign w:val="bottom"/>
          </w:tcPr>
          <w:p w:rsidR="00840C1E" w:rsidRPr="005E67C3" w:rsidRDefault="00840C1E" w:rsidP="005151A7">
            <w:pPr>
              <w:pStyle w:val="TableBodyText"/>
            </w:pPr>
            <w:r w:rsidRPr="005E67C3">
              <w:t>-3.</w:t>
            </w:r>
            <w:r>
              <w:t>4</w:t>
            </w:r>
          </w:p>
        </w:tc>
        <w:tc>
          <w:tcPr>
            <w:tcW w:w="507" w:type="pct"/>
            <w:tcBorders>
              <w:bottom w:val="single" w:sz="4" w:space="0" w:color="auto"/>
            </w:tcBorders>
            <w:vAlign w:val="bottom"/>
          </w:tcPr>
          <w:p w:rsidR="00840C1E" w:rsidRPr="005E67C3" w:rsidRDefault="00840C1E" w:rsidP="005151A7">
            <w:pPr>
              <w:pStyle w:val="TableBodyText"/>
            </w:pPr>
            <w:r w:rsidRPr="005E67C3">
              <w:t>-3.1</w:t>
            </w:r>
          </w:p>
        </w:tc>
        <w:tc>
          <w:tcPr>
            <w:tcW w:w="507" w:type="pct"/>
            <w:tcBorders>
              <w:bottom w:val="single" w:sz="4" w:space="0" w:color="auto"/>
            </w:tcBorders>
            <w:vAlign w:val="bottom"/>
          </w:tcPr>
          <w:p w:rsidR="00840C1E" w:rsidRPr="005E67C3" w:rsidRDefault="00840C1E" w:rsidP="005151A7">
            <w:pPr>
              <w:pStyle w:val="TableBodyText"/>
            </w:pPr>
            <w:r>
              <w:noBreakHyphen/>
            </w:r>
          </w:p>
        </w:tc>
        <w:tc>
          <w:tcPr>
            <w:tcW w:w="507" w:type="pct"/>
            <w:tcBorders>
              <w:bottom w:val="single" w:sz="4" w:space="0" w:color="auto"/>
            </w:tcBorders>
            <w:shd w:val="clear" w:color="auto" w:fill="auto"/>
            <w:vAlign w:val="bottom"/>
          </w:tcPr>
          <w:p w:rsidR="00840C1E" w:rsidRPr="005E67C3" w:rsidRDefault="00840C1E" w:rsidP="005151A7">
            <w:pPr>
              <w:pStyle w:val="TableBodyText"/>
            </w:pPr>
            <w:r>
              <w:noBreakHyphen/>
            </w:r>
          </w:p>
        </w:tc>
        <w:tc>
          <w:tcPr>
            <w:tcW w:w="505" w:type="pct"/>
            <w:tcBorders>
              <w:bottom w:val="single" w:sz="4" w:space="0" w:color="auto"/>
            </w:tcBorders>
            <w:shd w:val="clear" w:color="auto" w:fill="auto"/>
            <w:vAlign w:val="bottom"/>
          </w:tcPr>
          <w:p w:rsidR="00840C1E" w:rsidRPr="005E67C3" w:rsidRDefault="00840C1E" w:rsidP="005151A7">
            <w:pPr>
              <w:pStyle w:val="TableBodyText"/>
            </w:pPr>
            <w:r>
              <w:noBreakHyphen/>
            </w:r>
          </w:p>
        </w:tc>
      </w:tr>
    </w:tbl>
    <w:p w:rsidR="00840C1E" w:rsidRPr="00F60026" w:rsidRDefault="00840C1E" w:rsidP="00840C1E">
      <w:pPr>
        <w:pStyle w:val="Source"/>
        <w:spacing w:after="0"/>
        <w:rPr>
          <w:i/>
        </w:rPr>
      </w:pPr>
      <w:r w:rsidRPr="00A2379F">
        <w:noBreakHyphen/>
        <w:t xml:space="preserve"> </w:t>
      </w:r>
      <w:r>
        <w:t>Nil</w:t>
      </w:r>
      <w:r w:rsidRPr="00A2379F">
        <w:t>.</w:t>
      </w:r>
    </w:p>
    <w:p w:rsidR="00840C1E" w:rsidRDefault="00840C1E" w:rsidP="00840C1E">
      <w:pPr>
        <w:pStyle w:val="Source"/>
      </w:pPr>
      <w:r>
        <w:rPr>
          <w:i/>
        </w:rPr>
        <w:t>Sources</w:t>
      </w:r>
      <w:r>
        <w:t>: Commission estimates based on DIISR Annual Report 2007</w:t>
      </w:r>
      <w:r>
        <w:noBreakHyphen/>
        <w:t>08; Department of Industry, Tourism and Resources Annual Report 2006</w:t>
      </w:r>
      <w:r>
        <w:noBreakHyphen/>
        <w:t>07;  and detailed DIISR data by ANZSIC industry.</w:t>
      </w:r>
    </w:p>
    <w:p w:rsidR="00840C1E" w:rsidRDefault="00FA09C3" w:rsidP="00840C1E">
      <w:pPr>
        <w:pStyle w:val="Heading2"/>
      </w:pPr>
      <w:r>
        <w:t>A.</w:t>
      </w:r>
      <w:r>
        <w:rPr>
          <w:noProof/>
        </w:rPr>
        <w:t>183</w:t>
      </w:r>
      <w:r w:rsidR="00840C1E">
        <w:tab/>
        <w:t>12-month prepayment rule (forestry managed investments)</w:t>
      </w:r>
    </w:p>
    <w:p w:rsidR="00840C1E" w:rsidRDefault="00840C1E" w:rsidP="00840C1E">
      <w:pPr>
        <w:pStyle w:val="BodyText"/>
      </w:pPr>
      <w:r>
        <w:t xml:space="preserve">Under the 12-month prepayment rule, prepayments on seasonally dependent agronomic operations in the establishment of a forestry plantation were immediately deductible. This was conditional upon the ‘prepayment expenditure’ meeting certain requirements, including that the activities in question </w:t>
      </w:r>
      <w:r w:rsidR="002A1D6E">
        <w:t xml:space="preserve">were </w:t>
      </w:r>
      <w:r>
        <w:t xml:space="preserve">completed within 12 months of the prepayment being made. This tax </w:t>
      </w:r>
      <w:r w:rsidR="002A1D6E">
        <w:t xml:space="preserve">concession </w:t>
      </w:r>
      <w:r>
        <w:t xml:space="preserve">was available for investors in forestry managed investment schemes </w:t>
      </w:r>
      <w:r w:rsidRPr="007406C4">
        <w:t>(</w:t>
      </w:r>
      <w:r w:rsidRPr="00C305B5">
        <w:t>Tax Expenditure Statement, Australian Government</w:t>
      </w:r>
      <w:r>
        <w:t> </w:t>
      </w:r>
      <w:r w:rsidRPr="00C305B5">
        <w:t>2013, Item B 37</w:t>
      </w:r>
      <w:r w:rsidRPr="007406C4">
        <w:t>)</w:t>
      </w:r>
      <w:r>
        <w:t xml:space="preserve">. Under the arrangements, expenditure </w:t>
      </w:r>
      <w:r w:rsidR="002A1D6E">
        <w:t xml:space="preserve">was </w:t>
      </w:r>
      <w:r>
        <w:t xml:space="preserve">written off earlier than would </w:t>
      </w:r>
      <w:r w:rsidR="002A1D6E">
        <w:t xml:space="preserve">have </w:t>
      </w:r>
      <w:r>
        <w:t>be</w:t>
      </w:r>
      <w:r w:rsidR="002A1D6E">
        <w:t>en</w:t>
      </w:r>
      <w:r>
        <w:t xml:space="preserve"> the case in the absence of the scheme.</w:t>
      </w:r>
    </w:p>
    <w:p w:rsidR="00840C1E" w:rsidRDefault="00840C1E" w:rsidP="00840C1E">
      <w:pPr>
        <w:pStyle w:val="BodyText"/>
      </w:pPr>
      <w:r>
        <w:t>The estimates, either positive or negative, reflect the net cost to the government of having the scheme in place relative to the scheme not being available. Negative estimates are recorded in certain years.</w:t>
      </w:r>
    </w:p>
    <w:p w:rsidR="00840C1E" w:rsidRDefault="00840C1E" w:rsidP="00840C1E">
      <w:pPr>
        <w:pStyle w:val="BodyText"/>
      </w:pPr>
      <w:r w:rsidRPr="00FB3951">
        <w:t>The prepayment rule has been replaced by a statutory deduction for investments in forestry managed investment schemes.</w:t>
      </w:r>
    </w:p>
    <w:p w:rsidR="00840C1E" w:rsidRDefault="00840C1E" w:rsidP="00840C1E">
      <w:pPr>
        <w:pStyle w:val="BodyText"/>
      </w:pPr>
      <w:r>
        <w:t xml:space="preserve">The 12-month prepayment rule selectively </w:t>
      </w:r>
      <w:r w:rsidR="00BD2318">
        <w:t xml:space="preserve">benefited </w:t>
      </w:r>
      <w:r>
        <w:t xml:space="preserve">activities in the forestry industry and the concession has been allocated to the </w:t>
      </w:r>
      <w:r w:rsidRPr="002C55B3">
        <w:rPr>
          <w:i/>
        </w:rPr>
        <w:t>Forestry and logging</w:t>
      </w:r>
      <w:r>
        <w:t xml:space="preserve"> industry grouping in the Commission’s ANZSIC-based classification (table A.18</w:t>
      </w:r>
      <w:r w:rsidR="00886F15">
        <w:t>3</w:t>
      </w:r>
      <w:r>
        <w:t>).</w:t>
      </w:r>
    </w:p>
    <w:p w:rsidR="00840C1E" w:rsidRDefault="00840C1E" w:rsidP="00840C1E">
      <w:pPr>
        <w:pStyle w:val="TableTitle"/>
      </w:pPr>
      <w:r>
        <w:rPr>
          <w:b w:val="0"/>
        </w:rPr>
        <w:t xml:space="preserve">Table </w:t>
      </w:r>
      <w:r w:rsidR="00FA09C3">
        <w:rPr>
          <w:b w:val="0"/>
        </w:rPr>
        <w:t>A.</w:t>
      </w:r>
      <w:r w:rsidR="00FA09C3">
        <w:rPr>
          <w:b w:val="0"/>
          <w:noProof/>
        </w:rPr>
        <w:t>183</w:t>
      </w:r>
      <w:r>
        <w:tab/>
        <w:t>Allocation of 12-month prepayment rule (forestry managed investments)</w:t>
      </w:r>
      <w:r w:rsidR="00571E36" w:rsidRPr="00571E36">
        <w:t xml:space="preserve"> to industry</w:t>
      </w:r>
      <w:r>
        <w:t>, 2006</w:t>
      </w:r>
      <w:r>
        <w:noBreakHyphen/>
        <w:t>07 to 2011</w:t>
      </w:r>
      <w:r>
        <w:noBreakHyphen/>
        <w:t>12</w:t>
      </w:r>
    </w:p>
    <w:p w:rsidR="00840C1E" w:rsidRDefault="00840C1E" w:rsidP="00840C1E">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840C1E" w:rsidRPr="00AF699A" w:rsidTr="005151A7">
        <w:tc>
          <w:tcPr>
            <w:tcW w:w="1960" w:type="pct"/>
            <w:tcBorders>
              <w:top w:val="single" w:sz="6" w:space="0" w:color="auto"/>
              <w:bottom w:val="single" w:sz="6" w:space="0" w:color="auto"/>
            </w:tcBorders>
          </w:tcPr>
          <w:p w:rsidR="00840C1E" w:rsidRPr="00AF699A" w:rsidRDefault="00840C1E" w:rsidP="005151A7">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840C1E" w:rsidRPr="00AF699A" w:rsidRDefault="00840C1E" w:rsidP="005151A7">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840C1E" w:rsidRPr="00AF699A" w:rsidRDefault="00840C1E" w:rsidP="005151A7">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840C1E" w:rsidRPr="00AF699A" w:rsidRDefault="00840C1E" w:rsidP="005151A7">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840C1E" w:rsidRPr="00AF699A" w:rsidRDefault="00840C1E" w:rsidP="005151A7">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840C1E" w:rsidRPr="00AF699A" w:rsidRDefault="00840C1E" w:rsidP="005151A7">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840C1E" w:rsidRPr="00AF699A" w:rsidRDefault="00840C1E" w:rsidP="005151A7">
            <w:pPr>
              <w:pStyle w:val="TableColumnHeading"/>
              <w:ind w:right="28"/>
              <w:rPr>
                <w:rFonts w:cs="Arial"/>
                <w:sz w:val="18"/>
                <w:szCs w:val="18"/>
              </w:rPr>
            </w:pPr>
            <w:r w:rsidRPr="00AF699A">
              <w:rPr>
                <w:rFonts w:cs="Arial"/>
                <w:sz w:val="18"/>
                <w:szCs w:val="18"/>
              </w:rPr>
              <w:t>2011-12</w:t>
            </w:r>
          </w:p>
        </w:tc>
      </w:tr>
      <w:tr w:rsidR="00840C1E" w:rsidRPr="006C5A80" w:rsidTr="005151A7">
        <w:tc>
          <w:tcPr>
            <w:tcW w:w="1960" w:type="pct"/>
            <w:tcBorders>
              <w:bottom w:val="single" w:sz="4" w:space="0" w:color="auto"/>
            </w:tcBorders>
            <w:vAlign w:val="bottom"/>
          </w:tcPr>
          <w:p w:rsidR="00840C1E" w:rsidRPr="00C944BA" w:rsidRDefault="00840C1E" w:rsidP="005151A7">
            <w:pPr>
              <w:pStyle w:val="TableBodyText"/>
              <w:jc w:val="left"/>
            </w:pPr>
            <w:r>
              <w:t>Forestry and logging</w:t>
            </w:r>
          </w:p>
        </w:tc>
        <w:tc>
          <w:tcPr>
            <w:tcW w:w="507" w:type="pct"/>
            <w:tcBorders>
              <w:bottom w:val="single" w:sz="4" w:space="0" w:color="auto"/>
            </w:tcBorders>
            <w:vAlign w:val="bottom"/>
          </w:tcPr>
          <w:p w:rsidR="00840C1E" w:rsidRPr="00157D93" w:rsidRDefault="00840C1E" w:rsidP="005151A7">
            <w:pPr>
              <w:pStyle w:val="TableBodyText"/>
            </w:pPr>
            <w:r>
              <w:t>-5.0</w:t>
            </w:r>
          </w:p>
        </w:tc>
        <w:tc>
          <w:tcPr>
            <w:tcW w:w="507" w:type="pct"/>
            <w:tcBorders>
              <w:bottom w:val="single" w:sz="4" w:space="0" w:color="auto"/>
            </w:tcBorders>
            <w:vAlign w:val="bottom"/>
          </w:tcPr>
          <w:p w:rsidR="00840C1E" w:rsidRPr="00157D93" w:rsidRDefault="00840C1E" w:rsidP="005151A7">
            <w:pPr>
              <w:pStyle w:val="TableBodyText"/>
            </w:pPr>
            <w:r>
              <w:t>5.0</w:t>
            </w:r>
          </w:p>
        </w:tc>
        <w:tc>
          <w:tcPr>
            <w:tcW w:w="507" w:type="pct"/>
            <w:tcBorders>
              <w:bottom w:val="single" w:sz="4" w:space="0" w:color="auto"/>
            </w:tcBorders>
            <w:vAlign w:val="bottom"/>
          </w:tcPr>
          <w:p w:rsidR="00840C1E" w:rsidRPr="00157D93" w:rsidRDefault="00840C1E" w:rsidP="005151A7">
            <w:pPr>
              <w:pStyle w:val="TableBodyText"/>
            </w:pPr>
            <w:r>
              <w:t>-95.0</w:t>
            </w:r>
          </w:p>
        </w:tc>
        <w:tc>
          <w:tcPr>
            <w:tcW w:w="507" w:type="pct"/>
            <w:tcBorders>
              <w:bottom w:val="single" w:sz="4" w:space="0" w:color="auto"/>
            </w:tcBorders>
            <w:vAlign w:val="bottom"/>
          </w:tcPr>
          <w:p w:rsidR="00840C1E" w:rsidRPr="00157D93" w:rsidRDefault="00840C1E" w:rsidP="005151A7">
            <w:pPr>
              <w:pStyle w:val="TableBodyText"/>
            </w:pPr>
            <w:r>
              <w:noBreakHyphen/>
            </w:r>
          </w:p>
        </w:tc>
        <w:tc>
          <w:tcPr>
            <w:tcW w:w="507" w:type="pct"/>
            <w:tcBorders>
              <w:bottom w:val="single" w:sz="4" w:space="0" w:color="auto"/>
            </w:tcBorders>
            <w:shd w:val="clear" w:color="auto" w:fill="auto"/>
            <w:vAlign w:val="bottom"/>
          </w:tcPr>
          <w:p w:rsidR="00840C1E" w:rsidRPr="00157D93" w:rsidRDefault="00840C1E" w:rsidP="005151A7">
            <w:pPr>
              <w:pStyle w:val="TableBodyText"/>
            </w:pPr>
            <w:r>
              <w:noBreakHyphen/>
            </w:r>
          </w:p>
        </w:tc>
        <w:tc>
          <w:tcPr>
            <w:tcW w:w="505" w:type="pct"/>
            <w:tcBorders>
              <w:bottom w:val="single" w:sz="4" w:space="0" w:color="auto"/>
            </w:tcBorders>
            <w:shd w:val="clear" w:color="auto" w:fill="auto"/>
            <w:vAlign w:val="bottom"/>
          </w:tcPr>
          <w:p w:rsidR="00840C1E" w:rsidRPr="00157D93" w:rsidRDefault="00840C1E" w:rsidP="005151A7">
            <w:pPr>
              <w:pStyle w:val="TableBodyText"/>
            </w:pPr>
            <w:r>
              <w:noBreakHyphen/>
            </w:r>
          </w:p>
        </w:tc>
      </w:tr>
    </w:tbl>
    <w:p w:rsidR="00840C1E" w:rsidRPr="00F60026" w:rsidRDefault="00840C1E" w:rsidP="00840C1E">
      <w:pPr>
        <w:pStyle w:val="Source"/>
        <w:spacing w:after="0"/>
        <w:rPr>
          <w:i/>
        </w:rPr>
      </w:pPr>
      <w:r w:rsidRPr="00A2379F">
        <w:noBreakHyphen/>
        <w:t xml:space="preserve"> </w:t>
      </w:r>
      <w:r>
        <w:t>Nil</w:t>
      </w:r>
      <w:r w:rsidRPr="00A2379F">
        <w:t>.</w:t>
      </w:r>
    </w:p>
    <w:p w:rsidR="00840C1E" w:rsidRDefault="00840C1E" w:rsidP="00840C1E">
      <w:pPr>
        <w:pStyle w:val="Source"/>
      </w:pPr>
      <w:r>
        <w:rPr>
          <w:i/>
        </w:rPr>
        <w:t>Source</w:t>
      </w:r>
      <w:r>
        <w:t>: Commission estimates based on Tax Expenditure Statement 2012, Australian Government 2013, p.</w:t>
      </w:r>
      <w:r w:rsidR="00605FAE">
        <w:t> </w:t>
      </w:r>
      <w:r>
        <w:t>83, Item B37.</w:t>
      </w:r>
    </w:p>
    <w:p w:rsidR="004819B5" w:rsidRDefault="00FA09C3" w:rsidP="004819B5">
      <w:pPr>
        <w:pStyle w:val="Heading2"/>
      </w:pPr>
      <w:r>
        <w:t>A.</w:t>
      </w:r>
      <w:r>
        <w:rPr>
          <w:noProof/>
        </w:rPr>
        <w:t>184</w:t>
      </w:r>
      <w:r w:rsidR="004819B5">
        <w:tab/>
        <w:t>Equine Influenza Emergency Assistance Package</w:t>
      </w:r>
    </w:p>
    <w:p w:rsidR="004819B5" w:rsidRDefault="004819B5" w:rsidP="004819B5">
      <w:pPr>
        <w:pStyle w:val="BodyText"/>
      </w:pPr>
      <w:r>
        <w:t>The Equine Influenza Emergency A</w:t>
      </w:r>
      <w:r w:rsidRPr="00122ED0">
        <w:t xml:space="preserve">ssistance </w:t>
      </w:r>
      <w:r>
        <w:t xml:space="preserve">Package aimed to assist individuals and businesses that derived most of their income from horse-dependent commercial activities to cope with the immediate impacts of equine influenza </w:t>
      </w:r>
      <w:r w:rsidRPr="00720461">
        <w:t>(</w:t>
      </w:r>
      <w:r w:rsidRPr="00C305B5">
        <w:t>DAFF 2008</w:t>
      </w:r>
      <w:r w:rsidRPr="00720461">
        <w:t>)</w:t>
      </w:r>
      <w:r>
        <w:t>. Under the Package, DAFF administered four measures:</w:t>
      </w:r>
    </w:p>
    <w:p w:rsidR="004819B5" w:rsidRDefault="004819B5" w:rsidP="004819B5">
      <w:pPr>
        <w:pStyle w:val="ListBullet"/>
      </w:pPr>
      <w:r>
        <w:t>the Equine Influenza Hardship Fund ($4 million);</w:t>
      </w:r>
    </w:p>
    <w:p w:rsidR="004819B5" w:rsidRDefault="004819B5" w:rsidP="004819B5">
      <w:pPr>
        <w:pStyle w:val="ListBullet"/>
      </w:pPr>
      <w:r>
        <w:t>the Business Assistance Grant ($76.73 million);</w:t>
      </w:r>
    </w:p>
    <w:p w:rsidR="004819B5" w:rsidRDefault="004819B5" w:rsidP="004819B5">
      <w:pPr>
        <w:pStyle w:val="ListBullet"/>
      </w:pPr>
      <w:r>
        <w:t>the Commercial Horse Assistance Payment ($179.92 million); and</w:t>
      </w:r>
    </w:p>
    <w:p w:rsidR="004819B5" w:rsidRDefault="004819B5" w:rsidP="004819B5">
      <w:pPr>
        <w:pStyle w:val="ListBullet"/>
      </w:pPr>
      <w:r>
        <w:t>Non-Government, Not-for-Profit Equestrian Organisation Grants ($0.63 million).</w:t>
      </w:r>
    </w:p>
    <w:p w:rsidR="004819B5" w:rsidRDefault="004819B5" w:rsidP="004819B5">
      <w:pPr>
        <w:pStyle w:val="BodyText"/>
      </w:pPr>
      <w:r>
        <w:t>The Equine Workers Hardship Wage Supplement was administered by the Department of Families, Housing, Community Services and Indigenous Affairs (DFaHCSIA).</w:t>
      </w:r>
    </w:p>
    <w:p w:rsidR="004819B5" w:rsidRPr="00395D9C" w:rsidRDefault="004819B5" w:rsidP="004819B5">
      <w:pPr>
        <w:pStyle w:val="BodyText"/>
      </w:pPr>
      <w:r>
        <w:t>The Equine Influenza Emergency Assistance Package has now ceased.</w:t>
      </w:r>
    </w:p>
    <w:p w:rsidR="004819B5" w:rsidRDefault="004819B5" w:rsidP="004819B5">
      <w:pPr>
        <w:pStyle w:val="BodyText"/>
      </w:pPr>
      <w:r w:rsidRPr="00C06044">
        <w:t xml:space="preserve">Funding from the </w:t>
      </w:r>
      <w:r>
        <w:t>Package</w:t>
      </w:r>
      <w:r w:rsidRPr="00C06044">
        <w:t xml:space="preserve"> has been allocated to the </w:t>
      </w:r>
      <w:r w:rsidRPr="00C06044">
        <w:rPr>
          <w:i/>
        </w:rPr>
        <w:t>Arts &amp; recreation services</w:t>
      </w:r>
      <w:r w:rsidRPr="00C06044">
        <w:t xml:space="preserve"> industry</w:t>
      </w:r>
      <w:r>
        <w:t xml:space="preserve"> grouping</w:t>
      </w:r>
      <w:r w:rsidRPr="00C06044">
        <w:t xml:space="preserve"> in the Commission’s ANZSIC-based </w:t>
      </w:r>
      <w:r>
        <w:t>classification</w:t>
      </w:r>
      <w:r w:rsidRPr="00C06044">
        <w:t xml:space="preserve"> (table</w:t>
      </w:r>
      <w:r>
        <w:t> </w:t>
      </w:r>
      <w:r w:rsidRPr="00C06044">
        <w:t>A.</w:t>
      </w:r>
      <w:r>
        <w:t>18</w:t>
      </w:r>
      <w:r w:rsidR="00886F15">
        <w:t>4</w:t>
      </w:r>
      <w:r w:rsidRPr="00C06044">
        <w:t>).</w:t>
      </w:r>
    </w:p>
    <w:p w:rsidR="004819B5" w:rsidRDefault="004819B5" w:rsidP="004819B5">
      <w:pPr>
        <w:pStyle w:val="TableTitle"/>
      </w:pPr>
      <w:r>
        <w:rPr>
          <w:b w:val="0"/>
        </w:rPr>
        <w:t xml:space="preserve">Table </w:t>
      </w:r>
      <w:r w:rsidR="00FA09C3">
        <w:rPr>
          <w:b w:val="0"/>
        </w:rPr>
        <w:t>A.</w:t>
      </w:r>
      <w:r w:rsidR="00FA09C3">
        <w:rPr>
          <w:b w:val="0"/>
          <w:noProof/>
        </w:rPr>
        <w:t>184</w:t>
      </w:r>
      <w:r>
        <w:tab/>
        <w:t>Allocation of Equine Influenza Emergency Assistance Package</w:t>
      </w:r>
      <w:r w:rsidR="00571E36" w:rsidRPr="00571E36">
        <w:t xml:space="preserve"> to industry</w:t>
      </w:r>
      <w:r>
        <w:t>, 2006</w:t>
      </w:r>
      <w:r>
        <w:noBreakHyphen/>
        <w:t>07 to 2011</w:t>
      </w:r>
      <w:r>
        <w:noBreakHyphen/>
        <w:t>12</w:t>
      </w:r>
    </w:p>
    <w:p w:rsidR="004819B5" w:rsidRDefault="004819B5" w:rsidP="004819B5">
      <w:pPr>
        <w:pStyle w:val="Subtitle"/>
      </w:pPr>
      <w:r>
        <w:t>$</w:t>
      </w:r>
      <w:r w:rsidR="00E61122">
        <w:t xml:space="preserve"> </w:t>
      </w:r>
      <w:r>
        <w:t xml:space="preserve">million (nominal) </w:t>
      </w:r>
    </w:p>
    <w:tbl>
      <w:tblPr>
        <w:tblW w:w="5000" w:type="pct"/>
        <w:tblCellMar>
          <w:left w:w="0" w:type="dxa"/>
          <w:right w:w="0" w:type="dxa"/>
        </w:tblCellMar>
        <w:tblLook w:val="0000" w:firstRow="0" w:lastRow="0" w:firstColumn="0" w:lastColumn="0" w:noHBand="0" w:noVBand="0"/>
      </w:tblPr>
      <w:tblGrid>
        <w:gridCol w:w="3448"/>
        <w:gridCol w:w="892"/>
        <w:gridCol w:w="892"/>
        <w:gridCol w:w="890"/>
        <w:gridCol w:w="889"/>
        <w:gridCol w:w="889"/>
        <w:gridCol w:w="889"/>
      </w:tblGrid>
      <w:tr w:rsidR="005A4AD3" w:rsidRPr="00AF699A" w:rsidTr="005A4AD3">
        <w:tc>
          <w:tcPr>
            <w:tcW w:w="1961" w:type="pct"/>
            <w:tcBorders>
              <w:top w:val="single" w:sz="6" w:space="0" w:color="auto"/>
              <w:bottom w:val="single" w:sz="6" w:space="0" w:color="auto"/>
            </w:tcBorders>
          </w:tcPr>
          <w:p w:rsidR="005A4AD3" w:rsidRPr="00AF699A" w:rsidRDefault="005A4AD3" w:rsidP="005151A7">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5A4AD3" w:rsidRPr="00AF699A" w:rsidRDefault="005A4AD3" w:rsidP="005151A7">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5A4AD3" w:rsidRPr="00AF699A" w:rsidRDefault="005A4AD3" w:rsidP="005151A7">
            <w:pPr>
              <w:pStyle w:val="TableColumnHeading"/>
              <w:ind w:right="28"/>
              <w:rPr>
                <w:rFonts w:cs="Arial"/>
                <w:sz w:val="18"/>
                <w:szCs w:val="18"/>
              </w:rPr>
            </w:pPr>
            <w:r w:rsidRPr="00AF699A">
              <w:rPr>
                <w:rFonts w:cs="Arial"/>
                <w:sz w:val="18"/>
                <w:szCs w:val="18"/>
              </w:rPr>
              <w:t>2007-08</w:t>
            </w:r>
          </w:p>
        </w:tc>
        <w:tc>
          <w:tcPr>
            <w:tcW w:w="506" w:type="pct"/>
            <w:tcBorders>
              <w:top w:val="single" w:sz="6" w:space="0" w:color="auto"/>
              <w:bottom w:val="single" w:sz="6" w:space="0" w:color="auto"/>
            </w:tcBorders>
          </w:tcPr>
          <w:p w:rsidR="005A4AD3" w:rsidRPr="00AF699A" w:rsidRDefault="005A4AD3" w:rsidP="005151A7">
            <w:pPr>
              <w:pStyle w:val="TableColumnHeading"/>
              <w:ind w:right="28"/>
              <w:rPr>
                <w:rFonts w:cs="Arial"/>
                <w:sz w:val="18"/>
                <w:szCs w:val="18"/>
              </w:rPr>
            </w:pPr>
            <w:r w:rsidRPr="00AF699A">
              <w:rPr>
                <w:rFonts w:cs="Arial"/>
                <w:sz w:val="18"/>
                <w:szCs w:val="18"/>
              </w:rPr>
              <w:t>2008-09</w:t>
            </w:r>
          </w:p>
        </w:tc>
        <w:tc>
          <w:tcPr>
            <w:tcW w:w="506" w:type="pct"/>
            <w:tcBorders>
              <w:top w:val="single" w:sz="6" w:space="0" w:color="auto"/>
              <w:bottom w:val="single" w:sz="6" w:space="0" w:color="auto"/>
            </w:tcBorders>
          </w:tcPr>
          <w:p w:rsidR="005A4AD3" w:rsidRPr="00AF699A" w:rsidRDefault="005A4AD3" w:rsidP="005151A7">
            <w:pPr>
              <w:pStyle w:val="TableColumnHeading"/>
              <w:ind w:right="28"/>
              <w:rPr>
                <w:rFonts w:cs="Arial"/>
                <w:sz w:val="18"/>
                <w:szCs w:val="18"/>
              </w:rPr>
            </w:pPr>
            <w:r w:rsidRPr="00AF699A">
              <w:rPr>
                <w:rFonts w:cs="Arial"/>
                <w:sz w:val="18"/>
                <w:szCs w:val="18"/>
              </w:rPr>
              <w:t>2009-10</w:t>
            </w:r>
          </w:p>
        </w:tc>
        <w:tc>
          <w:tcPr>
            <w:tcW w:w="506" w:type="pct"/>
            <w:tcBorders>
              <w:top w:val="single" w:sz="6" w:space="0" w:color="auto"/>
              <w:bottom w:val="single" w:sz="6" w:space="0" w:color="auto"/>
            </w:tcBorders>
            <w:shd w:val="clear" w:color="auto" w:fill="auto"/>
          </w:tcPr>
          <w:p w:rsidR="005A4AD3" w:rsidRPr="00AF699A" w:rsidRDefault="005A4AD3" w:rsidP="005151A7">
            <w:pPr>
              <w:pStyle w:val="TableColumnHeading"/>
              <w:ind w:right="28"/>
              <w:rPr>
                <w:rFonts w:cs="Arial"/>
                <w:sz w:val="18"/>
                <w:szCs w:val="18"/>
              </w:rPr>
            </w:pPr>
            <w:r w:rsidRPr="00AF699A">
              <w:rPr>
                <w:rFonts w:cs="Arial"/>
                <w:sz w:val="18"/>
                <w:szCs w:val="18"/>
              </w:rPr>
              <w:t>2010-11</w:t>
            </w:r>
          </w:p>
        </w:tc>
        <w:tc>
          <w:tcPr>
            <w:tcW w:w="506" w:type="pct"/>
            <w:tcBorders>
              <w:top w:val="single" w:sz="6" w:space="0" w:color="auto"/>
              <w:bottom w:val="single" w:sz="6" w:space="0" w:color="auto"/>
            </w:tcBorders>
            <w:shd w:val="clear" w:color="auto" w:fill="auto"/>
          </w:tcPr>
          <w:p w:rsidR="005A4AD3" w:rsidRPr="00AF699A" w:rsidRDefault="005A4AD3" w:rsidP="005151A7">
            <w:pPr>
              <w:pStyle w:val="TableColumnHeading"/>
              <w:ind w:right="28"/>
              <w:rPr>
                <w:rFonts w:cs="Arial"/>
                <w:sz w:val="18"/>
                <w:szCs w:val="18"/>
              </w:rPr>
            </w:pPr>
            <w:r w:rsidRPr="00AF699A">
              <w:rPr>
                <w:rFonts w:cs="Arial"/>
                <w:sz w:val="18"/>
                <w:szCs w:val="18"/>
              </w:rPr>
              <w:t>2011-12</w:t>
            </w:r>
          </w:p>
        </w:tc>
      </w:tr>
      <w:tr w:rsidR="005A4AD3" w:rsidRPr="006C5A80" w:rsidTr="005A4AD3">
        <w:tc>
          <w:tcPr>
            <w:tcW w:w="1961" w:type="pct"/>
            <w:tcBorders>
              <w:bottom w:val="single" w:sz="4" w:space="0" w:color="auto"/>
            </w:tcBorders>
            <w:vAlign w:val="bottom"/>
          </w:tcPr>
          <w:p w:rsidR="005A4AD3" w:rsidRPr="00945294" w:rsidRDefault="005A4AD3" w:rsidP="005151A7">
            <w:pPr>
              <w:pStyle w:val="TableBodyText"/>
              <w:jc w:val="left"/>
            </w:pPr>
            <w:r w:rsidRPr="00945294">
              <w:t>Arts and recreation services</w:t>
            </w:r>
          </w:p>
        </w:tc>
        <w:tc>
          <w:tcPr>
            <w:tcW w:w="507" w:type="pct"/>
            <w:tcBorders>
              <w:bottom w:val="single" w:sz="4" w:space="0" w:color="auto"/>
            </w:tcBorders>
            <w:vAlign w:val="bottom"/>
          </w:tcPr>
          <w:p w:rsidR="005A4AD3" w:rsidRPr="00945294" w:rsidRDefault="005A4AD3" w:rsidP="005151A7">
            <w:pPr>
              <w:pStyle w:val="TableBodyText"/>
              <w:rPr>
                <w:b/>
              </w:rPr>
            </w:pPr>
            <w:r w:rsidRPr="00A2379F">
              <w:noBreakHyphen/>
            </w:r>
          </w:p>
        </w:tc>
        <w:tc>
          <w:tcPr>
            <w:tcW w:w="507" w:type="pct"/>
            <w:tcBorders>
              <w:bottom w:val="single" w:sz="4" w:space="0" w:color="auto"/>
            </w:tcBorders>
            <w:vAlign w:val="bottom"/>
          </w:tcPr>
          <w:p w:rsidR="005A4AD3" w:rsidRPr="00945294" w:rsidRDefault="005A4AD3" w:rsidP="005151A7">
            <w:pPr>
              <w:pStyle w:val="TableBodyText"/>
            </w:pPr>
            <w:r w:rsidRPr="00945294">
              <w:t>256.8</w:t>
            </w:r>
          </w:p>
        </w:tc>
        <w:tc>
          <w:tcPr>
            <w:tcW w:w="506" w:type="pct"/>
            <w:tcBorders>
              <w:bottom w:val="single" w:sz="4" w:space="0" w:color="auto"/>
            </w:tcBorders>
            <w:vAlign w:val="bottom"/>
          </w:tcPr>
          <w:p w:rsidR="005A4AD3" w:rsidRPr="00945294" w:rsidRDefault="005A4AD3" w:rsidP="005151A7">
            <w:pPr>
              <w:pStyle w:val="TableBodyText"/>
            </w:pPr>
            <w:r w:rsidRPr="00A2379F">
              <w:noBreakHyphen/>
            </w:r>
          </w:p>
        </w:tc>
        <w:tc>
          <w:tcPr>
            <w:tcW w:w="506" w:type="pct"/>
            <w:tcBorders>
              <w:bottom w:val="single" w:sz="4" w:space="0" w:color="auto"/>
            </w:tcBorders>
            <w:vAlign w:val="bottom"/>
          </w:tcPr>
          <w:p w:rsidR="005A4AD3" w:rsidRPr="00945294" w:rsidRDefault="005A4AD3" w:rsidP="005151A7">
            <w:pPr>
              <w:pStyle w:val="TableBodyText"/>
            </w:pPr>
            <w:r w:rsidRPr="00A2379F">
              <w:noBreakHyphen/>
            </w:r>
          </w:p>
        </w:tc>
        <w:tc>
          <w:tcPr>
            <w:tcW w:w="506" w:type="pct"/>
            <w:tcBorders>
              <w:bottom w:val="single" w:sz="4" w:space="0" w:color="auto"/>
            </w:tcBorders>
            <w:shd w:val="clear" w:color="auto" w:fill="auto"/>
            <w:vAlign w:val="bottom"/>
          </w:tcPr>
          <w:p w:rsidR="005A4AD3" w:rsidRPr="00945294" w:rsidRDefault="005A4AD3" w:rsidP="005151A7">
            <w:pPr>
              <w:pStyle w:val="TableBodyText"/>
            </w:pPr>
            <w:r w:rsidRPr="00A2379F">
              <w:noBreakHyphen/>
            </w:r>
          </w:p>
        </w:tc>
        <w:tc>
          <w:tcPr>
            <w:tcW w:w="506" w:type="pct"/>
            <w:tcBorders>
              <w:bottom w:val="single" w:sz="4" w:space="0" w:color="auto"/>
            </w:tcBorders>
            <w:shd w:val="clear" w:color="auto" w:fill="auto"/>
            <w:vAlign w:val="bottom"/>
          </w:tcPr>
          <w:p w:rsidR="005A4AD3" w:rsidRPr="00945294" w:rsidRDefault="005A4AD3" w:rsidP="005151A7">
            <w:pPr>
              <w:pStyle w:val="TableBodyText"/>
            </w:pPr>
            <w:r w:rsidRPr="00A2379F">
              <w:noBreakHyphen/>
            </w:r>
          </w:p>
        </w:tc>
      </w:tr>
    </w:tbl>
    <w:p w:rsidR="004819B5" w:rsidRDefault="004819B5" w:rsidP="004819B5">
      <w:pPr>
        <w:pStyle w:val="Note"/>
      </w:pPr>
      <w:r w:rsidRPr="00A2379F">
        <w:noBreakHyphen/>
        <w:t xml:space="preserve"> </w:t>
      </w:r>
      <w:r>
        <w:t>Nil</w:t>
      </w:r>
      <w:r w:rsidRPr="00A2379F">
        <w:t>.</w:t>
      </w:r>
    </w:p>
    <w:p w:rsidR="004819B5" w:rsidRPr="008E77FE" w:rsidRDefault="004819B5" w:rsidP="004819B5">
      <w:pPr>
        <w:pStyle w:val="Source"/>
      </w:pPr>
      <w:r>
        <w:rPr>
          <w:i/>
        </w:rPr>
        <w:t>Source</w:t>
      </w:r>
      <w:r>
        <w:t>: Commission estimates based on DAFF Annual Report 2007</w:t>
      </w:r>
      <w:r>
        <w:noBreakHyphen/>
        <w:t>08.</w:t>
      </w:r>
    </w:p>
    <w:p w:rsidR="00E945FB" w:rsidRDefault="00FA09C3" w:rsidP="00E945FB">
      <w:pPr>
        <w:pStyle w:val="Heading2"/>
      </w:pPr>
      <w:r>
        <w:t>A.</w:t>
      </w:r>
      <w:r>
        <w:rPr>
          <w:noProof/>
        </w:rPr>
        <w:t>185</w:t>
      </w:r>
      <w:r w:rsidR="00E945FB">
        <w:tab/>
        <w:t>Extension to capital gains tax roll-over relief for statutory licenses</w:t>
      </w:r>
    </w:p>
    <w:p w:rsidR="00E945FB" w:rsidRPr="00C06358" w:rsidRDefault="00E945FB" w:rsidP="00E945FB">
      <w:pPr>
        <w:pStyle w:val="BodyText"/>
      </w:pPr>
      <w:r>
        <w:t xml:space="preserve">Under this scheme, a capital gains tax roll-over was available where a statutory water licence ended and was replaced with a new licence that authorised substantially similar activity to the original licence (Tax Expenditure Statement, </w:t>
      </w:r>
      <w:r w:rsidRPr="00C305B5">
        <w:t>Australian Government 2012, item E24</w:t>
      </w:r>
      <w:r>
        <w:t>). In addition, a capital gains tax roll-over was available on an optional basis from the 2005-06 income year where a taxpayer’s ownership of one or more water entitlements ended and the taxpayer received one or more replacement water entitlements. A partial capital gains tax roll-over was also available for statutory licences (from the 2006-07 income year) and water entitlements (on an optional basis from the 2005-06 income year) where part of the capital proceeds received did not take the form of a replacement statutory licence or water entitlement. Under these arrangements, the component of any capital gains or losses that were referable to the replacement licence or water entitlement would be rolled over.</w:t>
      </w:r>
    </w:p>
    <w:p w:rsidR="00E945FB" w:rsidRPr="00F0289F" w:rsidRDefault="00E945FB" w:rsidP="00E945FB">
      <w:pPr>
        <w:pStyle w:val="BodyText"/>
      </w:pPr>
      <w:r>
        <w:t>I</w:t>
      </w:r>
      <w:r w:rsidRPr="00367176">
        <w:t xml:space="preserve">nformation on the industry incidence of </w:t>
      </w:r>
      <w:r>
        <w:t xml:space="preserve">the program has not been readily available. Accordingly, the taxation concession has been classified to </w:t>
      </w:r>
      <w:r w:rsidRPr="00367176">
        <w:t xml:space="preserve">the </w:t>
      </w:r>
      <w:r w:rsidRPr="00367176">
        <w:rPr>
          <w:i/>
        </w:rPr>
        <w:t>Unallocated other</w:t>
      </w:r>
      <w:r w:rsidR="00481DE5">
        <w:rPr>
          <w:i/>
        </w:rPr>
        <w:t xml:space="preserve"> </w:t>
      </w:r>
      <w:r>
        <w:t>industry</w:t>
      </w:r>
      <w:r w:rsidRPr="00367176">
        <w:t xml:space="preserve"> grouping in the Commission’s ANZSIC-based classification (table</w:t>
      </w:r>
      <w:r>
        <w:t> </w:t>
      </w:r>
      <w:r w:rsidRPr="00367176">
        <w:t>A.</w:t>
      </w:r>
      <w:r>
        <w:t>18</w:t>
      </w:r>
      <w:r w:rsidR="00886F15">
        <w:t>5</w:t>
      </w:r>
      <w:r w:rsidRPr="00367176">
        <w:t>).</w:t>
      </w:r>
    </w:p>
    <w:p w:rsidR="00E945FB" w:rsidRDefault="00E945FB" w:rsidP="00E945FB">
      <w:pPr>
        <w:pStyle w:val="TableTitle"/>
      </w:pPr>
      <w:r>
        <w:rPr>
          <w:b w:val="0"/>
        </w:rPr>
        <w:t xml:space="preserve">Table </w:t>
      </w:r>
      <w:r w:rsidR="00FA09C3">
        <w:rPr>
          <w:b w:val="0"/>
        </w:rPr>
        <w:t>A.</w:t>
      </w:r>
      <w:r w:rsidR="00FA09C3">
        <w:rPr>
          <w:b w:val="0"/>
          <w:noProof/>
        </w:rPr>
        <w:t>185</w:t>
      </w:r>
      <w:r>
        <w:tab/>
        <w:t>Allocation of Extension to capital gains tax roll-over relief for statutory licenses</w:t>
      </w:r>
      <w:r w:rsidR="00571E36" w:rsidRPr="00571E36">
        <w:t xml:space="preserve"> to industry</w:t>
      </w:r>
      <w:r>
        <w:t>, 2006</w:t>
      </w:r>
      <w:r>
        <w:noBreakHyphen/>
        <w:t>07 to 2011</w:t>
      </w:r>
      <w:r>
        <w:noBreakHyphen/>
        <w:t>12</w:t>
      </w:r>
    </w:p>
    <w:p w:rsidR="00E945FB" w:rsidRDefault="00E945FB" w:rsidP="00E945FB">
      <w:pPr>
        <w:pStyle w:val="Subtitle"/>
      </w:pPr>
      <w:r>
        <w:t>$</w:t>
      </w:r>
      <w:r w:rsidR="00E61122">
        <w:t xml:space="preserve"> </w:t>
      </w:r>
      <w:r>
        <w:t xml:space="preserve">million (nominal) </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E945FB" w:rsidRPr="00AF699A" w:rsidTr="005151A7">
        <w:tc>
          <w:tcPr>
            <w:tcW w:w="1958" w:type="pct"/>
            <w:tcBorders>
              <w:top w:val="single" w:sz="6" w:space="0" w:color="auto"/>
              <w:bottom w:val="single" w:sz="6" w:space="0" w:color="auto"/>
            </w:tcBorders>
          </w:tcPr>
          <w:p w:rsidR="00E945FB" w:rsidRPr="00AF699A" w:rsidRDefault="00E945FB" w:rsidP="005151A7">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E945FB" w:rsidRPr="00AF699A" w:rsidRDefault="00E945FB" w:rsidP="005151A7">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E945FB" w:rsidRPr="00AF699A" w:rsidRDefault="00E945FB" w:rsidP="005151A7">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E945FB" w:rsidRPr="00AF699A" w:rsidRDefault="00E945FB" w:rsidP="005151A7">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E945FB" w:rsidRPr="00AF699A" w:rsidRDefault="00E945FB" w:rsidP="005151A7">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E945FB" w:rsidRPr="00AF699A" w:rsidRDefault="00E945FB" w:rsidP="005151A7">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E945FB" w:rsidRPr="00AF699A" w:rsidRDefault="00E945FB" w:rsidP="005151A7">
            <w:pPr>
              <w:pStyle w:val="TableColumnHeading"/>
              <w:ind w:right="28"/>
              <w:rPr>
                <w:rFonts w:cs="Arial"/>
                <w:sz w:val="18"/>
                <w:szCs w:val="18"/>
              </w:rPr>
            </w:pPr>
            <w:r w:rsidRPr="00AF699A">
              <w:rPr>
                <w:rFonts w:cs="Arial"/>
                <w:sz w:val="18"/>
                <w:szCs w:val="18"/>
              </w:rPr>
              <w:t>2011-12</w:t>
            </w:r>
          </w:p>
        </w:tc>
      </w:tr>
      <w:tr w:rsidR="00E945FB" w:rsidRPr="00ED2F02" w:rsidTr="005151A7">
        <w:tc>
          <w:tcPr>
            <w:tcW w:w="1958" w:type="pct"/>
            <w:tcBorders>
              <w:bottom w:val="single" w:sz="4" w:space="0" w:color="auto"/>
            </w:tcBorders>
            <w:vAlign w:val="bottom"/>
          </w:tcPr>
          <w:p w:rsidR="00E945FB" w:rsidRDefault="00E945FB" w:rsidP="005151A7">
            <w:pPr>
              <w:pStyle w:val="TableBodyText"/>
              <w:jc w:val="left"/>
            </w:pPr>
            <w:r>
              <w:t>Unallocated other</w:t>
            </w:r>
            <w:r w:rsidRPr="00A74BCE">
              <w:rPr>
                <w:rStyle w:val="NoteLabel"/>
                <w:szCs w:val="18"/>
              </w:rPr>
              <w:t>a</w:t>
            </w:r>
          </w:p>
        </w:tc>
        <w:tc>
          <w:tcPr>
            <w:tcW w:w="507" w:type="pct"/>
            <w:tcBorders>
              <w:bottom w:val="single" w:sz="4" w:space="0" w:color="auto"/>
            </w:tcBorders>
            <w:vAlign w:val="bottom"/>
          </w:tcPr>
          <w:p w:rsidR="00E945FB" w:rsidRDefault="00E945FB" w:rsidP="005151A7">
            <w:pPr>
              <w:pStyle w:val="TableBodyText"/>
            </w:pPr>
            <w:r>
              <w:t>20.0</w:t>
            </w:r>
          </w:p>
        </w:tc>
        <w:tc>
          <w:tcPr>
            <w:tcW w:w="507" w:type="pct"/>
            <w:tcBorders>
              <w:bottom w:val="single" w:sz="4" w:space="0" w:color="auto"/>
            </w:tcBorders>
            <w:vAlign w:val="bottom"/>
          </w:tcPr>
          <w:p w:rsidR="00E945FB" w:rsidRDefault="00E945FB" w:rsidP="005151A7">
            <w:pPr>
              <w:pStyle w:val="TableBodyText"/>
            </w:pPr>
            <w:r>
              <w:t>90.0</w:t>
            </w:r>
          </w:p>
        </w:tc>
        <w:tc>
          <w:tcPr>
            <w:tcW w:w="507" w:type="pct"/>
            <w:tcBorders>
              <w:bottom w:val="single" w:sz="4" w:space="0" w:color="auto"/>
            </w:tcBorders>
            <w:vAlign w:val="bottom"/>
          </w:tcPr>
          <w:p w:rsidR="00E945FB" w:rsidRDefault="00E945FB" w:rsidP="005151A7">
            <w:pPr>
              <w:pStyle w:val="TableBodyText"/>
            </w:pPr>
            <w:r>
              <w:noBreakHyphen/>
            </w:r>
          </w:p>
        </w:tc>
        <w:tc>
          <w:tcPr>
            <w:tcW w:w="507" w:type="pct"/>
            <w:tcBorders>
              <w:bottom w:val="single" w:sz="4" w:space="0" w:color="auto"/>
            </w:tcBorders>
            <w:vAlign w:val="bottom"/>
          </w:tcPr>
          <w:p w:rsidR="00E945FB" w:rsidRDefault="00E945FB" w:rsidP="005151A7">
            <w:pPr>
              <w:pStyle w:val="TableBodyText"/>
            </w:pPr>
            <w:r>
              <w:noBreakHyphen/>
            </w:r>
          </w:p>
        </w:tc>
        <w:tc>
          <w:tcPr>
            <w:tcW w:w="507" w:type="pct"/>
            <w:tcBorders>
              <w:bottom w:val="single" w:sz="4" w:space="0" w:color="auto"/>
            </w:tcBorders>
            <w:shd w:val="clear" w:color="auto" w:fill="auto"/>
            <w:vAlign w:val="bottom"/>
          </w:tcPr>
          <w:p w:rsidR="00E945FB" w:rsidRDefault="00E945FB" w:rsidP="005151A7">
            <w:pPr>
              <w:pStyle w:val="TableBodyText"/>
            </w:pPr>
            <w:r>
              <w:noBreakHyphen/>
            </w:r>
          </w:p>
        </w:tc>
        <w:tc>
          <w:tcPr>
            <w:tcW w:w="507" w:type="pct"/>
            <w:tcBorders>
              <w:bottom w:val="single" w:sz="4" w:space="0" w:color="auto"/>
            </w:tcBorders>
            <w:shd w:val="clear" w:color="auto" w:fill="auto"/>
            <w:vAlign w:val="bottom"/>
          </w:tcPr>
          <w:p w:rsidR="00E945FB" w:rsidRDefault="00E945FB" w:rsidP="005151A7">
            <w:pPr>
              <w:pStyle w:val="TableBodyText"/>
            </w:pPr>
            <w:r>
              <w:noBreakHyphen/>
            </w:r>
          </w:p>
        </w:tc>
      </w:tr>
    </w:tbl>
    <w:p w:rsidR="00E945FB" w:rsidRDefault="00E945FB" w:rsidP="00E945FB">
      <w:pPr>
        <w:pStyle w:val="Note"/>
      </w:pPr>
      <w:r w:rsidRPr="00A2379F">
        <w:noBreakHyphen/>
        <w:t xml:space="preserve"> Nil</w:t>
      </w:r>
      <w:r>
        <w:t xml:space="preserve">. </w:t>
      </w:r>
      <w:r w:rsidRPr="008E77FE">
        <w:rPr>
          <w:rStyle w:val="NoteLabel"/>
        </w:rPr>
        <w:t>a</w:t>
      </w:r>
      <w:r>
        <w:t xml:space="preserve"> </w:t>
      </w:r>
      <w:r w:rsidRPr="009B56F1">
        <w:t>Unallocated includes general programs where detai</w:t>
      </w:r>
      <w:r>
        <w:t>ls of beneficiaries are unknown.</w:t>
      </w:r>
    </w:p>
    <w:p w:rsidR="00E945FB" w:rsidRPr="008E77FE" w:rsidRDefault="00E945FB" w:rsidP="00E945FB">
      <w:pPr>
        <w:pStyle w:val="Source"/>
      </w:pPr>
      <w:r>
        <w:rPr>
          <w:i/>
        </w:rPr>
        <w:t>Source</w:t>
      </w:r>
      <w:r>
        <w:t>: Commission estimates based on Tax Expenditure Statement 2010, Australian Government 2011, p</w:t>
      </w:r>
      <w:r w:rsidR="00E61122">
        <w:t>. </w:t>
      </w:r>
      <w:r>
        <w:t>162, item E21.</w:t>
      </w:r>
    </w:p>
    <w:p w:rsidR="002C78EF" w:rsidRDefault="00FA09C3" w:rsidP="002C78EF">
      <w:pPr>
        <w:pStyle w:val="Heading2"/>
      </w:pPr>
      <w:r>
        <w:t>A.</w:t>
      </w:r>
      <w:r>
        <w:rPr>
          <w:noProof/>
        </w:rPr>
        <w:t>186</w:t>
      </w:r>
      <w:r w:rsidR="002C78EF">
        <w:tab/>
        <w:t>Australian Film Finance Corporation</w:t>
      </w:r>
    </w:p>
    <w:p w:rsidR="00740CD1" w:rsidRDefault="001C4138" w:rsidP="00046054">
      <w:pPr>
        <w:pStyle w:val="BodyText"/>
      </w:pPr>
      <w:r>
        <w:t>T</w:t>
      </w:r>
      <w:r w:rsidRPr="001C4138">
        <w:t xml:space="preserve">he </w:t>
      </w:r>
      <w:r>
        <w:t xml:space="preserve">Australian </w:t>
      </w:r>
      <w:r w:rsidRPr="001C4138">
        <w:t>F</w:t>
      </w:r>
      <w:r>
        <w:t xml:space="preserve">ilm </w:t>
      </w:r>
      <w:r w:rsidRPr="001C4138">
        <w:t>F</w:t>
      </w:r>
      <w:r>
        <w:t xml:space="preserve">inance </w:t>
      </w:r>
      <w:r w:rsidRPr="001C4138">
        <w:t>C</w:t>
      </w:r>
      <w:r>
        <w:t>orporation</w:t>
      </w:r>
      <w:r w:rsidRPr="001C4138">
        <w:t xml:space="preserve"> </w:t>
      </w:r>
      <w:r>
        <w:t xml:space="preserve">(AFFC) </w:t>
      </w:r>
      <w:r w:rsidRPr="001C4138">
        <w:t>was the Australian Government</w:t>
      </w:r>
      <w:r>
        <w:t>’</w:t>
      </w:r>
      <w:r w:rsidRPr="001C4138">
        <w:t>s principal agency for funding the production of film and television in Australia</w:t>
      </w:r>
      <w:r>
        <w:t xml:space="preserve"> (Film Finance Corporation 2013).</w:t>
      </w:r>
      <w:r w:rsidR="00ED7190">
        <w:t xml:space="preserve"> </w:t>
      </w:r>
    </w:p>
    <w:p w:rsidR="00753039" w:rsidRDefault="001B1A6B" w:rsidP="00046054">
      <w:pPr>
        <w:pStyle w:val="BodyText"/>
      </w:pPr>
      <w:r>
        <w:t xml:space="preserve">In 2008, </w:t>
      </w:r>
      <w:r w:rsidR="00753039">
        <w:t xml:space="preserve">AFFC was merged with </w:t>
      </w:r>
      <w:r w:rsidR="00020F60">
        <w:t>the Australian Film Commission (</w:t>
      </w:r>
      <w:r w:rsidR="00753039">
        <w:t>AFC</w:t>
      </w:r>
      <w:r w:rsidR="00020F60">
        <w:t>)</w:t>
      </w:r>
      <w:r>
        <w:t xml:space="preserve"> and Film Australia</w:t>
      </w:r>
      <w:r w:rsidR="00753039">
        <w:t xml:space="preserve"> to form Screen Australia.</w:t>
      </w:r>
    </w:p>
    <w:p w:rsidR="001C4138" w:rsidRPr="00046054" w:rsidRDefault="001C4138" w:rsidP="00046054">
      <w:pPr>
        <w:pStyle w:val="BodyText"/>
      </w:pPr>
      <w:r>
        <w:t xml:space="preserve">Funding for the AFFC primarily benefited the production of film and television, which is part of the </w:t>
      </w:r>
      <w:r w:rsidRPr="00284657">
        <w:rPr>
          <w:i/>
        </w:rPr>
        <w:t>Arts and recreation services</w:t>
      </w:r>
      <w:r>
        <w:t xml:space="preserve"> industry grouping in the Commission’s ANZSIC-based classification (table A.18</w:t>
      </w:r>
      <w:r w:rsidR="00886F15">
        <w:t>6</w:t>
      </w:r>
      <w:r>
        <w:t>).</w:t>
      </w:r>
    </w:p>
    <w:p w:rsidR="00E46C97" w:rsidRDefault="00E46C97" w:rsidP="00E46C97">
      <w:pPr>
        <w:pStyle w:val="TableTitle"/>
      </w:pPr>
      <w:r>
        <w:rPr>
          <w:b w:val="0"/>
        </w:rPr>
        <w:t xml:space="preserve">Table </w:t>
      </w:r>
      <w:r w:rsidR="00FA09C3">
        <w:rPr>
          <w:b w:val="0"/>
        </w:rPr>
        <w:t>A.</w:t>
      </w:r>
      <w:r w:rsidR="00FA09C3">
        <w:rPr>
          <w:b w:val="0"/>
          <w:noProof/>
        </w:rPr>
        <w:t>186</w:t>
      </w:r>
      <w:r>
        <w:tab/>
        <w:t>Allocation of Australian Film Finance Corporation</w:t>
      </w:r>
      <w:r w:rsidR="00571E36" w:rsidRPr="00571E36">
        <w:t xml:space="preserve"> to industry</w:t>
      </w:r>
      <w:r>
        <w:t>, 2006</w:t>
      </w:r>
      <w:r>
        <w:noBreakHyphen/>
        <w:t>07 to 2011</w:t>
      </w:r>
      <w:r>
        <w:noBreakHyphen/>
        <w:t>12</w:t>
      </w:r>
    </w:p>
    <w:p w:rsidR="00E46C97" w:rsidRDefault="000E1A26" w:rsidP="00E46C97">
      <w:pPr>
        <w:pStyle w:val="Subtitle"/>
      </w:pPr>
      <w:r>
        <w:t>$ m</w:t>
      </w:r>
      <w:r w:rsidR="00E46C97">
        <w:t xml:space="preserve">illion (nominal) </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E46C97" w:rsidRPr="00AF699A" w:rsidTr="005151A7">
        <w:tc>
          <w:tcPr>
            <w:tcW w:w="1958" w:type="pct"/>
            <w:tcBorders>
              <w:top w:val="single" w:sz="6" w:space="0" w:color="auto"/>
              <w:bottom w:val="single" w:sz="6" w:space="0" w:color="auto"/>
            </w:tcBorders>
          </w:tcPr>
          <w:p w:rsidR="00E46C97" w:rsidRPr="00AF699A" w:rsidRDefault="00E46C97" w:rsidP="005151A7">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E46C97" w:rsidRPr="00AF699A" w:rsidRDefault="00E46C97" w:rsidP="005151A7">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E46C97" w:rsidRPr="00AF699A" w:rsidRDefault="00E46C97" w:rsidP="005151A7">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E46C97" w:rsidRPr="00AF699A" w:rsidRDefault="00E46C97" w:rsidP="005151A7">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E46C97" w:rsidRPr="00AF699A" w:rsidRDefault="00E46C97" w:rsidP="005151A7">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E46C97" w:rsidRPr="00AF699A" w:rsidRDefault="00E46C97" w:rsidP="005151A7">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E46C97" w:rsidRPr="00AF699A" w:rsidRDefault="00E46C97" w:rsidP="005151A7">
            <w:pPr>
              <w:pStyle w:val="TableColumnHeading"/>
              <w:ind w:right="28"/>
              <w:rPr>
                <w:rFonts w:cs="Arial"/>
                <w:sz w:val="18"/>
                <w:szCs w:val="18"/>
              </w:rPr>
            </w:pPr>
            <w:r w:rsidRPr="00AF699A">
              <w:rPr>
                <w:rFonts w:cs="Arial"/>
                <w:sz w:val="18"/>
                <w:szCs w:val="18"/>
              </w:rPr>
              <w:t>2011-12</w:t>
            </w:r>
          </w:p>
        </w:tc>
      </w:tr>
      <w:tr w:rsidR="00E46C97" w:rsidRPr="00ED2F02" w:rsidTr="005151A7">
        <w:tc>
          <w:tcPr>
            <w:tcW w:w="1958" w:type="pct"/>
            <w:tcBorders>
              <w:bottom w:val="single" w:sz="4" w:space="0" w:color="auto"/>
            </w:tcBorders>
            <w:vAlign w:val="bottom"/>
          </w:tcPr>
          <w:p w:rsidR="00E46C97" w:rsidRDefault="00E46C97" w:rsidP="005151A7">
            <w:pPr>
              <w:pStyle w:val="TableBodyText"/>
              <w:jc w:val="left"/>
            </w:pPr>
            <w:r>
              <w:t>Arts and recreation services</w:t>
            </w:r>
          </w:p>
        </w:tc>
        <w:tc>
          <w:tcPr>
            <w:tcW w:w="507" w:type="pct"/>
            <w:tcBorders>
              <w:bottom w:val="single" w:sz="4" w:space="0" w:color="auto"/>
            </w:tcBorders>
            <w:vAlign w:val="bottom"/>
          </w:tcPr>
          <w:p w:rsidR="00E46C97" w:rsidRDefault="00E46C97" w:rsidP="005151A7">
            <w:pPr>
              <w:pStyle w:val="TableBodyText"/>
            </w:pPr>
            <w:r>
              <w:t>70.5</w:t>
            </w:r>
          </w:p>
        </w:tc>
        <w:tc>
          <w:tcPr>
            <w:tcW w:w="507" w:type="pct"/>
            <w:tcBorders>
              <w:bottom w:val="single" w:sz="4" w:space="0" w:color="auto"/>
            </w:tcBorders>
            <w:vAlign w:val="bottom"/>
          </w:tcPr>
          <w:p w:rsidR="00E46C97" w:rsidRDefault="00E46C97" w:rsidP="005151A7">
            <w:pPr>
              <w:pStyle w:val="TableBodyText"/>
            </w:pPr>
            <w:r>
              <w:t>70.5</w:t>
            </w:r>
          </w:p>
        </w:tc>
        <w:tc>
          <w:tcPr>
            <w:tcW w:w="507" w:type="pct"/>
            <w:tcBorders>
              <w:bottom w:val="single" w:sz="4" w:space="0" w:color="auto"/>
            </w:tcBorders>
            <w:vAlign w:val="bottom"/>
          </w:tcPr>
          <w:p w:rsidR="00E46C97" w:rsidRDefault="00E46C97" w:rsidP="005151A7">
            <w:pPr>
              <w:pStyle w:val="TableBodyText"/>
            </w:pPr>
            <w:r>
              <w:noBreakHyphen/>
            </w:r>
          </w:p>
        </w:tc>
        <w:tc>
          <w:tcPr>
            <w:tcW w:w="507" w:type="pct"/>
            <w:tcBorders>
              <w:bottom w:val="single" w:sz="4" w:space="0" w:color="auto"/>
            </w:tcBorders>
            <w:vAlign w:val="bottom"/>
          </w:tcPr>
          <w:p w:rsidR="00E46C97" w:rsidRDefault="00E46C97" w:rsidP="005151A7">
            <w:pPr>
              <w:pStyle w:val="TableBodyText"/>
            </w:pPr>
            <w:r>
              <w:noBreakHyphen/>
            </w:r>
          </w:p>
        </w:tc>
        <w:tc>
          <w:tcPr>
            <w:tcW w:w="507" w:type="pct"/>
            <w:tcBorders>
              <w:bottom w:val="single" w:sz="4" w:space="0" w:color="auto"/>
            </w:tcBorders>
            <w:shd w:val="clear" w:color="auto" w:fill="auto"/>
            <w:vAlign w:val="bottom"/>
          </w:tcPr>
          <w:p w:rsidR="00E46C97" w:rsidRDefault="00E46C97" w:rsidP="005151A7">
            <w:pPr>
              <w:pStyle w:val="TableBodyText"/>
            </w:pPr>
            <w:r>
              <w:noBreakHyphen/>
            </w:r>
          </w:p>
        </w:tc>
        <w:tc>
          <w:tcPr>
            <w:tcW w:w="507" w:type="pct"/>
            <w:tcBorders>
              <w:bottom w:val="single" w:sz="4" w:space="0" w:color="auto"/>
            </w:tcBorders>
            <w:shd w:val="clear" w:color="auto" w:fill="auto"/>
            <w:vAlign w:val="bottom"/>
          </w:tcPr>
          <w:p w:rsidR="00E46C97" w:rsidRDefault="00E46C97" w:rsidP="005151A7">
            <w:pPr>
              <w:pStyle w:val="TableBodyText"/>
            </w:pPr>
            <w:r>
              <w:noBreakHyphen/>
            </w:r>
          </w:p>
        </w:tc>
      </w:tr>
    </w:tbl>
    <w:p w:rsidR="00E46C97" w:rsidRDefault="00E46C97" w:rsidP="00E46C97">
      <w:pPr>
        <w:pStyle w:val="Note"/>
      </w:pPr>
      <w:r w:rsidRPr="00A2379F">
        <w:noBreakHyphen/>
        <w:t xml:space="preserve"> Nil</w:t>
      </w:r>
      <w:r>
        <w:t>.</w:t>
      </w:r>
    </w:p>
    <w:p w:rsidR="00E46C97" w:rsidRPr="008E77FE" w:rsidRDefault="00E46C97" w:rsidP="00E46C97">
      <w:pPr>
        <w:pStyle w:val="Source"/>
      </w:pPr>
      <w:r>
        <w:rPr>
          <w:i/>
        </w:rPr>
        <w:t>Source</w:t>
      </w:r>
      <w:r>
        <w:t xml:space="preserve">: Commission estimates based on </w:t>
      </w:r>
      <w:r w:rsidR="005151A7">
        <w:t>Department of Communications, Information Technology and the Arts Portfolio Budget Statements 2007</w:t>
      </w:r>
      <w:r w:rsidR="005151A7">
        <w:noBreakHyphen/>
        <w:t>08</w:t>
      </w:r>
      <w:r>
        <w:t>.</w:t>
      </w:r>
    </w:p>
    <w:p w:rsidR="006235B9" w:rsidRDefault="00FA09C3" w:rsidP="006235B9">
      <w:pPr>
        <w:pStyle w:val="Heading2"/>
      </w:pPr>
      <w:r>
        <w:t>A.</w:t>
      </w:r>
      <w:r>
        <w:rPr>
          <w:noProof/>
        </w:rPr>
        <w:t>187</w:t>
      </w:r>
      <w:r w:rsidR="006235B9">
        <w:tab/>
        <w:t>Great Barrier Reef Structural Adjustment Program</w:t>
      </w:r>
    </w:p>
    <w:p w:rsidR="006235B9" w:rsidRDefault="006235B9" w:rsidP="006235B9">
      <w:pPr>
        <w:pStyle w:val="BodyText"/>
      </w:pPr>
      <w:r>
        <w:t>On 1 July 2004, rezoning in the Great Barrier Reef Marine Park increased the area of ‘no take’ zones in the park from 4.5 per cent to 33.3 per cent. In response, the Australian Government provided assistance to businesses and individuals affected by the rezoning through a structural adjustment package (</w:t>
      </w:r>
      <w:r w:rsidRPr="00C305B5">
        <w:t>DEH 2006</w:t>
      </w:r>
      <w:r>
        <w:t>).</w:t>
      </w:r>
    </w:p>
    <w:p w:rsidR="006235B9" w:rsidRDefault="006235B9" w:rsidP="00324570">
      <w:pPr>
        <w:pStyle w:val="BodyText"/>
      </w:pPr>
      <w:r>
        <w:t xml:space="preserve">Funding for the package </w:t>
      </w:r>
      <w:r w:rsidRPr="00741843">
        <w:t xml:space="preserve">predominantly accrued to the aquaculture and fishing industries, and has been allocated to the </w:t>
      </w:r>
      <w:r w:rsidRPr="00741843">
        <w:rPr>
          <w:i/>
        </w:rPr>
        <w:t>Aquaculture and fishing</w:t>
      </w:r>
      <w:r w:rsidRPr="00741843">
        <w:t xml:space="preserve"> industry grouping in the Commission’s ANZSIC-based classification (table A.18</w:t>
      </w:r>
      <w:r w:rsidR="00886F15" w:rsidRPr="00741843">
        <w:t>7</w:t>
      </w:r>
      <w:r w:rsidRPr="00741843">
        <w:t>).</w:t>
      </w:r>
    </w:p>
    <w:p w:rsidR="006235B9" w:rsidRDefault="006235B9" w:rsidP="006235B9">
      <w:pPr>
        <w:pStyle w:val="TableTitle"/>
      </w:pPr>
      <w:r>
        <w:rPr>
          <w:b w:val="0"/>
        </w:rPr>
        <w:t xml:space="preserve">Table </w:t>
      </w:r>
      <w:r w:rsidR="00FA09C3">
        <w:rPr>
          <w:b w:val="0"/>
        </w:rPr>
        <w:t>A.</w:t>
      </w:r>
      <w:r w:rsidR="00FA09C3">
        <w:rPr>
          <w:b w:val="0"/>
          <w:noProof/>
        </w:rPr>
        <w:t>187</w:t>
      </w:r>
      <w:r>
        <w:tab/>
        <w:t>Allocation of Great Barrier Reef Structural Adjustment Program</w:t>
      </w:r>
      <w:r w:rsidR="00571E36" w:rsidRPr="00571E36">
        <w:t xml:space="preserve"> to industry</w:t>
      </w:r>
      <w:r>
        <w:t>, 2006</w:t>
      </w:r>
      <w:r>
        <w:noBreakHyphen/>
        <w:t>07 to 2011</w:t>
      </w:r>
      <w:r>
        <w:noBreakHyphen/>
        <w:t>12</w:t>
      </w:r>
    </w:p>
    <w:p w:rsidR="006235B9" w:rsidRDefault="006235B9" w:rsidP="006235B9">
      <w:pPr>
        <w:pStyle w:val="Subtitle"/>
      </w:pPr>
      <w:r>
        <w:t>$</w:t>
      </w:r>
      <w:r w:rsidR="00ED7190">
        <w:t xml:space="preserve"> </w:t>
      </w:r>
      <w:r>
        <w:t xml:space="preserve">million (nominal) </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6235B9" w:rsidRPr="00AF699A" w:rsidTr="00AB38B4">
        <w:tc>
          <w:tcPr>
            <w:tcW w:w="1958" w:type="pct"/>
            <w:tcBorders>
              <w:top w:val="single" w:sz="6" w:space="0" w:color="auto"/>
              <w:bottom w:val="single" w:sz="6" w:space="0" w:color="auto"/>
            </w:tcBorders>
          </w:tcPr>
          <w:p w:rsidR="006235B9" w:rsidRPr="00AF699A" w:rsidRDefault="006235B9" w:rsidP="00AB38B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6235B9" w:rsidRPr="00AF699A" w:rsidRDefault="006235B9"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6235B9" w:rsidRPr="00AF699A" w:rsidRDefault="006235B9" w:rsidP="00AB38B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6235B9" w:rsidRPr="00AF699A" w:rsidRDefault="006235B9" w:rsidP="00AB38B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6235B9" w:rsidRPr="00AF699A" w:rsidRDefault="006235B9" w:rsidP="00AB38B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6235B9" w:rsidRPr="00AF699A" w:rsidRDefault="006235B9" w:rsidP="00AB38B4">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6235B9" w:rsidRPr="00AF699A" w:rsidRDefault="006235B9" w:rsidP="00AB38B4">
            <w:pPr>
              <w:pStyle w:val="TableColumnHeading"/>
              <w:ind w:right="28"/>
              <w:rPr>
                <w:rFonts w:cs="Arial"/>
                <w:sz w:val="18"/>
                <w:szCs w:val="18"/>
              </w:rPr>
            </w:pPr>
            <w:r w:rsidRPr="00AF699A">
              <w:rPr>
                <w:rFonts w:cs="Arial"/>
                <w:sz w:val="18"/>
                <w:szCs w:val="18"/>
              </w:rPr>
              <w:t>2011-12</w:t>
            </w:r>
          </w:p>
        </w:tc>
      </w:tr>
      <w:tr w:rsidR="006235B9" w:rsidRPr="009460DF" w:rsidTr="00AB38B4">
        <w:tc>
          <w:tcPr>
            <w:tcW w:w="1958" w:type="pct"/>
            <w:tcBorders>
              <w:bottom w:val="single" w:sz="4" w:space="0" w:color="auto"/>
            </w:tcBorders>
            <w:vAlign w:val="bottom"/>
          </w:tcPr>
          <w:p w:rsidR="006235B9" w:rsidRPr="00265589" w:rsidRDefault="006235B9" w:rsidP="00AB38B4">
            <w:pPr>
              <w:pStyle w:val="TableBodyText"/>
              <w:jc w:val="left"/>
            </w:pPr>
            <w:r w:rsidRPr="00265589">
              <w:t>Aquaculture and fishing</w:t>
            </w:r>
          </w:p>
        </w:tc>
        <w:tc>
          <w:tcPr>
            <w:tcW w:w="507" w:type="pct"/>
            <w:tcBorders>
              <w:bottom w:val="single" w:sz="4" w:space="0" w:color="auto"/>
            </w:tcBorders>
            <w:vAlign w:val="bottom"/>
          </w:tcPr>
          <w:p w:rsidR="006235B9" w:rsidRPr="00265589" w:rsidRDefault="006235B9" w:rsidP="00AB38B4">
            <w:pPr>
              <w:pStyle w:val="TableBodyText"/>
            </w:pPr>
            <w:r w:rsidRPr="00265589">
              <w:t>65.9</w:t>
            </w:r>
          </w:p>
        </w:tc>
        <w:tc>
          <w:tcPr>
            <w:tcW w:w="507" w:type="pct"/>
            <w:tcBorders>
              <w:bottom w:val="single" w:sz="4" w:space="0" w:color="auto"/>
            </w:tcBorders>
            <w:vAlign w:val="bottom"/>
          </w:tcPr>
          <w:p w:rsidR="006235B9" w:rsidRPr="00265589" w:rsidRDefault="006235B9" w:rsidP="00AB38B4">
            <w:pPr>
              <w:pStyle w:val="TableBodyText"/>
            </w:pPr>
            <w:r w:rsidRPr="00265589">
              <w:t>67.8</w:t>
            </w:r>
          </w:p>
        </w:tc>
        <w:tc>
          <w:tcPr>
            <w:tcW w:w="507" w:type="pct"/>
            <w:tcBorders>
              <w:bottom w:val="single" w:sz="4" w:space="0" w:color="auto"/>
            </w:tcBorders>
            <w:vAlign w:val="bottom"/>
          </w:tcPr>
          <w:p w:rsidR="006235B9" w:rsidRPr="00265589" w:rsidRDefault="006235B9" w:rsidP="00AB38B4">
            <w:pPr>
              <w:pStyle w:val="TableBodyText"/>
            </w:pPr>
            <w:r>
              <w:noBreakHyphen/>
            </w:r>
          </w:p>
        </w:tc>
        <w:tc>
          <w:tcPr>
            <w:tcW w:w="507" w:type="pct"/>
            <w:tcBorders>
              <w:bottom w:val="single" w:sz="4" w:space="0" w:color="auto"/>
            </w:tcBorders>
            <w:vAlign w:val="bottom"/>
          </w:tcPr>
          <w:p w:rsidR="006235B9" w:rsidRPr="00265589" w:rsidRDefault="006235B9" w:rsidP="00AB38B4">
            <w:pPr>
              <w:pStyle w:val="TableBodyText"/>
            </w:pPr>
            <w:r>
              <w:noBreakHyphen/>
            </w:r>
          </w:p>
        </w:tc>
        <w:tc>
          <w:tcPr>
            <w:tcW w:w="507" w:type="pct"/>
            <w:tcBorders>
              <w:bottom w:val="single" w:sz="4" w:space="0" w:color="auto"/>
            </w:tcBorders>
            <w:shd w:val="clear" w:color="auto" w:fill="auto"/>
            <w:vAlign w:val="bottom"/>
          </w:tcPr>
          <w:p w:rsidR="006235B9" w:rsidRPr="00265589" w:rsidRDefault="006235B9" w:rsidP="00AB38B4">
            <w:pPr>
              <w:pStyle w:val="TableBodyText"/>
            </w:pPr>
            <w:r>
              <w:noBreakHyphen/>
            </w:r>
          </w:p>
        </w:tc>
        <w:tc>
          <w:tcPr>
            <w:tcW w:w="507" w:type="pct"/>
            <w:tcBorders>
              <w:bottom w:val="single" w:sz="4" w:space="0" w:color="auto"/>
            </w:tcBorders>
            <w:shd w:val="clear" w:color="auto" w:fill="auto"/>
            <w:vAlign w:val="bottom"/>
          </w:tcPr>
          <w:p w:rsidR="006235B9" w:rsidRPr="00265589" w:rsidRDefault="006235B9" w:rsidP="00AB38B4">
            <w:pPr>
              <w:pStyle w:val="TableBodyText"/>
            </w:pPr>
            <w:r>
              <w:noBreakHyphen/>
            </w:r>
          </w:p>
        </w:tc>
      </w:tr>
    </w:tbl>
    <w:p w:rsidR="006235B9" w:rsidRDefault="006235B9" w:rsidP="006235B9">
      <w:pPr>
        <w:pStyle w:val="Note"/>
      </w:pPr>
      <w:r w:rsidRPr="00A2379F">
        <w:noBreakHyphen/>
        <w:t xml:space="preserve"> Nil</w:t>
      </w:r>
      <w:r>
        <w:t>.</w:t>
      </w:r>
    </w:p>
    <w:p w:rsidR="006235B9" w:rsidRPr="008E77FE" w:rsidRDefault="006235B9" w:rsidP="006235B9">
      <w:pPr>
        <w:pStyle w:val="Source"/>
      </w:pPr>
      <w:r>
        <w:rPr>
          <w:i/>
        </w:rPr>
        <w:t>Source</w:t>
      </w:r>
      <w:r>
        <w:t>: Commission estimates based on Department of Environment and Water Resources Annual Report 2007</w:t>
      </w:r>
      <w:r>
        <w:noBreakHyphen/>
        <w:t>08 (and earlier years).</w:t>
      </w:r>
    </w:p>
    <w:p w:rsidR="0016686F" w:rsidRDefault="00FA09C3" w:rsidP="00594A1F">
      <w:pPr>
        <w:pStyle w:val="Heading2"/>
      </w:pPr>
      <w:r>
        <w:t>A.</w:t>
      </w:r>
      <w:r>
        <w:rPr>
          <w:noProof/>
        </w:rPr>
        <w:t>188</w:t>
      </w:r>
      <w:r w:rsidR="00594A1F">
        <w:tab/>
        <w:t>Australian Film Commission</w:t>
      </w:r>
    </w:p>
    <w:p w:rsidR="000D55F9" w:rsidRDefault="00594A1F" w:rsidP="00594A1F">
      <w:pPr>
        <w:pStyle w:val="BodyText"/>
      </w:pPr>
      <w:r>
        <w:t xml:space="preserve">The Australian Film Commission </w:t>
      </w:r>
      <w:r w:rsidR="00AA134D">
        <w:t xml:space="preserve">(AFC) </w:t>
      </w:r>
      <w:r>
        <w:t>aimed to encourage the making, promotion, distribution and exhibition of Australian films (Australian Film Commission Act 1975</w:t>
      </w:r>
      <w:r w:rsidR="00D12371">
        <w:t xml:space="preserve"> </w:t>
      </w:r>
      <w:r w:rsidR="00484171">
        <w:t>(</w:t>
      </w:r>
      <w:r w:rsidR="00D12371">
        <w:t>Cwlth</w:t>
      </w:r>
      <w:r w:rsidR="00484171">
        <w:t>)</w:t>
      </w:r>
      <w:r>
        <w:t>).</w:t>
      </w:r>
    </w:p>
    <w:p w:rsidR="001B1A6B" w:rsidRPr="00594A1F" w:rsidRDefault="001B1A6B" w:rsidP="00594A1F">
      <w:pPr>
        <w:pStyle w:val="BodyText"/>
      </w:pPr>
      <w:r>
        <w:t>In 2008, AFC was merged with AFFC and Film Australia to form Screen Australia.</w:t>
      </w:r>
    </w:p>
    <w:p w:rsidR="00AA134D" w:rsidRPr="00046054" w:rsidRDefault="00AA134D" w:rsidP="00AA134D">
      <w:pPr>
        <w:pStyle w:val="BodyText"/>
      </w:pPr>
      <w:r>
        <w:t xml:space="preserve">Funding for the AFC primarily benefited the film industry, which is part of the </w:t>
      </w:r>
      <w:r w:rsidRPr="00284657">
        <w:rPr>
          <w:i/>
        </w:rPr>
        <w:t>Arts and recreation services</w:t>
      </w:r>
      <w:r>
        <w:t xml:space="preserve"> industry grouping in the Commission’s ANZSIC-based classification (table A.18</w:t>
      </w:r>
      <w:r w:rsidR="00886F15">
        <w:t>8</w:t>
      </w:r>
      <w:r>
        <w:t>).</w:t>
      </w:r>
    </w:p>
    <w:p w:rsidR="00E411E3" w:rsidRDefault="00E411E3" w:rsidP="00E411E3">
      <w:pPr>
        <w:pStyle w:val="TableTitle"/>
      </w:pPr>
      <w:r>
        <w:rPr>
          <w:b w:val="0"/>
        </w:rPr>
        <w:t xml:space="preserve">Table </w:t>
      </w:r>
      <w:r w:rsidR="00FA09C3">
        <w:rPr>
          <w:b w:val="0"/>
        </w:rPr>
        <w:t>A.</w:t>
      </w:r>
      <w:r w:rsidR="00FA09C3">
        <w:rPr>
          <w:b w:val="0"/>
          <w:noProof/>
        </w:rPr>
        <w:t>188</w:t>
      </w:r>
      <w:r>
        <w:tab/>
        <w:t>Allocation of Australian Film Finance Corporation</w:t>
      </w:r>
      <w:r w:rsidR="00571E36" w:rsidRPr="00571E36">
        <w:t xml:space="preserve"> to industry</w:t>
      </w:r>
      <w:r>
        <w:t>, 2006</w:t>
      </w:r>
      <w:r>
        <w:noBreakHyphen/>
        <w:t>07 to 2011</w:t>
      </w:r>
      <w:r>
        <w:noBreakHyphen/>
        <w:t>12</w:t>
      </w:r>
    </w:p>
    <w:p w:rsidR="00E411E3" w:rsidRDefault="000E1A26" w:rsidP="00E411E3">
      <w:pPr>
        <w:pStyle w:val="Subtitle"/>
      </w:pPr>
      <w:r>
        <w:t>$ m</w:t>
      </w:r>
      <w:r w:rsidR="00E411E3">
        <w:t xml:space="preserve">illion (nominal) </w:t>
      </w:r>
    </w:p>
    <w:tbl>
      <w:tblPr>
        <w:tblW w:w="5000" w:type="pct"/>
        <w:tblCellMar>
          <w:left w:w="0" w:type="dxa"/>
          <w:right w:w="0" w:type="dxa"/>
        </w:tblCellMar>
        <w:tblLook w:val="0000" w:firstRow="0" w:lastRow="0" w:firstColumn="0" w:lastColumn="0" w:noHBand="0" w:noVBand="0"/>
      </w:tblPr>
      <w:tblGrid>
        <w:gridCol w:w="3445"/>
        <w:gridCol w:w="891"/>
        <w:gridCol w:w="891"/>
        <w:gridCol w:w="891"/>
        <w:gridCol w:w="891"/>
        <w:gridCol w:w="891"/>
        <w:gridCol w:w="889"/>
      </w:tblGrid>
      <w:tr w:rsidR="00E411E3" w:rsidRPr="00AF699A" w:rsidTr="00E411E3">
        <w:tc>
          <w:tcPr>
            <w:tcW w:w="1959" w:type="pct"/>
            <w:tcBorders>
              <w:top w:val="single" w:sz="6" w:space="0" w:color="auto"/>
              <w:bottom w:val="single" w:sz="6" w:space="0" w:color="auto"/>
            </w:tcBorders>
          </w:tcPr>
          <w:p w:rsidR="00E411E3" w:rsidRPr="00AF699A" w:rsidRDefault="00E411E3" w:rsidP="00AB38B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E411E3" w:rsidRPr="00AF699A" w:rsidRDefault="00E411E3"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E411E3" w:rsidRPr="00AF699A" w:rsidRDefault="00E411E3" w:rsidP="00AB38B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E411E3" w:rsidRPr="00AF699A" w:rsidRDefault="00E411E3" w:rsidP="00AB38B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E411E3" w:rsidRPr="00AF699A" w:rsidRDefault="00E411E3" w:rsidP="00AB38B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E411E3" w:rsidRPr="00AF699A" w:rsidRDefault="00E411E3" w:rsidP="00AB38B4">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E411E3" w:rsidRPr="00AF699A" w:rsidRDefault="00E411E3" w:rsidP="00AB38B4">
            <w:pPr>
              <w:pStyle w:val="TableColumnHeading"/>
              <w:ind w:right="28"/>
              <w:rPr>
                <w:rFonts w:cs="Arial"/>
                <w:sz w:val="18"/>
                <w:szCs w:val="18"/>
              </w:rPr>
            </w:pPr>
            <w:r w:rsidRPr="00AF699A">
              <w:rPr>
                <w:rFonts w:cs="Arial"/>
                <w:sz w:val="18"/>
                <w:szCs w:val="18"/>
              </w:rPr>
              <w:t>2011-12</w:t>
            </w:r>
          </w:p>
        </w:tc>
      </w:tr>
      <w:tr w:rsidR="00E411E3" w:rsidRPr="00ED2F02" w:rsidTr="00E411E3">
        <w:tc>
          <w:tcPr>
            <w:tcW w:w="1959" w:type="pct"/>
            <w:tcBorders>
              <w:bottom w:val="single" w:sz="4" w:space="0" w:color="auto"/>
            </w:tcBorders>
            <w:vAlign w:val="bottom"/>
          </w:tcPr>
          <w:p w:rsidR="00E411E3" w:rsidRDefault="00E411E3" w:rsidP="00AB38B4">
            <w:pPr>
              <w:pStyle w:val="TableBodyText"/>
              <w:jc w:val="left"/>
            </w:pPr>
            <w:r>
              <w:t>Arts and recreation services</w:t>
            </w:r>
          </w:p>
        </w:tc>
        <w:tc>
          <w:tcPr>
            <w:tcW w:w="507" w:type="pct"/>
            <w:tcBorders>
              <w:bottom w:val="single" w:sz="4" w:space="0" w:color="auto"/>
            </w:tcBorders>
            <w:vAlign w:val="bottom"/>
          </w:tcPr>
          <w:p w:rsidR="00E411E3" w:rsidRPr="00E411E3" w:rsidRDefault="00E411E3" w:rsidP="00E411E3">
            <w:pPr>
              <w:pStyle w:val="TableBodyText"/>
            </w:pPr>
            <w:r w:rsidRPr="00E411E3">
              <w:t>52.</w:t>
            </w:r>
            <w:r>
              <w:t>4</w:t>
            </w:r>
          </w:p>
        </w:tc>
        <w:tc>
          <w:tcPr>
            <w:tcW w:w="507" w:type="pct"/>
            <w:tcBorders>
              <w:bottom w:val="single" w:sz="4" w:space="0" w:color="auto"/>
            </w:tcBorders>
            <w:vAlign w:val="bottom"/>
          </w:tcPr>
          <w:p w:rsidR="00E411E3" w:rsidRPr="00E411E3" w:rsidRDefault="00E411E3" w:rsidP="00E411E3">
            <w:pPr>
              <w:pStyle w:val="TableBodyText"/>
            </w:pPr>
            <w:r w:rsidRPr="00E411E3">
              <w:t>5</w:t>
            </w:r>
            <w:r>
              <w:t>3</w:t>
            </w:r>
            <w:r w:rsidRPr="00E411E3">
              <w:t>.</w:t>
            </w:r>
            <w:r>
              <w:t>0</w:t>
            </w:r>
          </w:p>
        </w:tc>
        <w:tc>
          <w:tcPr>
            <w:tcW w:w="507" w:type="pct"/>
            <w:tcBorders>
              <w:bottom w:val="single" w:sz="4" w:space="0" w:color="auto"/>
            </w:tcBorders>
            <w:vAlign w:val="bottom"/>
          </w:tcPr>
          <w:p w:rsidR="00E411E3" w:rsidRDefault="00E411E3" w:rsidP="00AB38B4">
            <w:pPr>
              <w:pStyle w:val="TableBodyText"/>
            </w:pPr>
            <w:r>
              <w:noBreakHyphen/>
            </w:r>
          </w:p>
        </w:tc>
        <w:tc>
          <w:tcPr>
            <w:tcW w:w="507" w:type="pct"/>
            <w:tcBorders>
              <w:bottom w:val="single" w:sz="4" w:space="0" w:color="auto"/>
            </w:tcBorders>
            <w:vAlign w:val="bottom"/>
          </w:tcPr>
          <w:p w:rsidR="00E411E3" w:rsidRDefault="00E411E3" w:rsidP="00AB38B4">
            <w:pPr>
              <w:pStyle w:val="TableBodyText"/>
            </w:pPr>
            <w:r>
              <w:noBreakHyphen/>
            </w:r>
          </w:p>
        </w:tc>
        <w:tc>
          <w:tcPr>
            <w:tcW w:w="507" w:type="pct"/>
            <w:tcBorders>
              <w:bottom w:val="single" w:sz="4" w:space="0" w:color="auto"/>
            </w:tcBorders>
            <w:shd w:val="clear" w:color="auto" w:fill="auto"/>
            <w:vAlign w:val="bottom"/>
          </w:tcPr>
          <w:p w:rsidR="00E411E3" w:rsidRDefault="00E411E3" w:rsidP="00AB38B4">
            <w:pPr>
              <w:pStyle w:val="TableBodyText"/>
            </w:pPr>
            <w:r>
              <w:noBreakHyphen/>
            </w:r>
          </w:p>
        </w:tc>
        <w:tc>
          <w:tcPr>
            <w:tcW w:w="507" w:type="pct"/>
            <w:tcBorders>
              <w:bottom w:val="single" w:sz="4" w:space="0" w:color="auto"/>
            </w:tcBorders>
            <w:shd w:val="clear" w:color="auto" w:fill="auto"/>
            <w:vAlign w:val="bottom"/>
          </w:tcPr>
          <w:p w:rsidR="00E411E3" w:rsidRDefault="00E411E3" w:rsidP="00AB38B4">
            <w:pPr>
              <w:pStyle w:val="TableBodyText"/>
            </w:pPr>
            <w:r>
              <w:noBreakHyphen/>
            </w:r>
          </w:p>
        </w:tc>
      </w:tr>
    </w:tbl>
    <w:p w:rsidR="00E411E3" w:rsidRDefault="00E411E3" w:rsidP="00E411E3">
      <w:pPr>
        <w:pStyle w:val="Note"/>
      </w:pPr>
      <w:r w:rsidRPr="00A2379F">
        <w:noBreakHyphen/>
        <w:t xml:space="preserve"> Nil</w:t>
      </w:r>
      <w:r>
        <w:t>.</w:t>
      </w:r>
    </w:p>
    <w:p w:rsidR="00E411E3" w:rsidRPr="008E77FE" w:rsidRDefault="00E411E3" w:rsidP="00E411E3">
      <w:pPr>
        <w:pStyle w:val="Source"/>
      </w:pPr>
      <w:r>
        <w:rPr>
          <w:i/>
        </w:rPr>
        <w:t>Source</w:t>
      </w:r>
      <w:r>
        <w:t>: Commission estimates based on Department of Communications, Information Technology and the Arts Portfolio Budget Statements 2007</w:t>
      </w:r>
      <w:r>
        <w:noBreakHyphen/>
        <w:t>08.</w:t>
      </w:r>
    </w:p>
    <w:p w:rsidR="00746734" w:rsidRDefault="00FA09C3" w:rsidP="00746734">
      <w:pPr>
        <w:pStyle w:val="Heading2"/>
      </w:pPr>
      <w:r>
        <w:t>A.</w:t>
      </w:r>
      <w:r>
        <w:rPr>
          <w:noProof/>
        </w:rPr>
        <w:t>189</w:t>
      </w:r>
      <w:r w:rsidR="00746734">
        <w:tab/>
        <w:t>International Food and Agricultural Service</w:t>
      </w:r>
    </w:p>
    <w:p w:rsidR="00746734" w:rsidRDefault="00746734" w:rsidP="00746734">
      <w:pPr>
        <w:pStyle w:val="BodyText"/>
      </w:pPr>
      <w:r>
        <w:t>Through the International Food and Agricultural Service (IFAS), DAFF</w:t>
      </w:r>
      <w:r w:rsidRPr="003864C6">
        <w:t xml:space="preserve"> work</w:t>
      </w:r>
      <w:r>
        <w:t>ed</w:t>
      </w:r>
      <w:r w:rsidRPr="003864C6">
        <w:t xml:space="preserve"> with industry and trading partners </w:t>
      </w:r>
      <w:r>
        <w:t xml:space="preserve">in an effort </w:t>
      </w:r>
      <w:r w:rsidRPr="003864C6">
        <w:t xml:space="preserve">to open new markets, maintain existing </w:t>
      </w:r>
      <w:r>
        <w:t>markets</w:t>
      </w:r>
      <w:r w:rsidRPr="003864C6">
        <w:t>, reduce trade distortions, reduce plant and animal disease risks, and develop international trade standards</w:t>
      </w:r>
      <w:r>
        <w:t xml:space="preserve"> (</w:t>
      </w:r>
      <w:r w:rsidRPr="00C305B5">
        <w:t>DAFF 2008</w:t>
      </w:r>
      <w:r>
        <w:t>). Key priorities under IFAS were to:</w:t>
      </w:r>
    </w:p>
    <w:p w:rsidR="00746734" w:rsidRPr="00600940" w:rsidRDefault="00746734" w:rsidP="00746734">
      <w:pPr>
        <w:pStyle w:val="ListBullet"/>
      </w:pPr>
      <w:r>
        <w:t>m</w:t>
      </w:r>
      <w:r w:rsidRPr="00600940">
        <w:t>aximise trade opportunities from multilateral agreements, ensure that Australia receives full benefit from World Trade Organization agreements, protect Australia’s interests in agriculture-related disputes, participate in the Doha Round of negotiations, and prioritise portfolio industries’ interests in Australia’s negotiating positions</w:t>
      </w:r>
      <w:r>
        <w:t>;</w:t>
      </w:r>
    </w:p>
    <w:p w:rsidR="00746734" w:rsidRPr="00600940" w:rsidRDefault="00746734" w:rsidP="00746734">
      <w:pPr>
        <w:pStyle w:val="ListBullet"/>
      </w:pPr>
      <w:r>
        <w:t>m</w:t>
      </w:r>
      <w:r w:rsidRPr="00600940">
        <w:t xml:space="preserve">aximise trade opportunities from existing regional and bilateral trade agreements, negotiate new </w:t>
      </w:r>
      <w:r>
        <w:t>trade agreements</w:t>
      </w:r>
      <w:r w:rsidRPr="00600940">
        <w:t>, and support feasibility studies for proposed FTAs</w:t>
      </w:r>
      <w:r>
        <w:t>;</w:t>
      </w:r>
    </w:p>
    <w:p w:rsidR="00746734" w:rsidRPr="00600940" w:rsidRDefault="00746734" w:rsidP="00746734">
      <w:pPr>
        <w:pStyle w:val="ListBullet"/>
      </w:pPr>
      <w:r>
        <w:t>c</w:t>
      </w:r>
      <w:r w:rsidRPr="00600940">
        <w:t>ontribute to international standard-setting through relevant international organisations and encourage the adoption of standards that facilitate trade in Australian products</w:t>
      </w:r>
      <w:r>
        <w:t>; and</w:t>
      </w:r>
    </w:p>
    <w:p w:rsidR="00746734" w:rsidRPr="00600940" w:rsidRDefault="00746734" w:rsidP="00746734">
      <w:pPr>
        <w:pStyle w:val="ListBullet"/>
      </w:pPr>
      <w:r>
        <w:t>i</w:t>
      </w:r>
      <w:r w:rsidRPr="00600940">
        <w:t>dentify and target bilateral market access opportunities or threats and collaborate with stakeholders to overcome technical barriers to trade.</w:t>
      </w:r>
    </w:p>
    <w:p w:rsidR="00746734" w:rsidRDefault="00746734" w:rsidP="00746734">
      <w:pPr>
        <w:pStyle w:val="BodyText"/>
      </w:pPr>
      <w:r>
        <w:t>I</w:t>
      </w:r>
      <w:r w:rsidRPr="00D55C73">
        <w:t>nformation on the industry incidence of th</w:t>
      </w:r>
      <w:r>
        <w:t>e</w:t>
      </w:r>
      <w:r w:rsidRPr="00D55C73">
        <w:t xml:space="preserve"> </w:t>
      </w:r>
      <w:r>
        <w:t>program</w:t>
      </w:r>
      <w:r w:rsidRPr="00D55C73">
        <w:t xml:space="preserve"> </w:t>
      </w:r>
      <w:r>
        <w:t xml:space="preserve">has not been readily available. Accordingly, the budget outlay has been classified to the </w:t>
      </w:r>
      <w:r w:rsidRPr="00D55C73">
        <w:rPr>
          <w:i/>
        </w:rPr>
        <w:t>Unallocated other</w:t>
      </w:r>
      <w:r w:rsidRPr="00D55C73">
        <w:t xml:space="preserve"> industry grouping </w:t>
      </w:r>
      <w:r>
        <w:t xml:space="preserve">in the Commission’s ANZSIC-based classification </w:t>
      </w:r>
      <w:r w:rsidRPr="00D55C73">
        <w:t>(table</w:t>
      </w:r>
      <w:r>
        <w:t> </w:t>
      </w:r>
      <w:r w:rsidRPr="00D55C73">
        <w:t>A.</w:t>
      </w:r>
      <w:r>
        <w:t>18</w:t>
      </w:r>
      <w:r w:rsidR="00886F15">
        <w:t>9</w:t>
      </w:r>
      <w:r w:rsidRPr="00D55C73">
        <w:t>)</w:t>
      </w:r>
      <w:r>
        <w:t>.</w:t>
      </w:r>
    </w:p>
    <w:p w:rsidR="00746734" w:rsidRDefault="00746734" w:rsidP="00746734">
      <w:pPr>
        <w:pStyle w:val="TableTitle"/>
      </w:pPr>
      <w:r>
        <w:rPr>
          <w:b w:val="0"/>
        </w:rPr>
        <w:t xml:space="preserve">Table </w:t>
      </w:r>
      <w:r w:rsidR="00FA09C3">
        <w:rPr>
          <w:b w:val="0"/>
        </w:rPr>
        <w:t>A.</w:t>
      </w:r>
      <w:r w:rsidR="00FA09C3">
        <w:rPr>
          <w:b w:val="0"/>
          <w:noProof/>
        </w:rPr>
        <w:t>189</w:t>
      </w:r>
      <w:r>
        <w:tab/>
        <w:t>Allocation of International Food and Agricultural Service</w:t>
      </w:r>
      <w:r w:rsidR="00571E36" w:rsidRPr="00571E36">
        <w:t xml:space="preserve"> to industry</w:t>
      </w:r>
      <w:r>
        <w:t>, 2006</w:t>
      </w:r>
      <w:r>
        <w:noBreakHyphen/>
        <w:t>07 to 2011</w:t>
      </w:r>
      <w:r>
        <w:noBreakHyphen/>
        <w:t>12</w:t>
      </w:r>
    </w:p>
    <w:p w:rsidR="00746734" w:rsidRDefault="00746734" w:rsidP="00746734">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746734" w:rsidRPr="00AF699A" w:rsidTr="00AB38B4">
        <w:tc>
          <w:tcPr>
            <w:tcW w:w="1960" w:type="pct"/>
            <w:tcBorders>
              <w:top w:val="single" w:sz="6" w:space="0" w:color="auto"/>
              <w:bottom w:val="single" w:sz="6" w:space="0" w:color="auto"/>
            </w:tcBorders>
          </w:tcPr>
          <w:p w:rsidR="00746734" w:rsidRPr="00AF699A" w:rsidRDefault="00746734" w:rsidP="00AB38B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746734" w:rsidRPr="00AF699A" w:rsidRDefault="00746734"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746734" w:rsidRPr="00AF699A" w:rsidRDefault="00746734" w:rsidP="00AB38B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746734" w:rsidRPr="00AF699A" w:rsidRDefault="00746734" w:rsidP="00AB38B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746734" w:rsidRPr="00AF699A" w:rsidRDefault="00746734" w:rsidP="00AB38B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746734" w:rsidRPr="00AF699A" w:rsidRDefault="00746734" w:rsidP="00AB38B4">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746734" w:rsidRPr="00AF699A" w:rsidRDefault="00746734" w:rsidP="00AB38B4">
            <w:pPr>
              <w:pStyle w:val="TableColumnHeading"/>
              <w:ind w:right="28"/>
              <w:rPr>
                <w:rFonts w:cs="Arial"/>
                <w:sz w:val="18"/>
                <w:szCs w:val="18"/>
              </w:rPr>
            </w:pPr>
            <w:r w:rsidRPr="00AF699A">
              <w:rPr>
                <w:rFonts w:cs="Arial"/>
                <w:sz w:val="18"/>
                <w:szCs w:val="18"/>
              </w:rPr>
              <w:t>2011-12</w:t>
            </w:r>
          </w:p>
        </w:tc>
      </w:tr>
      <w:tr w:rsidR="00746734" w:rsidRPr="006C5A80" w:rsidTr="00AB38B4">
        <w:tc>
          <w:tcPr>
            <w:tcW w:w="1960" w:type="pct"/>
            <w:tcBorders>
              <w:bottom w:val="single" w:sz="4" w:space="0" w:color="auto"/>
            </w:tcBorders>
            <w:vAlign w:val="bottom"/>
          </w:tcPr>
          <w:p w:rsidR="00746734" w:rsidRPr="00C944BA" w:rsidRDefault="00746734" w:rsidP="00AB38B4">
            <w:pPr>
              <w:pStyle w:val="TableBodyText"/>
              <w:jc w:val="left"/>
            </w:pPr>
            <w:r>
              <w:t>Unallocated other</w:t>
            </w:r>
            <w:r w:rsidRPr="00A74BCE">
              <w:rPr>
                <w:rStyle w:val="NoteLabel"/>
                <w:szCs w:val="18"/>
              </w:rPr>
              <w:t>a</w:t>
            </w:r>
          </w:p>
        </w:tc>
        <w:tc>
          <w:tcPr>
            <w:tcW w:w="507" w:type="pct"/>
            <w:tcBorders>
              <w:bottom w:val="single" w:sz="4" w:space="0" w:color="auto"/>
            </w:tcBorders>
            <w:vAlign w:val="bottom"/>
          </w:tcPr>
          <w:p w:rsidR="00746734" w:rsidRPr="00F567A8" w:rsidRDefault="00746734" w:rsidP="00AB38B4">
            <w:pPr>
              <w:pStyle w:val="TableBodyText"/>
            </w:pPr>
            <w:r w:rsidRPr="00F567A8">
              <w:t>30.5</w:t>
            </w:r>
          </w:p>
        </w:tc>
        <w:tc>
          <w:tcPr>
            <w:tcW w:w="507" w:type="pct"/>
            <w:tcBorders>
              <w:bottom w:val="single" w:sz="4" w:space="0" w:color="auto"/>
            </w:tcBorders>
            <w:vAlign w:val="bottom"/>
          </w:tcPr>
          <w:p w:rsidR="00746734" w:rsidRPr="00F567A8" w:rsidRDefault="00746734" w:rsidP="00AB38B4">
            <w:pPr>
              <w:pStyle w:val="TableBodyText"/>
            </w:pPr>
            <w:r w:rsidRPr="00F567A8">
              <w:t>36.7</w:t>
            </w:r>
          </w:p>
        </w:tc>
        <w:tc>
          <w:tcPr>
            <w:tcW w:w="507" w:type="pct"/>
            <w:tcBorders>
              <w:bottom w:val="single" w:sz="4" w:space="0" w:color="auto"/>
            </w:tcBorders>
            <w:vAlign w:val="bottom"/>
          </w:tcPr>
          <w:p w:rsidR="00746734" w:rsidRPr="00F567A8" w:rsidRDefault="00746734" w:rsidP="00AB38B4">
            <w:pPr>
              <w:pStyle w:val="TableBodyText"/>
            </w:pPr>
            <w:r>
              <w:noBreakHyphen/>
            </w:r>
          </w:p>
        </w:tc>
        <w:tc>
          <w:tcPr>
            <w:tcW w:w="507" w:type="pct"/>
            <w:tcBorders>
              <w:bottom w:val="single" w:sz="4" w:space="0" w:color="auto"/>
            </w:tcBorders>
            <w:vAlign w:val="bottom"/>
          </w:tcPr>
          <w:p w:rsidR="00746734" w:rsidRPr="00F567A8" w:rsidRDefault="00746734" w:rsidP="00AB38B4">
            <w:pPr>
              <w:pStyle w:val="TableBodyText"/>
            </w:pPr>
            <w:r>
              <w:noBreakHyphen/>
            </w:r>
          </w:p>
        </w:tc>
        <w:tc>
          <w:tcPr>
            <w:tcW w:w="507" w:type="pct"/>
            <w:tcBorders>
              <w:bottom w:val="single" w:sz="4" w:space="0" w:color="auto"/>
            </w:tcBorders>
            <w:shd w:val="clear" w:color="auto" w:fill="auto"/>
            <w:vAlign w:val="bottom"/>
          </w:tcPr>
          <w:p w:rsidR="00746734" w:rsidRPr="00F567A8" w:rsidRDefault="00746734" w:rsidP="00AB38B4">
            <w:pPr>
              <w:pStyle w:val="TableBodyText"/>
            </w:pPr>
            <w:r>
              <w:noBreakHyphen/>
            </w:r>
          </w:p>
        </w:tc>
        <w:tc>
          <w:tcPr>
            <w:tcW w:w="505" w:type="pct"/>
            <w:tcBorders>
              <w:bottom w:val="single" w:sz="4" w:space="0" w:color="auto"/>
            </w:tcBorders>
            <w:shd w:val="clear" w:color="auto" w:fill="auto"/>
            <w:vAlign w:val="bottom"/>
          </w:tcPr>
          <w:p w:rsidR="00746734" w:rsidRPr="00F567A8" w:rsidRDefault="00746734" w:rsidP="00AB38B4">
            <w:pPr>
              <w:pStyle w:val="TableBodyText"/>
            </w:pPr>
            <w:r>
              <w:noBreakHyphen/>
            </w:r>
          </w:p>
        </w:tc>
      </w:tr>
    </w:tbl>
    <w:p w:rsidR="00746734" w:rsidRPr="00F60026" w:rsidRDefault="00746734" w:rsidP="00746734">
      <w:pPr>
        <w:pStyle w:val="Source"/>
        <w:spacing w:after="0"/>
        <w:rPr>
          <w:i/>
        </w:rPr>
      </w:pPr>
      <w:r w:rsidRPr="00A2379F">
        <w:noBreakHyphen/>
        <w:t xml:space="preserve"> </w:t>
      </w:r>
      <w:r>
        <w:t>Nil</w:t>
      </w:r>
      <w:r w:rsidRPr="00A2379F">
        <w:t>.</w:t>
      </w:r>
      <w:r w:rsidRPr="00B1392F">
        <w:t xml:space="preserve"> </w:t>
      </w:r>
      <w:r w:rsidRPr="009B56F1">
        <w:rPr>
          <w:rStyle w:val="NoteLabel"/>
        </w:rPr>
        <w:t>a</w:t>
      </w:r>
      <w:r w:rsidRPr="009B56F1">
        <w:t xml:space="preserve"> Unallocated includes general programs where detai</w:t>
      </w:r>
      <w:r>
        <w:t>ls of beneficiaries are unknown.</w:t>
      </w:r>
    </w:p>
    <w:p w:rsidR="00746734" w:rsidRDefault="00746734" w:rsidP="00746734">
      <w:pPr>
        <w:pStyle w:val="Source"/>
      </w:pPr>
      <w:r>
        <w:rPr>
          <w:i/>
        </w:rPr>
        <w:t>Source</w:t>
      </w:r>
      <w:r>
        <w:t>: Commission estimates based on DAFF Portfolio Budget Statements 2008</w:t>
      </w:r>
      <w:r>
        <w:noBreakHyphen/>
        <w:t>09 (and earlier years).</w:t>
      </w:r>
    </w:p>
    <w:p w:rsidR="006156BE" w:rsidRPr="006156BE" w:rsidRDefault="006156BE" w:rsidP="006156BE">
      <w:r>
        <w:br w:type="page"/>
      </w:r>
    </w:p>
    <w:p w:rsidR="000E0103" w:rsidRDefault="00FA09C3" w:rsidP="000E0103">
      <w:pPr>
        <w:pStyle w:val="Heading2"/>
      </w:pPr>
      <w:r>
        <w:t>A.</w:t>
      </w:r>
      <w:r>
        <w:rPr>
          <w:noProof/>
        </w:rPr>
        <w:t>190</w:t>
      </w:r>
      <w:r w:rsidR="000E0103">
        <w:tab/>
        <w:t>Investment Incentives to H</w:t>
      </w:r>
      <w:r w:rsidR="00481DE5">
        <w:t>I</w:t>
      </w:r>
      <w:r w:rsidR="000E0103">
        <w:t>smelt – grant</w:t>
      </w:r>
    </w:p>
    <w:p w:rsidR="000E0103" w:rsidRDefault="000E0103" w:rsidP="000E0103">
      <w:pPr>
        <w:pStyle w:val="BodyText"/>
      </w:pPr>
      <w:r>
        <w:t xml:space="preserve">In 2002, the Australian Government announced an investment incentive offer to Rio Tinto for its HIsmelt project — a proposed $1.2 billion iron ore processing plant to be located in Kwinana, Western Australia </w:t>
      </w:r>
      <w:r w:rsidRPr="0027196F">
        <w:t>(Macfarlane </w:t>
      </w:r>
      <w:r w:rsidRPr="0021431D">
        <w:t>2002</w:t>
      </w:r>
      <w:r w:rsidRPr="00534ADB">
        <w:t>)</w:t>
      </w:r>
      <w:r>
        <w:t>. The Australian Government noted that Rio Tinto had considered the United States as an alternative location for building the HIsmelt plant and the investment incentive was intended to induce the commercialisation of the iron ore processing technology in Australia rather than overseas.</w:t>
      </w:r>
    </w:p>
    <w:p w:rsidR="000E0103" w:rsidRPr="00107F3E" w:rsidRDefault="000E0103" w:rsidP="000E0103">
      <w:pPr>
        <w:pStyle w:val="BodyText"/>
      </w:pPr>
      <w:r>
        <w:t xml:space="preserve">Funding has been allocated to the </w:t>
      </w:r>
      <w:r w:rsidRPr="001E3FD5">
        <w:rPr>
          <w:i/>
        </w:rPr>
        <w:t>Metal and fabricated metal products</w:t>
      </w:r>
      <w:r>
        <w:t xml:space="preserve"> industry grouping in the Commission’s ANZSIC-based classification (table A.1</w:t>
      </w:r>
      <w:r w:rsidR="005F1778">
        <w:t>90</w:t>
      </w:r>
      <w:r>
        <w:t>).</w:t>
      </w:r>
    </w:p>
    <w:p w:rsidR="000E0103" w:rsidRDefault="000E0103" w:rsidP="000E0103">
      <w:pPr>
        <w:pStyle w:val="TableTitle"/>
      </w:pPr>
      <w:r>
        <w:rPr>
          <w:b w:val="0"/>
        </w:rPr>
        <w:t xml:space="preserve">Table </w:t>
      </w:r>
      <w:r w:rsidR="00FA09C3">
        <w:rPr>
          <w:b w:val="0"/>
        </w:rPr>
        <w:t>A.</w:t>
      </w:r>
      <w:r w:rsidR="00FA09C3">
        <w:rPr>
          <w:b w:val="0"/>
          <w:noProof/>
        </w:rPr>
        <w:t>190</w:t>
      </w:r>
      <w:r>
        <w:tab/>
        <w:t>Allocation of Investment Incentives to H</w:t>
      </w:r>
      <w:r w:rsidR="0002477A">
        <w:t>I</w:t>
      </w:r>
      <w:r>
        <w:t>smelt – grant</w:t>
      </w:r>
      <w:r w:rsidR="00571E36" w:rsidRPr="00571E36">
        <w:t xml:space="preserve"> to industry</w:t>
      </w:r>
      <w:r>
        <w:t>, 2006</w:t>
      </w:r>
      <w:r>
        <w:noBreakHyphen/>
        <w:t>07 to 2011</w:t>
      </w:r>
      <w:r>
        <w:noBreakHyphen/>
        <w:t>12</w:t>
      </w:r>
    </w:p>
    <w:p w:rsidR="000E0103" w:rsidRDefault="000E1A26" w:rsidP="000E0103">
      <w:pPr>
        <w:pStyle w:val="Subtitle"/>
      </w:pPr>
      <w:r>
        <w:t>$ m</w:t>
      </w:r>
      <w:r w:rsidR="000E0103">
        <w:t xml:space="preserve">illion (nominal) </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C7788D" w:rsidRPr="00AF699A" w:rsidTr="001E3FD5">
        <w:tc>
          <w:tcPr>
            <w:tcW w:w="1958" w:type="pct"/>
            <w:tcBorders>
              <w:top w:val="single" w:sz="6" w:space="0" w:color="auto"/>
              <w:bottom w:val="single" w:sz="6" w:space="0" w:color="auto"/>
            </w:tcBorders>
          </w:tcPr>
          <w:p w:rsidR="00C7788D" w:rsidRPr="00AF699A" w:rsidRDefault="00C7788D" w:rsidP="00AB38B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C7788D" w:rsidRPr="00AF699A" w:rsidRDefault="00C7788D"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C7788D" w:rsidRPr="00AF699A" w:rsidRDefault="00C7788D" w:rsidP="00AB38B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C7788D" w:rsidRPr="00AF699A" w:rsidRDefault="00C7788D" w:rsidP="00AB38B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C7788D" w:rsidRPr="00AF699A" w:rsidRDefault="00C7788D" w:rsidP="00AB38B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C7788D" w:rsidRPr="00AF699A" w:rsidRDefault="00C7788D" w:rsidP="00AB38B4">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C7788D" w:rsidRPr="00AF699A" w:rsidRDefault="00C7788D" w:rsidP="00AB38B4">
            <w:pPr>
              <w:pStyle w:val="TableColumnHeading"/>
              <w:ind w:right="28"/>
              <w:rPr>
                <w:rFonts w:cs="Arial"/>
                <w:sz w:val="18"/>
                <w:szCs w:val="18"/>
              </w:rPr>
            </w:pPr>
            <w:r w:rsidRPr="00AF699A">
              <w:rPr>
                <w:rFonts w:cs="Arial"/>
                <w:sz w:val="18"/>
                <w:szCs w:val="18"/>
              </w:rPr>
              <w:t>2011-12</w:t>
            </w:r>
          </w:p>
        </w:tc>
      </w:tr>
      <w:tr w:rsidR="00C7788D" w:rsidRPr="00EB51A6" w:rsidTr="001E3FD5">
        <w:tc>
          <w:tcPr>
            <w:tcW w:w="1958" w:type="pct"/>
            <w:tcBorders>
              <w:bottom w:val="single" w:sz="4" w:space="0" w:color="auto"/>
            </w:tcBorders>
            <w:vAlign w:val="bottom"/>
          </w:tcPr>
          <w:p w:rsidR="00C7788D" w:rsidRPr="00BD3EA5" w:rsidRDefault="00C7788D" w:rsidP="00AB38B4">
            <w:pPr>
              <w:pStyle w:val="TableBodyText"/>
              <w:jc w:val="left"/>
            </w:pPr>
            <w:r w:rsidRPr="00BD3EA5">
              <w:t>Metal and fabricated metal products</w:t>
            </w:r>
          </w:p>
        </w:tc>
        <w:tc>
          <w:tcPr>
            <w:tcW w:w="507" w:type="pct"/>
            <w:tcBorders>
              <w:bottom w:val="single" w:sz="4" w:space="0" w:color="auto"/>
            </w:tcBorders>
            <w:vAlign w:val="bottom"/>
          </w:tcPr>
          <w:p w:rsidR="00C7788D" w:rsidRPr="00BD3EA5" w:rsidRDefault="00C7788D" w:rsidP="00AB38B4">
            <w:pPr>
              <w:pStyle w:val="TableBodyText"/>
            </w:pPr>
            <w:r w:rsidRPr="00BD3EA5">
              <w:t>55.0</w:t>
            </w:r>
          </w:p>
        </w:tc>
        <w:tc>
          <w:tcPr>
            <w:tcW w:w="507" w:type="pct"/>
            <w:tcBorders>
              <w:bottom w:val="single" w:sz="4" w:space="0" w:color="auto"/>
            </w:tcBorders>
            <w:vAlign w:val="bottom"/>
          </w:tcPr>
          <w:p w:rsidR="00C7788D" w:rsidRPr="00BD3EA5" w:rsidRDefault="00C7788D" w:rsidP="00AB38B4">
            <w:pPr>
              <w:pStyle w:val="TableBodyText"/>
            </w:pPr>
            <w:r w:rsidRPr="00BD3EA5">
              <w:t>20.0</w:t>
            </w:r>
          </w:p>
        </w:tc>
        <w:tc>
          <w:tcPr>
            <w:tcW w:w="507" w:type="pct"/>
            <w:tcBorders>
              <w:bottom w:val="single" w:sz="4" w:space="0" w:color="auto"/>
            </w:tcBorders>
            <w:vAlign w:val="bottom"/>
          </w:tcPr>
          <w:p w:rsidR="00C7788D" w:rsidRPr="00BD3EA5" w:rsidRDefault="00C7788D" w:rsidP="00AB38B4">
            <w:pPr>
              <w:pStyle w:val="TableBodyText"/>
            </w:pPr>
            <w:r>
              <w:noBreakHyphen/>
            </w:r>
          </w:p>
        </w:tc>
        <w:tc>
          <w:tcPr>
            <w:tcW w:w="507" w:type="pct"/>
            <w:tcBorders>
              <w:bottom w:val="single" w:sz="4" w:space="0" w:color="auto"/>
            </w:tcBorders>
            <w:vAlign w:val="bottom"/>
          </w:tcPr>
          <w:p w:rsidR="00C7788D" w:rsidRPr="00BD3EA5" w:rsidRDefault="00C7788D" w:rsidP="00AB38B4">
            <w:pPr>
              <w:pStyle w:val="TableBodyText"/>
            </w:pPr>
            <w:r>
              <w:noBreakHyphen/>
            </w:r>
          </w:p>
        </w:tc>
        <w:tc>
          <w:tcPr>
            <w:tcW w:w="507" w:type="pct"/>
            <w:tcBorders>
              <w:bottom w:val="single" w:sz="4" w:space="0" w:color="auto"/>
            </w:tcBorders>
            <w:shd w:val="clear" w:color="auto" w:fill="auto"/>
            <w:vAlign w:val="bottom"/>
          </w:tcPr>
          <w:p w:rsidR="00C7788D" w:rsidRPr="00BD3EA5" w:rsidRDefault="00C7788D" w:rsidP="00AB38B4">
            <w:pPr>
              <w:pStyle w:val="TableBodyText"/>
            </w:pPr>
            <w:r>
              <w:noBreakHyphen/>
            </w:r>
          </w:p>
        </w:tc>
        <w:tc>
          <w:tcPr>
            <w:tcW w:w="507" w:type="pct"/>
            <w:tcBorders>
              <w:bottom w:val="single" w:sz="4" w:space="0" w:color="auto"/>
            </w:tcBorders>
            <w:shd w:val="clear" w:color="auto" w:fill="auto"/>
            <w:vAlign w:val="bottom"/>
          </w:tcPr>
          <w:p w:rsidR="00C7788D" w:rsidRPr="00BD3EA5" w:rsidRDefault="00C7788D" w:rsidP="00AB38B4">
            <w:pPr>
              <w:pStyle w:val="TableBodyText"/>
            </w:pPr>
            <w:r>
              <w:noBreakHyphen/>
            </w:r>
          </w:p>
        </w:tc>
      </w:tr>
    </w:tbl>
    <w:p w:rsidR="000E0103" w:rsidRDefault="000E0103" w:rsidP="000E0103">
      <w:pPr>
        <w:pStyle w:val="Note"/>
      </w:pPr>
      <w:r w:rsidRPr="00A2379F">
        <w:noBreakHyphen/>
        <w:t xml:space="preserve"> Nil</w:t>
      </w:r>
      <w:r>
        <w:t>.</w:t>
      </w:r>
    </w:p>
    <w:p w:rsidR="000E0103" w:rsidRPr="008E77FE" w:rsidRDefault="000E0103" w:rsidP="000E0103">
      <w:pPr>
        <w:pStyle w:val="Source"/>
      </w:pPr>
      <w:r>
        <w:rPr>
          <w:i/>
        </w:rPr>
        <w:t>Sources</w:t>
      </w:r>
      <w:r>
        <w:t>: Commission estimates based on Department of Resources, Energy and Tourism Annual Report 2007</w:t>
      </w:r>
      <w:r>
        <w:noBreakHyphen/>
        <w:t>08; and Department of Industry, Tourism and Resources Portfolio Budget Statements 2007</w:t>
      </w:r>
      <w:r>
        <w:noBreakHyphen/>
        <w:t>08.</w:t>
      </w:r>
    </w:p>
    <w:p w:rsidR="00EE1C75" w:rsidRDefault="00FA09C3" w:rsidP="00B367E7">
      <w:pPr>
        <w:pStyle w:val="Heading2"/>
      </w:pPr>
      <w:r>
        <w:t>A.</w:t>
      </w:r>
      <w:r>
        <w:rPr>
          <w:noProof/>
        </w:rPr>
        <w:t>191</w:t>
      </w:r>
      <w:r w:rsidR="00B367E7">
        <w:tab/>
        <w:t>Film Australia</w:t>
      </w:r>
    </w:p>
    <w:p w:rsidR="000D55F9" w:rsidRDefault="00086891" w:rsidP="00B367E7">
      <w:pPr>
        <w:pStyle w:val="BodyText"/>
      </w:pPr>
      <w:r>
        <w:t xml:space="preserve">Film Australia was an Australian Government owned company, whose mission was to create an audiovisual record of Australia. From July 2008, Film Australia, along with the Australian Film Commission and the Film Finance Corporation were replaced </w:t>
      </w:r>
      <w:r w:rsidR="0002648D">
        <w:t xml:space="preserve">by </w:t>
      </w:r>
      <w:r>
        <w:t>Screen Australia</w:t>
      </w:r>
      <w:r w:rsidR="0002648D">
        <w:t xml:space="preserve"> (see A.28)</w:t>
      </w:r>
      <w:r>
        <w:t>.</w:t>
      </w:r>
    </w:p>
    <w:p w:rsidR="00E22023" w:rsidRDefault="00E22023" w:rsidP="0002648D">
      <w:pPr>
        <w:pStyle w:val="BodyText"/>
      </w:pPr>
      <w:r>
        <w:t>In 2008, Film Australia was merged with AFFC and AFC to form Screen Australia.</w:t>
      </w:r>
    </w:p>
    <w:p w:rsidR="0002648D" w:rsidRDefault="0002648D" w:rsidP="0002648D">
      <w:pPr>
        <w:pStyle w:val="BodyText"/>
      </w:pPr>
      <w:r>
        <w:t xml:space="preserve">Film Australia funding has been allocated to the </w:t>
      </w:r>
      <w:r>
        <w:rPr>
          <w:i/>
        </w:rPr>
        <w:t>Arts</w:t>
      </w:r>
      <w:r w:rsidRPr="00BB76A9">
        <w:rPr>
          <w:i/>
        </w:rPr>
        <w:t xml:space="preserve"> </w:t>
      </w:r>
      <w:r>
        <w:rPr>
          <w:i/>
        </w:rPr>
        <w:t>and</w:t>
      </w:r>
      <w:r w:rsidRPr="00BB76A9">
        <w:rPr>
          <w:i/>
        </w:rPr>
        <w:t xml:space="preserve"> recreation services</w:t>
      </w:r>
      <w:r>
        <w:t xml:space="preserve"> industry grouping in the Commission’s ANZSIC-based classification (table A.191).</w:t>
      </w:r>
    </w:p>
    <w:p w:rsidR="00B367E7" w:rsidRDefault="00B367E7" w:rsidP="00B367E7">
      <w:pPr>
        <w:pStyle w:val="TableTitle"/>
      </w:pPr>
      <w:r>
        <w:rPr>
          <w:b w:val="0"/>
        </w:rPr>
        <w:t xml:space="preserve">Table </w:t>
      </w:r>
      <w:r w:rsidR="00FA09C3">
        <w:rPr>
          <w:b w:val="0"/>
        </w:rPr>
        <w:t>A.</w:t>
      </w:r>
      <w:r w:rsidR="00FA09C3">
        <w:rPr>
          <w:b w:val="0"/>
          <w:noProof/>
        </w:rPr>
        <w:t>191</w:t>
      </w:r>
      <w:r>
        <w:tab/>
        <w:t>Allocation of Film Australia</w:t>
      </w:r>
      <w:r w:rsidR="00571E36" w:rsidRPr="00571E36">
        <w:t xml:space="preserve"> to industry</w:t>
      </w:r>
      <w:r>
        <w:t>, 2006</w:t>
      </w:r>
      <w:r>
        <w:noBreakHyphen/>
        <w:t>07 to 2011</w:t>
      </w:r>
      <w:r>
        <w:noBreakHyphen/>
        <w:t>12</w:t>
      </w:r>
    </w:p>
    <w:p w:rsidR="00B367E7" w:rsidRDefault="00B367E7" w:rsidP="00B367E7">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B367E7" w:rsidRPr="00AF699A" w:rsidTr="00AB38B4">
        <w:tc>
          <w:tcPr>
            <w:tcW w:w="1960" w:type="pct"/>
            <w:tcBorders>
              <w:top w:val="single" w:sz="6" w:space="0" w:color="auto"/>
              <w:bottom w:val="single" w:sz="6" w:space="0" w:color="auto"/>
            </w:tcBorders>
          </w:tcPr>
          <w:p w:rsidR="00B367E7" w:rsidRPr="00AF699A" w:rsidRDefault="00B367E7" w:rsidP="00AB38B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B367E7" w:rsidRPr="00AF699A" w:rsidRDefault="00B367E7"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B367E7" w:rsidRPr="00AF699A" w:rsidRDefault="00B367E7" w:rsidP="00AB38B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B367E7" w:rsidRPr="00AF699A" w:rsidRDefault="00B367E7" w:rsidP="00AB38B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B367E7" w:rsidRPr="00AF699A" w:rsidRDefault="00B367E7" w:rsidP="00AB38B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B367E7" w:rsidRPr="00AF699A" w:rsidRDefault="00B367E7" w:rsidP="00AB38B4">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B367E7" w:rsidRPr="00AF699A" w:rsidRDefault="00B367E7" w:rsidP="00AB38B4">
            <w:pPr>
              <w:pStyle w:val="TableColumnHeading"/>
              <w:ind w:right="28"/>
              <w:rPr>
                <w:rFonts w:cs="Arial"/>
                <w:sz w:val="18"/>
                <w:szCs w:val="18"/>
              </w:rPr>
            </w:pPr>
            <w:r w:rsidRPr="00AF699A">
              <w:rPr>
                <w:rFonts w:cs="Arial"/>
                <w:sz w:val="18"/>
                <w:szCs w:val="18"/>
              </w:rPr>
              <w:t>2011-12</w:t>
            </w:r>
          </w:p>
        </w:tc>
      </w:tr>
      <w:tr w:rsidR="00B367E7" w:rsidRPr="006C5A80" w:rsidTr="00AB38B4">
        <w:tc>
          <w:tcPr>
            <w:tcW w:w="1960" w:type="pct"/>
            <w:tcBorders>
              <w:bottom w:val="single" w:sz="4" w:space="0" w:color="auto"/>
            </w:tcBorders>
            <w:vAlign w:val="bottom"/>
          </w:tcPr>
          <w:p w:rsidR="00B367E7" w:rsidRPr="00C944BA" w:rsidRDefault="00BD3CDA" w:rsidP="00AB38B4">
            <w:pPr>
              <w:pStyle w:val="TableBodyText"/>
              <w:jc w:val="left"/>
            </w:pPr>
            <w:r>
              <w:t>Arts and recreation services</w:t>
            </w:r>
          </w:p>
        </w:tc>
        <w:tc>
          <w:tcPr>
            <w:tcW w:w="507" w:type="pct"/>
            <w:tcBorders>
              <w:bottom w:val="single" w:sz="4" w:space="0" w:color="auto"/>
            </w:tcBorders>
            <w:vAlign w:val="bottom"/>
          </w:tcPr>
          <w:p w:rsidR="00B367E7" w:rsidRPr="00F567A8" w:rsidRDefault="00086891" w:rsidP="00AB38B4">
            <w:pPr>
              <w:pStyle w:val="TableBodyText"/>
            </w:pPr>
            <w:r>
              <w:t>13.2</w:t>
            </w:r>
          </w:p>
        </w:tc>
        <w:tc>
          <w:tcPr>
            <w:tcW w:w="507" w:type="pct"/>
            <w:tcBorders>
              <w:bottom w:val="single" w:sz="4" w:space="0" w:color="auto"/>
            </w:tcBorders>
            <w:vAlign w:val="bottom"/>
          </w:tcPr>
          <w:p w:rsidR="00B367E7" w:rsidRPr="00F567A8" w:rsidRDefault="00086891" w:rsidP="00AB38B4">
            <w:pPr>
              <w:pStyle w:val="TableBodyText"/>
            </w:pPr>
            <w:r>
              <w:t>13.3</w:t>
            </w:r>
          </w:p>
        </w:tc>
        <w:tc>
          <w:tcPr>
            <w:tcW w:w="507" w:type="pct"/>
            <w:tcBorders>
              <w:bottom w:val="single" w:sz="4" w:space="0" w:color="auto"/>
            </w:tcBorders>
            <w:vAlign w:val="bottom"/>
          </w:tcPr>
          <w:p w:rsidR="00B367E7" w:rsidRPr="00F567A8" w:rsidRDefault="0002648D" w:rsidP="00AB38B4">
            <w:pPr>
              <w:pStyle w:val="TableBodyText"/>
            </w:pPr>
            <w:r w:rsidRPr="00A2379F">
              <w:noBreakHyphen/>
            </w:r>
          </w:p>
        </w:tc>
        <w:tc>
          <w:tcPr>
            <w:tcW w:w="507" w:type="pct"/>
            <w:tcBorders>
              <w:bottom w:val="single" w:sz="4" w:space="0" w:color="auto"/>
            </w:tcBorders>
            <w:vAlign w:val="bottom"/>
          </w:tcPr>
          <w:p w:rsidR="00B367E7" w:rsidRPr="00F567A8" w:rsidRDefault="0002648D" w:rsidP="00AB38B4">
            <w:pPr>
              <w:pStyle w:val="TableBodyText"/>
            </w:pPr>
            <w:r w:rsidRPr="00A2379F">
              <w:noBreakHyphen/>
            </w:r>
          </w:p>
        </w:tc>
        <w:tc>
          <w:tcPr>
            <w:tcW w:w="507" w:type="pct"/>
            <w:tcBorders>
              <w:bottom w:val="single" w:sz="4" w:space="0" w:color="auto"/>
            </w:tcBorders>
            <w:shd w:val="clear" w:color="auto" w:fill="auto"/>
            <w:vAlign w:val="bottom"/>
          </w:tcPr>
          <w:p w:rsidR="00B367E7" w:rsidRPr="00F567A8" w:rsidRDefault="0002648D" w:rsidP="00AB38B4">
            <w:pPr>
              <w:pStyle w:val="TableBodyText"/>
            </w:pPr>
            <w:r w:rsidRPr="00A2379F">
              <w:noBreakHyphen/>
            </w:r>
          </w:p>
        </w:tc>
        <w:tc>
          <w:tcPr>
            <w:tcW w:w="505" w:type="pct"/>
            <w:tcBorders>
              <w:bottom w:val="single" w:sz="4" w:space="0" w:color="auto"/>
            </w:tcBorders>
            <w:shd w:val="clear" w:color="auto" w:fill="auto"/>
            <w:vAlign w:val="bottom"/>
          </w:tcPr>
          <w:p w:rsidR="00B367E7" w:rsidRPr="00F567A8" w:rsidRDefault="0002648D" w:rsidP="00AB38B4">
            <w:pPr>
              <w:pStyle w:val="TableBodyText"/>
            </w:pPr>
            <w:r w:rsidRPr="00A2379F">
              <w:noBreakHyphen/>
            </w:r>
          </w:p>
        </w:tc>
      </w:tr>
    </w:tbl>
    <w:p w:rsidR="00B367E7" w:rsidRPr="00F60026" w:rsidRDefault="00B367E7" w:rsidP="00B367E7">
      <w:pPr>
        <w:pStyle w:val="Source"/>
        <w:spacing w:after="0"/>
        <w:rPr>
          <w:i/>
        </w:rPr>
      </w:pPr>
      <w:r w:rsidRPr="00A2379F">
        <w:noBreakHyphen/>
        <w:t xml:space="preserve"> </w:t>
      </w:r>
      <w:r>
        <w:t>Nil</w:t>
      </w:r>
      <w:r w:rsidRPr="00A2379F">
        <w:t>.</w:t>
      </w:r>
    </w:p>
    <w:p w:rsidR="00B367E7" w:rsidRDefault="00B367E7" w:rsidP="00B367E7">
      <w:pPr>
        <w:pStyle w:val="Source"/>
      </w:pPr>
      <w:r>
        <w:rPr>
          <w:i/>
        </w:rPr>
        <w:t>Source</w:t>
      </w:r>
      <w:r>
        <w:t xml:space="preserve">: Commission estimates based on </w:t>
      </w:r>
      <w:r w:rsidR="00086891">
        <w:t>Film Australia Annual Report 2007</w:t>
      </w:r>
      <w:r w:rsidR="00086891">
        <w:noBreakHyphen/>
        <w:t>08</w:t>
      </w:r>
      <w:r w:rsidR="0002648D">
        <w:t>.</w:t>
      </w:r>
    </w:p>
    <w:p w:rsidR="00520920" w:rsidRDefault="00FA09C3" w:rsidP="00520920">
      <w:pPr>
        <w:pStyle w:val="Heading2"/>
      </w:pPr>
      <w:r>
        <w:t>A.</w:t>
      </w:r>
      <w:r>
        <w:rPr>
          <w:noProof/>
        </w:rPr>
        <w:t>192</w:t>
      </w:r>
      <w:r w:rsidR="00520920">
        <w:tab/>
        <w:t>FarmBis Program</w:t>
      </w:r>
    </w:p>
    <w:p w:rsidR="00520920" w:rsidRPr="00A95CD7" w:rsidRDefault="00520920" w:rsidP="00520920">
      <w:pPr>
        <w:pStyle w:val="BodyText"/>
      </w:pPr>
      <w:r>
        <w:t xml:space="preserve">Introduced in 1998, the FarmBis Program </w:t>
      </w:r>
      <w:r w:rsidR="00BF57CB">
        <w:t xml:space="preserve">was established to assist </w:t>
      </w:r>
      <w:r>
        <w:t xml:space="preserve">farmers, fishers and land managers </w:t>
      </w:r>
      <w:r w:rsidRPr="00AD17F6">
        <w:t xml:space="preserve">to </w:t>
      </w:r>
      <w:r>
        <w:t xml:space="preserve">meet much of the cost of business management education and training. </w:t>
      </w:r>
      <w:r w:rsidR="00BF57CB">
        <w:t>T</w:t>
      </w:r>
      <w:r>
        <w:t xml:space="preserve">he Program aimed to </w:t>
      </w:r>
      <w:r w:rsidRPr="00AD17F6">
        <w:t xml:space="preserve">increase </w:t>
      </w:r>
      <w:r>
        <w:t>their</w:t>
      </w:r>
      <w:r w:rsidRPr="00AD17F6">
        <w:t xml:space="preserve"> capacity to</w:t>
      </w:r>
      <w:r>
        <w:t xml:space="preserve"> identify, plan for and use high-quality</w:t>
      </w:r>
      <w:r w:rsidRPr="00AD17F6">
        <w:t xml:space="preserve"> learning</w:t>
      </w:r>
      <w:r>
        <w:t xml:space="preserve"> activities and to increase take-u</w:t>
      </w:r>
      <w:r w:rsidRPr="00AD17F6">
        <w:t>p of management practices that lead to greater resource sustainability, profitability and competitiveness</w:t>
      </w:r>
      <w:r>
        <w:t xml:space="preserve"> (</w:t>
      </w:r>
      <w:r w:rsidRPr="001E3FD5">
        <w:t>DAFF 2007</w:t>
      </w:r>
      <w:r>
        <w:t>).</w:t>
      </w:r>
    </w:p>
    <w:p w:rsidR="00520920" w:rsidRDefault="00520920" w:rsidP="00520920">
      <w:pPr>
        <w:pStyle w:val="BodyText"/>
      </w:pPr>
      <w:r>
        <w:t>The FarmBis Program ceased on 29 February 2008 and was replaced by Australia’s Farming Future (announced in the 2008</w:t>
      </w:r>
      <w:r>
        <w:noBreakHyphen/>
        <w:t>09 Budget) (</w:t>
      </w:r>
      <w:r w:rsidRPr="001E3FD5">
        <w:t>DAFF 2008</w:t>
      </w:r>
      <w:r>
        <w:t>).</w:t>
      </w:r>
    </w:p>
    <w:p w:rsidR="00520920" w:rsidRDefault="00520920" w:rsidP="00520920">
      <w:pPr>
        <w:pStyle w:val="BodyText"/>
      </w:pPr>
      <w:r w:rsidRPr="00470D02">
        <w:t>The Department of Agriculture, Fisheries and Forestry (DAFF) provide</w:t>
      </w:r>
      <w:r>
        <w:t>d</w:t>
      </w:r>
      <w:r w:rsidRPr="00470D02">
        <w:t xml:space="preserve"> </w:t>
      </w:r>
      <w:r>
        <w:t>the Commission with data on FarmBis subsidy amounts by</w:t>
      </w:r>
      <w:r w:rsidRPr="00470D02">
        <w:t xml:space="preserve"> ANZSIC industry. This information </w:t>
      </w:r>
      <w:r>
        <w:t>was</w:t>
      </w:r>
      <w:r w:rsidRPr="00470D02">
        <w:t xml:space="preserve"> used to allocate total funding for the program, as reported in the DAFF annual report, to the Commission’s ANZSIC-based industry groupings (table</w:t>
      </w:r>
      <w:r>
        <w:t> </w:t>
      </w:r>
      <w:r w:rsidRPr="00470D02">
        <w:t>A.</w:t>
      </w:r>
      <w:r>
        <w:t>192</w:t>
      </w:r>
      <w:r w:rsidRPr="00470D02">
        <w:t>)</w:t>
      </w:r>
      <w:r>
        <w:t>.</w:t>
      </w:r>
    </w:p>
    <w:p w:rsidR="00520920" w:rsidRDefault="00520920" w:rsidP="00520920">
      <w:pPr>
        <w:pStyle w:val="TableTitle"/>
      </w:pPr>
      <w:r>
        <w:rPr>
          <w:b w:val="0"/>
        </w:rPr>
        <w:t xml:space="preserve">Table </w:t>
      </w:r>
      <w:r w:rsidR="00FA09C3">
        <w:rPr>
          <w:b w:val="0"/>
        </w:rPr>
        <w:t>A.</w:t>
      </w:r>
      <w:r w:rsidR="00FA09C3">
        <w:rPr>
          <w:b w:val="0"/>
          <w:noProof/>
        </w:rPr>
        <w:t>192</w:t>
      </w:r>
      <w:r>
        <w:tab/>
        <w:t xml:space="preserve">Allocation of FarmBis Program </w:t>
      </w:r>
      <w:r w:rsidR="00571E36" w:rsidRPr="00571E36">
        <w:t>to industry</w:t>
      </w:r>
      <w:r>
        <w:t>, 2006</w:t>
      </w:r>
      <w:r>
        <w:noBreakHyphen/>
        <w:t>07 to 2011</w:t>
      </w:r>
      <w:r>
        <w:noBreakHyphen/>
        <w:t>12</w:t>
      </w:r>
    </w:p>
    <w:p w:rsidR="00520920" w:rsidRDefault="00520920" w:rsidP="00520920">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520920" w:rsidRPr="00AF699A" w:rsidTr="00AB38B4">
        <w:tc>
          <w:tcPr>
            <w:tcW w:w="1960" w:type="pct"/>
            <w:tcBorders>
              <w:top w:val="single" w:sz="6" w:space="0" w:color="auto"/>
              <w:bottom w:val="single" w:sz="6" w:space="0" w:color="auto"/>
            </w:tcBorders>
          </w:tcPr>
          <w:p w:rsidR="00520920" w:rsidRPr="00AF699A" w:rsidRDefault="00520920" w:rsidP="00AB38B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520920" w:rsidRPr="00AF699A" w:rsidRDefault="00520920"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520920" w:rsidRPr="00AF699A" w:rsidRDefault="00520920" w:rsidP="00AB38B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520920" w:rsidRPr="00AF699A" w:rsidRDefault="00520920" w:rsidP="00AB38B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520920" w:rsidRPr="00AF699A" w:rsidRDefault="00520920" w:rsidP="00AB38B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520920" w:rsidRPr="00AF699A" w:rsidRDefault="00520920" w:rsidP="00AB38B4">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520920" w:rsidRPr="00AF699A" w:rsidRDefault="00520920" w:rsidP="00AB38B4">
            <w:pPr>
              <w:pStyle w:val="TableColumnHeading"/>
              <w:ind w:right="28"/>
              <w:rPr>
                <w:rFonts w:cs="Arial"/>
                <w:sz w:val="18"/>
                <w:szCs w:val="18"/>
              </w:rPr>
            </w:pPr>
            <w:r w:rsidRPr="00AF699A">
              <w:rPr>
                <w:rFonts w:cs="Arial"/>
                <w:sz w:val="18"/>
                <w:szCs w:val="18"/>
              </w:rPr>
              <w:t>2011-12</w:t>
            </w:r>
          </w:p>
        </w:tc>
      </w:tr>
      <w:tr w:rsidR="00520920" w:rsidRPr="006C5A80" w:rsidTr="00AB38B4">
        <w:tc>
          <w:tcPr>
            <w:tcW w:w="1960" w:type="pct"/>
            <w:tcBorders>
              <w:top w:val="single" w:sz="6" w:space="0" w:color="auto"/>
            </w:tcBorders>
            <w:vAlign w:val="bottom"/>
          </w:tcPr>
          <w:p w:rsidR="00520920" w:rsidRPr="00390699" w:rsidRDefault="00520920" w:rsidP="00AB38B4">
            <w:pPr>
              <w:pStyle w:val="TableBodyText"/>
              <w:jc w:val="left"/>
              <w:rPr>
                <w:b/>
                <w:sz w:val="18"/>
                <w:szCs w:val="18"/>
              </w:rPr>
            </w:pPr>
            <w:r w:rsidRPr="00390699">
              <w:rPr>
                <w:b/>
                <w:sz w:val="18"/>
                <w:szCs w:val="18"/>
              </w:rPr>
              <w:t>Primary production</w:t>
            </w:r>
          </w:p>
        </w:tc>
        <w:tc>
          <w:tcPr>
            <w:tcW w:w="507" w:type="pct"/>
            <w:tcBorders>
              <w:top w:val="single" w:sz="6" w:space="0" w:color="auto"/>
            </w:tcBorders>
            <w:vAlign w:val="bottom"/>
          </w:tcPr>
          <w:p w:rsidR="00520920" w:rsidRPr="00096178" w:rsidRDefault="00520920" w:rsidP="00AB38B4">
            <w:pPr>
              <w:pStyle w:val="TableBodyText"/>
              <w:rPr>
                <w:b/>
                <w:sz w:val="18"/>
                <w:szCs w:val="18"/>
              </w:rPr>
            </w:pPr>
            <w:r w:rsidRPr="00096178">
              <w:rPr>
                <w:b/>
                <w:sz w:val="18"/>
                <w:szCs w:val="18"/>
              </w:rPr>
              <w:t>7.7</w:t>
            </w:r>
          </w:p>
        </w:tc>
        <w:tc>
          <w:tcPr>
            <w:tcW w:w="507" w:type="pct"/>
            <w:tcBorders>
              <w:top w:val="single" w:sz="6" w:space="0" w:color="auto"/>
            </w:tcBorders>
            <w:vAlign w:val="bottom"/>
          </w:tcPr>
          <w:p w:rsidR="00520920" w:rsidRPr="00096178" w:rsidRDefault="00520920" w:rsidP="00AB38B4">
            <w:pPr>
              <w:pStyle w:val="TableBodyText"/>
              <w:rPr>
                <w:b/>
                <w:sz w:val="18"/>
                <w:szCs w:val="18"/>
              </w:rPr>
            </w:pPr>
            <w:r w:rsidRPr="00096178">
              <w:rPr>
                <w:b/>
                <w:sz w:val="18"/>
                <w:szCs w:val="18"/>
              </w:rPr>
              <w:t>10.6</w:t>
            </w:r>
          </w:p>
        </w:tc>
        <w:tc>
          <w:tcPr>
            <w:tcW w:w="507" w:type="pct"/>
            <w:tcBorders>
              <w:top w:val="single" w:sz="6" w:space="0" w:color="auto"/>
            </w:tcBorders>
            <w:vAlign w:val="bottom"/>
          </w:tcPr>
          <w:p w:rsidR="00520920" w:rsidRPr="00096178" w:rsidRDefault="00520920" w:rsidP="00AB38B4">
            <w:pPr>
              <w:pStyle w:val="TableBodyText"/>
              <w:rPr>
                <w:b/>
                <w:sz w:val="18"/>
                <w:szCs w:val="18"/>
              </w:rPr>
            </w:pPr>
            <w:r w:rsidRPr="00096178">
              <w:rPr>
                <w:b/>
                <w:sz w:val="18"/>
                <w:szCs w:val="18"/>
              </w:rPr>
              <w:noBreakHyphen/>
            </w:r>
          </w:p>
        </w:tc>
        <w:tc>
          <w:tcPr>
            <w:tcW w:w="507" w:type="pct"/>
            <w:tcBorders>
              <w:top w:val="single" w:sz="6" w:space="0" w:color="auto"/>
            </w:tcBorders>
            <w:vAlign w:val="bottom"/>
          </w:tcPr>
          <w:p w:rsidR="00520920" w:rsidRPr="00096178" w:rsidRDefault="00520920" w:rsidP="00AB38B4">
            <w:pPr>
              <w:pStyle w:val="TableBodyText"/>
              <w:rPr>
                <w:b/>
                <w:sz w:val="18"/>
                <w:szCs w:val="18"/>
              </w:rPr>
            </w:pPr>
            <w:r w:rsidRPr="00096178">
              <w:rPr>
                <w:b/>
                <w:sz w:val="18"/>
                <w:szCs w:val="18"/>
              </w:rPr>
              <w:noBreakHyphen/>
            </w:r>
          </w:p>
        </w:tc>
        <w:tc>
          <w:tcPr>
            <w:tcW w:w="507" w:type="pct"/>
            <w:tcBorders>
              <w:top w:val="single" w:sz="6" w:space="0" w:color="auto"/>
            </w:tcBorders>
            <w:vAlign w:val="bottom"/>
          </w:tcPr>
          <w:p w:rsidR="00520920" w:rsidRPr="00096178" w:rsidRDefault="00520920" w:rsidP="00AB38B4">
            <w:pPr>
              <w:pStyle w:val="TableBodyText"/>
              <w:rPr>
                <w:b/>
                <w:sz w:val="18"/>
                <w:szCs w:val="18"/>
              </w:rPr>
            </w:pPr>
            <w:r w:rsidRPr="00096178">
              <w:rPr>
                <w:b/>
                <w:sz w:val="18"/>
                <w:szCs w:val="18"/>
              </w:rPr>
              <w:noBreakHyphen/>
            </w:r>
          </w:p>
        </w:tc>
        <w:tc>
          <w:tcPr>
            <w:tcW w:w="505" w:type="pct"/>
            <w:tcBorders>
              <w:top w:val="single" w:sz="6" w:space="0" w:color="auto"/>
            </w:tcBorders>
            <w:vAlign w:val="bottom"/>
          </w:tcPr>
          <w:p w:rsidR="00520920" w:rsidRPr="00096178" w:rsidRDefault="00520920" w:rsidP="00AB38B4">
            <w:pPr>
              <w:pStyle w:val="TableBodyText"/>
              <w:rPr>
                <w:b/>
                <w:sz w:val="18"/>
                <w:szCs w:val="18"/>
              </w:rPr>
            </w:pPr>
            <w:r w:rsidRPr="00096178">
              <w:rPr>
                <w:b/>
                <w:sz w:val="18"/>
                <w:szCs w:val="18"/>
              </w:rPr>
              <w:noBreakHyphen/>
            </w:r>
          </w:p>
        </w:tc>
      </w:tr>
      <w:tr w:rsidR="00520920" w:rsidRPr="006C5A80" w:rsidTr="00AB38B4">
        <w:tc>
          <w:tcPr>
            <w:tcW w:w="1960" w:type="pct"/>
            <w:vAlign w:val="bottom"/>
          </w:tcPr>
          <w:p w:rsidR="00520920" w:rsidRPr="00390699" w:rsidRDefault="00520920" w:rsidP="00AB38B4">
            <w:pPr>
              <w:pStyle w:val="TableBodyText"/>
              <w:jc w:val="left"/>
              <w:rPr>
                <w:sz w:val="18"/>
                <w:szCs w:val="18"/>
              </w:rPr>
            </w:pPr>
            <w:r w:rsidRPr="00390699">
              <w:rPr>
                <w:sz w:val="18"/>
                <w:szCs w:val="18"/>
              </w:rPr>
              <w:t>Horticulture and fruit growing</w:t>
            </w:r>
          </w:p>
        </w:tc>
        <w:tc>
          <w:tcPr>
            <w:tcW w:w="507" w:type="pct"/>
            <w:vAlign w:val="bottom"/>
          </w:tcPr>
          <w:p w:rsidR="00520920" w:rsidRPr="00096178" w:rsidRDefault="00520920" w:rsidP="00AB38B4">
            <w:pPr>
              <w:pStyle w:val="TableBodyText"/>
              <w:rPr>
                <w:sz w:val="18"/>
                <w:szCs w:val="18"/>
              </w:rPr>
            </w:pPr>
            <w:r w:rsidRPr="00096178">
              <w:rPr>
                <w:sz w:val="18"/>
                <w:szCs w:val="18"/>
              </w:rPr>
              <w:t>0.9</w:t>
            </w:r>
          </w:p>
        </w:tc>
        <w:tc>
          <w:tcPr>
            <w:tcW w:w="507" w:type="pct"/>
            <w:vAlign w:val="bottom"/>
          </w:tcPr>
          <w:p w:rsidR="00520920" w:rsidRPr="00096178" w:rsidRDefault="00520920" w:rsidP="00AB38B4">
            <w:pPr>
              <w:pStyle w:val="TableBodyText"/>
              <w:rPr>
                <w:sz w:val="18"/>
                <w:szCs w:val="18"/>
              </w:rPr>
            </w:pPr>
            <w:r w:rsidRPr="00096178">
              <w:rPr>
                <w:sz w:val="18"/>
                <w:szCs w:val="18"/>
              </w:rPr>
              <w:t>1.4</w:t>
            </w:r>
          </w:p>
        </w:tc>
        <w:tc>
          <w:tcPr>
            <w:tcW w:w="507" w:type="pct"/>
            <w:vAlign w:val="bottom"/>
          </w:tcPr>
          <w:p w:rsidR="00520920" w:rsidRPr="00096178" w:rsidRDefault="00520920" w:rsidP="00AB38B4">
            <w:pPr>
              <w:pStyle w:val="TableBodyText"/>
              <w:rPr>
                <w:sz w:val="18"/>
                <w:szCs w:val="18"/>
              </w:rPr>
            </w:pPr>
            <w:r w:rsidRPr="00096178">
              <w:rPr>
                <w:sz w:val="18"/>
                <w:szCs w:val="18"/>
              </w:rPr>
              <w:noBreakHyphen/>
            </w:r>
          </w:p>
        </w:tc>
        <w:tc>
          <w:tcPr>
            <w:tcW w:w="507" w:type="pct"/>
            <w:vAlign w:val="bottom"/>
          </w:tcPr>
          <w:p w:rsidR="00520920" w:rsidRPr="00096178" w:rsidRDefault="00520920" w:rsidP="00AB38B4">
            <w:pPr>
              <w:pStyle w:val="TableBodyText"/>
              <w:rPr>
                <w:sz w:val="18"/>
                <w:szCs w:val="18"/>
              </w:rPr>
            </w:pPr>
            <w:r w:rsidRPr="00096178">
              <w:rPr>
                <w:sz w:val="18"/>
                <w:szCs w:val="18"/>
              </w:rPr>
              <w:noBreakHyphen/>
            </w:r>
          </w:p>
        </w:tc>
        <w:tc>
          <w:tcPr>
            <w:tcW w:w="507" w:type="pct"/>
            <w:vAlign w:val="bottom"/>
          </w:tcPr>
          <w:p w:rsidR="00520920" w:rsidRPr="00096178" w:rsidRDefault="00520920" w:rsidP="00AB38B4">
            <w:pPr>
              <w:pStyle w:val="TableBodyText"/>
              <w:rPr>
                <w:sz w:val="18"/>
                <w:szCs w:val="18"/>
              </w:rPr>
            </w:pPr>
            <w:r w:rsidRPr="00096178">
              <w:rPr>
                <w:sz w:val="18"/>
                <w:szCs w:val="18"/>
              </w:rPr>
              <w:noBreakHyphen/>
            </w:r>
          </w:p>
        </w:tc>
        <w:tc>
          <w:tcPr>
            <w:tcW w:w="505" w:type="pct"/>
            <w:vAlign w:val="bottom"/>
          </w:tcPr>
          <w:p w:rsidR="00520920" w:rsidRPr="00096178" w:rsidRDefault="00520920" w:rsidP="00AB38B4">
            <w:pPr>
              <w:pStyle w:val="TableBodyText"/>
              <w:rPr>
                <w:sz w:val="18"/>
                <w:szCs w:val="18"/>
              </w:rPr>
            </w:pPr>
            <w:r w:rsidRPr="00096178">
              <w:rPr>
                <w:sz w:val="18"/>
                <w:szCs w:val="18"/>
              </w:rPr>
              <w:noBreakHyphen/>
            </w:r>
          </w:p>
        </w:tc>
      </w:tr>
      <w:tr w:rsidR="00520920" w:rsidRPr="006C5A80" w:rsidTr="00AB38B4">
        <w:tc>
          <w:tcPr>
            <w:tcW w:w="1960" w:type="pct"/>
            <w:vAlign w:val="bottom"/>
          </w:tcPr>
          <w:p w:rsidR="00520920" w:rsidRPr="00390699" w:rsidRDefault="00520920" w:rsidP="00AB38B4">
            <w:pPr>
              <w:pStyle w:val="TableBodyText"/>
              <w:jc w:val="left"/>
              <w:rPr>
                <w:sz w:val="18"/>
                <w:szCs w:val="18"/>
              </w:rPr>
            </w:pPr>
            <w:r w:rsidRPr="00390699">
              <w:rPr>
                <w:sz w:val="18"/>
                <w:szCs w:val="18"/>
              </w:rPr>
              <w:t>Sheep, beef cattle and grain farming</w:t>
            </w:r>
          </w:p>
        </w:tc>
        <w:tc>
          <w:tcPr>
            <w:tcW w:w="507" w:type="pct"/>
            <w:vAlign w:val="bottom"/>
          </w:tcPr>
          <w:p w:rsidR="00520920" w:rsidRPr="00096178" w:rsidRDefault="00520920" w:rsidP="00AB38B4">
            <w:pPr>
              <w:pStyle w:val="TableBodyText"/>
              <w:rPr>
                <w:sz w:val="18"/>
                <w:szCs w:val="18"/>
              </w:rPr>
            </w:pPr>
            <w:r w:rsidRPr="00096178">
              <w:rPr>
                <w:sz w:val="18"/>
                <w:szCs w:val="18"/>
              </w:rPr>
              <w:t>5.5</w:t>
            </w:r>
          </w:p>
        </w:tc>
        <w:tc>
          <w:tcPr>
            <w:tcW w:w="507" w:type="pct"/>
            <w:vAlign w:val="bottom"/>
          </w:tcPr>
          <w:p w:rsidR="00520920" w:rsidRPr="00096178" w:rsidRDefault="00520920" w:rsidP="00AB38B4">
            <w:pPr>
              <w:pStyle w:val="TableBodyText"/>
              <w:rPr>
                <w:sz w:val="18"/>
                <w:szCs w:val="18"/>
              </w:rPr>
            </w:pPr>
            <w:r w:rsidRPr="00096178">
              <w:rPr>
                <w:sz w:val="18"/>
                <w:szCs w:val="18"/>
              </w:rPr>
              <w:t>7.2</w:t>
            </w:r>
          </w:p>
        </w:tc>
        <w:tc>
          <w:tcPr>
            <w:tcW w:w="507" w:type="pct"/>
            <w:vAlign w:val="bottom"/>
          </w:tcPr>
          <w:p w:rsidR="00520920" w:rsidRPr="00096178" w:rsidRDefault="00520920" w:rsidP="00AB38B4">
            <w:pPr>
              <w:pStyle w:val="TableBodyText"/>
              <w:rPr>
                <w:sz w:val="18"/>
                <w:szCs w:val="18"/>
              </w:rPr>
            </w:pPr>
            <w:r w:rsidRPr="00096178">
              <w:rPr>
                <w:sz w:val="18"/>
                <w:szCs w:val="18"/>
              </w:rPr>
              <w:noBreakHyphen/>
            </w:r>
          </w:p>
        </w:tc>
        <w:tc>
          <w:tcPr>
            <w:tcW w:w="507" w:type="pct"/>
            <w:vAlign w:val="bottom"/>
          </w:tcPr>
          <w:p w:rsidR="00520920" w:rsidRPr="00096178" w:rsidRDefault="00520920" w:rsidP="00AB38B4">
            <w:pPr>
              <w:pStyle w:val="TableBodyText"/>
              <w:rPr>
                <w:sz w:val="18"/>
                <w:szCs w:val="18"/>
              </w:rPr>
            </w:pPr>
            <w:r w:rsidRPr="00096178">
              <w:rPr>
                <w:sz w:val="18"/>
                <w:szCs w:val="18"/>
              </w:rPr>
              <w:noBreakHyphen/>
            </w:r>
          </w:p>
        </w:tc>
        <w:tc>
          <w:tcPr>
            <w:tcW w:w="507" w:type="pct"/>
            <w:vAlign w:val="bottom"/>
          </w:tcPr>
          <w:p w:rsidR="00520920" w:rsidRPr="00096178" w:rsidRDefault="00520920" w:rsidP="00AB38B4">
            <w:pPr>
              <w:pStyle w:val="TableBodyText"/>
              <w:rPr>
                <w:sz w:val="18"/>
                <w:szCs w:val="18"/>
              </w:rPr>
            </w:pPr>
            <w:r w:rsidRPr="00096178">
              <w:rPr>
                <w:sz w:val="18"/>
                <w:szCs w:val="18"/>
              </w:rPr>
              <w:noBreakHyphen/>
            </w:r>
          </w:p>
        </w:tc>
        <w:tc>
          <w:tcPr>
            <w:tcW w:w="505" w:type="pct"/>
            <w:vAlign w:val="bottom"/>
          </w:tcPr>
          <w:p w:rsidR="00520920" w:rsidRPr="00096178" w:rsidRDefault="00520920" w:rsidP="00AB38B4">
            <w:pPr>
              <w:pStyle w:val="TableBodyText"/>
              <w:rPr>
                <w:sz w:val="18"/>
                <w:szCs w:val="18"/>
              </w:rPr>
            </w:pPr>
            <w:r w:rsidRPr="00096178">
              <w:rPr>
                <w:sz w:val="18"/>
                <w:szCs w:val="18"/>
              </w:rPr>
              <w:noBreakHyphen/>
            </w:r>
          </w:p>
        </w:tc>
      </w:tr>
      <w:tr w:rsidR="00520920" w:rsidRPr="006C5A80" w:rsidTr="00AB38B4">
        <w:tc>
          <w:tcPr>
            <w:tcW w:w="1960" w:type="pct"/>
            <w:vAlign w:val="bottom"/>
          </w:tcPr>
          <w:p w:rsidR="00520920" w:rsidRPr="00390699" w:rsidRDefault="00520920" w:rsidP="00AB38B4">
            <w:pPr>
              <w:pStyle w:val="TableBodyText"/>
              <w:jc w:val="left"/>
              <w:rPr>
                <w:sz w:val="18"/>
                <w:szCs w:val="18"/>
              </w:rPr>
            </w:pPr>
            <w:r>
              <w:rPr>
                <w:sz w:val="18"/>
                <w:szCs w:val="18"/>
              </w:rPr>
              <w:t>Other crop growing</w:t>
            </w:r>
          </w:p>
        </w:tc>
        <w:tc>
          <w:tcPr>
            <w:tcW w:w="507" w:type="pct"/>
            <w:vAlign w:val="bottom"/>
          </w:tcPr>
          <w:p w:rsidR="00520920" w:rsidRPr="00096178" w:rsidRDefault="00520920" w:rsidP="00AB38B4">
            <w:pPr>
              <w:pStyle w:val="TableBodyText"/>
              <w:rPr>
                <w:sz w:val="18"/>
                <w:szCs w:val="18"/>
              </w:rPr>
            </w:pPr>
            <w:r>
              <w:rPr>
                <w:sz w:val="18"/>
                <w:szCs w:val="18"/>
              </w:rPr>
              <w:t>&lt;</w:t>
            </w:r>
            <w:r w:rsidRPr="00096178">
              <w:rPr>
                <w:sz w:val="18"/>
                <w:szCs w:val="18"/>
              </w:rPr>
              <w:t>0.1</w:t>
            </w:r>
          </w:p>
        </w:tc>
        <w:tc>
          <w:tcPr>
            <w:tcW w:w="507" w:type="pct"/>
            <w:vAlign w:val="bottom"/>
          </w:tcPr>
          <w:p w:rsidR="00520920" w:rsidRPr="00096178" w:rsidRDefault="00520920" w:rsidP="00AB38B4">
            <w:pPr>
              <w:pStyle w:val="TableBodyText"/>
              <w:rPr>
                <w:sz w:val="18"/>
                <w:szCs w:val="18"/>
              </w:rPr>
            </w:pPr>
            <w:r w:rsidRPr="00096178">
              <w:rPr>
                <w:sz w:val="18"/>
                <w:szCs w:val="18"/>
              </w:rPr>
              <w:t>0.2</w:t>
            </w:r>
          </w:p>
        </w:tc>
        <w:tc>
          <w:tcPr>
            <w:tcW w:w="507" w:type="pct"/>
            <w:vAlign w:val="bottom"/>
          </w:tcPr>
          <w:p w:rsidR="00520920" w:rsidRPr="00096178" w:rsidRDefault="00520920" w:rsidP="00AB38B4">
            <w:pPr>
              <w:pStyle w:val="TableBodyText"/>
              <w:rPr>
                <w:sz w:val="18"/>
                <w:szCs w:val="18"/>
              </w:rPr>
            </w:pPr>
            <w:r w:rsidRPr="00096178">
              <w:rPr>
                <w:sz w:val="18"/>
                <w:szCs w:val="18"/>
              </w:rPr>
              <w:noBreakHyphen/>
            </w:r>
          </w:p>
        </w:tc>
        <w:tc>
          <w:tcPr>
            <w:tcW w:w="507" w:type="pct"/>
            <w:vAlign w:val="bottom"/>
          </w:tcPr>
          <w:p w:rsidR="00520920" w:rsidRPr="00096178" w:rsidRDefault="00520920" w:rsidP="00AB38B4">
            <w:pPr>
              <w:pStyle w:val="TableBodyText"/>
              <w:rPr>
                <w:sz w:val="18"/>
                <w:szCs w:val="18"/>
              </w:rPr>
            </w:pPr>
            <w:r w:rsidRPr="00096178">
              <w:rPr>
                <w:sz w:val="18"/>
                <w:szCs w:val="18"/>
              </w:rPr>
              <w:noBreakHyphen/>
            </w:r>
          </w:p>
        </w:tc>
        <w:tc>
          <w:tcPr>
            <w:tcW w:w="507" w:type="pct"/>
            <w:shd w:val="clear" w:color="auto" w:fill="auto"/>
            <w:vAlign w:val="bottom"/>
          </w:tcPr>
          <w:p w:rsidR="00520920" w:rsidRPr="00096178" w:rsidRDefault="00520920" w:rsidP="00AB38B4">
            <w:pPr>
              <w:pStyle w:val="TableBodyText"/>
              <w:rPr>
                <w:sz w:val="18"/>
                <w:szCs w:val="18"/>
              </w:rPr>
            </w:pPr>
            <w:r w:rsidRPr="00096178">
              <w:rPr>
                <w:sz w:val="18"/>
                <w:szCs w:val="18"/>
              </w:rPr>
              <w:noBreakHyphen/>
            </w:r>
          </w:p>
        </w:tc>
        <w:tc>
          <w:tcPr>
            <w:tcW w:w="505" w:type="pct"/>
            <w:shd w:val="clear" w:color="auto" w:fill="auto"/>
            <w:vAlign w:val="bottom"/>
          </w:tcPr>
          <w:p w:rsidR="00520920" w:rsidRPr="00096178" w:rsidRDefault="00520920" w:rsidP="00AB38B4">
            <w:pPr>
              <w:pStyle w:val="TableBodyText"/>
              <w:rPr>
                <w:sz w:val="18"/>
                <w:szCs w:val="18"/>
              </w:rPr>
            </w:pPr>
            <w:r w:rsidRPr="00096178">
              <w:rPr>
                <w:sz w:val="18"/>
                <w:szCs w:val="18"/>
              </w:rPr>
              <w:noBreakHyphen/>
            </w:r>
          </w:p>
        </w:tc>
      </w:tr>
      <w:tr w:rsidR="00520920" w:rsidRPr="006C5A80" w:rsidTr="00AB38B4">
        <w:tc>
          <w:tcPr>
            <w:tcW w:w="1960" w:type="pct"/>
            <w:vAlign w:val="bottom"/>
          </w:tcPr>
          <w:p w:rsidR="00520920" w:rsidRPr="00390699" w:rsidRDefault="00520920" w:rsidP="00AB38B4">
            <w:pPr>
              <w:pStyle w:val="TableBodyText"/>
              <w:jc w:val="left"/>
              <w:rPr>
                <w:sz w:val="18"/>
                <w:szCs w:val="18"/>
              </w:rPr>
            </w:pPr>
            <w:r>
              <w:rPr>
                <w:sz w:val="18"/>
                <w:szCs w:val="18"/>
              </w:rPr>
              <w:t>Dairy cattle farming</w:t>
            </w:r>
          </w:p>
        </w:tc>
        <w:tc>
          <w:tcPr>
            <w:tcW w:w="507" w:type="pct"/>
            <w:vAlign w:val="bottom"/>
          </w:tcPr>
          <w:p w:rsidR="00520920" w:rsidRPr="00096178" w:rsidRDefault="00520920" w:rsidP="00AB38B4">
            <w:pPr>
              <w:pStyle w:val="TableBodyText"/>
              <w:rPr>
                <w:sz w:val="18"/>
                <w:szCs w:val="18"/>
              </w:rPr>
            </w:pPr>
            <w:r w:rsidRPr="00096178">
              <w:rPr>
                <w:sz w:val="18"/>
                <w:szCs w:val="18"/>
              </w:rPr>
              <w:t>0.4</w:t>
            </w:r>
          </w:p>
        </w:tc>
        <w:tc>
          <w:tcPr>
            <w:tcW w:w="507" w:type="pct"/>
            <w:vAlign w:val="bottom"/>
          </w:tcPr>
          <w:p w:rsidR="00520920" w:rsidRPr="00096178" w:rsidRDefault="00520920" w:rsidP="00AB38B4">
            <w:pPr>
              <w:pStyle w:val="TableBodyText"/>
              <w:rPr>
                <w:sz w:val="18"/>
                <w:szCs w:val="18"/>
              </w:rPr>
            </w:pPr>
            <w:r w:rsidRPr="00096178">
              <w:rPr>
                <w:sz w:val="18"/>
                <w:szCs w:val="18"/>
              </w:rPr>
              <w:t>0.4</w:t>
            </w:r>
          </w:p>
        </w:tc>
        <w:tc>
          <w:tcPr>
            <w:tcW w:w="507" w:type="pct"/>
            <w:vAlign w:val="bottom"/>
          </w:tcPr>
          <w:p w:rsidR="00520920" w:rsidRPr="00096178" w:rsidRDefault="00520920" w:rsidP="00AB38B4">
            <w:pPr>
              <w:pStyle w:val="TableBodyText"/>
              <w:rPr>
                <w:sz w:val="18"/>
                <w:szCs w:val="18"/>
              </w:rPr>
            </w:pPr>
            <w:r w:rsidRPr="00096178">
              <w:rPr>
                <w:sz w:val="18"/>
                <w:szCs w:val="18"/>
              </w:rPr>
              <w:noBreakHyphen/>
            </w:r>
          </w:p>
        </w:tc>
        <w:tc>
          <w:tcPr>
            <w:tcW w:w="507" w:type="pct"/>
            <w:vAlign w:val="bottom"/>
          </w:tcPr>
          <w:p w:rsidR="00520920" w:rsidRPr="00096178" w:rsidRDefault="00520920" w:rsidP="00AB38B4">
            <w:pPr>
              <w:pStyle w:val="TableBodyText"/>
              <w:rPr>
                <w:sz w:val="18"/>
                <w:szCs w:val="18"/>
              </w:rPr>
            </w:pPr>
            <w:r w:rsidRPr="00096178">
              <w:rPr>
                <w:sz w:val="18"/>
                <w:szCs w:val="18"/>
              </w:rPr>
              <w:noBreakHyphen/>
            </w:r>
          </w:p>
        </w:tc>
        <w:tc>
          <w:tcPr>
            <w:tcW w:w="507" w:type="pct"/>
            <w:shd w:val="clear" w:color="auto" w:fill="auto"/>
            <w:vAlign w:val="bottom"/>
          </w:tcPr>
          <w:p w:rsidR="00520920" w:rsidRPr="00096178" w:rsidRDefault="00520920" w:rsidP="00AB38B4">
            <w:pPr>
              <w:pStyle w:val="TableBodyText"/>
              <w:rPr>
                <w:sz w:val="18"/>
                <w:szCs w:val="18"/>
              </w:rPr>
            </w:pPr>
            <w:r w:rsidRPr="00096178">
              <w:rPr>
                <w:sz w:val="18"/>
                <w:szCs w:val="18"/>
              </w:rPr>
              <w:noBreakHyphen/>
            </w:r>
          </w:p>
        </w:tc>
        <w:tc>
          <w:tcPr>
            <w:tcW w:w="505" w:type="pct"/>
            <w:shd w:val="clear" w:color="auto" w:fill="auto"/>
            <w:vAlign w:val="bottom"/>
          </w:tcPr>
          <w:p w:rsidR="00520920" w:rsidRPr="00096178" w:rsidRDefault="00520920" w:rsidP="00AB38B4">
            <w:pPr>
              <w:pStyle w:val="TableBodyText"/>
              <w:rPr>
                <w:sz w:val="18"/>
                <w:szCs w:val="18"/>
              </w:rPr>
            </w:pPr>
            <w:r w:rsidRPr="00096178">
              <w:rPr>
                <w:sz w:val="18"/>
                <w:szCs w:val="18"/>
              </w:rPr>
              <w:noBreakHyphen/>
            </w:r>
          </w:p>
        </w:tc>
      </w:tr>
      <w:tr w:rsidR="00520920" w:rsidRPr="006C5A80" w:rsidTr="00AB38B4">
        <w:tc>
          <w:tcPr>
            <w:tcW w:w="1960" w:type="pct"/>
            <w:vAlign w:val="bottom"/>
          </w:tcPr>
          <w:p w:rsidR="00520920" w:rsidRPr="00390699" w:rsidRDefault="00520920" w:rsidP="00AB38B4">
            <w:pPr>
              <w:pStyle w:val="TableBodyText"/>
              <w:jc w:val="left"/>
              <w:rPr>
                <w:sz w:val="18"/>
                <w:szCs w:val="18"/>
              </w:rPr>
            </w:pPr>
            <w:r w:rsidRPr="00390699">
              <w:rPr>
                <w:sz w:val="18"/>
                <w:szCs w:val="18"/>
              </w:rPr>
              <w:t>Other livestock farming</w:t>
            </w:r>
          </w:p>
        </w:tc>
        <w:tc>
          <w:tcPr>
            <w:tcW w:w="507" w:type="pct"/>
            <w:vAlign w:val="bottom"/>
          </w:tcPr>
          <w:p w:rsidR="00520920" w:rsidRPr="00096178" w:rsidRDefault="00520920" w:rsidP="00AB38B4">
            <w:pPr>
              <w:pStyle w:val="TableBodyText"/>
              <w:rPr>
                <w:sz w:val="18"/>
                <w:szCs w:val="18"/>
              </w:rPr>
            </w:pPr>
            <w:r w:rsidRPr="00096178">
              <w:rPr>
                <w:sz w:val="18"/>
                <w:szCs w:val="18"/>
              </w:rPr>
              <w:t>0.2</w:t>
            </w:r>
          </w:p>
        </w:tc>
        <w:tc>
          <w:tcPr>
            <w:tcW w:w="507" w:type="pct"/>
            <w:vAlign w:val="bottom"/>
          </w:tcPr>
          <w:p w:rsidR="00520920" w:rsidRPr="00096178" w:rsidRDefault="00520920" w:rsidP="00AB38B4">
            <w:pPr>
              <w:pStyle w:val="TableBodyText"/>
              <w:rPr>
                <w:sz w:val="18"/>
                <w:szCs w:val="18"/>
              </w:rPr>
            </w:pPr>
            <w:r w:rsidRPr="00096178">
              <w:rPr>
                <w:sz w:val="18"/>
                <w:szCs w:val="18"/>
              </w:rPr>
              <w:t>0.2</w:t>
            </w:r>
          </w:p>
        </w:tc>
        <w:tc>
          <w:tcPr>
            <w:tcW w:w="507" w:type="pct"/>
            <w:vAlign w:val="bottom"/>
          </w:tcPr>
          <w:p w:rsidR="00520920" w:rsidRPr="00096178" w:rsidRDefault="00520920" w:rsidP="00AB38B4">
            <w:pPr>
              <w:pStyle w:val="TableBodyText"/>
              <w:rPr>
                <w:sz w:val="18"/>
                <w:szCs w:val="18"/>
              </w:rPr>
            </w:pPr>
            <w:r w:rsidRPr="00096178">
              <w:rPr>
                <w:sz w:val="18"/>
                <w:szCs w:val="18"/>
              </w:rPr>
              <w:noBreakHyphen/>
            </w:r>
          </w:p>
        </w:tc>
        <w:tc>
          <w:tcPr>
            <w:tcW w:w="507" w:type="pct"/>
            <w:vAlign w:val="bottom"/>
          </w:tcPr>
          <w:p w:rsidR="00520920" w:rsidRPr="00096178" w:rsidRDefault="00520920" w:rsidP="00AB38B4">
            <w:pPr>
              <w:pStyle w:val="TableBodyText"/>
              <w:rPr>
                <w:sz w:val="18"/>
                <w:szCs w:val="18"/>
              </w:rPr>
            </w:pPr>
            <w:r w:rsidRPr="00096178">
              <w:rPr>
                <w:sz w:val="18"/>
                <w:szCs w:val="18"/>
              </w:rPr>
              <w:noBreakHyphen/>
            </w:r>
          </w:p>
        </w:tc>
        <w:tc>
          <w:tcPr>
            <w:tcW w:w="507" w:type="pct"/>
            <w:shd w:val="clear" w:color="auto" w:fill="auto"/>
            <w:vAlign w:val="bottom"/>
          </w:tcPr>
          <w:p w:rsidR="00520920" w:rsidRPr="00096178" w:rsidRDefault="00520920" w:rsidP="00AB38B4">
            <w:pPr>
              <w:pStyle w:val="TableBodyText"/>
              <w:rPr>
                <w:sz w:val="18"/>
                <w:szCs w:val="18"/>
              </w:rPr>
            </w:pPr>
            <w:r w:rsidRPr="00096178">
              <w:rPr>
                <w:sz w:val="18"/>
                <w:szCs w:val="18"/>
              </w:rPr>
              <w:noBreakHyphen/>
            </w:r>
          </w:p>
        </w:tc>
        <w:tc>
          <w:tcPr>
            <w:tcW w:w="505" w:type="pct"/>
            <w:shd w:val="clear" w:color="auto" w:fill="auto"/>
            <w:vAlign w:val="bottom"/>
          </w:tcPr>
          <w:p w:rsidR="00520920" w:rsidRPr="00096178" w:rsidRDefault="00520920" w:rsidP="00AB38B4">
            <w:pPr>
              <w:pStyle w:val="TableBodyText"/>
              <w:rPr>
                <w:sz w:val="18"/>
                <w:szCs w:val="18"/>
              </w:rPr>
            </w:pPr>
            <w:r w:rsidRPr="00096178">
              <w:rPr>
                <w:sz w:val="18"/>
                <w:szCs w:val="18"/>
              </w:rPr>
              <w:noBreakHyphen/>
            </w:r>
          </w:p>
        </w:tc>
      </w:tr>
      <w:tr w:rsidR="00520920" w:rsidRPr="006C5A80" w:rsidTr="00AB38B4">
        <w:tc>
          <w:tcPr>
            <w:tcW w:w="1960" w:type="pct"/>
            <w:vAlign w:val="bottom"/>
          </w:tcPr>
          <w:p w:rsidR="00520920" w:rsidRPr="00390699" w:rsidRDefault="00520920" w:rsidP="00AB38B4">
            <w:pPr>
              <w:pStyle w:val="TableBodyText"/>
              <w:jc w:val="left"/>
              <w:rPr>
                <w:sz w:val="18"/>
                <w:szCs w:val="18"/>
              </w:rPr>
            </w:pPr>
            <w:r w:rsidRPr="00390699">
              <w:rPr>
                <w:sz w:val="18"/>
                <w:szCs w:val="18"/>
              </w:rPr>
              <w:t>Aquaculture and fishing</w:t>
            </w:r>
          </w:p>
        </w:tc>
        <w:tc>
          <w:tcPr>
            <w:tcW w:w="507" w:type="pct"/>
            <w:vAlign w:val="bottom"/>
          </w:tcPr>
          <w:p w:rsidR="00520920" w:rsidRPr="00096178" w:rsidRDefault="00520920" w:rsidP="00AB38B4">
            <w:pPr>
              <w:pStyle w:val="TableBodyText"/>
              <w:rPr>
                <w:sz w:val="18"/>
                <w:szCs w:val="18"/>
              </w:rPr>
            </w:pPr>
            <w:r w:rsidRPr="00096178">
              <w:rPr>
                <w:sz w:val="18"/>
                <w:szCs w:val="18"/>
              </w:rPr>
              <w:t>0.5</w:t>
            </w:r>
          </w:p>
        </w:tc>
        <w:tc>
          <w:tcPr>
            <w:tcW w:w="507" w:type="pct"/>
            <w:vAlign w:val="bottom"/>
          </w:tcPr>
          <w:p w:rsidR="00520920" w:rsidRPr="00096178" w:rsidRDefault="00520920" w:rsidP="00AB38B4">
            <w:pPr>
              <w:pStyle w:val="TableBodyText"/>
              <w:rPr>
                <w:sz w:val="18"/>
                <w:szCs w:val="18"/>
              </w:rPr>
            </w:pPr>
            <w:r w:rsidRPr="00096178">
              <w:rPr>
                <w:sz w:val="18"/>
                <w:szCs w:val="18"/>
              </w:rPr>
              <w:t>0.8</w:t>
            </w:r>
          </w:p>
        </w:tc>
        <w:tc>
          <w:tcPr>
            <w:tcW w:w="507" w:type="pct"/>
            <w:vAlign w:val="bottom"/>
          </w:tcPr>
          <w:p w:rsidR="00520920" w:rsidRPr="00096178" w:rsidRDefault="00520920" w:rsidP="00AB38B4">
            <w:pPr>
              <w:pStyle w:val="TableBodyText"/>
              <w:rPr>
                <w:sz w:val="18"/>
                <w:szCs w:val="18"/>
              </w:rPr>
            </w:pPr>
            <w:r w:rsidRPr="00096178">
              <w:rPr>
                <w:sz w:val="18"/>
                <w:szCs w:val="18"/>
              </w:rPr>
              <w:noBreakHyphen/>
            </w:r>
          </w:p>
        </w:tc>
        <w:tc>
          <w:tcPr>
            <w:tcW w:w="507" w:type="pct"/>
            <w:vAlign w:val="bottom"/>
          </w:tcPr>
          <w:p w:rsidR="00520920" w:rsidRPr="00096178" w:rsidRDefault="00520920" w:rsidP="00AB38B4">
            <w:pPr>
              <w:pStyle w:val="TableBodyText"/>
              <w:rPr>
                <w:sz w:val="18"/>
                <w:szCs w:val="18"/>
              </w:rPr>
            </w:pPr>
            <w:r w:rsidRPr="00096178">
              <w:rPr>
                <w:sz w:val="18"/>
                <w:szCs w:val="18"/>
              </w:rPr>
              <w:noBreakHyphen/>
            </w:r>
          </w:p>
        </w:tc>
        <w:tc>
          <w:tcPr>
            <w:tcW w:w="507" w:type="pct"/>
            <w:shd w:val="clear" w:color="auto" w:fill="auto"/>
            <w:vAlign w:val="bottom"/>
          </w:tcPr>
          <w:p w:rsidR="00520920" w:rsidRPr="00096178" w:rsidRDefault="00520920" w:rsidP="00AB38B4">
            <w:pPr>
              <w:pStyle w:val="TableBodyText"/>
              <w:rPr>
                <w:sz w:val="18"/>
                <w:szCs w:val="18"/>
              </w:rPr>
            </w:pPr>
            <w:r w:rsidRPr="00096178">
              <w:rPr>
                <w:sz w:val="18"/>
                <w:szCs w:val="18"/>
              </w:rPr>
              <w:noBreakHyphen/>
            </w:r>
          </w:p>
        </w:tc>
        <w:tc>
          <w:tcPr>
            <w:tcW w:w="505" w:type="pct"/>
            <w:shd w:val="clear" w:color="auto" w:fill="auto"/>
            <w:vAlign w:val="bottom"/>
          </w:tcPr>
          <w:p w:rsidR="00520920" w:rsidRPr="00096178" w:rsidRDefault="00520920" w:rsidP="00AB38B4">
            <w:pPr>
              <w:pStyle w:val="TableBodyText"/>
              <w:rPr>
                <w:sz w:val="18"/>
                <w:szCs w:val="18"/>
              </w:rPr>
            </w:pPr>
            <w:r w:rsidRPr="00096178">
              <w:rPr>
                <w:sz w:val="18"/>
                <w:szCs w:val="18"/>
              </w:rPr>
              <w:noBreakHyphen/>
            </w:r>
          </w:p>
        </w:tc>
      </w:tr>
      <w:tr w:rsidR="00520920" w:rsidRPr="006C5A80" w:rsidTr="00AB38B4">
        <w:tc>
          <w:tcPr>
            <w:tcW w:w="1960" w:type="pct"/>
            <w:vAlign w:val="bottom"/>
          </w:tcPr>
          <w:p w:rsidR="00520920" w:rsidRPr="00390699" w:rsidRDefault="00520920" w:rsidP="00AB38B4">
            <w:pPr>
              <w:pStyle w:val="TableBodyText"/>
              <w:jc w:val="left"/>
              <w:rPr>
                <w:sz w:val="18"/>
                <w:szCs w:val="18"/>
              </w:rPr>
            </w:pPr>
            <w:r w:rsidRPr="00390699">
              <w:rPr>
                <w:sz w:val="18"/>
                <w:szCs w:val="18"/>
              </w:rPr>
              <w:t>Primary production support services</w:t>
            </w:r>
          </w:p>
        </w:tc>
        <w:tc>
          <w:tcPr>
            <w:tcW w:w="507" w:type="pct"/>
            <w:vAlign w:val="bottom"/>
          </w:tcPr>
          <w:p w:rsidR="00520920" w:rsidRPr="00096178" w:rsidRDefault="00520920" w:rsidP="00AB38B4">
            <w:pPr>
              <w:pStyle w:val="TableBodyText"/>
              <w:rPr>
                <w:sz w:val="18"/>
                <w:szCs w:val="18"/>
              </w:rPr>
            </w:pPr>
            <w:r w:rsidRPr="009A1503">
              <w:rPr>
                <w:sz w:val="18"/>
                <w:szCs w:val="18"/>
              </w:rPr>
              <w:t>&lt;0.1</w:t>
            </w:r>
          </w:p>
        </w:tc>
        <w:tc>
          <w:tcPr>
            <w:tcW w:w="507" w:type="pct"/>
            <w:vAlign w:val="bottom"/>
          </w:tcPr>
          <w:p w:rsidR="00520920" w:rsidRPr="00096178" w:rsidRDefault="00520920" w:rsidP="00AB38B4">
            <w:pPr>
              <w:pStyle w:val="TableBodyText"/>
              <w:rPr>
                <w:sz w:val="18"/>
                <w:szCs w:val="18"/>
              </w:rPr>
            </w:pPr>
            <w:r w:rsidRPr="009A1503">
              <w:rPr>
                <w:sz w:val="18"/>
                <w:szCs w:val="18"/>
              </w:rPr>
              <w:t>&lt;0.1</w:t>
            </w:r>
          </w:p>
        </w:tc>
        <w:tc>
          <w:tcPr>
            <w:tcW w:w="507" w:type="pct"/>
            <w:vAlign w:val="bottom"/>
          </w:tcPr>
          <w:p w:rsidR="00520920" w:rsidRPr="00096178" w:rsidRDefault="00520920" w:rsidP="00AB38B4">
            <w:pPr>
              <w:pStyle w:val="TableBodyText"/>
              <w:rPr>
                <w:sz w:val="18"/>
                <w:szCs w:val="18"/>
              </w:rPr>
            </w:pPr>
            <w:r w:rsidRPr="00096178">
              <w:rPr>
                <w:sz w:val="18"/>
                <w:szCs w:val="18"/>
              </w:rPr>
              <w:noBreakHyphen/>
            </w:r>
          </w:p>
        </w:tc>
        <w:tc>
          <w:tcPr>
            <w:tcW w:w="507" w:type="pct"/>
            <w:vAlign w:val="bottom"/>
          </w:tcPr>
          <w:p w:rsidR="00520920" w:rsidRPr="00096178" w:rsidRDefault="00520920" w:rsidP="00AB38B4">
            <w:pPr>
              <w:pStyle w:val="TableBodyText"/>
              <w:rPr>
                <w:sz w:val="18"/>
                <w:szCs w:val="18"/>
              </w:rPr>
            </w:pPr>
            <w:r w:rsidRPr="00096178">
              <w:rPr>
                <w:sz w:val="18"/>
                <w:szCs w:val="18"/>
              </w:rPr>
              <w:noBreakHyphen/>
            </w:r>
          </w:p>
        </w:tc>
        <w:tc>
          <w:tcPr>
            <w:tcW w:w="507" w:type="pct"/>
            <w:shd w:val="clear" w:color="auto" w:fill="auto"/>
            <w:vAlign w:val="bottom"/>
          </w:tcPr>
          <w:p w:rsidR="00520920" w:rsidRPr="00096178" w:rsidRDefault="00520920" w:rsidP="00AB38B4">
            <w:pPr>
              <w:pStyle w:val="TableBodyText"/>
              <w:rPr>
                <w:sz w:val="18"/>
                <w:szCs w:val="18"/>
              </w:rPr>
            </w:pPr>
            <w:r w:rsidRPr="00096178">
              <w:rPr>
                <w:sz w:val="18"/>
                <w:szCs w:val="18"/>
              </w:rPr>
              <w:noBreakHyphen/>
            </w:r>
          </w:p>
        </w:tc>
        <w:tc>
          <w:tcPr>
            <w:tcW w:w="505" w:type="pct"/>
            <w:shd w:val="clear" w:color="auto" w:fill="auto"/>
            <w:vAlign w:val="bottom"/>
          </w:tcPr>
          <w:p w:rsidR="00520920" w:rsidRPr="00096178" w:rsidRDefault="00520920" w:rsidP="00AB38B4">
            <w:pPr>
              <w:pStyle w:val="TableBodyText"/>
              <w:rPr>
                <w:sz w:val="18"/>
                <w:szCs w:val="18"/>
              </w:rPr>
            </w:pPr>
            <w:r w:rsidRPr="00096178">
              <w:rPr>
                <w:sz w:val="18"/>
                <w:szCs w:val="18"/>
              </w:rPr>
              <w:noBreakHyphen/>
            </w:r>
          </w:p>
        </w:tc>
      </w:tr>
      <w:tr w:rsidR="00520920" w:rsidRPr="006C5A80" w:rsidTr="00AB38B4">
        <w:tc>
          <w:tcPr>
            <w:tcW w:w="1960" w:type="pct"/>
            <w:vAlign w:val="bottom"/>
          </w:tcPr>
          <w:p w:rsidR="00520920" w:rsidRPr="00390699" w:rsidRDefault="00520920" w:rsidP="00AB38B4">
            <w:pPr>
              <w:pStyle w:val="TableBodyText"/>
              <w:jc w:val="left"/>
              <w:rPr>
                <w:sz w:val="18"/>
                <w:szCs w:val="18"/>
              </w:rPr>
            </w:pPr>
            <w:r w:rsidRPr="00390699">
              <w:rPr>
                <w:sz w:val="18"/>
                <w:szCs w:val="18"/>
              </w:rPr>
              <w:t xml:space="preserve">Unallocated </w:t>
            </w:r>
            <w:r>
              <w:rPr>
                <w:sz w:val="18"/>
                <w:szCs w:val="18"/>
              </w:rPr>
              <w:t>primary production</w:t>
            </w:r>
            <w:r w:rsidRPr="00390699">
              <w:rPr>
                <w:rStyle w:val="NoteLabel"/>
                <w:szCs w:val="18"/>
              </w:rPr>
              <w:t>a</w:t>
            </w:r>
          </w:p>
        </w:tc>
        <w:tc>
          <w:tcPr>
            <w:tcW w:w="507" w:type="pct"/>
            <w:vAlign w:val="bottom"/>
          </w:tcPr>
          <w:p w:rsidR="00520920" w:rsidRPr="00096178" w:rsidRDefault="00520920" w:rsidP="00AB38B4">
            <w:pPr>
              <w:pStyle w:val="TableBodyText"/>
              <w:rPr>
                <w:sz w:val="18"/>
                <w:szCs w:val="18"/>
              </w:rPr>
            </w:pPr>
            <w:r w:rsidRPr="00096178">
              <w:rPr>
                <w:sz w:val="18"/>
                <w:szCs w:val="18"/>
              </w:rPr>
              <w:t>0.1</w:t>
            </w:r>
          </w:p>
        </w:tc>
        <w:tc>
          <w:tcPr>
            <w:tcW w:w="507" w:type="pct"/>
            <w:vAlign w:val="bottom"/>
          </w:tcPr>
          <w:p w:rsidR="00520920" w:rsidRPr="00096178" w:rsidRDefault="00520920" w:rsidP="00AB38B4">
            <w:pPr>
              <w:pStyle w:val="TableBodyText"/>
              <w:rPr>
                <w:sz w:val="18"/>
                <w:szCs w:val="18"/>
              </w:rPr>
            </w:pPr>
            <w:r w:rsidRPr="00096178">
              <w:rPr>
                <w:sz w:val="18"/>
                <w:szCs w:val="18"/>
              </w:rPr>
              <w:t>0.2</w:t>
            </w:r>
          </w:p>
        </w:tc>
        <w:tc>
          <w:tcPr>
            <w:tcW w:w="507" w:type="pct"/>
            <w:vAlign w:val="bottom"/>
          </w:tcPr>
          <w:p w:rsidR="00520920" w:rsidRPr="00096178" w:rsidRDefault="00520920" w:rsidP="00AB38B4">
            <w:pPr>
              <w:pStyle w:val="TableBodyText"/>
              <w:rPr>
                <w:sz w:val="18"/>
                <w:szCs w:val="18"/>
              </w:rPr>
            </w:pPr>
            <w:r w:rsidRPr="00096178">
              <w:rPr>
                <w:sz w:val="18"/>
                <w:szCs w:val="18"/>
              </w:rPr>
              <w:noBreakHyphen/>
            </w:r>
          </w:p>
        </w:tc>
        <w:tc>
          <w:tcPr>
            <w:tcW w:w="507" w:type="pct"/>
            <w:vAlign w:val="bottom"/>
          </w:tcPr>
          <w:p w:rsidR="00520920" w:rsidRPr="00096178" w:rsidRDefault="00520920" w:rsidP="00AB38B4">
            <w:pPr>
              <w:pStyle w:val="TableBodyText"/>
              <w:rPr>
                <w:sz w:val="18"/>
                <w:szCs w:val="18"/>
              </w:rPr>
            </w:pPr>
            <w:r w:rsidRPr="00096178">
              <w:rPr>
                <w:sz w:val="18"/>
                <w:szCs w:val="18"/>
              </w:rPr>
              <w:noBreakHyphen/>
            </w:r>
          </w:p>
        </w:tc>
        <w:tc>
          <w:tcPr>
            <w:tcW w:w="507" w:type="pct"/>
            <w:shd w:val="clear" w:color="auto" w:fill="auto"/>
            <w:vAlign w:val="bottom"/>
          </w:tcPr>
          <w:p w:rsidR="00520920" w:rsidRPr="00096178" w:rsidRDefault="00520920" w:rsidP="00AB38B4">
            <w:pPr>
              <w:pStyle w:val="TableBodyText"/>
              <w:rPr>
                <w:sz w:val="18"/>
                <w:szCs w:val="18"/>
              </w:rPr>
            </w:pPr>
            <w:r w:rsidRPr="00096178">
              <w:rPr>
                <w:sz w:val="18"/>
                <w:szCs w:val="18"/>
              </w:rPr>
              <w:noBreakHyphen/>
            </w:r>
          </w:p>
        </w:tc>
        <w:tc>
          <w:tcPr>
            <w:tcW w:w="505" w:type="pct"/>
            <w:shd w:val="clear" w:color="auto" w:fill="auto"/>
            <w:vAlign w:val="bottom"/>
          </w:tcPr>
          <w:p w:rsidR="00520920" w:rsidRPr="00096178" w:rsidRDefault="00520920" w:rsidP="00AB38B4">
            <w:pPr>
              <w:pStyle w:val="TableBodyText"/>
              <w:rPr>
                <w:sz w:val="18"/>
                <w:szCs w:val="18"/>
              </w:rPr>
            </w:pPr>
            <w:r w:rsidRPr="00096178">
              <w:rPr>
                <w:sz w:val="18"/>
                <w:szCs w:val="18"/>
              </w:rPr>
              <w:noBreakHyphen/>
            </w:r>
          </w:p>
        </w:tc>
      </w:tr>
      <w:tr w:rsidR="00520920" w:rsidRPr="006C5A80" w:rsidTr="00AB38B4">
        <w:tc>
          <w:tcPr>
            <w:tcW w:w="1960" w:type="pct"/>
            <w:tcBorders>
              <w:bottom w:val="single" w:sz="4" w:space="0" w:color="auto"/>
            </w:tcBorders>
            <w:vAlign w:val="bottom"/>
          </w:tcPr>
          <w:p w:rsidR="00520920" w:rsidRPr="00390699" w:rsidRDefault="00520920" w:rsidP="00AB38B4">
            <w:pPr>
              <w:pStyle w:val="TableBodyText"/>
              <w:jc w:val="left"/>
              <w:rPr>
                <w:b/>
                <w:bCs/>
                <w:sz w:val="18"/>
                <w:szCs w:val="18"/>
              </w:rPr>
            </w:pPr>
            <w:r w:rsidRPr="00390699">
              <w:rPr>
                <w:b/>
                <w:bCs/>
                <w:sz w:val="18"/>
                <w:szCs w:val="18"/>
              </w:rPr>
              <w:t>Total</w:t>
            </w:r>
          </w:p>
        </w:tc>
        <w:tc>
          <w:tcPr>
            <w:tcW w:w="507" w:type="pct"/>
            <w:tcBorders>
              <w:bottom w:val="single" w:sz="4" w:space="0" w:color="auto"/>
            </w:tcBorders>
            <w:vAlign w:val="bottom"/>
          </w:tcPr>
          <w:p w:rsidR="00520920" w:rsidRPr="00096178" w:rsidRDefault="00520920" w:rsidP="00AB38B4">
            <w:pPr>
              <w:pStyle w:val="TableBodyText"/>
              <w:rPr>
                <w:b/>
                <w:sz w:val="18"/>
                <w:szCs w:val="18"/>
              </w:rPr>
            </w:pPr>
            <w:r w:rsidRPr="00096178">
              <w:rPr>
                <w:b/>
                <w:sz w:val="18"/>
                <w:szCs w:val="18"/>
              </w:rPr>
              <w:t>7.7</w:t>
            </w:r>
          </w:p>
        </w:tc>
        <w:tc>
          <w:tcPr>
            <w:tcW w:w="507" w:type="pct"/>
            <w:tcBorders>
              <w:bottom w:val="single" w:sz="4" w:space="0" w:color="auto"/>
            </w:tcBorders>
            <w:vAlign w:val="bottom"/>
          </w:tcPr>
          <w:p w:rsidR="00520920" w:rsidRPr="00096178" w:rsidRDefault="00520920" w:rsidP="00AB38B4">
            <w:pPr>
              <w:pStyle w:val="TableBodyText"/>
              <w:rPr>
                <w:b/>
                <w:sz w:val="18"/>
                <w:szCs w:val="18"/>
              </w:rPr>
            </w:pPr>
            <w:r w:rsidRPr="00096178">
              <w:rPr>
                <w:b/>
                <w:sz w:val="18"/>
                <w:szCs w:val="18"/>
              </w:rPr>
              <w:t>10.6</w:t>
            </w:r>
          </w:p>
        </w:tc>
        <w:tc>
          <w:tcPr>
            <w:tcW w:w="507" w:type="pct"/>
            <w:tcBorders>
              <w:bottom w:val="single" w:sz="4" w:space="0" w:color="auto"/>
            </w:tcBorders>
            <w:vAlign w:val="bottom"/>
          </w:tcPr>
          <w:p w:rsidR="00520920" w:rsidRPr="00096178" w:rsidRDefault="00520920" w:rsidP="00AB38B4">
            <w:pPr>
              <w:pStyle w:val="TableBodyText"/>
              <w:rPr>
                <w:b/>
                <w:sz w:val="18"/>
                <w:szCs w:val="18"/>
              </w:rPr>
            </w:pPr>
            <w:r w:rsidRPr="00096178">
              <w:rPr>
                <w:b/>
                <w:sz w:val="18"/>
                <w:szCs w:val="18"/>
              </w:rPr>
              <w:noBreakHyphen/>
            </w:r>
          </w:p>
        </w:tc>
        <w:tc>
          <w:tcPr>
            <w:tcW w:w="507" w:type="pct"/>
            <w:tcBorders>
              <w:bottom w:val="single" w:sz="4" w:space="0" w:color="auto"/>
            </w:tcBorders>
            <w:vAlign w:val="bottom"/>
          </w:tcPr>
          <w:p w:rsidR="00520920" w:rsidRPr="00096178" w:rsidRDefault="00520920" w:rsidP="00AB38B4">
            <w:pPr>
              <w:pStyle w:val="TableBodyText"/>
              <w:rPr>
                <w:b/>
                <w:sz w:val="18"/>
                <w:szCs w:val="18"/>
              </w:rPr>
            </w:pPr>
            <w:r w:rsidRPr="00096178">
              <w:rPr>
                <w:b/>
                <w:sz w:val="18"/>
                <w:szCs w:val="18"/>
              </w:rPr>
              <w:noBreakHyphen/>
            </w:r>
          </w:p>
        </w:tc>
        <w:tc>
          <w:tcPr>
            <w:tcW w:w="507" w:type="pct"/>
            <w:tcBorders>
              <w:bottom w:val="single" w:sz="4" w:space="0" w:color="auto"/>
            </w:tcBorders>
            <w:shd w:val="clear" w:color="auto" w:fill="auto"/>
            <w:vAlign w:val="bottom"/>
          </w:tcPr>
          <w:p w:rsidR="00520920" w:rsidRPr="00096178" w:rsidRDefault="00520920" w:rsidP="00AB38B4">
            <w:pPr>
              <w:pStyle w:val="TableBodyText"/>
              <w:rPr>
                <w:b/>
                <w:sz w:val="18"/>
                <w:szCs w:val="18"/>
              </w:rPr>
            </w:pPr>
            <w:r w:rsidRPr="00096178">
              <w:rPr>
                <w:b/>
                <w:sz w:val="18"/>
                <w:szCs w:val="18"/>
              </w:rPr>
              <w:noBreakHyphen/>
            </w:r>
          </w:p>
        </w:tc>
        <w:tc>
          <w:tcPr>
            <w:tcW w:w="505" w:type="pct"/>
            <w:tcBorders>
              <w:bottom w:val="single" w:sz="4" w:space="0" w:color="auto"/>
            </w:tcBorders>
            <w:shd w:val="clear" w:color="auto" w:fill="auto"/>
            <w:vAlign w:val="bottom"/>
          </w:tcPr>
          <w:p w:rsidR="00520920" w:rsidRPr="00096178" w:rsidRDefault="00520920" w:rsidP="00AB38B4">
            <w:pPr>
              <w:pStyle w:val="TableBodyText"/>
              <w:rPr>
                <w:b/>
                <w:sz w:val="18"/>
                <w:szCs w:val="18"/>
              </w:rPr>
            </w:pPr>
            <w:r w:rsidRPr="00096178">
              <w:rPr>
                <w:b/>
                <w:sz w:val="18"/>
                <w:szCs w:val="18"/>
              </w:rPr>
              <w:noBreakHyphen/>
            </w:r>
          </w:p>
        </w:tc>
      </w:tr>
    </w:tbl>
    <w:p w:rsidR="00520920" w:rsidRDefault="00520920" w:rsidP="00520920">
      <w:pPr>
        <w:pStyle w:val="Note"/>
      </w:pPr>
      <w:r>
        <w:t xml:space="preserve">– Nil. </w:t>
      </w:r>
      <w:r w:rsidRPr="008E77FE">
        <w:rPr>
          <w:rStyle w:val="NoteLabel"/>
        </w:rPr>
        <w:t>a</w:t>
      </w:r>
      <w:r>
        <w:t xml:space="preserve"> Unallocated includes general programs where details of beneficiaries are unknown.</w:t>
      </w:r>
    </w:p>
    <w:p w:rsidR="00520920" w:rsidRPr="008E77FE" w:rsidRDefault="00520920" w:rsidP="00520920">
      <w:pPr>
        <w:pStyle w:val="Source"/>
      </w:pPr>
      <w:r>
        <w:rPr>
          <w:i/>
        </w:rPr>
        <w:t>Sources</w:t>
      </w:r>
      <w:r>
        <w:t xml:space="preserve">: </w:t>
      </w:r>
      <w:r w:rsidRPr="00EF17F4">
        <w:t xml:space="preserve">Commission estimates based on </w:t>
      </w:r>
      <w:r>
        <w:t>DAFF Annual Report 2007</w:t>
      </w:r>
      <w:r>
        <w:noBreakHyphen/>
        <w:t>08; DAFF Portfolio Budget Statements 2007</w:t>
      </w:r>
      <w:r>
        <w:noBreakHyphen/>
        <w:t>08; and detailed DAFF data by ANZSIC industry.</w:t>
      </w:r>
    </w:p>
    <w:p w:rsidR="00B367E7" w:rsidRDefault="00FA09C3" w:rsidP="006A4176">
      <w:pPr>
        <w:pStyle w:val="Heading2"/>
      </w:pPr>
      <w:r>
        <w:t>A.</w:t>
      </w:r>
      <w:r>
        <w:rPr>
          <w:noProof/>
        </w:rPr>
        <w:t>193</w:t>
      </w:r>
      <w:r w:rsidR="006A4176">
        <w:tab/>
        <w:t>Biofuels Infrastructure Grants</w:t>
      </w:r>
    </w:p>
    <w:p w:rsidR="00522AB8" w:rsidRPr="00BF5ADD" w:rsidRDefault="00BF5ADD" w:rsidP="00BF5ADD">
      <w:pPr>
        <w:pStyle w:val="BodyText"/>
      </w:pPr>
      <w:r>
        <w:t>To encourage new entrants into the biofuels industry, the Australian Government announced in July 2003 that it would provide up to $37.6 million to fund a capital subsidy for projects that provide new or expanded biofuels capacity. The subsidy was to be provided at a rate of 16 cents per litre of additional capacity to viable projects producing a minimum of 5 megalitres of biofuels, and would be limited to $10 million per project</w:t>
      </w:r>
      <w:r w:rsidR="00B67D25">
        <w:t xml:space="preserve"> (NSW Government</w:t>
      </w:r>
      <w:r w:rsidR="00886F15">
        <w:t> </w:t>
      </w:r>
      <w:r w:rsidR="00B67D25">
        <w:t>2006)</w:t>
      </w:r>
      <w:r>
        <w:t>.</w:t>
      </w:r>
    </w:p>
    <w:p w:rsidR="00522AB8" w:rsidRDefault="00522AB8" w:rsidP="00522AB8">
      <w:pPr>
        <w:pStyle w:val="BodyText"/>
      </w:pPr>
      <w:r>
        <w:t>The program selectively assisted activities engaged in biofuel</w:t>
      </w:r>
      <w:r w:rsidR="00BF5ADD">
        <w:t xml:space="preserve"> production</w:t>
      </w:r>
      <w:r>
        <w:t xml:space="preserve"> and has been classified to the </w:t>
      </w:r>
      <w:r w:rsidRPr="00504EC1">
        <w:rPr>
          <w:i/>
        </w:rPr>
        <w:t>Petroleum, coal, chemical and rubber products</w:t>
      </w:r>
      <w:r>
        <w:t xml:space="preserve"> industry grouping in the Commission’s ANZSIC-based classification (table A.193).</w:t>
      </w:r>
    </w:p>
    <w:p w:rsidR="006A4176" w:rsidRDefault="006A4176" w:rsidP="006A4176">
      <w:pPr>
        <w:pStyle w:val="TableTitle"/>
      </w:pPr>
      <w:r>
        <w:rPr>
          <w:b w:val="0"/>
        </w:rPr>
        <w:t xml:space="preserve">Table </w:t>
      </w:r>
      <w:r w:rsidR="00FA09C3">
        <w:rPr>
          <w:b w:val="0"/>
        </w:rPr>
        <w:t>A.</w:t>
      </w:r>
      <w:r w:rsidR="00FA09C3">
        <w:rPr>
          <w:b w:val="0"/>
          <w:noProof/>
        </w:rPr>
        <w:t>193</w:t>
      </w:r>
      <w:r>
        <w:tab/>
        <w:t xml:space="preserve">Allocation of Biofuels Infrastructure Grants </w:t>
      </w:r>
      <w:r w:rsidR="00571E36" w:rsidRPr="00571E36">
        <w:t>to industry</w:t>
      </w:r>
      <w:r>
        <w:t>, 2006</w:t>
      </w:r>
      <w:r>
        <w:noBreakHyphen/>
        <w:t>07 to 2011</w:t>
      </w:r>
      <w:r>
        <w:noBreakHyphen/>
        <w:t>12</w:t>
      </w:r>
    </w:p>
    <w:p w:rsidR="006A4176" w:rsidRDefault="006A4176" w:rsidP="006A4176">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6A4176" w:rsidRPr="00AF699A" w:rsidTr="00AB38B4">
        <w:tc>
          <w:tcPr>
            <w:tcW w:w="1960" w:type="pct"/>
            <w:tcBorders>
              <w:top w:val="single" w:sz="6" w:space="0" w:color="auto"/>
              <w:bottom w:val="single" w:sz="6" w:space="0" w:color="auto"/>
            </w:tcBorders>
          </w:tcPr>
          <w:p w:rsidR="006A4176" w:rsidRPr="00AF699A" w:rsidRDefault="006A4176" w:rsidP="00AB38B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6A4176" w:rsidRPr="00AF699A" w:rsidRDefault="006A4176"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6A4176" w:rsidRPr="00AF699A" w:rsidRDefault="006A4176" w:rsidP="00AB38B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6A4176" w:rsidRPr="00AF699A" w:rsidRDefault="006A4176" w:rsidP="00AB38B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6A4176" w:rsidRPr="00AF699A" w:rsidRDefault="006A4176" w:rsidP="00AB38B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6A4176" w:rsidRPr="00AF699A" w:rsidRDefault="006A4176" w:rsidP="00AB38B4">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6A4176" w:rsidRPr="00AF699A" w:rsidRDefault="006A4176" w:rsidP="00AB38B4">
            <w:pPr>
              <w:pStyle w:val="TableColumnHeading"/>
              <w:ind w:right="28"/>
              <w:rPr>
                <w:rFonts w:cs="Arial"/>
                <w:sz w:val="18"/>
                <w:szCs w:val="18"/>
              </w:rPr>
            </w:pPr>
            <w:r w:rsidRPr="00AF699A">
              <w:rPr>
                <w:rFonts w:cs="Arial"/>
                <w:sz w:val="18"/>
                <w:szCs w:val="18"/>
              </w:rPr>
              <w:t>2011-12</w:t>
            </w:r>
          </w:p>
        </w:tc>
      </w:tr>
      <w:tr w:rsidR="006A4176" w:rsidRPr="006C5A80" w:rsidTr="00AB38B4">
        <w:tc>
          <w:tcPr>
            <w:tcW w:w="1960" w:type="pct"/>
            <w:tcBorders>
              <w:bottom w:val="single" w:sz="4" w:space="0" w:color="auto"/>
            </w:tcBorders>
            <w:vAlign w:val="bottom"/>
          </w:tcPr>
          <w:p w:rsidR="006A4176" w:rsidRPr="00C944BA" w:rsidRDefault="00522AB8" w:rsidP="00AB38B4">
            <w:pPr>
              <w:pStyle w:val="TableBodyText"/>
              <w:jc w:val="left"/>
            </w:pPr>
            <w:r>
              <w:t>Petroleum, coal, chemical and rubber products</w:t>
            </w:r>
          </w:p>
        </w:tc>
        <w:tc>
          <w:tcPr>
            <w:tcW w:w="507" w:type="pct"/>
            <w:tcBorders>
              <w:bottom w:val="single" w:sz="4" w:space="0" w:color="auto"/>
            </w:tcBorders>
            <w:vAlign w:val="bottom"/>
          </w:tcPr>
          <w:p w:rsidR="006A4176" w:rsidRPr="00F567A8" w:rsidRDefault="00522AB8" w:rsidP="00AB38B4">
            <w:pPr>
              <w:pStyle w:val="TableBodyText"/>
            </w:pPr>
            <w:r>
              <w:t>3.7</w:t>
            </w:r>
          </w:p>
        </w:tc>
        <w:tc>
          <w:tcPr>
            <w:tcW w:w="507" w:type="pct"/>
            <w:tcBorders>
              <w:bottom w:val="single" w:sz="4" w:space="0" w:color="auto"/>
            </w:tcBorders>
            <w:vAlign w:val="bottom"/>
          </w:tcPr>
          <w:p w:rsidR="006A4176" w:rsidRPr="00F567A8" w:rsidRDefault="00522AB8" w:rsidP="00AB38B4">
            <w:pPr>
              <w:pStyle w:val="TableBodyText"/>
            </w:pPr>
            <w:r>
              <w:t>7.2</w:t>
            </w:r>
          </w:p>
        </w:tc>
        <w:tc>
          <w:tcPr>
            <w:tcW w:w="507" w:type="pct"/>
            <w:tcBorders>
              <w:bottom w:val="single" w:sz="4" w:space="0" w:color="auto"/>
            </w:tcBorders>
            <w:vAlign w:val="bottom"/>
          </w:tcPr>
          <w:p w:rsidR="006A4176" w:rsidRPr="00F567A8" w:rsidRDefault="00522AB8" w:rsidP="00AB38B4">
            <w:pPr>
              <w:pStyle w:val="TableBodyText"/>
            </w:pPr>
            <w:r w:rsidRPr="00A2379F">
              <w:noBreakHyphen/>
            </w:r>
          </w:p>
        </w:tc>
        <w:tc>
          <w:tcPr>
            <w:tcW w:w="507" w:type="pct"/>
            <w:tcBorders>
              <w:bottom w:val="single" w:sz="4" w:space="0" w:color="auto"/>
            </w:tcBorders>
            <w:vAlign w:val="bottom"/>
          </w:tcPr>
          <w:p w:rsidR="006A4176" w:rsidRPr="00F567A8" w:rsidRDefault="00522AB8" w:rsidP="00AB38B4">
            <w:pPr>
              <w:pStyle w:val="TableBodyText"/>
            </w:pPr>
            <w:r w:rsidRPr="00A2379F">
              <w:noBreakHyphen/>
            </w:r>
          </w:p>
        </w:tc>
        <w:tc>
          <w:tcPr>
            <w:tcW w:w="507" w:type="pct"/>
            <w:tcBorders>
              <w:bottom w:val="single" w:sz="4" w:space="0" w:color="auto"/>
            </w:tcBorders>
            <w:shd w:val="clear" w:color="auto" w:fill="auto"/>
            <w:vAlign w:val="bottom"/>
          </w:tcPr>
          <w:p w:rsidR="006A4176" w:rsidRPr="00F567A8" w:rsidRDefault="00522AB8" w:rsidP="00AB38B4">
            <w:pPr>
              <w:pStyle w:val="TableBodyText"/>
            </w:pPr>
            <w:r w:rsidRPr="00A2379F">
              <w:noBreakHyphen/>
            </w:r>
          </w:p>
        </w:tc>
        <w:tc>
          <w:tcPr>
            <w:tcW w:w="505" w:type="pct"/>
            <w:tcBorders>
              <w:bottom w:val="single" w:sz="4" w:space="0" w:color="auto"/>
            </w:tcBorders>
            <w:shd w:val="clear" w:color="auto" w:fill="auto"/>
            <w:vAlign w:val="bottom"/>
          </w:tcPr>
          <w:p w:rsidR="006A4176" w:rsidRPr="00F567A8" w:rsidRDefault="00522AB8" w:rsidP="00AB38B4">
            <w:pPr>
              <w:pStyle w:val="TableBodyText"/>
            </w:pPr>
            <w:r w:rsidRPr="00A2379F">
              <w:noBreakHyphen/>
            </w:r>
          </w:p>
        </w:tc>
      </w:tr>
    </w:tbl>
    <w:p w:rsidR="006A4176" w:rsidRPr="00F60026" w:rsidRDefault="006A4176" w:rsidP="006A4176">
      <w:pPr>
        <w:pStyle w:val="Source"/>
        <w:spacing w:after="0"/>
        <w:rPr>
          <w:i/>
        </w:rPr>
      </w:pPr>
      <w:r w:rsidRPr="00A2379F">
        <w:noBreakHyphen/>
        <w:t xml:space="preserve"> </w:t>
      </w:r>
      <w:r>
        <w:t>Nil</w:t>
      </w:r>
      <w:r w:rsidRPr="00A2379F">
        <w:t>.</w:t>
      </w:r>
    </w:p>
    <w:p w:rsidR="006A4176" w:rsidRDefault="006A4176" w:rsidP="006A4176">
      <w:pPr>
        <w:pStyle w:val="Source"/>
      </w:pPr>
      <w:r>
        <w:rPr>
          <w:i/>
        </w:rPr>
        <w:t>Source</w:t>
      </w:r>
      <w:r>
        <w:t xml:space="preserve">: Commission estimates based on </w:t>
      </w:r>
      <w:r w:rsidR="00B67D25">
        <w:t>Department of Industry, Tourism and Resources annual reports.</w:t>
      </w:r>
    </w:p>
    <w:p w:rsidR="006A4176" w:rsidRDefault="00FA09C3" w:rsidP="006A4176">
      <w:pPr>
        <w:pStyle w:val="Heading2"/>
      </w:pPr>
      <w:r>
        <w:t>A.</w:t>
      </w:r>
      <w:r>
        <w:rPr>
          <w:noProof/>
        </w:rPr>
        <w:t>194</w:t>
      </w:r>
      <w:r w:rsidR="006A4176">
        <w:tab/>
        <w:t>Drought Assistance – Technical Information Workshop</w:t>
      </w:r>
      <w:r w:rsidR="00BF57CB">
        <w:t xml:space="preserve"> Program</w:t>
      </w:r>
    </w:p>
    <w:p w:rsidR="006A4176" w:rsidRDefault="006A4176" w:rsidP="001E3FD5">
      <w:pPr>
        <w:pStyle w:val="BodyText"/>
      </w:pPr>
      <w:r w:rsidRPr="003207BF">
        <w:t>In September 2007, the Australian Government announced a drought assistance package for irrigators, dryland farmers and small businesses severely affected by the drought</w:t>
      </w:r>
      <w:r>
        <w:t xml:space="preserve"> (</w:t>
      </w:r>
      <w:r w:rsidRPr="001E3FD5">
        <w:t>DAFF 2008</w:t>
      </w:r>
      <w:r>
        <w:t>)</w:t>
      </w:r>
      <w:r w:rsidRPr="003207BF">
        <w:t>. As part of the package, funding was provided for</w:t>
      </w:r>
      <w:r>
        <w:t xml:space="preserve"> a Technical Information Workshop Program which provided advice to around 3 700 farmers, growers and service providers. </w:t>
      </w:r>
    </w:p>
    <w:p w:rsidR="006A4176" w:rsidRDefault="006A4176" w:rsidP="006A4176">
      <w:pPr>
        <w:pStyle w:val="BodyText"/>
      </w:pPr>
      <w:r>
        <w:t xml:space="preserve">The Technical Information Workshop </w:t>
      </w:r>
      <w:r w:rsidR="00BF57CB">
        <w:t xml:space="preserve">Program </w:t>
      </w:r>
      <w:r>
        <w:t>has now ceased.</w:t>
      </w:r>
    </w:p>
    <w:p w:rsidR="006A4176" w:rsidRDefault="006A4176" w:rsidP="006A4176">
      <w:pPr>
        <w:pStyle w:val="BodyText"/>
      </w:pPr>
      <w:r w:rsidRPr="00DA3FA5">
        <w:t xml:space="preserve">The </w:t>
      </w:r>
      <w:r>
        <w:t>Program</w:t>
      </w:r>
      <w:r w:rsidRPr="00DA3FA5">
        <w:t xml:space="preserve"> predominantly benefit</w:t>
      </w:r>
      <w:r>
        <w:t>ed</w:t>
      </w:r>
      <w:r w:rsidRPr="00DA3FA5">
        <w:t xml:space="preserve"> p</w:t>
      </w:r>
      <w:r>
        <w:t xml:space="preserve">rimary producers. However, information on the specific industry incidence of the program has not been readily available. Accordingly, the budget outlay has been classified to the </w:t>
      </w:r>
      <w:r w:rsidRPr="00DA3FA5">
        <w:rPr>
          <w:i/>
        </w:rPr>
        <w:t>Unallocated primary production</w:t>
      </w:r>
      <w:r>
        <w:t xml:space="preserve"> industry grouping in the Commission’s ANZSIC-based classification (table A.194).</w:t>
      </w:r>
    </w:p>
    <w:p w:rsidR="006A4176" w:rsidRDefault="006A4176" w:rsidP="006A4176">
      <w:pPr>
        <w:pStyle w:val="TableTitle"/>
      </w:pPr>
      <w:r>
        <w:rPr>
          <w:b w:val="0"/>
        </w:rPr>
        <w:t xml:space="preserve">Table </w:t>
      </w:r>
      <w:r w:rsidR="00FA09C3">
        <w:rPr>
          <w:b w:val="0"/>
        </w:rPr>
        <w:t>A.</w:t>
      </w:r>
      <w:r w:rsidR="00FA09C3">
        <w:rPr>
          <w:b w:val="0"/>
          <w:noProof/>
        </w:rPr>
        <w:t>194</w:t>
      </w:r>
      <w:r>
        <w:tab/>
        <w:t>Allocation of Drought assistance – technical information workshop</w:t>
      </w:r>
      <w:r w:rsidR="00BF57CB">
        <w:t xml:space="preserve"> </w:t>
      </w:r>
      <w:r w:rsidR="00AA0772">
        <w:t>p</w:t>
      </w:r>
      <w:r w:rsidR="00BF57CB">
        <w:t>rogram</w:t>
      </w:r>
      <w:r w:rsidR="00571E36" w:rsidRPr="00571E36">
        <w:t xml:space="preserve"> to industry</w:t>
      </w:r>
      <w:r>
        <w:t>, 2006</w:t>
      </w:r>
      <w:r>
        <w:noBreakHyphen/>
        <w:t>07 to 2011</w:t>
      </w:r>
      <w:r>
        <w:noBreakHyphen/>
        <w:t>12</w:t>
      </w:r>
    </w:p>
    <w:p w:rsidR="006A4176" w:rsidRDefault="000E1A26" w:rsidP="006A4176">
      <w:pPr>
        <w:pStyle w:val="Subtitle"/>
      </w:pPr>
      <w:r>
        <w:t>$ m</w:t>
      </w:r>
      <w:r w:rsidR="006A4176">
        <w:t xml:space="preserve">illion (nominal) </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C7788D" w:rsidRPr="00AF699A" w:rsidTr="00A74BCE">
        <w:trPr>
          <w:trHeight w:val="340"/>
        </w:trPr>
        <w:tc>
          <w:tcPr>
            <w:tcW w:w="1958" w:type="pct"/>
            <w:tcBorders>
              <w:top w:val="single" w:sz="6" w:space="0" w:color="auto"/>
              <w:bottom w:val="single" w:sz="6" w:space="0" w:color="auto"/>
            </w:tcBorders>
          </w:tcPr>
          <w:p w:rsidR="00C7788D" w:rsidRPr="00AF699A" w:rsidRDefault="00C7788D" w:rsidP="00AB38B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C7788D" w:rsidRPr="00AF699A" w:rsidRDefault="00C7788D"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C7788D" w:rsidRPr="00AF699A" w:rsidRDefault="00C7788D" w:rsidP="00AB38B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C7788D" w:rsidRPr="00AF699A" w:rsidRDefault="00C7788D" w:rsidP="00AB38B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C7788D" w:rsidRPr="00AF699A" w:rsidRDefault="00C7788D" w:rsidP="00AB38B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C7788D" w:rsidRPr="00AF699A" w:rsidRDefault="00C7788D" w:rsidP="00AB38B4">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C7788D" w:rsidRPr="00AF699A" w:rsidRDefault="00C7788D" w:rsidP="00AB38B4">
            <w:pPr>
              <w:pStyle w:val="TableColumnHeading"/>
              <w:ind w:right="28"/>
              <w:rPr>
                <w:rFonts w:cs="Arial"/>
                <w:sz w:val="18"/>
                <w:szCs w:val="18"/>
              </w:rPr>
            </w:pPr>
            <w:r w:rsidRPr="00AF699A">
              <w:rPr>
                <w:rFonts w:cs="Arial"/>
                <w:sz w:val="18"/>
                <w:szCs w:val="18"/>
              </w:rPr>
              <w:t>2011-12</w:t>
            </w:r>
          </w:p>
        </w:tc>
      </w:tr>
      <w:tr w:rsidR="00C7788D" w:rsidRPr="00D07CF3" w:rsidTr="001E3FD5">
        <w:tc>
          <w:tcPr>
            <w:tcW w:w="1958" w:type="pct"/>
            <w:tcBorders>
              <w:bottom w:val="single" w:sz="4" w:space="0" w:color="auto"/>
            </w:tcBorders>
            <w:vAlign w:val="bottom"/>
          </w:tcPr>
          <w:p w:rsidR="00C7788D" w:rsidRPr="00D07CF3" w:rsidRDefault="00C7788D" w:rsidP="00AB38B4">
            <w:pPr>
              <w:pStyle w:val="TableBodyText"/>
              <w:jc w:val="left"/>
            </w:pPr>
            <w:r w:rsidRPr="00D07CF3">
              <w:t>Unallocated primary production</w:t>
            </w:r>
            <w:r w:rsidRPr="008E77FE">
              <w:rPr>
                <w:rStyle w:val="NoteLabel"/>
              </w:rPr>
              <w:t>a</w:t>
            </w:r>
          </w:p>
        </w:tc>
        <w:tc>
          <w:tcPr>
            <w:tcW w:w="507" w:type="pct"/>
            <w:tcBorders>
              <w:bottom w:val="single" w:sz="4" w:space="0" w:color="auto"/>
            </w:tcBorders>
            <w:vAlign w:val="bottom"/>
          </w:tcPr>
          <w:p w:rsidR="00C7788D" w:rsidRPr="00D07CF3" w:rsidRDefault="00C7788D" w:rsidP="00AB38B4">
            <w:pPr>
              <w:pStyle w:val="TableBodyText"/>
            </w:pPr>
            <w:r>
              <w:noBreakHyphen/>
            </w:r>
          </w:p>
        </w:tc>
        <w:tc>
          <w:tcPr>
            <w:tcW w:w="507" w:type="pct"/>
            <w:tcBorders>
              <w:bottom w:val="single" w:sz="4" w:space="0" w:color="auto"/>
            </w:tcBorders>
            <w:vAlign w:val="bottom"/>
          </w:tcPr>
          <w:p w:rsidR="00C7788D" w:rsidRPr="00D07CF3" w:rsidRDefault="00C7788D" w:rsidP="00AB38B4">
            <w:pPr>
              <w:pStyle w:val="TableBodyText"/>
            </w:pPr>
            <w:r w:rsidRPr="00D07CF3">
              <w:t>6.1</w:t>
            </w:r>
          </w:p>
        </w:tc>
        <w:tc>
          <w:tcPr>
            <w:tcW w:w="507" w:type="pct"/>
            <w:tcBorders>
              <w:bottom w:val="single" w:sz="4" w:space="0" w:color="auto"/>
            </w:tcBorders>
            <w:vAlign w:val="bottom"/>
          </w:tcPr>
          <w:p w:rsidR="00C7788D" w:rsidRPr="00D07CF3" w:rsidRDefault="00C7788D" w:rsidP="00AB38B4">
            <w:pPr>
              <w:pStyle w:val="TableBodyText"/>
            </w:pPr>
            <w:r>
              <w:noBreakHyphen/>
            </w:r>
          </w:p>
        </w:tc>
        <w:tc>
          <w:tcPr>
            <w:tcW w:w="507" w:type="pct"/>
            <w:tcBorders>
              <w:bottom w:val="single" w:sz="4" w:space="0" w:color="auto"/>
            </w:tcBorders>
            <w:vAlign w:val="bottom"/>
          </w:tcPr>
          <w:p w:rsidR="00C7788D" w:rsidRPr="00D07CF3" w:rsidRDefault="00C7788D" w:rsidP="00AB38B4">
            <w:pPr>
              <w:pStyle w:val="TableBodyText"/>
            </w:pPr>
            <w:r>
              <w:noBreakHyphen/>
            </w:r>
          </w:p>
        </w:tc>
        <w:tc>
          <w:tcPr>
            <w:tcW w:w="507" w:type="pct"/>
            <w:tcBorders>
              <w:bottom w:val="single" w:sz="4" w:space="0" w:color="auto"/>
            </w:tcBorders>
            <w:shd w:val="clear" w:color="auto" w:fill="auto"/>
            <w:vAlign w:val="bottom"/>
          </w:tcPr>
          <w:p w:rsidR="00C7788D" w:rsidRPr="00D07CF3" w:rsidRDefault="00C7788D" w:rsidP="00AB38B4">
            <w:pPr>
              <w:pStyle w:val="TableBodyText"/>
            </w:pPr>
            <w:r>
              <w:noBreakHyphen/>
            </w:r>
          </w:p>
        </w:tc>
        <w:tc>
          <w:tcPr>
            <w:tcW w:w="507" w:type="pct"/>
            <w:tcBorders>
              <w:bottom w:val="single" w:sz="4" w:space="0" w:color="auto"/>
            </w:tcBorders>
            <w:shd w:val="clear" w:color="auto" w:fill="auto"/>
            <w:vAlign w:val="bottom"/>
          </w:tcPr>
          <w:p w:rsidR="00C7788D" w:rsidRPr="00D07CF3" w:rsidRDefault="00C7788D" w:rsidP="00AB38B4">
            <w:pPr>
              <w:pStyle w:val="TableBodyText"/>
            </w:pPr>
            <w:r>
              <w:noBreakHyphen/>
            </w:r>
          </w:p>
        </w:tc>
      </w:tr>
    </w:tbl>
    <w:p w:rsidR="006A4176" w:rsidRDefault="006A4176" w:rsidP="006A4176">
      <w:pPr>
        <w:pStyle w:val="Note"/>
      </w:pPr>
      <w:r w:rsidRPr="00A2379F">
        <w:noBreakHyphen/>
        <w:t xml:space="preserve"> </w:t>
      </w:r>
      <w:r>
        <w:t>Nil</w:t>
      </w:r>
      <w:r w:rsidRPr="00A2379F">
        <w:t>.</w:t>
      </w:r>
      <w:r w:rsidRPr="00B1392F">
        <w:t xml:space="preserve"> </w:t>
      </w:r>
      <w:r w:rsidRPr="008E77FE">
        <w:rPr>
          <w:rStyle w:val="NoteLabel"/>
        </w:rPr>
        <w:t>a</w:t>
      </w:r>
      <w:r>
        <w:t xml:space="preserve"> </w:t>
      </w:r>
      <w:r w:rsidRPr="009B56F1">
        <w:t>Unallocated includes general programs where detai</w:t>
      </w:r>
      <w:r>
        <w:t>ls of beneficiaries are unknown.</w:t>
      </w:r>
    </w:p>
    <w:p w:rsidR="006A4176" w:rsidRPr="008E77FE" w:rsidRDefault="006A4176" w:rsidP="006A4176">
      <w:pPr>
        <w:pStyle w:val="Source"/>
      </w:pPr>
      <w:r>
        <w:rPr>
          <w:i/>
        </w:rPr>
        <w:t>Source</w:t>
      </w:r>
      <w:r>
        <w:t>: Commission estimates based on DAFF Annual Report 2007</w:t>
      </w:r>
      <w:r>
        <w:noBreakHyphen/>
        <w:t>08.</w:t>
      </w:r>
    </w:p>
    <w:p w:rsidR="00125EAC" w:rsidRDefault="00FA09C3" w:rsidP="00125EAC">
      <w:pPr>
        <w:pStyle w:val="Heading2"/>
      </w:pPr>
      <w:r>
        <w:t>A.</w:t>
      </w:r>
      <w:r>
        <w:rPr>
          <w:noProof/>
        </w:rPr>
        <w:t>195</w:t>
      </w:r>
      <w:r w:rsidR="00125EAC">
        <w:tab/>
        <w:t>Fishing Structural Adjustment Package – Onshore Business Restructure Program</w:t>
      </w:r>
    </w:p>
    <w:p w:rsidR="00125EAC" w:rsidRDefault="00125EAC" w:rsidP="00125EAC">
      <w:pPr>
        <w:pStyle w:val="BodyText"/>
      </w:pPr>
      <w:r>
        <w:t>The Fishing Structural Adjustment Package – Onshore Business Restructure Program was a discretionary grants program that aimed to help onshore businesses adjust to reductions in fishing activity associated with the Securing our Fishing Future package (</w:t>
      </w:r>
      <w:r w:rsidRPr="001E3FD5">
        <w:t>DAFF 2008</w:t>
      </w:r>
      <w:r>
        <w:t xml:space="preserve">). </w:t>
      </w:r>
      <w:r w:rsidRPr="00436C18">
        <w:t xml:space="preserve">In total, 33 businesses received </w:t>
      </w:r>
      <w:r>
        <w:t>around</w:t>
      </w:r>
      <w:r w:rsidRPr="00436C18">
        <w:t xml:space="preserve"> $2.5</w:t>
      </w:r>
      <w:r>
        <w:t> </w:t>
      </w:r>
      <w:r w:rsidRPr="00436C18">
        <w:t xml:space="preserve">million to exit from the onshore fishing sector and 64 businesses received </w:t>
      </w:r>
      <w:r>
        <w:t>around</w:t>
      </w:r>
      <w:r w:rsidRPr="00436C18">
        <w:t xml:space="preserve"> $10.25</w:t>
      </w:r>
      <w:r>
        <w:t> </w:t>
      </w:r>
      <w:r w:rsidRPr="00436C18">
        <w:t>million to develop their enterprises</w:t>
      </w:r>
      <w:r>
        <w:t>.</w:t>
      </w:r>
    </w:p>
    <w:p w:rsidR="00125EAC" w:rsidRDefault="00125EAC" w:rsidP="00125EAC">
      <w:pPr>
        <w:pStyle w:val="BodyText"/>
      </w:pPr>
      <w:r>
        <w:t>All projects were completed by the end of 2008</w:t>
      </w:r>
      <w:r>
        <w:noBreakHyphen/>
        <w:t>09.</w:t>
      </w:r>
    </w:p>
    <w:p w:rsidR="00125EAC" w:rsidRPr="009F5202" w:rsidRDefault="00125EAC" w:rsidP="00125EAC">
      <w:pPr>
        <w:pStyle w:val="BodyText"/>
      </w:pPr>
      <w:r>
        <w:t xml:space="preserve">Information on the industry incidence of the program has not been readily available. Accordingly, the budget outlay has been classified to </w:t>
      </w:r>
      <w:r w:rsidRPr="00C42944">
        <w:t xml:space="preserve">the </w:t>
      </w:r>
      <w:r w:rsidRPr="00C42944">
        <w:rPr>
          <w:i/>
        </w:rPr>
        <w:t>Unallocated other</w:t>
      </w:r>
      <w:r w:rsidRPr="00C42944">
        <w:t xml:space="preserve"> </w:t>
      </w:r>
      <w:r>
        <w:t xml:space="preserve">industry </w:t>
      </w:r>
      <w:r w:rsidRPr="00C42944">
        <w:t>grouping in the Commission’s ANZSIC-based classification (table</w:t>
      </w:r>
      <w:r>
        <w:t> </w:t>
      </w:r>
      <w:r w:rsidRPr="00C42944">
        <w:t>A.</w:t>
      </w:r>
      <w:r>
        <w:t>195</w:t>
      </w:r>
      <w:r w:rsidRPr="00C42944">
        <w:t>).</w:t>
      </w:r>
    </w:p>
    <w:p w:rsidR="00125EAC" w:rsidRDefault="00125EAC" w:rsidP="00125EAC">
      <w:pPr>
        <w:pStyle w:val="TableTitle"/>
      </w:pPr>
      <w:r>
        <w:rPr>
          <w:b w:val="0"/>
        </w:rPr>
        <w:t xml:space="preserve">Table </w:t>
      </w:r>
      <w:r w:rsidR="00FA09C3">
        <w:rPr>
          <w:b w:val="0"/>
        </w:rPr>
        <w:t>A.</w:t>
      </w:r>
      <w:r w:rsidR="00FA09C3">
        <w:rPr>
          <w:b w:val="0"/>
          <w:noProof/>
        </w:rPr>
        <w:t>195</w:t>
      </w:r>
      <w:r>
        <w:tab/>
        <w:t>Allocation of Fishing Structural Adjustment Package – Onshore Business Restructure</w:t>
      </w:r>
      <w:r w:rsidR="00571E36">
        <w:t xml:space="preserve"> Program </w:t>
      </w:r>
      <w:r w:rsidR="00571E36" w:rsidRPr="00571E36">
        <w:t>to industry</w:t>
      </w:r>
      <w:r>
        <w:t>, 2006</w:t>
      </w:r>
      <w:r>
        <w:noBreakHyphen/>
        <w:t>07 to 2011</w:t>
      </w:r>
      <w:r>
        <w:noBreakHyphen/>
        <w:t>12</w:t>
      </w:r>
    </w:p>
    <w:p w:rsidR="00125EAC" w:rsidRDefault="00125EAC" w:rsidP="00125EAC">
      <w:pPr>
        <w:pStyle w:val="Subtitle"/>
      </w:pPr>
      <w:r>
        <w:t>$</w:t>
      </w:r>
      <w:r w:rsidR="00BF57CB">
        <w:t xml:space="preserve"> </w:t>
      </w:r>
      <w:r>
        <w:t xml:space="preserve">million (nominal) </w:t>
      </w:r>
    </w:p>
    <w:tbl>
      <w:tblPr>
        <w:tblW w:w="4997" w:type="pct"/>
        <w:tblCellMar>
          <w:left w:w="0" w:type="dxa"/>
          <w:right w:w="0" w:type="dxa"/>
        </w:tblCellMar>
        <w:tblLook w:val="0000" w:firstRow="0" w:lastRow="0" w:firstColumn="0" w:lastColumn="0" w:noHBand="0" w:noVBand="0"/>
      </w:tblPr>
      <w:tblGrid>
        <w:gridCol w:w="3446"/>
        <w:gridCol w:w="891"/>
        <w:gridCol w:w="891"/>
        <w:gridCol w:w="889"/>
        <w:gridCol w:w="889"/>
        <w:gridCol w:w="889"/>
        <w:gridCol w:w="889"/>
      </w:tblGrid>
      <w:tr w:rsidR="00FD477B" w:rsidRPr="00AF699A" w:rsidTr="00A74BCE">
        <w:trPr>
          <w:trHeight w:val="340"/>
        </w:trPr>
        <w:tc>
          <w:tcPr>
            <w:tcW w:w="1962" w:type="pct"/>
            <w:tcBorders>
              <w:top w:val="single" w:sz="6" w:space="0" w:color="auto"/>
              <w:bottom w:val="single" w:sz="6" w:space="0" w:color="auto"/>
            </w:tcBorders>
          </w:tcPr>
          <w:p w:rsidR="00FD477B" w:rsidRPr="00AF699A" w:rsidRDefault="00FD477B" w:rsidP="00AB38B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FD477B" w:rsidRPr="00AF699A" w:rsidRDefault="00FD477B"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FD477B" w:rsidRPr="00AF699A" w:rsidRDefault="00FD477B" w:rsidP="00AB38B4">
            <w:pPr>
              <w:pStyle w:val="TableColumnHeading"/>
              <w:ind w:right="28"/>
              <w:rPr>
                <w:rFonts w:cs="Arial"/>
                <w:sz w:val="18"/>
                <w:szCs w:val="18"/>
              </w:rPr>
            </w:pPr>
            <w:r w:rsidRPr="00AF699A">
              <w:rPr>
                <w:rFonts w:cs="Arial"/>
                <w:sz w:val="18"/>
                <w:szCs w:val="18"/>
              </w:rPr>
              <w:t>2007-08</w:t>
            </w:r>
          </w:p>
        </w:tc>
        <w:tc>
          <w:tcPr>
            <w:tcW w:w="506" w:type="pct"/>
            <w:tcBorders>
              <w:top w:val="single" w:sz="6" w:space="0" w:color="auto"/>
              <w:bottom w:val="single" w:sz="6" w:space="0" w:color="auto"/>
            </w:tcBorders>
          </w:tcPr>
          <w:p w:rsidR="00FD477B" w:rsidRPr="00AF699A" w:rsidRDefault="00FD477B" w:rsidP="00AB38B4">
            <w:pPr>
              <w:pStyle w:val="TableColumnHeading"/>
              <w:ind w:right="28"/>
              <w:rPr>
                <w:rFonts w:cs="Arial"/>
                <w:sz w:val="18"/>
                <w:szCs w:val="18"/>
              </w:rPr>
            </w:pPr>
            <w:r w:rsidRPr="00AF699A">
              <w:rPr>
                <w:rFonts w:cs="Arial"/>
                <w:sz w:val="18"/>
                <w:szCs w:val="18"/>
              </w:rPr>
              <w:t>2008-09</w:t>
            </w:r>
          </w:p>
        </w:tc>
        <w:tc>
          <w:tcPr>
            <w:tcW w:w="506" w:type="pct"/>
            <w:tcBorders>
              <w:top w:val="single" w:sz="6" w:space="0" w:color="auto"/>
              <w:bottom w:val="single" w:sz="6" w:space="0" w:color="auto"/>
            </w:tcBorders>
          </w:tcPr>
          <w:p w:rsidR="00FD477B" w:rsidRPr="00AF699A" w:rsidRDefault="00FD477B" w:rsidP="00AB38B4">
            <w:pPr>
              <w:pStyle w:val="TableColumnHeading"/>
              <w:ind w:right="28"/>
              <w:rPr>
                <w:rFonts w:cs="Arial"/>
                <w:sz w:val="18"/>
                <w:szCs w:val="18"/>
              </w:rPr>
            </w:pPr>
            <w:r w:rsidRPr="00AF699A">
              <w:rPr>
                <w:rFonts w:cs="Arial"/>
                <w:sz w:val="18"/>
                <w:szCs w:val="18"/>
              </w:rPr>
              <w:t>2009-10</w:t>
            </w:r>
          </w:p>
        </w:tc>
        <w:tc>
          <w:tcPr>
            <w:tcW w:w="506" w:type="pct"/>
            <w:tcBorders>
              <w:top w:val="single" w:sz="6" w:space="0" w:color="auto"/>
              <w:bottom w:val="single" w:sz="6" w:space="0" w:color="auto"/>
            </w:tcBorders>
            <w:shd w:val="clear" w:color="auto" w:fill="auto"/>
          </w:tcPr>
          <w:p w:rsidR="00FD477B" w:rsidRPr="00AF699A" w:rsidRDefault="00FD477B" w:rsidP="00AB38B4">
            <w:pPr>
              <w:pStyle w:val="TableColumnHeading"/>
              <w:ind w:right="28"/>
              <w:rPr>
                <w:rFonts w:cs="Arial"/>
                <w:sz w:val="18"/>
                <w:szCs w:val="18"/>
              </w:rPr>
            </w:pPr>
            <w:r w:rsidRPr="00AF699A">
              <w:rPr>
                <w:rFonts w:cs="Arial"/>
                <w:sz w:val="18"/>
                <w:szCs w:val="18"/>
              </w:rPr>
              <w:t>2010-11</w:t>
            </w:r>
          </w:p>
        </w:tc>
        <w:tc>
          <w:tcPr>
            <w:tcW w:w="506" w:type="pct"/>
            <w:tcBorders>
              <w:top w:val="single" w:sz="6" w:space="0" w:color="auto"/>
              <w:bottom w:val="single" w:sz="6" w:space="0" w:color="auto"/>
            </w:tcBorders>
            <w:shd w:val="clear" w:color="auto" w:fill="auto"/>
          </w:tcPr>
          <w:p w:rsidR="00FD477B" w:rsidRPr="00AF699A" w:rsidRDefault="00FD477B" w:rsidP="00AB38B4">
            <w:pPr>
              <w:pStyle w:val="TableColumnHeading"/>
              <w:ind w:right="28"/>
              <w:rPr>
                <w:rFonts w:cs="Arial"/>
                <w:sz w:val="18"/>
                <w:szCs w:val="18"/>
              </w:rPr>
            </w:pPr>
            <w:r w:rsidRPr="00AF699A">
              <w:rPr>
                <w:rFonts w:cs="Arial"/>
                <w:sz w:val="18"/>
                <w:szCs w:val="18"/>
              </w:rPr>
              <w:t>2011-12</w:t>
            </w:r>
          </w:p>
        </w:tc>
      </w:tr>
      <w:tr w:rsidR="00FD477B" w:rsidRPr="00D07CF3" w:rsidTr="00FD477B">
        <w:tc>
          <w:tcPr>
            <w:tcW w:w="1962" w:type="pct"/>
            <w:tcBorders>
              <w:bottom w:val="single" w:sz="4" w:space="0" w:color="auto"/>
            </w:tcBorders>
            <w:vAlign w:val="bottom"/>
          </w:tcPr>
          <w:p w:rsidR="00FD477B" w:rsidRPr="006F20B3" w:rsidRDefault="00FD477B" w:rsidP="00AB38B4">
            <w:pPr>
              <w:pStyle w:val="TableBodyText"/>
              <w:jc w:val="left"/>
            </w:pPr>
            <w:r w:rsidRPr="006F20B3">
              <w:t>Unallocated other</w:t>
            </w:r>
            <w:r w:rsidRPr="008E77FE">
              <w:rPr>
                <w:rStyle w:val="NoteLabel"/>
              </w:rPr>
              <w:t>a</w:t>
            </w:r>
          </w:p>
        </w:tc>
        <w:tc>
          <w:tcPr>
            <w:tcW w:w="507" w:type="pct"/>
            <w:tcBorders>
              <w:bottom w:val="single" w:sz="4" w:space="0" w:color="auto"/>
            </w:tcBorders>
            <w:vAlign w:val="bottom"/>
          </w:tcPr>
          <w:p w:rsidR="00FD477B" w:rsidRPr="006F20B3" w:rsidRDefault="00FD477B" w:rsidP="00AB38B4">
            <w:pPr>
              <w:pStyle w:val="TableBodyText"/>
            </w:pPr>
            <w:r w:rsidRPr="00A2379F">
              <w:noBreakHyphen/>
            </w:r>
          </w:p>
        </w:tc>
        <w:tc>
          <w:tcPr>
            <w:tcW w:w="507" w:type="pct"/>
            <w:tcBorders>
              <w:bottom w:val="single" w:sz="4" w:space="0" w:color="auto"/>
            </w:tcBorders>
            <w:vAlign w:val="bottom"/>
          </w:tcPr>
          <w:p w:rsidR="00FD477B" w:rsidRPr="006F20B3" w:rsidRDefault="00FD477B" w:rsidP="00AB38B4">
            <w:pPr>
              <w:pStyle w:val="TableBodyText"/>
            </w:pPr>
            <w:r w:rsidRPr="006F20B3">
              <w:t>5.7</w:t>
            </w:r>
          </w:p>
        </w:tc>
        <w:tc>
          <w:tcPr>
            <w:tcW w:w="506" w:type="pct"/>
            <w:tcBorders>
              <w:bottom w:val="single" w:sz="4" w:space="0" w:color="auto"/>
            </w:tcBorders>
            <w:vAlign w:val="bottom"/>
          </w:tcPr>
          <w:p w:rsidR="00FD477B" w:rsidRPr="006F20B3" w:rsidRDefault="00FD477B" w:rsidP="00AB38B4">
            <w:pPr>
              <w:pStyle w:val="TableBodyText"/>
            </w:pPr>
            <w:r w:rsidRPr="00A2379F">
              <w:noBreakHyphen/>
            </w:r>
          </w:p>
        </w:tc>
        <w:tc>
          <w:tcPr>
            <w:tcW w:w="506" w:type="pct"/>
            <w:tcBorders>
              <w:bottom w:val="single" w:sz="4" w:space="0" w:color="auto"/>
            </w:tcBorders>
            <w:vAlign w:val="bottom"/>
          </w:tcPr>
          <w:p w:rsidR="00FD477B" w:rsidRPr="006F20B3" w:rsidRDefault="00FD477B" w:rsidP="00AB38B4">
            <w:pPr>
              <w:pStyle w:val="TableBodyText"/>
            </w:pPr>
            <w:r w:rsidRPr="00A2379F">
              <w:noBreakHyphen/>
            </w:r>
          </w:p>
        </w:tc>
        <w:tc>
          <w:tcPr>
            <w:tcW w:w="506" w:type="pct"/>
            <w:tcBorders>
              <w:bottom w:val="single" w:sz="4" w:space="0" w:color="auto"/>
            </w:tcBorders>
            <w:shd w:val="clear" w:color="auto" w:fill="auto"/>
            <w:vAlign w:val="bottom"/>
          </w:tcPr>
          <w:p w:rsidR="00FD477B" w:rsidRPr="006F20B3" w:rsidRDefault="00FD477B" w:rsidP="00AB38B4">
            <w:pPr>
              <w:pStyle w:val="TableBodyText"/>
            </w:pPr>
            <w:r w:rsidRPr="00A2379F">
              <w:noBreakHyphen/>
            </w:r>
          </w:p>
        </w:tc>
        <w:tc>
          <w:tcPr>
            <w:tcW w:w="506" w:type="pct"/>
            <w:tcBorders>
              <w:bottom w:val="single" w:sz="4" w:space="0" w:color="auto"/>
            </w:tcBorders>
            <w:shd w:val="clear" w:color="auto" w:fill="auto"/>
            <w:vAlign w:val="bottom"/>
          </w:tcPr>
          <w:p w:rsidR="00FD477B" w:rsidRPr="006F20B3" w:rsidRDefault="00FD477B" w:rsidP="00AB38B4">
            <w:pPr>
              <w:pStyle w:val="TableBodyText"/>
            </w:pPr>
            <w:r w:rsidRPr="00A2379F">
              <w:noBreakHyphen/>
            </w:r>
          </w:p>
        </w:tc>
      </w:tr>
    </w:tbl>
    <w:p w:rsidR="00125EAC" w:rsidRDefault="00125EAC" w:rsidP="00125EAC">
      <w:pPr>
        <w:pStyle w:val="Note"/>
      </w:pPr>
      <w:r w:rsidRPr="00A2379F">
        <w:noBreakHyphen/>
        <w:t xml:space="preserve"> </w:t>
      </w:r>
      <w:r>
        <w:t>Nil</w:t>
      </w:r>
      <w:r w:rsidRPr="00A2379F">
        <w:t>.</w:t>
      </w:r>
      <w:r w:rsidRPr="00B1392F">
        <w:t xml:space="preserve"> </w:t>
      </w:r>
      <w:r w:rsidRPr="008E77FE">
        <w:rPr>
          <w:rStyle w:val="NoteLabel"/>
        </w:rPr>
        <w:t>a</w:t>
      </w:r>
      <w:r>
        <w:t xml:space="preserve"> </w:t>
      </w:r>
      <w:r w:rsidRPr="009B56F1">
        <w:t>Unallocated includes general programs where detai</w:t>
      </w:r>
      <w:r>
        <w:t>ls of beneficiaries are unknown.</w:t>
      </w:r>
    </w:p>
    <w:p w:rsidR="00125EAC" w:rsidRPr="008E77FE" w:rsidRDefault="00125EAC" w:rsidP="00125EAC">
      <w:pPr>
        <w:pStyle w:val="Source"/>
      </w:pPr>
      <w:r>
        <w:rPr>
          <w:i/>
        </w:rPr>
        <w:t>Source</w:t>
      </w:r>
      <w:r>
        <w:t>: Commission estimates based on DAFF Annual Report 2007</w:t>
      </w:r>
      <w:r>
        <w:noBreakHyphen/>
        <w:t>08.</w:t>
      </w:r>
    </w:p>
    <w:p w:rsidR="005815F8" w:rsidRDefault="00FA09C3" w:rsidP="005815F8">
      <w:pPr>
        <w:pStyle w:val="Heading2"/>
      </w:pPr>
      <w:r>
        <w:t>A.</w:t>
      </w:r>
      <w:r>
        <w:rPr>
          <w:noProof/>
        </w:rPr>
        <w:t>196</w:t>
      </w:r>
      <w:r w:rsidR="005815F8">
        <w:tab/>
        <w:t>Fishing Structural Adjustment Package – Management Levy Subsidy</w:t>
      </w:r>
    </w:p>
    <w:p w:rsidR="005815F8" w:rsidRPr="00E865B3" w:rsidRDefault="005815F8" w:rsidP="005815F8">
      <w:pPr>
        <w:pStyle w:val="BodyText"/>
      </w:pPr>
      <w:r>
        <w:t xml:space="preserve">The Fishing Structural Adjustment Package – Management Levy Subsidy was intended to reduce the </w:t>
      </w:r>
      <w:r w:rsidR="00BF57CB">
        <w:t xml:space="preserve">cost of the management </w:t>
      </w:r>
      <w:r>
        <w:t>levy in 2007</w:t>
      </w:r>
      <w:r>
        <w:noBreakHyphen/>
        <w:t xml:space="preserve">08 </w:t>
      </w:r>
      <w:r w:rsidR="00BF57CB">
        <w:t xml:space="preserve">for </w:t>
      </w:r>
      <w:r>
        <w:t xml:space="preserve">those </w:t>
      </w:r>
      <w:r w:rsidR="00BF57CB">
        <w:t xml:space="preserve">fishing </w:t>
      </w:r>
      <w:r>
        <w:t>operators who remained after business exit tenders had been finalised and to aid the implementation of new management arrangements (</w:t>
      </w:r>
      <w:r w:rsidRPr="001E3FD5">
        <w:t>DAFF 2008</w:t>
      </w:r>
      <w:r>
        <w:t>).</w:t>
      </w:r>
    </w:p>
    <w:p w:rsidR="005815F8" w:rsidRDefault="005815F8" w:rsidP="005815F8">
      <w:pPr>
        <w:pStyle w:val="BodyText"/>
      </w:pPr>
      <w:r w:rsidRPr="000911CA">
        <w:t xml:space="preserve">The </w:t>
      </w:r>
      <w:r>
        <w:t>scheme</w:t>
      </w:r>
      <w:r w:rsidRPr="000911CA">
        <w:t xml:space="preserve"> selectively benefited the </w:t>
      </w:r>
      <w:r>
        <w:t>fisheries</w:t>
      </w:r>
      <w:r w:rsidRPr="000911CA">
        <w:t xml:space="preserve"> industry and has been allocated to the </w:t>
      </w:r>
      <w:r w:rsidRPr="000911CA">
        <w:rPr>
          <w:i/>
        </w:rPr>
        <w:t>Aquaculture &amp; fishing</w:t>
      </w:r>
      <w:r w:rsidRPr="000911CA">
        <w:t xml:space="preserve"> industry grouping in the Commission’s ANZSIC-based classification (table</w:t>
      </w:r>
      <w:r>
        <w:t> </w:t>
      </w:r>
      <w:r w:rsidRPr="000911CA">
        <w:t>A.</w:t>
      </w:r>
      <w:r>
        <w:t>196</w:t>
      </w:r>
      <w:r w:rsidRPr="000911CA">
        <w:t>)</w:t>
      </w:r>
      <w:r>
        <w:t>.</w:t>
      </w:r>
    </w:p>
    <w:p w:rsidR="005815F8" w:rsidRDefault="005815F8" w:rsidP="005815F8">
      <w:pPr>
        <w:pStyle w:val="TableTitle"/>
      </w:pPr>
      <w:r>
        <w:rPr>
          <w:b w:val="0"/>
        </w:rPr>
        <w:t xml:space="preserve">Table </w:t>
      </w:r>
      <w:r w:rsidR="00FA09C3">
        <w:rPr>
          <w:b w:val="0"/>
        </w:rPr>
        <w:t>A.</w:t>
      </w:r>
      <w:r w:rsidR="00FA09C3">
        <w:rPr>
          <w:b w:val="0"/>
          <w:noProof/>
        </w:rPr>
        <w:t>196</w:t>
      </w:r>
      <w:r>
        <w:tab/>
        <w:t>Allocation of Fishing Structural Adjustment Package – Management Levy Subsidy</w:t>
      </w:r>
      <w:r w:rsidR="00571E36" w:rsidRPr="00571E36">
        <w:t xml:space="preserve"> to industry</w:t>
      </w:r>
      <w:r>
        <w:t>, 2006</w:t>
      </w:r>
      <w:r>
        <w:noBreakHyphen/>
        <w:t>07 to 2011</w:t>
      </w:r>
      <w:r>
        <w:noBreakHyphen/>
        <w:t>12</w:t>
      </w:r>
    </w:p>
    <w:p w:rsidR="005815F8" w:rsidRDefault="005815F8" w:rsidP="005815F8">
      <w:pPr>
        <w:pStyle w:val="Subtitle"/>
      </w:pPr>
      <w:r>
        <w:t>$</w:t>
      </w:r>
      <w:r w:rsidR="00BF57CB">
        <w:t xml:space="preserve"> </w:t>
      </w:r>
      <w:r>
        <w:t xml:space="preserve">million (nominal) </w:t>
      </w:r>
    </w:p>
    <w:tbl>
      <w:tblPr>
        <w:tblW w:w="4999" w:type="pct"/>
        <w:tblCellMar>
          <w:left w:w="0" w:type="dxa"/>
          <w:right w:w="0" w:type="dxa"/>
        </w:tblCellMar>
        <w:tblLook w:val="0000" w:firstRow="0" w:lastRow="0" w:firstColumn="0" w:lastColumn="0" w:noHBand="0" w:noVBand="0"/>
      </w:tblPr>
      <w:tblGrid>
        <w:gridCol w:w="3449"/>
        <w:gridCol w:w="890"/>
        <w:gridCol w:w="890"/>
        <w:gridCol w:w="890"/>
        <w:gridCol w:w="890"/>
        <w:gridCol w:w="889"/>
        <w:gridCol w:w="889"/>
      </w:tblGrid>
      <w:tr w:rsidR="00FD477B" w:rsidRPr="00AF699A" w:rsidTr="00A74BCE">
        <w:trPr>
          <w:trHeight w:val="340"/>
        </w:trPr>
        <w:tc>
          <w:tcPr>
            <w:tcW w:w="1961" w:type="pct"/>
            <w:tcBorders>
              <w:top w:val="single" w:sz="6" w:space="0" w:color="auto"/>
              <w:bottom w:val="single" w:sz="6" w:space="0" w:color="auto"/>
            </w:tcBorders>
          </w:tcPr>
          <w:p w:rsidR="00FD477B" w:rsidRPr="00AF699A" w:rsidRDefault="00FD477B" w:rsidP="00AB38B4">
            <w:pPr>
              <w:pStyle w:val="TableColumnHeading"/>
              <w:jc w:val="left"/>
              <w:rPr>
                <w:rFonts w:cs="Arial"/>
                <w:sz w:val="18"/>
                <w:szCs w:val="18"/>
              </w:rPr>
            </w:pPr>
            <w:r w:rsidRPr="00AF699A">
              <w:rPr>
                <w:rFonts w:cs="Arial"/>
                <w:sz w:val="18"/>
                <w:szCs w:val="18"/>
              </w:rPr>
              <w:t>Industry grouping</w:t>
            </w:r>
          </w:p>
        </w:tc>
        <w:tc>
          <w:tcPr>
            <w:tcW w:w="506" w:type="pct"/>
            <w:tcBorders>
              <w:top w:val="single" w:sz="6" w:space="0" w:color="auto"/>
              <w:bottom w:val="single" w:sz="6" w:space="0" w:color="auto"/>
            </w:tcBorders>
          </w:tcPr>
          <w:p w:rsidR="00FD477B" w:rsidRPr="00AF699A" w:rsidRDefault="00FD477B" w:rsidP="00AB38B4">
            <w:pPr>
              <w:pStyle w:val="TableColumnHeading"/>
              <w:ind w:right="28"/>
              <w:rPr>
                <w:rFonts w:cs="Arial"/>
                <w:sz w:val="18"/>
                <w:szCs w:val="18"/>
              </w:rPr>
            </w:pPr>
            <w:r w:rsidRPr="00AF699A">
              <w:rPr>
                <w:rFonts w:cs="Arial"/>
                <w:sz w:val="18"/>
                <w:szCs w:val="18"/>
              </w:rPr>
              <w:t>2006-07</w:t>
            </w:r>
          </w:p>
        </w:tc>
        <w:tc>
          <w:tcPr>
            <w:tcW w:w="506" w:type="pct"/>
            <w:tcBorders>
              <w:top w:val="single" w:sz="6" w:space="0" w:color="auto"/>
              <w:bottom w:val="single" w:sz="6" w:space="0" w:color="auto"/>
            </w:tcBorders>
          </w:tcPr>
          <w:p w:rsidR="00FD477B" w:rsidRPr="00AF699A" w:rsidRDefault="00FD477B" w:rsidP="00AB38B4">
            <w:pPr>
              <w:pStyle w:val="TableColumnHeading"/>
              <w:ind w:right="28"/>
              <w:rPr>
                <w:rFonts w:cs="Arial"/>
                <w:sz w:val="18"/>
                <w:szCs w:val="18"/>
              </w:rPr>
            </w:pPr>
            <w:r w:rsidRPr="00AF699A">
              <w:rPr>
                <w:rFonts w:cs="Arial"/>
                <w:sz w:val="18"/>
                <w:szCs w:val="18"/>
              </w:rPr>
              <w:t>2007-08</w:t>
            </w:r>
          </w:p>
        </w:tc>
        <w:tc>
          <w:tcPr>
            <w:tcW w:w="506" w:type="pct"/>
            <w:tcBorders>
              <w:top w:val="single" w:sz="6" w:space="0" w:color="auto"/>
              <w:bottom w:val="single" w:sz="6" w:space="0" w:color="auto"/>
            </w:tcBorders>
          </w:tcPr>
          <w:p w:rsidR="00FD477B" w:rsidRPr="00AF699A" w:rsidRDefault="00FD477B" w:rsidP="00AB38B4">
            <w:pPr>
              <w:pStyle w:val="TableColumnHeading"/>
              <w:ind w:right="28"/>
              <w:rPr>
                <w:rFonts w:cs="Arial"/>
                <w:sz w:val="18"/>
                <w:szCs w:val="18"/>
              </w:rPr>
            </w:pPr>
            <w:r w:rsidRPr="00AF699A">
              <w:rPr>
                <w:rFonts w:cs="Arial"/>
                <w:sz w:val="18"/>
                <w:szCs w:val="18"/>
              </w:rPr>
              <w:t>2008-09</w:t>
            </w:r>
          </w:p>
        </w:tc>
        <w:tc>
          <w:tcPr>
            <w:tcW w:w="506" w:type="pct"/>
            <w:tcBorders>
              <w:top w:val="single" w:sz="6" w:space="0" w:color="auto"/>
              <w:bottom w:val="single" w:sz="6" w:space="0" w:color="auto"/>
            </w:tcBorders>
          </w:tcPr>
          <w:p w:rsidR="00FD477B" w:rsidRPr="00AF699A" w:rsidRDefault="00FD477B" w:rsidP="00AB38B4">
            <w:pPr>
              <w:pStyle w:val="TableColumnHeading"/>
              <w:ind w:right="28"/>
              <w:rPr>
                <w:rFonts w:cs="Arial"/>
                <w:sz w:val="18"/>
                <w:szCs w:val="18"/>
              </w:rPr>
            </w:pPr>
            <w:r w:rsidRPr="00AF699A">
              <w:rPr>
                <w:rFonts w:cs="Arial"/>
                <w:sz w:val="18"/>
                <w:szCs w:val="18"/>
              </w:rPr>
              <w:t>2009-10</w:t>
            </w:r>
          </w:p>
        </w:tc>
        <w:tc>
          <w:tcPr>
            <w:tcW w:w="506" w:type="pct"/>
            <w:tcBorders>
              <w:top w:val="single" w:sz="6" w:space="0" w:color="auto"/>
              <w:bottom w:val="single" w:sz="6" w:space="0" w:color="auto"/>
            </w:tcBorders>
            <w:shd w:val="clear" w:color="auto" w:fill="auto"/>
          </w:tcPr>
          <w:p w:rsidR="00FD477B" w:rsidRPr="00AF699A" w:rsidRDefault="00FD477B" w:rsidP="00AB38B4">
            <w:pPr>
              <w:pStyle w:val="TableColumnHeading"/>
              <w:ind w:right="28"/>
              <w:rPr>
                <w:rFonts w:cs="Arial"/>
                <w:sz w:val="18"/>
                <w:szCs w:val="18"/>
              </w:rPr>
            </w:pPr>
            <w:r w:rsidRPr="00AF699A">
              <w:rPr>
                <w:rFonts w:cs="Arial"/>
                <w:sz w:val="18"/>
                <w:szCs w:val="18"/>
              </w:rPr>
              <w:t>2010-11</w:t>
            </w:r>
          </w:p>
        </w:tc>
        <w:tc>
          <w:tcPr>
            <w:tcW w:w="506" w:type="pct"/>
            <w:tcBorders>
              <w:top w:val="single" w:sz="6" w:space="0" w:color="auto"/>
              <w:bottom w:val="single" w:sz="6" w:space="0" w:color="auto"/>
            </w:tcBorders>
            <w:shd w:val="clear" w:color="auto" w:fill="auto"/>
          </w:tcPr>
          <w:p w:rsidR="00FD477B" w:rsidRPr="00AF699A" w:rsidRDefault="00FD477B" w:rsidP="00AB38B4">
            <w:pPr>
              <w:pStyle w:val="TableColumnHeading"/>
              <w:ind w:right="28"/>
              <w:rPr>
                <w:rFonts w:cs="Arial"/>
                <w:sz w:val="18"/>
                <w:szCs w:val="18"/>
              </w:rPr>
            </w:pPr>
            <w:r w:rsidRPr="00AF699A">
              <w:rPr>
                <w:rFonts w:cs="Arial"/>
                <w:sz w:val="18"/>
                <w:szCs w:val="18"/>
              </w:rPr>
              <w:t>2011-12</w:t>
            </w:r>
          </w:p>
        </w:tc>
      </w:tr>
      <w:tr w:rsidR="00FD477B" w:rsidRPr="001E2B09" w:rsidTr="00FD477B">
        <w:tc>
          <w:tcPr>
            <w:tcW w:w="1961" w:type="pct"/>
            <w:tcBorders>
              <w:bottom w:val="single" w:sz="4" w:space="0" w:color="auto"/>
            </w:tcBorders>
            <w:vAlign w:val="bottom"/>
          </w:tcPr>
          <w:p w:rsidR="00FD477B" w:rsidRPr="001E2B09" w:rsidRDefault="00FD477B" w:rsidP="00AB38B4">
            <w:pPr>
              <w:pStyle w:val="TableBodyText"/>
              <w:jc w:val="left"/>
            </w:pPr>
            <w:r w:rsidRPr="001E2B09">
              <w:t>Aquaculture and fishing</w:t>
            </w:r>
          </w:p>
        </w:tc>
        <w:tc>
          <w:tcPr>
            <w:tcW w:w="506" w:type="pct"/>
            <w:tcBorders>
              <w:bottom w:val="single" w:sz="4" w:space="0" w:color="auto"/>
            </w:tcBorders>
            <w:vAlign w:val="bottom"/>
          </w:tcPr>
          <w:p w:rsidR="00FD477B" w:rsidRPr="001E2B09" w:rsidRDefault="00FD477B" w:rsidP="00AB38B4">
            <w:pPr>
              <w:pStyle w:val="TableBodyText"/>
            </w:pPr>
            <w:r>
              <w:noBreakHyphen/>
            </w:r>
          </w:p>
        </w:tc>
        <w:tc>
          <w:tcPr>
            <w:tcW w:w="506" w:type="pct"/>
            <w:tcBorders>
              <w:bottom w:val="single" w:sz="4" w:space="0" w:color="auto"/>
            </w:tcBorders>
            <w:vAlign w:val="bottom"/>
          </w:tcPr>
          <w:p w:rsidR="00FD477B" w:rsidRPr="001E2B09" w:rsidRDefault="00FD477B" w:rsidP="00AB38B4">
            <w:pPr>
              <w:pStyle w:val="TableBodyText"/>
            </w:pPr>
            <w:r w:rsidRPr="001E2B09">
              <w:t>5</w:t>
            </w:r>
            <w:r>
              <w:t>.0</w:t>
            </w:r>
          </w:p>
        </w:tc>
        <w:tc>
          <w:tcPr>
            <w:tcW w:w="506" w:type="pct"/>
            <w:tcBorders>
              <w:bottom w:val="single" w:sz="4" w:space="0" w:color="auto"/>
            </w:tcBorders>
            <w:vAlign w:val="bottom"/>
          </w:tcPr>
          <w:p w:rsidR="00FD477B" w:rsidRPr="001E2B09" w:rsidRDefault="00FD477B" w:rsidP="00AB38B4">
            <w:pPr>
              <w:pStyle w:val="TableBodyText"/>
            </w:pPr>
            <w:r>
              <w:noBreakHyphen/>
            </w:r>
          </w:p>
        </w:tc>
        <w:tc>
          <w:tcPr>
            <w:tcW w:w="506" w:type="pct"/>
            <w:tcBorders>
              <w:bottom w:val="single" w:sz="4" w:space="0" w:color="auto"/>
            </w:tcBorders>
            <w:vAlign w:val="bottom"/>
          </w:tcPr>
          <w:p w:rsidR="00FD477B" w:rsidRPr="001E2B09" w:rsidRDefault="00FD477B" w:rsidP="00AB38B4">
            <w:pPr>
              <w:pStyle w:val="TableBodyText"/>
            </w:pPr>
            <w:r>
              <w:noBreakHyphen/>
            </w:r>
          </w:p>
        </w:tc>
        <w:tc>
          <w:tcPr>
            <w:tcW w:w="506" w:type="pct"/>
            <w:tcBorders>
              <w:bottom w:val="single" w:sz="4" w:space="0" w:color="auto"/>
            </w:tcBorders>
            <w:shd w:val="clear" w:color="auto" w:fill="auto"/>
            <w:vAlign w:val="bottom"/>
          </w:tcPr>
          <w:p w:rsidR="00FD477B" w:rsidRPr="001E2B09" w:rsidRDefault="00FD477B" w:rsidP="00AB38B4">
            <w:pPr>
              <w:pStyle w:val="TableBodyText"/>
            </w:pPr>
            <w:r>
              <w:noBreakHyphen/>
            </w:r>
          </w:p>
        </w:tc>
        <w:tc>
          <w:tcPr>
            <w:tcW w:w="506" w:type="pct"/>
            <w:tcBorders>
              <w:bottom w:val="single" w:sz="4" w:space="0" w:color="auto"/>
            </w:tcBorders>
            <w:shd w:val="clear" w:color="auto" w:fill="auto"/>
            <w:vAlign w:val="bottom"/>
          </w:tcPr>
          <w:p w:rsidR="00FD477B" w:rsidRPr="001E2B09" w:rsidRDefault="00FD477B" w:rsidP="00AB38B4">
            <w:pPr>
              <w:pStyle w:val="TableBodyText"/>
            </w:pPr>
            <w:r>
              <w:noBreakHyphen/>
            </w:r>
          </w:p>
        </w:tc>
      </w:tr>
    </w:tbl>
    <w:p w:rsidR="005815F8" w:rsidRDefault="005815F8" w:rsidP="005815F8">
      <w:pPr>
        <w:pStyle w:val="Note"/>
      </w:pPr>
      <w:r w:rsidRPr="00A2379F">
        <w:noBreakHyphen/>
        <w:t xml:space="preserve"> </w:t>
      </w:r>
      <w:r>
        <w:t>Nil</w:t>
      </w:r>
      <w:r w:rsidRPr="00A2379F">
        <w:t>.</w:t>
      </w:r>
    </w:p>
    <w:p w:rsidR="005815F8" w:rsidRPr="008E77FE" w:rsidRDefault="005815F8" w:rsidP="005815F8">
      <w:pPr>
        <w:pStyle w:val="Source"/>
      </w:pPr>
      <w:r>
        <w:rPr>
          <w:i/>
        </w:rPr>
        <w:t>Source</w:t>
      </w:r>
      <w:r>
        <w:t>: Commission estimates based on DAFF Annual Report 2007</w:t>
      </w:r>
      <w:r>
        <w:noBreakHyphen/>
        <w:t>08.</w:t>
      </w:r>
    </w:p>
    <w:p w:rsidR="008D4313" w:rsidRDefault="00FA09C3" w:rsidP="008D4313">
      <w:pPr>
        <w:pStyle w:val="Heading2"/>
      </w:pPr>
      <w:r>
        <w:t>A.</w:t>
      </w:r>
      <w:r>
        <w:rPr>
          <w:noProof/>
        </w:rPr>
        <w:t>197</w:t>
      </w:r>
      <w:r w:rsidR="008D4313">
        <w:tab/>
        <w:t>Australian Tourism Development Program</w:t>
      </w:r>
    </w:p>
    <w:p w:rsidR="00884D56" w:rsidRDefault="00192153" w:rsidP="00884D56">
      <w:pPr>
        <w:pStyle w:val="BodyText"/>
      </w:pPr>
      <w:r>
        <w:t>T</w:t>
      </w:r>
      <w:r w:rsidR="00884D56">
        <w:t xml:space="preserve">he Australian </w:t>
      </w:r>
      <w:r w:rsidR="00884D56" w:rsidRPr="00884D56">
        <w:t>Tourism Deve</w:t>
      </w:r>
      <w:r>
        <w:t xml:space="preserve">lopment Program </w:t>
      </w:r>
      <w:r w:rsidR="00884D56">
        <w:t>provide</w:t>
      </w:r>
      <w:r>
        <w:t>d</w:t>
      </w:r>
      <w:r w:rsidR="00884D56">
        <w:t xml:space="preserve"> </w:t>
      </w:r>
      <w:r w:rsidR="00884D56" w:rsidRPr="00884D56">
        <w:t>competitive gran</w:t>
      </w:r>
      <w:r w:rsidR="00884D56">
        <w:t>ts for tourism projects</w:t>
      </w:r>
      <w:r>
        <w:t xml:space="preserve"> intended to </w:t>
      </w:r>
      <w:r w:rsidRPr="00192153">
        <w:t>stimulate, diversi</w:t>
      </w:r>
      <w:r>
        <w:t xml:space="preserve">fy or enhance the economic base </w:t>
      </w:r>
      <w:r w:rsidRPr="00192153">
        <w:t>in regional Australia</w:t>
      </w:r>
      <w:r>
        <w:t xml:space="preserve"> (DITR 2007a)</w:t>
      </w:r>
      <w:r w:rsidR="00884D56" w:rsidRPr="00884D56">
        <w:t>.</w:t>
      </w:r>
    </w:p>
    <w:p w:rsidR="00100535" w:rsidRDefault="00100535" w:rsidP="00100535">
      <w:pPr>
        <w:pStyle w:val="BodyText"/>
      </w:pPr>
      <w:r>
        <w:t>The Commission obtained information from the Department of Innovation, Industry, Science and Research detailing the ANZSIC industry incidence of the program. The industry shares data from the Department have been used to allocate total program funding to the Commission’s ANZSIC-based industry groupings (table A.197).</w:t>
      </w:r>
    </w:p>
    <w:p w:rsidR="00641283" w:rsidRDefault="00641283" w:rsidP="00641283">
      <w:r>
        <w:br w:type="page"/>
      </w:r>
    </w:p>
    <w:p w:rsidR="00100535" w:rsidRDefault="00100535" w:rsidP="00100535">
      <w:pPr>
        <w:pStyle w:val="TableTitle"/>
      </w:pPr>
      <w:r>
        <w:rPr>
          <w:b w:val="0"/>
        </w:rPr>
        <w:t xml:space="preserve">Table </w:t>
      </w:r>
      <w:r w:rsidR="00FA09C3">
        <w:rPr>
          <w:b w:val="0"/>
        </w:rPr>
        <w:t>A.</w:t>
      </w:r>
      <w:r w:rsidR="00FA09C3">
        <w:rPr>
          <w:b w:val="0"/>
          <w:noProof/>
        </w:rPr>
        <w:t>197</w:t>
      </w:r>
      <w:r>
        <w:tab/>
        <w:t xml:space="preserve">Allocation of Australian Tourism Development Program </w:t>
      </w:r>
      <w:r w:rsidR="00571E36" w:rsidRPr="00571E36">
        <w:t>to industry</w:t>
      </w:r>
      <w:r>
        <w:t>, 2006</w:t>
      </w:r>
      <w:r>
        <w:noBreakHyphen/>
        <w:t>07 to 2011</w:t>
      </w:r>
      <w:r>
        <w:noBreakHyphen/>
        <w:t>12</w:t>
      </w:r>
    </w:p>
    <w:p w:rsidR="00100535" w:rsidRDefault="00100535" w:rsidP="00100535">
      <w:pPr>
        <w:pStyle w:val="Subtitle"/>
      </w:pPr>
      <w:r>
        <w:t>$</w:t>
      </w:r>
      <w:r w:rsidR="00BF57CB">
        <w:t xml:space="preserve"> </w:t>
      </w:r>
      <w:r>
        <w:t xml:space="preserve">million (nominal) </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100535" w:rsidRPr="00AF699A" w:rsidTr="00A74BCE">
        <w:trPr>
          <w:trHeight w:val="340"/>
        </w:trPr>
        <w:tc>
          <w:tcPr>
            <w:tcW w:w="1960" w:type="pct"/>
            <w:tcBorders>
              <w:top w:val="single" w:sz="6" w:space="0" w:color="auto"/>
              <w:bottom w:val="single" w:sz="6" w:space="0" w:color="auto"/>
            </w:tcBorders>
          </w:tcPr>
          <w:p w:rsidR="00100535" w:rsidRPr="00AF699A" w:rsidRDefault="00100535" w:rsidP="00AB38B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100535" w:rsidRPr="00AF699A" w:rsidRDefault="00100535"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100535" w:rsidRPr="00AF699A" w:rsidRDefault="00100535" w:rsidP="00AB38B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100535" w:rsidRPr="00AF699A" w:rsidRDefault="00100535" w:rsidP="00AB38B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100535" w:rsidRPr="00AF699A" w:rsidRDefault="00100535" w:rsidP="00AB38B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100535" w:rsidRPr="00AF699A" w:rsidRDefault="00100535" w:rsidP="00AB38B4">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100535" w:rsidRPr="00AF699A" w:rsidRDefault="00100535" w:rsidP="00AB38B4">
            <w:pPr>
              <w:pStyle w:val="TableColumnHeading"/>
              <w:ind w:right="28"/>
              <w:rPr>
                <w:rFonts w:cs="Arial"/>
                <w:sz w:val="18"/>
                <w:szCs w:val="18"/>
              </w:rPr>
            </w:pPr>
            <w:r w:rsidRPr="00AF699A">
              <w:rPr>
                <w:rFonts w:cs="Arial"/>
                <w:sz w:val="18"/>
                <w:szCs w:val="18"/>
              </w:rPr>
              <w:t>2011-12</w:t>
            </w:r>
          </w:p>
        </w:tc>
      </w:tr>
      <w:tr w:rsidR="00AE5840" w:rsidRPr="00AD51E1" w:rsidTr="00100535">
        <w:tc>
          <w:tcPr>
            <w:tcW w:w="1960" w:type="pct"/>
            <w:vAlign w:val="bottom"/>
          </w:tcPr>
          <w:p w:rsidR="00AE5840" w:rsidRPr="00D04898" w:rsidRDefault="00AE5840" w:rsidP="00AB38B4">
            <w:pPr>
              <w:pStyle w:val="TableBodyText"/>
              <w:jc w:val="left"/>
              <w:rPr>
                <w:b/>
                <w:sz w:val="18"/>
                <w:szCs w:val="18"/>
              </w:rPr>
            </w:pPr>
            <w:r w:rsidRPr="00D04898">
              <w:rPr>
                <w:b/>
                <w:sz w:val="18"/>
                <w:szCs w:val="18"/>
              </w:rPr>
              <w:t>Primary production</w:t>
            </w:r>
          </w:p>
        </w:tc>
        <w:tc>
          <w:tcPr>
            <w:tcW w:w="507" w:type="pct"/>
            <w:vAlign w:val="bottom"/>
          </w:tcPr>
          <w:p w:rsidR="00AE5840" w:rsidRPr="00641283" w:rsidRDefault="00AE5840" w:rsidP="00100535">
            <w:pPr>
              <w:pStyle w:val="TableBodyText"/>
              <w:rPr>
                <w:b/>
                <w:sz w:val="18"/>
                <w:szCs w:val="18"/>
              </w:rPr>
            </w:pPr>
            <w:r w:rsidRPr="00641283">
              <w:rPr>
                <w:b/>
                <w:sz w:val="18"/>
                <w:szCs w:val="18"/>
              </w:rPr>
              <w:noBreakHyphen/>
            </w:r>
          </w:p>
        </w:tc>
        <w:tc>
          <w:tcPr>
            <w:tcW w:w="507" w:type="pct"/>
            <w:vAlign w:val="bottom"/>
          </w:tcPr>
          <w:p w:rsidR="00AE5840" w:rsidRPr="00641283" w:rsidRDefault="00AE5840" w:rsidP="00100535">
            <w:pPr>
              <w:pStyle w:val="TableBodyText"/>
              <w:rPr>
                <w:b/>
                <w:sz w:val="18"/>
                <w:szCs w:val="18"/>
              </w:rPr>
            </w:pPr>
            <w:r w:rsidRPr="00641283">
              <w:rPr>
                <w:b/>
                <w:sz w:val="18"/>
                <w:szCs w:val="18"/>
              </w:rPr>
              <w:t>&lt;0.1</w:t>
            </w:r>
          </w:p>
        </w:tc>
        <w:tc>
          <w:tcPr>
            <w:tcW w:w="507" w:type="pct"/>
            <w:vAlign w:val="bottom"/>
          </w:tcPr>
          <w:p w:rsidR="00AE5840" w:rsidRPr="00641283" w:rsidRDefault="00AE5840" w:rsidP="00AB38B4">
            <w:pPr>
              <w:pStyle w:val="TableBodyText"/>
              <w:rPr>
                <w:b/>
                <w:sz w:val="18"/>
                <w:szCs w:val="18"/>
              </w:rPr>
            </w:pPr>
            <w:r w:rsidRPr="00641283">
              <w:rPr>
                <w:b/>
                <w:sz w:val="18"/>
                <w:szCs w:val="18"/>
              </w:rPr>
              <w:noBreakHyphen/>
            </w:r>
          </w:p>
        </w:tc>
        <w:tc>
          <w:tcPr>
            <w:tcW w:w="507" w:type="pct"/>
            <w:vAlign w:val="bottom"/>
          </w:tcPr>
          <w:p w:rsidR="00AE5840" w:rsidRPr="00641283" w:rsidRDefault="00AE5840" w:rsidP="00AB38B4">
            <w:pPr>
              <w:pStyle w:val="TableBodyText"/>
              <w:rPr>
                <w:b/>
                <w:sz w:val="18"/>
                <w:szCs w:val="18"/>
              </w:rPr>
            </w:pPr>
            <w:r w:rsidRPr="00641283">
              <w:rPr>
                <w:b/>
                <w:sz w:val="18"/>
                <w:szCs w:val="18"/>
              </w:rPr>
              <w:noBreakHyphen/>
            </w:r>
          </w:p>
        </w:tc>
        <w:tc>
          <w:tcPr>
            <w:tcW w:w="507" w:type="pct"/>
            <w:shd w:val="clear" w:color="auto" w:fill="auto"/>
            <w:vAlign w:val="bottom"/>
          </w:tcPr>
          <w:p w:rsidR="00AE5840" w:rsidRPr="00641283" w:rsidRDefault="00AE5840" w:rsidP="00AB38B4">
            <w:pPr>
              <w:pStyle w:val="TableBodyText"/>
              <w:rPr>
                <w:b/>
                <w:sz w:val="18"/>
                <w:szCs w:val="18"/>
              </w:rPr>
            </w:pPr>
            <w:r w:rsidRPr="00641283">
              <w:rPr>
                <w:b/>
                <w:sz w:val="18"/>
                <w:szCs w:val="18"/>
              </w:rPr>
              <w:noBreakHyphen/>
            </w:r>
          </w:p>
        </w:tc>
        <w:tc>
          <w:tcPr>
            <w:tcW w:w="505" w:type="pct"/>
            <w:shd w:val="clear" w:color="auto" w:fill="auto"/>
            <w:vAlign w:val="bottom"/>
          </w:tcPr>
          <w:p w:rsidR="00AE5840" w:rsidRPr="00641283" w:rsidRDefault="00AE5840" w:rsidP="00AB38B4">
            <w:pPr>
              <w:pStyle w:val="TableBodyText"/>
              <w:rPr>
                <w:b/>
                <w:sz w:val="18"/>
                <w:szCs w:val="18"/>
              </w:rPr>
            </w:pPr>
            <w:r w:rsidRPr="00641283">
              <w:rPr>
                <w:b/>
                <w:sz w:val="18"/>
                <w:szCs w:val="18"/>
              </w:rPr>
              <w:noBreakHyphen/>
            </w:r>
          </w:p>
        </w:tc>
      </w:tr>
      <w:tr w:rsidR="00AE5840" w:rsidRPr="00AD51E1" w:rsidTr="00100535">
        <w:tc>
          <w:tcPr>
            <w:tcW w:w="1960" w:type="pct"/>
            <w:vAlign w:val="bottom"/>
          </w:tcPr>
          <w:p w:rsidR="00AE5840" w:rsidRPr="00D04898" w:rsidRDefault="00AE5840" w:rsidP="00AB38B4">
            <w:pPr>
              <w:pStyle w:val="TableBodyText"/>
              <w:jc w:val="left"/>
              <w:rPr>
                <w:sz w:val="18"/>
                <w:szCs w:val="18"/>
              </w:rPr>
            </w:pPr>
            <w:r w:rsidRPr="00D04898">
              <w:rPr>
                <w:sz w:val="18"/>
                <w:szCs w:val="18"/>
              </w:rPr>
              <w:t>Horticulture and fruit growing</w:t>
            </w:r>
          </w:p>
        </w:tc>
        <w:tc>
          <w:tcPr>
            <w:tcW w:w="507" w:type="pct"/>
            <w:vAlign w:val="bottom"/>
          </w:tcPr>
          <w:p w:rsidR="00AE5840" w:rsidRPr="00641283" w:rsidRDefault="00AE5840" w:rsidP="00100535">
            <w:pPr>
              <w:pStyle w:val="TableBodyText"/>
              <w:rPr>
                <w:sz w:val="18"/>
                <w:szCs w:val="18"/>
              </w:rPr>
            </w:pPr>
            <w:r w:rsidRPr="00641283">
              <w:rPr>
                <w:sz w:val="18"/>
                <w:szCs w:val="18"/>
              </w:rPr>
              <w:noBreakHyphen/>
            </w:r>
          </w:p>
        </w:tc>
        <w:tc>
          <w:tcPr>
            <w:tcW w:w="507" w:type="pct"/>
            <w:vAlign w:val="bottom"/>
          </w:tcPr>
          <w:p w:rsidR="00AE5840" w:rsidRPr="00641283" w:rsidRDefault="00AE5840" w:rsidP="00100535">
            <w:pPr>
              <w:pStyle w:val="TableBodyText"/>
              <w:rPr>
                <w:sz w:val="18"/>
                <w:szCs w:val="18"/>
              </w:rPr>
            </w:pPr>
            <w:r w:rsidRPr="00641283">
              <w:rPr>
                <w:sz w:val="18"/>
                <w:szCs w:val="18"/>
              </w:rPr>
              <w:t>&lt;0.1</w:t>
            </w:r>
          </w:p>
        </w:tc>
        <w:tc>
          <w:tcPr>
            <w:tcW w:w="507" w:type="pct"/>
            <w:vAlign w:val="bottom"/>
          </w:tcPr>
          <w:p w:rsidR="00AE5840" w:rsidRPr="00641283" w:rsidRDefault="00AE5840" w:rsidP="00AB38B4">
            <w:pPr>
              <w:pStyle w:val="TableBodyText"/>
              <w:rPr>
                <w:sz w:val="18"/>
                <w:szCs w:val="18"/>
              </w:rPr>
            </w:pPr>
            <w:r w:rsidRPr="00641283">
              <w:rPr>
                <w:sz w:val="18"/>
                <w:szCs w:val="18"/>
              </w:rPr>
              <w:noBreakHyphen/>
            </w:r>
          </w:p>
        </w:tc>
        <w:tc>
          <w:tcPr>
            <w:tcW w:w="507" w:type="pct"/>
            <w:vAlign w:val="bottom"/>
          </w:tcPr>
          <w:p w:rsidR="00AE5840" w:rsidRPr="00641283" w:rsidRDefault="00AE5840" w:rsidP="00AB38B4">
            <w:pPr>
              <w:pStyle w:val="TableBodyText"/>
              <w:rPr>
                <w:sz w:val="18"/>
                <w:szCs w:val="18"/>
              </w:rPr>
            </w:pPr>
            <w:r w:rsidRPr="00641283">
              <w:rPr>
                <w:sz w:val="18"/>
                <w:szCs w:val="18"/>
              </w:rPr>
              <w:noBreakHyphen/>
            </w:r>
          </w:p>
        </w:tc>
        <w:tc>
          <w:tcPr>
            <w:tcW w:w="507" w:type="pct"/>
            <w:shd w:val="clear" w:color="auto" w:fill="auto"/>
            <w:vAlign w:val="bottom"/>
          </w:tcPr>
          <w:p w:rsidR="00AE5840" w:rsidRPr="00641283" w:rsidRDefault="00AE5840" w:rsidP="00AB38B4">
            <w:pPr>
              <w:pStyle w:val="TableBodyText"/>
              <w:rPr>
                <w:sz w:val="18"/>
                <w:szCs w:val="18"/>
              </w:rPr>
            </w:pPr>
            <w:r w:rsidRPr="00641283">
              <w:rPr>
                <w:sz w:val="18"/>
                <w:szCs w:val="18"/>
              </w:rPr>
              <w:noBreakHyphen/>
            </w:r>
          </w:p>
        </w:tc>
        <w:tc>
          <w:tcPr>
            <w:tcW w:w="505" w:type="pct"/>
            <w:shd w:val="clear" w:color="auto" w:fill="auto"/>
            <w:vAlign w:val="bottom"/>
          </w:tcPr>
          <w:p w:rsidR="00AE5840" w:rsidRPr="00641283" w:rsidRDefault="00AE5840" w:rsidP="00AB38B4">
            <w:pPr>
              <w:pStyle w:val="TableBodyText"/>
              <w:rPr>
                <w:sz w:val="18"/>
                <w:szCs w:val="18"/>
              </w:rPr>
            </w:pPr>
            <w:r w:rsidRPr="00641283">
              <w:rPr>
                <w:sz w:val="18"/>
                <w:szCs w:val="18"/>
              </w:rPr>
              <w:noBreakHyphen/>
            </w:r>
          </w:p>
        </w:tc>
      </w:tr>
      <w:tr w:rsidR="00AE5840" w:rsidRPr="00AD51E1" w:rsidTr="00100535">
        <w:tc>
          <w:tcPr>
            <w:tcW w:w="1960" w:type="pct"/>
            <w:vAlign w:val="bottom"/>
          </w:tcPr>
          <w:p w:rsidR="00AE5840" w:rsidRPr="00D04898" w:rsidRDefault="00AE5840" w:rsidP="00AB38B4">
            <w:pPr>
              <w:pStyle w:val="TableBodyText"/>
              <w:jc w:val="left"/>
              <w:rPr>
                <w:sz w:val="18"/>
                <w:szCs w:val="18"/>
              </w:rPr>
            </w:pPr>
            <w:r w:rsidRPr="00D04898">
              <w:rPr>
                <w:sz w:val="18"/>
                <w:szCs w:val="18"/>
              </w:rPr>
              <w:t>Aquaculture and fishing</w:t>
            </w:r>
          </w:p>
        </w:tc>
        <w:tc>
          <w:tcPr>
            <w:tcW w:w="507" w:type="pct"/>
            <w:vAlign w:val="bottom"/>
          </w:tcPr>
          <w:p w:rsidR="00AE5840" w:rsidRPr="00641283" w:rsidRDefault="00AE5840" w:rsidP="00100535">
            <w:pPr>
              <w:pStyle w:val="TableBodyText"/>
              <w:rPr>
                <w:sz w:val="18"/>
                <w:szCs w:val="18"/>
              </w:rPr>
            </w:pPr>
            <w:r w:rsidRPr="00641283">
              <w:rPr>
                <w:sz w:val="18"/>
                <w:szCs w:val="18"/>
              </w:rPr>
              <w:noBreakHyphen/>
            </w:r>
          </w:p>
        </w:tc>
        <w:tc>
          <w:tcPr>
            <w:tcW w:w="507" w:type="pct"/>
            <w:vAlign w:val="bottom"/>
          </w:tcPr>
          <w:p w:rsidR="00AE5840" w:rsidRPr="00641283" w:rsidRDefault="00AE5840" w:rsidP="00100535">
            <w:pPr>
              <w:pStyle w:val="TableBodyText"/>
              <w:rPr>
                <w:sz w:val="18"/>
                <w:szCs w:val="18"/>
              </w:rPr>
            </w:pPr>
            <w:r w:rsidRPr="00641283">
              <w:rPr>
                <w:sz w:val="18"/>
                <w:szCs w:val="18"/>
              </w:rPr>
              <w:t>&lt;0.1</w:t>
            </w:r>
          </w:p>
        </w:tc>
        <w:tc>
          <w:tcPr>
            <w:tcW w:w="507" w:type="pct"/>
            <w:vAlign w:val="bottom"/>
          </w:tcPr>
          <w:p w:rsidR="00AE5840" w:rsidRPr="00641283" w:rsidRDefault="00AE5840" w:rsidP="00AB38B4">
            <w:pPr>
              <w:pStyle w:val="TableBodyText"/>
              <w:rPr>
                <w:sz w:val="18"/>
                <w:szCs w:val="18"/>
              </w:rPr>
            </w:pPr>
            <w:r w:rsidRPr="00641283">
              <w:rPr>
                <w:sz w:val="18"/>
                <w:szCs w:val="18"/>
              </w:rPr>
              <w:noBreakHyphen/>
            </w:r>
          </w:p>
        </w:tc>
        <w:tc>
          <w:tcPr>
            <w:tcW w:w="507" w:type="pct"/>
            <w:vAlign w:val="bottom"/>
          </w:tcPr>
          <w:p w:rsidR="00AE5840" w:rsidRPr="00641283" w:rsidRDefault="00AE5840" w:rsidP="00AB38B4">
            <w:pPr>
              <w:pStyle w:val="TableBodyText"/>
              <w:rPr>
                <w:sz w:val="18"/>
                <w:szCs w:val="18"/>
              </w:rPr>
            </w:pPr>
            <w:r w:rsidRPr="00641283">
              <w:rPr>
                <w:sz w:val="18"/>
                <w:szCs w:val="18"/>
              </w:rPr>
              <w:noBreakHyphen/>
            </w:r>
          </w:p>
        </w:tc>
        <w:tc>
          <w:tcPr>
            <w:tcW w:w="507" w:type="pct"/>
            <w:shd w:val="clear" w:color="auto" w:fill="auto"/>
            <w:vAlign w:val="bottom"/>
          </w:tcPr>
          <w:p w:rsidR="00AE5840" w:rsidRPr="00641283" w:rsidRDefault="00AE5840" w:rsidP="00AB38B4">
            <w:pPr>
              <w:pStyle w:val="TableBodyText"/>
              <w:rPr>
                <w:sz w:val="18"/>
                <w:szCs w:val="18"/>
              </w:rPr>
            </w:pPr>
            <w:r w:rsidRPr="00641283">
              <w:rPr>
                <w:sz w:val="18"/>
                <w:szCs w:val="18"/>
              </w:rPr>
              <w:noBreakHyphen/>
            </w:r>
          </w:p>
        </w:tc>
        <w:tc>
          <w:tcPr>
            <w:tcW w:w="505" w:type="pct"/>
            <w:shd w:val="clear" w:color="auto" w:fill="auto"/>
            <w:vAlign w:val="bottom"/>
          </w:tcPr>
          <w:p w:rsidR="00AE5840" w:rsidRPr="00641283" w:rsidRDefault="00AE5840" w:rsidP="00AB38B4">
            <w:pPr>
              <w:pStyle w:val="TableBodyText"/>
              <w:rPr>
                <w:sz w:val="18"/>
                <w:szCs w:val="18"/>
              </w:rPr>
            </w:pPr>
            <w:r w:rsidRPr="00641283">
              <w:rPr>
                <w:sz w:val="18"/>
                <w:szCs w:val="18"/>
              </w:rPr>
              <w:noBreakHyphen/>
            </w:r>
          </w:p>
        </w:tc>
      </w:tr>
      <w:tr w:rsidR="00AE5840" w:rsidRPr="00AD51E1" w:rsidTr="00100535">
        <w:tc>
          <w:tcPr>
            <w:tcW w:w="1960" w:type="pct"/>
            <w:vAlign w:val="bottom"/>
          </w:tcPr>
          <w:p w:rsidR="00AE5840" w:rsidRPr="00D04898" w:rsidRDefault="00AE5840" w:rsidP="00AB38B4">
            <w:pPr>
              <w:pStyle w:val="TableBodyText"/>
              <w:jc w:val="left"/>
              <w:rPr>
                <w:b/>
                <w:sz w:val="18"/>
                <w:szCs w:val="18"/>
              </w:rPr>
            </w:pPr>
            <w:r w:rsidRPr="00D04898">
              <w:rPr>
                <w:b/>
                <w:sz w:val="18"/>
                <w:szCs w:val="18"/>
              </w:rPr>
              <w:t>Manufacturing</w:t>
            </w:r>
          </w:p>
        </w:tc>
        <w:tc>
          <w:tcPr>
            <w:tcW w:w="507" w:type="pct"/>
            <w:vAlign w:val="bottom"/>
          </w:tcPr>
          <w:p w:rsidR="00AE5840" w:rsidRPr="00641283" w:rsidRDefault="00AE5840" w:rsidP="00100535">
            <w:pPr>
              <w:pStyle w:val="TableBodyText"/>
              <w:rPr>
                <w:b/>
                <w:sz w:val="18"/>
                <w:szCs w:val="18"/>
              </w:rPr>
            </w:pPr>
            <w:r w:rsidRPr="00641283">
              <w:rPr>
                <w:b/>
                <w:sz w:val="18"/>
                <w:szCs w:val="18"/>
              </w:rPr>
              <w:noBreakHyphen/>
            </w:r>
          </w:p>
        </w:tc>
        <w:tc>
          <w:tcPr>
            <w:tcW w:w="507" w:type="pct"/>
            <w:vAlign w:val="bottom"/>
          </w:tcPr>
          <w:p w:rsidR="00AE5840" w:rsidRPr="00641283" w:rsidRDefault="00AE5840" w:rsidP="00100535">
            <w:pPr>
              <w:pStyle w:val="TableBodyText"/>
              <w:rPr>
                <w:b/>
                <w:sz w:val="18"/>
                <w:szCs w:val="18"/>
              </w:rPr>
            </w:pPr>
            <w:r w:rsidRPr="00641283">
              <w:rPr>
                <w:b/>
                <w:sz w:val="18"/>
                <w:szCs w:val="18"/>
              </w:rPr>
              <w:t>&lt;0.1</w:t>
            </w:r>
          </w:p>
        </w:tc>
        <w:tc>
          <w:tcPr>
            <w:tcW w:w="507" w:type="pct"/>
            <w:vAlign w:val="bottom"/>
          </w:tcPr>
          <w:p w:rsidR="00AE5840" w:rsidRPr="00641283" w:rsidRDefault="00AE5840" w:rsidP="00AB38B4">
            <w:pPr>
              <w:pStyle w:val="TableBodyText"/>
              <w:rPr>
                <w:b/>
                <w:sz w:val="18"/>
                <w:szCs w:val="18"/>
              </w:rPr>
            </w:pPr>
            <w:r w:rsidRPr="00641283">
              <w:rPr>
                <w:b/>
                <w:sz w:val="18"/>
                <w:szCs w:val="18"/>
              </w:rPr>
              <w:noBreakHyphen/>
            </w:r>
          </w:p>
        </w:tc>
        <w:tc>
          <w:tcPr>
            <w:tcW w:w="507" w:type="pct"/>
            <w:vAlign w:val="bottom"/>
          </w:tcPr>
          <w:p w:rsidR="00AE5840" w:rsidRPr="00641283" w:rsidRDefault="00AE5840" w:rsidP="00AB38B4">
            <w:pPr>
              <w:pStyle w:val="TableBodyText"/>
              <w:rPr>
                <w:b/>
                <w:sz w:val="18"/>
                <w:szCs w:val="18"/>
              </w:rPr>
            </w:pPr>
            <w:r w:rsidRPr="00641283">
              <w:rPr>
                <w:b/>
                <w:sz w:val="18"/>
                <w:szCs w:val="18"/>
              </w:rPr>
              <w:noBreakHyphen/>
            </w:r>
          </w:p>
        </w:tc>
        <w:tc>
          <w:tcPr>
            <w:tcW w:w="507" w:type="pct"/>
            <w:shd w:val="clear" w:color="auto" w:fill="auto"/>
            <w:vAlign w:val="bottom"/>
          </w:tcPr>
          <w:p w:rsidR="00AE5840" w:rsidRPr="00641283" w:rsidRDefault="00AE5840" w:rsidP="00AB38B4">
            <w:pPr>
              <w:pStyle w:val="TableBodyText"/>
              <w:rPr>
                <w:b/>
                <w:sz w:val="18"/>
                <w:szCs w:val="18"/>
              </w:rPr>
            </w:pPr>
            <w:r w:rsidRPr="00641283">
              <w:rPr>
                <w:b/>
                <w:sz w:val="18"/>
                <w:szCs w:val="18"/>
              </w:rPr>
              <w:noBreakHyphen/>
            </w:r>
          </w:p>
        </w:tc>
        <w:tc>
          <w:tcPr>
            <w:tcW w:w="505" w:type="pct"/>
            <w:shd w:val="clear" w:color="auto" w:fill="auto"/>
            <w:vAlign w:val="bottom"/>
          </w:tcPr>
          <w:p w:rsidR="00AE5840" w:rsidRPr="00641283" w:rsidRDefault="00AE5840" w:rsidP="00AB38B4">
            <w:pPr>
              <w:pStyle w:val="TableBodyText"/>
              <w:rPr>
                <w:b/>
                <w:sz w:val="18"/>
                <w:szCs w:val="18"/>
              </w:rPr>
            </w:pPr>
            <w:r w:rsidRPr="00641283">
              <w:rPr>
                <w:b/>
                <w:sz w:val="18"/>
                <w:szCs w:val="18"/>
              </w:rPr>
              <w:noBreakHyphen/>
            </w:r>
          </w:p>
        </w:tc>
      </w:tr>
      <w:tr w:rsidR="00AE5840" w:rsidRPr="00AD51E1" w:rsidTr="00100535">
        <w:tc>
          <w:tcPr>
            <w:tcW w:w="1960" w:type="pct"/>
            <w:vAlign w:val="bottom"/>
          </w:tcPr>
          <w:p w:rsidR="00AE5840" w:rsidRPr="00D04898" w:rsidRDefault="00AE5840" w:rsidP="00AB38B4">
            <w:pPr>
              <w:pStyle w:val="TableBodyText"/>
              <w:jc w:val="left"/>
              <w:rPr>
                <w:sz w:val="18"/>
                <w:szCs w:val="18"/>
              </w:rPr>
            </w:pPr>
            <w:r>
              <w:rPr>
                <w:sz w:val="18"/>
                <w:szCs w:val="18"/>
              </w:rPr>
              <w:t>Food, beverages and tobacco</w:t>
            </w:r>
          </w:p>
        </w:tc>
        <w:tc>
          <w:tcPr>
            <w:tcW w:w="507" w:type="pct"/>
            <w:vAlign w:val="bottom"/>
          </w:tcPr>
          <w:p w:rsidR="00AE5840" w:rsidRPr="00641283" w:rsidRDefault="00AE5840" w:rsidP="00100535">
            <w:pPr>
              <w:pStyle w:val="TableBodyText"/>
              <w:rPr>
                <w:sz w:val="18"/>
                <w:szCs w:val="18"/>
              </w:rPr>
            </w:pPr>
            <w:r w:rsidRPr="00641283">
              <w:rPr>
                <w:sz w:val="18"/>
                <w:szCs w:val="18"/>
              </w:rPr>
              <w:noBreakHyphen/>
            </w:r>
          </w:p>
        </w:tc>
        <w:tc>
          <w:tcPr>
            <w:tcW w:w="507" w:type="pct"/>
            <w:vAlign w:val="bottom"/>
          </w:tcPr>
          <w:p w:rsidR="00AE5840" w:rsidRPr="00641283" w:rsidRDefault="00AE5840" w:rsidP="00100535">
            <w:pPr>
              <w:pStyle w:val="TableBodyText"/>
              <w:rPr>
                <w:sz w:val="18"/>
                <w:szCs w:val="18"/>
              </w:rPr>
            </w:pPr>
            <w:r w:rsidRPr="00641283">
              <w:rPr>
                <w:sz w:val="18"/>
                <w:szCs w:val="18"/>
              </w:rPr>
              <w:t>&lt;0.1</w:t>
            </w:r>
          </w:p>
        </w:tc>
        <w:tc>
          <w:tcPr>
            <w:tcW w:w="507" w:type="pct"/>
            <w:vAlign w:val="bottom"/>
          </w:tcPr>
          <w:p w:rsidR="00AE5840" w:rsidRPr="00641283" w:rsidRDefault="00AE5840" w:rsidP="00AB38B4">
            <w:pPr>
              <w:pStyle w:val="TableBodyText"/>
              <w:rPr>
                <w:sz w:val="18"/>
                <w:szCs w:val="18"/>
              </w:rPr>
            </w:pPr>
            <w:r w:rsidRPr="00641283">
              <w:rPr>
                <w:sz w:val="18"/>
                <w:szCs w:val="18"/>
              </w:rPr>
              <w:noBreakHyphen/>
            </w:r>
          </w:p>
        </w:tc>
        <w:tc>
          <w:tcPr>
            <w:tcW w:w="507" w:type="pct"/>
            <w:vAlign w:val="bottom"/>
          </w:tcPr>
          <w:p w:rsidR="00AE5840" w:rsidRPr="00641283" w:rsidRDefault="00AE5840" w:rsidP="00AB38B4">
            <w:pPr>
              <w:pStyle w:val="TableBodyText"/>
              <w:rPr>
                <w:sz w:val="18"/>
                <w:szCs w:val="18"/>
              </w:rPr>
            </w:pPr>
            <w:r w:rsidRPr="00641283">
              <w:rPr>
                <w:sz w:val="18"/>
                <w:szCs w:val="18"/>
              </w:rPr>
              <w:noBreakHyphen/>
            </w:r>
          </w:p>
        </w:tc>
        <w:tc>
          <w:tcPr>
            <w:tcW w:w="507" w:type="pct"/>
            <w:shd w:val="clear" w:color="auto" w:fill="auto"/>
            <w:vAlign w:val="bottom"/>
          </w:tcPr>
          <w:p w:rsidR="00AE5840" w:rsidRPr="00641283" w:rsidRDefault="00AE5840" w:rsidP="00AB38B4">
            <w:pPr>
              <w:pStyle w:val="TableBodyText"/>
              <w:rPr>
                <w:sz w:val="18"/>
                <w:szCs w:val="18"/>
              </w:rPr>
            </w:pPr>
            <w:r w:rsidRPr="00641283">
              <w:rPr>
                <w:sz w:val="18"/>
                <w:szCs w:val="18"/>
              </w:rPr>
              <w:noBreakHyphen/>
            </w:r>
          </w:p>
        </w:tc>
        <w:tc>
          <w:tcPr>
            <w:tcW w:w="505" w:type="pct"/>
            <w:shd w:val="clear" w:color="auto" w:fill="auto"/>
            <w:vAlign w:val="bottom"/>
          </w:tcPr>
          <w:p w:rsidR="00AE5840" w:rsidRPr="00641283" w:rsidRDefault="00AE5840" w:rsidP="00AB38B4">
            <w:pPr>
              <w:pStyle w:val="TableBodyText"/>
              <w:rPr>
                <w:sz w:val="18"/>
                <w:szCs w:val="18"/>
              </w:rPr>
            </w:pPr>
            <w:r w:rsidRPr="00641283">
              <w:rPr>
                <w:sz w:val="18"/>
                <w:szCs w:val="18"/>
              </w:rPr>
              <w:noBreakHyphen/>
            </w:r>
          </w:p>
        </w:tc>
      </w:tr>
      <w:tr w:rsidR="00AE5840" w:rsidRPr="00AD51E1" w:rsidTr="00100535">
        <w:tc>
          <w:tcPr>
            <w:tcW w:w="1960" w:type="pct"/>
            <w:vAlign w:val="bottom"/>
          </w:tcPr>
          <w:p w:rsidR="00AE5840" w:rsidRPr="00D04898" w:rsidRDefault="00AE5840" w:rsidP="00AB38B4">
            <w:pPr>
              <w:pStyle w:val="TableBodyText"/>
              <w:jc w:val="left"/>
              <w:rPr>
                <w:sz w:val="18"/>
                <w:szCs w:val="18"/>
              </w:rPr>
            </w:pPr>
            <w:r>
              <w:rPr>
                <w:sz w:val="18"/>
                <w:szCs w:val="18"/>
              </w:rPr>
              <w:t>Textile, leather, clothing and footwear</w:t>
            </w:r>
          </w:p>
        </w:tc>
        <w:tc>
          <w:tcPr>
            <w:tcW w:w="507" w:type="pct"/>
            <w:vAlign w:val="bottom"/>
          </w:tcPr>
          <w:p w:rsidR="00AE5840" w:rsidRPr="00641283" w:rsidRDefault="00AE5840" w:rsidP="00100535">
            <w:pPr>
              <w:pStyle w:val="TableBodyText"/>
              <w:rPr>
                <w:sz w:val="18"/>
                <w:szCs w:val="18"/>
              </w:rPr>
            </w:pPr>
            <w:r w:rsidRPr="00641283">
              <w:rPr>
                <w:sz w:val="18"/>
                <w:szCs w:val="18"/>
              </w:rPr>
              <w:noBreakHyphen/>
            </w:r>
          </w:p>
        </w:tc>
        <w:tc>
          <w:tcPr>
            <w:tcW w:w="507" w:type="pct"/>
            <w:vAlign w:val="bottom"/>
          </w:tcPr>
          <w:p w:rsidR="00AE5840" w:rsidRPr="00641283" w:rsidRDefault="00AE5840" w:rsidP="00100535">
            <w:pPr>
              <w:pStyle w:val="TableBodyText"/>
              <w:rPr>
                <w:sz w:val="18"/>
                <w:szCs w:val="18"/>
              </w:rPr>
            </w:pPr>
            <w:r w:rsidRPr="00641283">
              <w:rPr>
                <w:sz w:val="18"/>
                <w:szCs w:val="18"/>
              </w:rPr>
              <w:t>&lt;0.1</w:t>
            </w:r>
          </w:p>
        </w:tc>
        <w:tc>
          <w:tcPr>
            <w:tcW w:w="507" w:type="pct"/>
            <w:vAlign w:val="bottom"/>
          </w:tcPr>
          <w:p w:rsidR="00AE5840" w:rsidRPr="00641283" w:rsidRDefault="00AE5840" w:rsidP="00AB38B4">
            <w:pPr>
              <w:pStyle w:val="TableBodyText"/>
              <w:rPr>
                <w:sz w:val="18"/>
                <w:szCs w:val="18"/>
              </w:rPr>
            </w:pPr>
            <w:r w:rsidRPr="00641283">
              <w:rPr>
                <w:sz w:val="18"/>
                <w:szCs w:val="18"/>
              </w:rPr>
              <w:noBreakHyphen/>
            </w:r>
          </w:p>
        </w:tc>
        <w:tc>
          <w:tcPr>
            <w:tcW w:w="507" w:type="pct"/>
            <w:vAlign w:val="bottom"/>
          </w:tcPr>
          <w:p w:rsidR="00AE5840" w:rsidRPr="00641283" w:rsidRDefault="00AE5840" w:rsidP="00AB38B4">
            <w:pPr>
              <w:pStyle w:val="TableBodyText"/>
              <w:rPr>
                <w:sz w:val="18"/>
                <w:szCs w:val="18"/>
              </w:rPr>
            </w:pPr>
            <w:r w:rsidRPr="00641283">
              <w:rPr>
                <w:sz w:val="18"/>
                <w:szCs w:val="18"/>
              </w:rPr>
              <w:noBreakHyphen/>
            </w:r>
          </w:p>
        </w:tc>
        <w:tc>
          <w:tcPr>
            <w:tcW w:w="507" w:type="pct"/>
            <w:shd w:val="clear" w:color="auto" w:fill="auto"/>
            <w:vAlign w:val="bottom"/>
          </w:tcPr>
          <w:p w:rsidR="00AE5840" w:rsidRPr="00641283" w:rsidRDefault="00AE5840" w:rsidP="00AB38B4">
            <w:pPr>
              <w:pStyle w:val="TableBodyText"/>
              <w:rPr>
                <w:sz w:val="18"/>
                <w:szCs w:val="18"/>
              </w:rPr>
            </w:pPr>
            <w:r w:rsidRPr="00641283">
              <w:rPr>
                <w:sz w:val="18"/>
                <w:szCs w:val="18"/>
              </w:rPr>
              <w:noBreakHyphen/>
            </w:r>
          </w:p>
        </w:tc>
        <w:tc>
          <w:tcPr>
            <w:tcW w:w="505" w:type="pct"/>
            <w:shd w:val="clear" w:color="auto" w:fill="auto"/>
            <w:vAlign w:val="bottom"/>
          </w:tcPr>
          <w:p w:rsidR="00AE5840" w:rsidRPr="00641283" w:rsidRDefault="00AE5840" w:rsidP="00AB38B4">
            <w:pPr>
              <w:pStyle w:val="TableBodyText"/>
              <w:rPr>
                <w:sz w:val="18"/>
                <w:szCs w:val="18"/>
              </w:rPr>
            </w:pPr>
            <w:r w:rsidRPr="00641283">
              <w:rPr>
                <w:sz w:val="18"/>
                <w:szCs w:val="18"/>
              </w:rPr>
              <w:noBreakHyphen/>
            </w:r>
          </w:p>
        </w:tc>
      </w:tr>
      <w:tr w:rsidR="00AE5840" w:rsidRPr="00AD51E1" w:rsidTr="00100535">
        <w:tc>
          <w:tcPr>
            <w:tcW w:w="1960" w:type="pct"/>
            <w:vAlign w:val="bottom"/>
          </w:tcPr>
          <w:p w:rsidR="00AE5840" w:rsidRPr="00D04898" w:rsidRDefault="00AE5840" w:rsidP="00AB38B4">
            <w:pPr>
              <w:pStyle w:val="TableBodyText"/>
              <w:jc w:val="left"/>
              <w:rPr>
                <w:b/>
                <w:sz w:val="18"/>
                <w:szCs w:val="18"/>
              </w:rPr>
            </w:pPr>
            <w:r w:rsidRPr="00D04898">
              <w:rPr>
                <w:b/>
                <w:sz w:val="18"/>
                <w:szCs w:val="18"/>
              </w:rPr>
              <w:t>Services</w:t>
            </w:r>
          </w:p>
        </w:tc>
        <w:tc>
          <w:tcPr>
            <w:tcW w:w="507" w:type="pct"/>
            <w:vAlign w:val="bottom"/>
          </w:tcPr>
          <w:p w:rsidR="00AE5840" w:rsidRPr="00641283" w:rsidRDefault="00AE5840" w:rsidP="00100535">
            <w:pPr>
              <w:pStyle w:val="TableBodyText"/>
              <w:rPr>
                <w:b/>
                <w:sz w:val="18"/>
                <w:szCs w:val="18"/>
              </w:rPr>
            </w:pPr>
            <w:r w:rsidRPr="00641283">
              <w:rPr>
                <w:b/>
                <w:sz w:val="18"/>
                <w:szCs w:val="18"/>
              </w:rPr>
              <w:t>6.8</w:t>
            </w:r>
          </w:p>
        </w:tc>
        <w:tc>
          <w:tcPr>
            <w:tcW w:w="507" w:type="pct"/>
            <w:vAlign w:val="bottom"/>
          </w:tcPr>
          <w:p w:rsidR="00AE5840" w:rsidRPr="00641283" w:rsidRDefault="00AE5840" w:rsidP="00100535">
            <w:pPr>
              <w:pStyle w:val="TableBodyText"/>
              <w:rPr>
                <w:b/>
                <w:sz w:val="18"/>
                <w:szCs w:val="18"/>
              </w:rPr>
            </w:pPr>
            <w:r w:rsidRPr="00641283">
              <w:rPr>
                <w:b/>
                <w:sz w:val="18"/>
                <w:szCs w:val="18"/>
              </w:rPr>
              <w:t>4.2</w:t>
            </w:r>
          </w:p>
        </w:tc>
        <w:tc>
          <w:tcPr>
            <w:tcW w:w="507" w:type="pct"/>
            <w:vAlign w:val="bottom"/>
          </w:tcPr>
          <w:p w:rsidR="00AE5840" w:rsidRPr="00641283" w:rsidRDefault="00AE5840" w:rsidP="00AB38B4">
            <w:pPr>
              <w:pStyle w:val="TableBodyText"/>
              <w:rPr>
                <w:b/>
                <w:sz w:val="18"/>
                <w:szCs w:val="18"/>
              </w:rPr>
            </w:pPr>
            <w:r w:rsidRPr="00641283">
              <w:rPr>
                <w:b/>
                <w:sz w:val="18"/>
                <w:szCs w:val="18"/>
              </w:rPr>
              <w:noBreakHyphen/>
            </w:r>
          </w:p>
        </w:tc>
        <w:tc>
          <w:tcPr>
            <w:tcW w:w="507" w:type="pct"/>
            <w:vAlign w:val="bottom"/>
          </w:tcPr>
          <w:p w:rsidR="00AE5840" w:rsidRPr="00641283" w:rsidRDefault="00AE5840" w:rsidP="00AB38B4">
            <w:pPr>
              <w:pStyle w:val="TableBodyText"/>
              <w:rPr>
                <w:b/>
                <w:sz w:val="18"/>
                <w:szCs w:val="18"/>
              </w:rPr>
            </w:pPr>
            <w:r w:rsidRPr="00641283">
              <w:rPr>
                <w:b/>
                <w:sz w:val="18"/>
                <w:szCs w:val="18"/>
              </w:rPr>
              <w:noBreakHyphen/>
            </w:r>
          </w:p>
        </w:tc>
        <w:tc>
          <w:tcPr>
            <w:tcW w:w="507" w:type="pct"/>
            <w:shd w:val="clear" w:color="auto" w:fill="auto"/>
            <w:vAlign w:val="bottom"/>
          </w:tcPr>
          <w:p w:rsidR="00AE5840" w:rsidRPr="00641283" w:rsidRDefault="00AE5840" w:rsidP="00AB38B4">
            <w:pPr>
              <w:pStyle w:val="TableBodyText"/>
              <w:rPr>
                <w:b/>
                <w:sz w:val="18"/>
                <w:szCs w:val="18"/>
              </w:rPr>
            </w:pPr>
            <w:r w:rsidRPr="00641283">
              <w:rPr>
                <w:b/>
                <w:sz w:val="18"/>
                <w:szCs w:val="18"/>
              </w:rPr>
              <w:noBreakHyphen/>
            </w:r>
          </w:p>
        </w:tc>
        <w:tc>
          <w:tcPr>
            <w:tcW w:w="505" w:type="pct"/>
            <w:shd w:val="clear" w:color="auto" w:fill="auto"/>
            <w:vAlign w:val="bottom"/>
          </w:tcPr>
          <w:p w:rsidR="00AE5840" w:rsidRPr="00641283" w:rsidRDefault="00AE5840" w:rsidP="00AB38B4">
            <w:pPr>
              <w:pStyle w:val="TableBodyText"/>
              <w:rPr>
                <w:b/>
                <w:sz w:val="18"/>
                <w:szCs w:val="18"/>
              </w:rPr>
            </w:pPr>
            <w:r w:rsidRPr="00641283">
              <w:rPr>
                <w:b/>
                <w:sz w:val="18"/>
                <w:szCs w:val="18"/>
              </w:rPr>
              <w:noBreakHyphen/>
            </w:r>
          </w:p>
        </w:tc>
      </w:tr>
      <w:tr w:rsidR="00AE5840" w:rsidRPr="00AD51E1" w:rsidTr="00100535">
        <w:tc>
          <w:tcPr>
            <w:tcW w:w="1960" w:type="pct"/>
            <w:vAlign w:val="bottom"/>
          </w:tcPr>
          <w:p w:rsidR="00AE5840" w:rsidRPr="00D04898" w:rsidRDefault="00AE5840" w:rsidP="00AB38B4">
            <w:pPr>
              <w:pStyle w:val="TableBodyText"/>
              <w:jc w:val="left"/>
              <w:rPr>
                <w:sz w:val="18"/>
                <w:szCs w:val="18"/>
              </w:rPr>
            </w:pPr>
            <w:r>
              <w:rPr>
                <w:sz w:val="18"/>
                <w:szCs w:val="18"/>
              </w:rPr>
              <w:t>Construction</w:t>
            </w:r>
          </w:p>
        </w:tc>
        <w:tc>
          <w:tcPr>
            <w:tcW w:w="507" w:type="pct"/>
            <w:vAlign w:val="bottom"/>
          </w:tcPr>
          <w:p w:rsidR="00AE5840" w:rsidRPr="00641283" w:rsidRDefault="00AE5840" w:rsidP="00100535">
            <w:pPr>
              <w:pStyle w:val="TableBodyText"/>
              <w:rPr>
                <w:sz w:val="18"/>
                <w:szCs w:val="18"/>
              </w:rPr>
            </w:pPr>
            <w:r w:rsidRPr="00641283">
              <w:rPr>
                <w:sz w:val="18"/>
                <w:szCs w:val="18"/>
              </w:rPr>
              <w:noBreakHyphen/>
            </w:r>
          </w:p>
        </w:tc>
        <w:tc>
          <w:tcPr>
            <w:tcW w:w="507" w:type="pct"/>
            <w:vAlign w:val="bottom"/>
          </w:tcPr>
          <w:p w:rsidR="00AE5840" w:rsidRPr="00641283" w:rsidRDefault="00AE5840" w:rsidP="00100535">
            <w:pPr>
              <w:pStyle w:val="TableBodyText"/>
              <w:rPr>
                <w:sz w:val="18"/>
                <w:szCs w:val="18"/>
              </w:rPr>
            </w:pPr>
            <w:r w:rsidRPr="00641283">
              <w:rPr>
                <w:sz w:val="18"/>
                <w:szCs w:val="18"/>
              </w:rPr>
              <w:t>&lt;0.1</w:t>
            </w:r>
          </w:p>
        </w:tc>
        <w:tc>
          <w:tcPr>
            <w:tcW w:w="507" w:type="pct"/>
            <w:vAlign w:val="bottom"/>
          </w:tcPr>
          <w:p w:rsidR="00AE5840" w:rsidRPr="00641283" w:rsidRDefault="00AE5840" w:rsidP="00AB38B4">
            <w:pPr>
              <w:pStyle w:val="TableBodyText"/>
              <w:rPr>
                <w:sz w:val="18"/>
                <w:szCs w:val="18"/>
              </w:rPr>
            </w:pPr>
            <w:r w:rsidRPr="00641283">
              <w:rPr>
                <w:sz w:val="18"/>
                <w:szCs w:val="18"/>
              </w:rPr>
              <w:noBreakHyphen/>
            </w:r>
          </w:p>
        </w:tc>
        <w:tc>
          <w:tcPr>
            <w:tcW w:w="507" w:type="pct"/>
            <w:vAlign w:val="bottom"/>
          </w:tcPr>
          <w:p w:rsidR="00AE5840" w:rsidRPr="00641283" w:rsidRDefault="00AE5840" w:rsidP="00AB38B4">
            <w:pPr>
              <w:pStyle w:val="TableBodyText"/>
              <w:rPr>
                <w:sz w:val="18"/>
                <w:szCs w:val="18"/>
              </w:rPr>
            </w:pPr>
            <w:r w:rsidRPr="00641283">
              <w:rPr>
                <w:sz w:val="18"/>
                <w:szCs w:val="18"/>
              </w:rPr>
              <w:noBreakHyphen/>
            </w:r>
          </w:p>
        </w:tc>
        <w:tc>
          <w:tcPr>
            <w:tcW w:w="507" w:type="pct"/>
            <w:shd w:val="clear" w:color="auto" w:fill="auto"/>
            <w:vAlign w:val="bottom"/>
          </w:tcPr>
          <w:p w:rsidR="00AE5840" w:rsidRPr="00641283" w:rsidRDefault="00AE5840" w:rsidP="00AB38B4">
            <w:pPr>
              <w:pStyle w:val="TableBodyText"/>
              <w:rPr>
                <w:sz w:val="18"/>
                <w:szCs w:val="18"/>
              </w:rPr>
            </w:pPr>
            <w:r w:rsidRPr="00641283">
              <w:rPr>
                <w:sz w:val="18"/>
                <w:szCs w:val="18"/>
              </w:rPr>
              <w:noBreakHyphen/>
            </w:r>
          </w:p>
        </w:tc>
        <w:tc>
          <w:tcPr>
            <w:tcW w:w="505" w:type="pct"/>
            <w:shd w:val="clear" w:color="auto" w:fill="auto"/>
            <w:vAlign w:val="bottom"/>
          </w:tcPr>
          <w:p w:rsidR="00AE5840" w:rsidRPr="00641283" w:rsidRDefault="00AE5840" w:rsidP="00AB38B4">
            <w:pPr>
              <w:pStyle w:val="TableBodyText"/>
              <w:rPr>
                <w:sz w:val="18"/>
                <w:szCs w:val="18"/>
              </w:rPr>
            </w:pPr>
            <w:r w:rsidRPr="00641283">
              <w:rPr>
                <w:sz w:val="18"/>
                <w:szCs w:val="18"/>
              </w:rPr>
              <w:noBreakHyphen/>
            </w:r>
          </w:p>
        </w:tc>
      </w:tr>
      <w:tr w:rsidR="00AE5840" w:rsidRPr="00AD51E1" w:rsidTr="00100535">
        <w:tc>
          <w:tcPr>
            <w:tcW w:w="1960" w:type="pct"/>
            <w:vAlign w:val="bottom"/>
          </w:tcPr>
          <w:p w:rsidR="00AE5840" w:rsidRPr="00D04898" w:rsidRDefault="00AE5840" w:rsidP="00AB38B4">
            <w:pPr>
              <w:pStyle w:val="TableBodyText"/>
              <w:jc w:val="left"/>
              <w:rPr>
                <w:sz w:val="18"/>
                <w:szCs w:val="18"/>
              </w:rPr>
            </w:pPr>
            <w:r>
              <w:rPr>
                <w:sz w:val="18"/>
                <w:szCs w:val="18"/>
              </w:rPr>
              <w:t>Accommodation and food services</w:t>
            </w:r>
          </w:p>
        </w:tc>
        <w:tc>
          <w:tcPr>
            <w:tcW w:w="507" w:type="pct"/>
            <w:vAlign w:val="bottom"/>
          </w:tcPr>
          <w:p w:rsidR="00AE5840" w:rsidRPr="00641283" w:rsidRDefault="00AE5840" w:rsidP="00100535">
            <w:pPr>
              <w:pStyle w:val="TableBodyText"/>
              <w:rPr>
                <w:sz w:val="18"/>
                <w:szCs w:val="18"/>
              </w:rPr>
            </w:pPr>
            <w:r w:rsidRPr="00641283">
              <w:rPr>
                <w:sz w:val="18"/>
                <w:szCs w:val="18"/>
              </w:rPr>
              <w:noBreakHyphen/>
            </w:r>
          </w:p>
        </w:tc>
        <w:tc>
          <w:tcPr>
            <w:tcW w:w="507" w:type="pct"/>
            <w:vAlign w:val="bottom"/>
          </w:tcPr>
          <w:p w:rsidR="00AE5840" w:rsidRPr="00641283" w:rsidRDefault="00AE5840" w:rsidP="00100535">
            <w:pPr>
              <w:pStyle w:val="TableBodyText"/>
              <w:rPr>
                <w:sz w:val="18"/>
                <w:szCs w:val="18"/>
              </w:rPr>
            </w:pPr>
            <w:r w:rsidRPr="00641283">
              <w:rPr>
                <w:sz w:val="18"/>
                <w:szCs w:val="18"/>
              </w:rPr>
              <w:t>0.2</w:t>
            </w:r>
          </w:p>
        </w:tc>
        <w:tc>
          <w:tcPr>
            <w:tcW w:w="507" w:type="pct"/>
            <w:vAlign w:val="bottom"/>
          </w:tcPr>
          <w:p w:rsidR="00AE5840" w:rsidRPr="00641283" w:rsidRDefault="00AE5840" w:rsidP="00AB38B4">
            <w:pPr>
              <w:pStyle w:val="TableBodyText"/>
              <w:rPr>
                <w:sz w:val="18"/>
                <w:szCs w:val="18"/>
              </w:rPr>
            </w:pPr>
            <w:r w:rsidRPr="00641283">
              <w:rPr>
                <w:sz w:val="18"/>
                <w:szCs w:val="18"/>
              </w:rPr>
              <w:noBreakHyphen/>
            </w:r>
          </w:p>
        </w:tc>
        <w:tc>
          <w:tcPr>
            <w:tcW w:w="507" w:type="pct"/>
            <w:vAlign w:val="bottom"/>
          </w:tcPr>
          <w:p w:rsidR="00AE5840" w:rsidRPr="00641283" w:rsidRDefault="00AE5840" w:rsidP="00AB38B4">
            <w:pPr>
              <w:pStyle w:val="TableBodyText"/>
              <w:rPr>
                <w:sz w:val="18"/>
                <w:szCs w:val="18"/>
              </w:rPr>
            </w:pPr>
            <w:r w:rsidRPr="00641283">
              <w:rPr>
                <w:sz w:val="18"/>
                <w:szCs w:val="18"/>
              </w:rPr>
              <w:noBreakHyphen/>
            </w:r>
          </w:p>
        </w:tc>
        <w:tc>
          <w:tcPr>
            <w:tcW w:w="507" w:type="pct"/>
            <w:shd w:val="clear" w:color="auto" w:fill="auto"/>
            <w:vAlign w:val="bottom"/>
          </w:tcPr>
          <w:p w:rsidR="00AE5840" w:rsidRPr="00641283" w:rsidRDefault="00AE5840" w:rsidP="00AB38B4">
            <w:pPr>
              <w:pStyle w:val="TableBodyText"/>
              <w:rPr>
                <w:sz w:val="18"/>
                <w:szCs w:val="18"/>
              </w:rPr>
            </w:pPr>
            <w:r w:rsidRPr="00641283">
              <w:rPr>
                <w:sz w:val="18"/>
                <w:szCs w:val="18"/>
              </w:rPr>
              <w:noBreakHyphen/>
            </w:r>
          </w:p>
        </w:tc>
        <w:tc>
          <w:tcPr>
            <w:tcW w:w="505" w:type="pct"/>
            <w:shd w:val="clear" w:color="auto" w:fill="auto"/>
            <w:vAlign w:val="bottom"/>
          </w:tcPr>
          <w:p w:rsidR="00AE5840" w:rsidRPr="00641283" w:rsidRDefault="00AE5840" w:rsidP="00AB38B4">
            <w:pPr>
              <w:pStyle w:val="TableBodyText"/>
              <w:rPr>
                <w:sz w:val="18"/>
                <w:szCs w:val="18"/>
              </w:rPr>
            </w:pPr>
            <w:r w:rsidRPr="00641283">
              <w:rPr>
                <w:sz w:val="18"/>
                <w:szCs w:val="18"/>
              </w:rPr>
              <w:noBreakHyphen/>
            </w:r>
          </w:p>
        </w:tc>
      </w:tr>
      <w:tr w:rsidR="00AE5840" w:rsidRPr="00AD51E1" w:rsidTr="00100535">
        <w:tc>
          <w:tcPr>
            <w:tcW w:w="1960" w:type="pct"/>
            <w:vAlign w:val="bottom"/>
          </w:tcPr>
          <w:p w:rsidR="00AE5840" w:rsidRPr="00D04898" w:rsidRDefault="00AE5840" w:rsidP="00AB38B4">
            <w:pPr>
              <w:pStyle w:val="TableBodyText"/>
              <w:jc w:val="left"/>
              <w:rPr>
                <w:sz w:val="18"/>
                <w:szCs w:val="18"/>
              </w:rPr>
            </w:pPr>
            <w:r w:rsidRPr="00D04898">
              <w:rPr>
                <w:sz w:val="18"/>
                <w:szCs w:val="18"/>
              </w:rPr>
              <w:t>Transport, postal and warehousing</w:t>
            </w:r>
          </w:p>
        </w:tc>
        <w:tc>
          <w:tcPr>
            <w:tcW w:w="507" w:type="pct"/>
            <w:vAlign w:val="bottom"/>
          </w:tcPr>
          <w:p w:rsidR="00AE5840" w:rsidRPr="00641283" w:rsidRDefault="00AE5840" w:rsidP="00100535">
            <w:pPr>
              <w:pStyle w:val="TableBodyText"/>
              <w:rPr>
                <w:sz w:val="18"/>
                <w:szCs w:val="18"/>
              </w:rPr>
            </w:pPr>
            <w:r w:rsidRPr="00641283">
              <w:rPr>
                <w:sz w:val="18"/>
                <w:szCs w:val="18"/>
              </w:rPr>
              <w:noBreakHyphen/>
            </w:r>
          </w:p>
        </w:tc>
        <w:tc>
          <w:tcPr>
            <w:tcW w:w="507" w:type="pct"/>
            <w:vAlign w:val="bottom"/>
          </w:tcPr>
          <w:p w:rsidR="00AE5840" w:rsidRPr="00641283" w:rsidRDefault="00AE5840" w:rsidP="00100535">
            <w:pPr>
              <w:pStyle w:val="TableBodyText"/>
              <w:rPr>
                <w:sz w:val="18"/>
                <w:szCs w:val="18"/>
              </w:rPr>
            </w:pPr>
            <w:r w:rsidRPr="00641283">
              <w:rPr>
                <w:sz w:val="18"/>
                <w:szCs w:val="18"/>
              </w:rPr>
              <w:t>&lt;0.1</w:t>
            </w:r>
          </w:p>
        </w:tc>
        <w:tc>
          <w:tcPr>
            <w:tcW w:w="507" w:type="pct"/>
            <w:vAlign w:val="bottom"/>
          </w:tcPr>
          <w:p w:rsidR="00AE5840" w:rsidRPr="00641283" w:rsidRDefault="00AE5840" w:rsidP="00AB38B4">
            <w:pPr>
              <w:pStyle w:val="TableBodyText"/>
              <w:rPr>
                <w:sz w:val="18"/>
                <w:szCs w:val="18"/>
              </w:rPr>
            </w:pPr>
            <w:r w:rsidRPr="00641283">
              <w:rPr>
                <w:sz w:val="18"/>
                <w:szCs w:val="18"/>
              </w:rPr>
              <w:noBreakHyphen/>
            </w:r>
          </w:p>
        </w:tc>
        <w:tc>
          <w:tcPr>
            <w:tcW w:w="507" w:type="pct"/>
            <w:vAlign w:val="bottom"/>
          </w:tcPr>
          <w:p w:rsidR="00AE5840" w:rsidRPr="00641283" w:rsidRDefault="00AE5840" w:rsidP="00AB38B4">
            <w:pPr>
              <w:pStyle w:val="TableBodyText"/>
              <w:rPr>
                <w:sz w:val="18"/>
                <w:szCs w:val="18"/>
              </w:rPr>
            </w:pPr>
            <w:r w:rsidRPr="00641283">
              <w:rPr>
                <w:sz w:val="18"/>
                <w:szCs w:val="18"/>
              </w:rPr>
              <w:noBreakHyphen/>
            </w:r>
          </w:p>
        </w:tc>
        <w:tc>
          <w:tcPr>
            <w:tcW w:w="507" w:type="pct"/>
            <w:shd w:val="clear" w:color="auto" w:fill="auto"/>
            <w:vAlign w:val="bottom"/>
          </w:tcPr>
          <w:p w:rsidR="00AE5840" w:rsidRPr="00641283" w:rsidRDefault="00AE5840" w:rsidP="00AB38B4">
            <w:pPr>
              <w:pStyle w:val="TableBodyText"/>
              <w:rPr>
                <w:sz w:val="18"/>
                <w:szCs w:val="18"/>
              </w:rPr>
            </w:pPr>
            <w:r w:rsidRPr="00641283">
              <w:rPr>
                <w:sz w:val="18"/>
                <w:szCs w:val="18"/>
              </w:rPr>
              <w:noBreakHyphen/>
            </w:r>
          </w:p>
        </w:tc>
        <w:tc>
          <w:tcPr>
            <w:tcW w:w="505" w:type="pct"/>
            <w:shd w:val="clear" w:color="auto" w:fill="auto"/>
            <w:vAlign w:val="bottom"/>
          </w:tcPr>
          <w:p w:rsidR="00AE5840" w:rsidRPr="00641283" w:rsidRDefault="00AE5840" w:rsidP="00AB38B4">
            <w:pPr>
              <w:pStyle w:val="TableBodyText"/>
              <w:rPr>
                <w:sz w:val="18"/>
                <w:szCs w:val="18"/>
              </w:rPr>
            </w:pPr>
            <w:r w:rsidRPr="00641283">
              <w:rPr>
                <w:sz w:val="18"/>
                <w:szCs w:val="18"/>
              </w:rPr>
              <w:noBreakHyphen/>
            </w:r>
          </w:p>
        </w:tc>
      </w:tr>
      <w:tr w:rsidR="00AE5840" w:rsidRPr="00AD51E1" w:rsidTr="00100535">
        <w:tc>
          <w:tcPr>
            <w:tcW w:w="1960" w:type="pct"/>
            <w:vAlign w:val="bottom"/>
          </w:tcPr>
          <w:p w:rsidR="00AE5840" w:rsidRPr="00D04898" w:rsidRDefault="00AE5840" w:rsidP="00AB38B4">
            <w:pPr>
              <w:pStyle w:val="TableBodyText"/>
              <w:jc w:val="left"/>
              <w:rPr>
                <w:sz w:val="18"/>
                <w:szCs w:val="18"/>
              </w:rPr>
            </w:pPr>
            <w:r w:rsidRPr="00D04898">
              <w:rPr>
                <w:sz w:val="18"/>
                <w:szCs w:val="18"/>
              </w:rPr>
              <w:t>Property, professional and administrative services</w:t>
            </w:r>
          </w:p>
        </w:tc>
        <w:tc>
          <w:tcPr>
            <w:tcW w:w="507" w:type="pct"/>
            <w:vAlign w:val="bottom"/>
          </w:tcPr>
          <w:p w:rsidR="00AE5840" w:rsidRPr="00641283" w:rsidRDefault="00AE5840" w:rsidP="00100535">
            <w:pPr>
              <w:pStyle w:val="TableBodyText"/>
              <w:rPr>
                <w:sz w:val="18"/>
                <w:szCs w:val="18"/>
              </w:rPr>
            </w:pPr>
            <w:r w:rsidRPr="00641283">
              <w:rPr>
                <w:sz w:val="18"/>
                <w:szCs w:val="18"/>
              </w:rPr>
              <w:noBreakHyphen/>
            </w:r>
          </w:p>
        </w:tc>
        <w:tc>
          <w:tcPr>
            <w:tcW w:w="507" w:type="pct"/>
            <w:vAlign w:val="bottom"/>
          </w:tcPr>
          <w:p w:rsidR="00AE5840" w:rsidRPr="00641283" w:rsidRDefault="00AE5840" w:rsidP="00100535">
            <w:pPr>
              <w:pStyle w:val="TableBodyText"/>
              <w:rPr>
                <w:sz w:val="18"/>
                <w:szCs w:val="18"/>
              </w:rPr>
            </w:pPr>
            <w:r w:rsidRPr="00641283">
              <w:rPr>
                <w:sz w:val="18"/>
                <w:szCs w:val="18"/>
              </w:rPr>
              <w:t>1.3</w:t>
            </w:r>
          </w:p>
        </w:tc>
        <w:tc>
          <w:tcPr>
            <w:tcW w:w="507" w:type="pct"/>
            <w:vAlign w:val="bottom"/>
          </w:tcPr>
          <w:p w:rsidR="00AE5840" w:rsidRPr="00641283" w:rsidRDefault="00AE5840" w:rsidP="00AB38B4">
            <w:pPr>
              <w:pStyle w:val="TableBodyText"/>
              <w:rPr>
                <w:sz w:val="18"/>
                <w:szCs w:val="18"/>
              </w:rPr>
            </w:pPr>
            <w:r w:rsidRPr="00641283">
              <w:rPr>
                <w:sz w:val="18"/>
                <w:szCs w:val="18"/>
              </w:rPr>
              <w:noBreakHyphen/>
            </w:r>
          </w:p>
        </w:tc>
        <w:tc>
          <w:tcPr>
            <w:tcW w:w="507" w:type="pct"/>
            <w:vAlign w:val="bottom"/>
          </w:tcPr>
          <w:p w:rsidR="00AE5840" w:rsidRPr="00641283" w:rsidRDefault="00AE5840" w:rsidP="00AB38B4">
            <w:pPr>
              <w:pStyle w:val="TableBodyText"/>
              <w:rPr>
                <w:sz w:val="18"/>
                <w:szCs w:val="18"/>
              </w:rPr>
            </w:pPr>
            <w:r w:rsidRPr="00641283">
              <w:rPr>
                <w:sz w:val="18"/>
                <w:szCs w:val="18"/>
              </w:rPr>
              <w:noBreakHyphen/>
            </w:r>
          </w:p>
        </w:tc>
        <w:tc>
          <w:tcPr>
            <w:tcW w:w="507" w:type="pct"/>
            <w:shd w:val="clear" w:color="auto" w:fill="auto"/>
            <w:vAlign w:val="bottom"/>
          </w:tcPr>
          <w:p w:rsidR="00AE5840" w:rsidRPr="00641283" w:rsidRDefault="00AE5840" w:rsidP="00AB38B4">
            <w:pPr>
              <w:pStyle w:val="TableBodyText"/>
              <w:rPr>
                <w:sz w:val="18"/>
                <w:szCs w:val="18"/>
              </w:rPr>
            </w:pPr>
            <w:r w:rsidRPr="00641283">
              <w:rPr>
                <w:sz w:val="18"/>
                <w:szCs w:val="18"/>
              </w:rPr>
              <w:noBreakHyphen/>
            </w:r>
          </w:p>
        </w:tc>
        <w:tc>
          <w:tcPr>
            <w:tcW w:w="505" w:type="pct"/>
            <w:shd w:val="clear" w:color="auto" w:fill="auto"/>
            <w:vAlign w:val="bottom"/>
          </w:tcPr>
          <w:p w:rsidR="00AE5840" w:rsidRPr="00641283" w:rsidRDefault="00AE5840" w:rsidP="00AB38B4">
            <w:pPr>
              <w:pStyle w:val="TableBodyText"/>
              <w:rPr>
                <w:sz w:val="18"/>
                <w:szCs w:val="18"/>
              </w:rPr>
            </w:pPr>
            <w:r w:rsidRPr="00641283">
              <w:rPr>
                <w:sz w:val="18"/>
                <w:szCs w:val="18"/>
              </w:rPr>
              <w:noBreakHyphen/>
            </w:r>
          </w:p>
        </w:tc>
      </w:tr>
      <w:tr w:rsidR="00AE5840" w:rsidRPr="00AD51E1" w:rsidTr="00100535">
        <w:tc>
          <w:tcPr>
            <w:tcW w:w="1960" w:type="pct"/>
            <w:vAlign w:val="bottom"/>
          </w:tcPr>
          <w:p w:rsidR="00AE5840" w:rsidRPr="00D04898" w:rsidRDefault="00AE5840" w:rsidP="00AB38B4">
            <w:pPr>
              <w:pStyle w:val="TableBodyText"/>
              <w:jc w:val="left"/>
              <w:rPr>
                <w:sz w:val="18"/>
                <w:szCs w:val="18"/>
              </w:rPr>
            </w:pPr>
            <w:r>
              <w:rPr>
                <w:sz w:val="18"/>
                <w:szCs w:val="18"/>
              </w:rPr>
              <w:t>Public administration and safety</w:t>
            </w:r>
          </w:p>
        </w:tc>
        <w:tc>
          <w:tcPr>
            <w:tcW w:w="507" w:type="pct"/>
            <w:vAlign w:val="bottom"/>
          </w:tcPr>
          <w:p w:rsidR="00AE5840" w:rsidRPr="00641283" w:rsidRDefault="00AE5840" w:rsidP="00100535">
            <w:pPr>
              <w:pStyle w:val="TableBodyText"/>
              <w:rPr>
                <w:sz w:val="18"/>
                <w:szCs w:val="18"/>
              </w:rPr>
            </w:pPr>
            <w:r w:rsidRPr="00641283">
              <w:rPr>
                <w:sz w:val="18"/>
                <w:szCs w:val="18"/>
              </w:rPr>
              <w:noBreakHyphen/>
            </w:r>
          </w:p>
        </w:tc>
        <w:tc>
          <w:tcPr>
            <w:tcW w:w="507" w:type="pct"/>
            <w:vAlign w:val="bottom"/>
          </w:tcPr>
          <w:p w:rsidR="00AE5840" w:rsidRPr="00641283" w:rsidRDefault="00AE5840" w:rsidP="00100535">
            <w:pPr>
              <w:pStyle w:val="TableBodyText"/>
              <w:rPr>
                <w:sz w:val="18"/>
                <w:szCs w:val="18"/>
              </w:rPr>
            </w:pPr>
            <w:r w:rsidRPr="00641283">
              <w:rPr>
                <w:sz w:val="18"/>
                <w:szCs w:val="18"/>
              </w:rPr>
              <w:t>&lt;0.1</w:t>
            </w:r>
          </w:p>
        </w:tc>
        <w:tc>
          <w:tcPr>
            <w:tcW w:w="507" w:type="pct"/>
            <w:vAlign w:val="bottom"/>
          </w:tcPr>
          <w:p w:rsidR="00AE5840" w:rsidRPr="00641283" w:rsidRDefault="00AE5840" w:rsidP="00AB38B4">
            <w:pPr>
              <w:pStyle w:val="TableBodyText"/>
              <w:rPr>
                <w:sz w:val="18"/>
                <w:szCs w:val="18"/>
              </w:rPr>
            </w:pPr>
            <w:r w:rsidRPr="00641283">
              <w:rPr>
                <w:sz w:val="18"/>
                <w:szCs w:val="18"/>
              </w:rPr>
              <w:noBreakHyphen/>
            </w:r>
          </w:p>
        </w:tc>
        <w:tc>
          <w:tcPr>
            <w:tcW w:w="507" w:type="pct"/>
            <w:vAlign w:val="bottom"/>
          </w:tcPr>
          <w:p w:rsidR="00AE5840" w:rsidRPr="00641283" w:rsidRDefault="00AE5840" w:rsidP="00AB38B4">
            <w:pPr>
              <w:pStyle w:val="TableBodyText"/>
              <w:rPr>
                <w:sz w:val="18"/>
                <w:szCs w:val="18"/>
              </w:rPr>
            </w:pPr>
            <w:r w:rsidRPr="00641283">
              <w:rPr>
                <w:sz w:val="18"/>
                <w:szCs w:val="18"/>
              </w:rPr>
              <w:noBreakHyphen/>
            </w:r>
          </w:p>
        </w:tc>
        <w:tc>
          <w:tcPr>
            <w:tcW w:w="507" w:type="pct"/>
            <w:shd w:val="clear" w:color="auto" w:fill="auto"/>
            <w:vAlign w:val="bottom"/>
          </w:tcPr>
          <w:p w:rsidR="00AE5840" w:rsidRPr="00641283" w:rsidRDefault="00AE5840" w:rsidP="00AB38B4">
            <w:pPr>
              <w:pStyle w:val="TableBodyText"/>
              <w:rPr>
                <w:sz w:val="18"/>
                <w:szCs w:val="18"/>
              </w:rPr>
            </w:pPr>
            <w:r w:rsidRPr="00641283">
              <w:rPr>
                <w:sz w:val="18"/>
                <w:szCs w:val="18"/>
              </w:rPr>
              <w:noBreakHyphen/>
            </w:r>
          </w:p>
        </w:tc>
        <w:tc>
          <w:tcPr>
            <w:tcW w:w="505" w:type="pct"/>
            <w:shd w:val="clear" w:color="auto" w:fill="auto"/>
            <w:vAlign w:val="bottom"/>
          </w:tcPr>
          <w:p w:rsidR="00AE5840" w:rsidRPr="00641283" w:rsidRDefault="00AE5840" w:rsidP="00AB38B4">
            <w:pPr>
              <w:pStyle w:val="TableBodyText"/>
              <w:rPr>
                <w:sz w:val="18"/>
                <w:szCs w:val="18"/>
              </w:rPr>
            </w:pPr>
            <w:r w:rsidRPr="00641283">
              <w:rPr>
                <w:sz w:val="18"/>
                <w:szCs w:val="18"/>
              </w:rPr>
              <w:noBreakHyphen/>
            </w:r>
          </w:p>
        </w:tc>
      </w:tr>
      <w:tr w:rsidR="00AE5840" w:rsidRPr="00AD51E1" w:rsidTr="00100535">
        <w:tc>
          <w:tcPr>
            <w:tcW w:w="1960" w:type="pct"/>
            <w:vAlign w:val="bottom"/>
          </w:tcPr>
          <w:p w:rsidR="00AE5840" w:rsidRPr="00D04898" w:rsidRDefault="00AE5840" w:rsidP="00AB38B4">
            <w:pPr>
              <w:pStyle w:val="TableBodyText"/>
              <w:jc w:val="left"/>
              <w:rPr>
                <w:sz w:val="18"/>
                <w:szCs w:val="18"/>
              </w:rPr>
            </w:pPr>
            <w:r>
              <w:rPr>
                <w:sz w:val="18"/>
                <w:szCs w:val="18"/>
              </w:rPr>
              <w:t>Education and training</w:t>
            </w:r>
          </w:p>
        </w:tc>
        <w:tc>
          <w:tcPr>
            <w:tcW w:w="507" w:type="pct"/>
            <w:vAlign w:val="bottom"/>
          </w:tcPr>
          <w:p w:rsidR="00AE5840" w:rsidRPr="00641283" w:rsidRDefault="00AE5840" w:rsidP="00100535">
            <w:pPr>
              <w:pStyle w:val="TableBodyText"/>
              <w:rPr>
                <w:sz w:val="18"/>
                <w:szCs w:val="18"/>
              </w:rPr>
            </w:pPr>
            <w:r w:rsidRPr="00641283">
              <w:rPr>
                <w:sz w:val="18"/>
                <w:szCs w:val="18"/>
              </w:rPr>
              <w:noBreakHyphen/>
            </w:r>
          </w:p>
        </w:tc>
        <w:tc>
          <w:tcPr>
            <w:tcW w:w="507" w:type="pct"/>
            <w:vAlign w:val="bottom"/>
          </w:tcPr>
          <w:p w:rsidR="00AE5840" w:rsidRPr="00641283" w:rsidRDefault="00AE5840" w:rsidP="00100535">
            <w:pPr>
              <w:pStyle w:val="TableBodyText"/>
              <w:rPr>
                <w:sz w:val="18"/>
                <w:szCs w:val="18"/>
              </w:rPr>
            </w:pPr>
            <w:r w:rsidRPr="00641283">
              <w:rPr>
                <w:sz w:val="18"/>
                <w:szCs w:val="18"/>
              </w:rPr>
              <w:t>&lt;0.1</w:t>
            </w:r>
          </w:p>
        </w:tc>
        <w:tc>
          <w:tcPr>
            <w:tcW w:w="507" w:type="pct"/>
            <w:vAlign w:val="bottom"/>
          </w:tcPr>
          <w:p w:rsidR="00AE5840" w:rsidRPr="00641283" w:rsidRDefault="00AE5840" w:rsidP="00AB38B4">
            <w:pPr>
              <w:pStyle w:val="TableBodyText"/>
              <w:rPr>
                <w:sz w:val="18"/>
                <w:szCs w:val="18"/>
              </w:rPr>
            </w:pPr>
            <w:r w:rsidRPr="00641283">
              <w:rPr>
                <w:sz w:val="18"/>
                <w:szCs w:val="18"/>
              </w:rPr>
              <w:noBreakHyphen/>
            </w:r>
          </w:p>
        </w:tc>
        <w:tc>
          <w:tcPr>
            <w:tcW w:w="507" w:type="pct"/>
            <w:vAlign w:val="bottom"/>
          </w:tcPr>
          <w:p w:rsidR="00AE5840" w:rsidRPr="00641283" w:rsidRDefault="00AE5840" w:rsidP="00AB38B4">
            <w:pPr>
              <w:pStyle w:val="TableBodyText"/>
              <w:rPr>
                <w:sz w:val="18"/>
                <w:szCs w:val="18"/>
              </w:rPr>
            </w:pPr>
            <w:r w:rsidRPr="00641283">
              <w:rPr>
                <w:sz w:val="18"/>
                <w:szCs w:val="18"/>
              </w:rPr>
              <w:noBreakHyphen/>
            </w:r>
          </w:p>
        </w:tc>
        <w:tc>
          <w:tcPr>
            <w:tcW w:w="507" w:type="pct"/>
            <w:shd w:val="clear" w:color="auto" w:fill="auto"/>
            <w:vAlign w:val="bottom"/>
          </w:tcPr>
          <w:p w:rsidR="00AE5840" w:rsidRPr="00641283" w:rsidRDefault="00AE5840" w:rsidP="00AB38B4">
            <w:pPr>
              <w:pStyle w:val="TableBodyText"/>
              <w:rPr>
                <w:sz w:val="18"/>
                <w:szCs w:val="18"/>
              </w:rPr>
            </w:pPr>
            <w:r w:rsidRPr="00641283">
              <w:rPr>
                <w:sz w:val="18"/>
                <w:szCs w:val="18"/>
              </w:rPr>
              <w:noBreakHyphen/>
            </w:r>
          </w:p>
        </w:tc>
        <w:tc>
          <w:tcPr>
            <w:tcW w:w="505" w:type="pct"/>
            <w:shd w:val="clear" w:color="auto" w:fill="auto"/>
            <w:vAlign w:val="bottom"/>
          </w:tcPr>
          <w:p w:rsidR="00AE5840" w:rsidRPr="00641283" w:rsidRDefault="00AE5840" w:rsidP="00AB38B4">
            <w:pPr>
              <w:pStyle w:val="TableBodyText"/>
              <w:rPr>
                <w:sz w:val="18"/>
                <w:szCs w:val="18"/>
              </w:rPr>
            </w:pPr>
            <w:r w:rsidRPr="00641283">
              <w:rPr>
                <w:sz w:val="18"/>
                <w:szCs w:val="18"/>
              </w:rPr>
              <w:noBreakHyphen/>
            </w:r>
          </w:p>
        </w:tc>
      </w:tr>
      <w:tr w:rsidR="00AE5840" w:rsidRPr="00AD51E1" w:rsidTr="00100535">
        <w:tc>
          <w:tcPr>
            <w:tcW w:w="1960" w:type="pct"/>
            <w:vAlign w:val="bottom"/>
          </w:tcPr>
          <w:p w:rsidR="00AE5840" w:rsidRPr="00D04898" w:rsidRDefault="00AE5840" w:rsidP="00AB38B4">
            <w:pPr>
              <w:pStyle w:val="TableBodyText"/>
              <w:jc w:val="left"/>
              <w:rPr>
                <w:sz w:val="18"/>
                <w:szCs w:val="18"/>
              </w:rPr>
            </w:pPr>
            <w:r>
              <w:rPr>
                <w:sz w:val="18"/>
                <w:szCs w:val="18"/>
              </w:rPr>
              <w:t>Health care and social assistance</w:t>
            </w:r>
          </w:p>
        </w:tc>
        <w:tc>
          <w:tcPr>
            <w:tcW w:w="507" w:type="pct"/>
            <w:vAlign w:val="bottom"/>
          </w:tcPr>
          <w:p w:rsidR="00AE5840" w:rsidRPr="00641283" w:rsidRDefault="00AE5840" w:rsidP="00100535">
            <w:pPr>
              <w:pStyle w:val="TableBodyText"/>
              <w:rPr>
                <w:sz w:val="18"/>
                <w:szCs w:val="18"/>
              </w:rPr>
            </w:pPr>
            <w:r w:rsidRPr="00641283">
              <w:rPr>
                <w:sz w:val="18"/>
                <w:szCs w:val="18"/>
              </w:rPr>
              <w:noBreakHyphen/>
            </w:r>
          </w:p>
        </w:tc>
        <w:tc>
          <w:tcPr>
            <w:tcW w:w="507" w:type="pct"/>
            <w:vAlign w:val="bottom"/>
          </w:tcPr>
          <w:p w:rsidR="00AE5840" w:rsidRPr="00641283" w:rsidRDefault="00AE5840" w:rsidP="00100535">
            <w:pPr>
              <w:pStyle w:val="TableBodyText"/>
              <w:rPr>
                <w:sz w:val="18"/>
                <w:szCs w:val="18"/>
              </w:rPr>
            </w:pPr>
            <w:r w:rsidRPr="00641283">
              <w:rPr>
                <w:sz w:val="18"/>
                <w:szCs w:val="18"/>
              </w:rPr>
              <w:t>&lt;0.1</w:t>
            </w:r>
          </w:p>
        </w:tc>
        <w:tc>
          <w:tcPr>
            <w:tcW w:w="507" w:type="pct"/>
            <w:vAlign w:val="bottom"/>
          </w:tcPr>
          <w:p w:rsidR="00AE5840" w:rsidRPr="00641283" w:rsidRDefault="00AE5840" w:rsidP="00AB38B4">
            <w:pPr>
              <w:pStyle w:val="TableBodyText"/>
              <w:rPr>
                <w:sz w:val="18"/>
                <w:szCs w:val="18"/>
              </w:rPr>
            </w:pPr>
            <w:r w:rsidRPr="00641283">
              <w:rPr>
                <w:sz w:val="18"/>
                <w:szCs w:val="18"/>
              </w:rPr>
              <w:noBreakHyphen/>
            </w:r>
          </w:p>
        </w:tc>
        <w:tc>
          <w:tcPr>
            <w:tcW w:w="507" w:type="pct"/>
            <w:vAlign w:val="bottom"/>
          </w:tcPr>
          <w:p w:rsidR="00AE5840" w:rsidRPr="00641283" w:rsidRDefault="00AE5840" w:rsidP="00AB38B4">
            <w:pPr>
              <w:pStyle w:val="TableBodyText"/>
              <w:rPr>
                <w:sz w:val="18"/>
                <w:szCs w:val="18"/>
              </w:rPr>
            </w:pPr>
            <w:r w:rsidRPr="00641283">
              <w:rPr>
                <w:sz w:val="18"/>
                <w:szCs w:val="18"/>
              </w:rPr>
              <w:noBreakHyphen/>
            </w:r>
          </w:p>
        </w:tc>
        <w:tc>
          <w:tcPr>
            <w:tcW w:w="507" w:type="pct"/>
            <w:shd w:val="clear" w:color="auto" w:fill="auto"/>
            <w:vAlign w:val="bottom"/>
          </w:tcPr>
          <w:p w:rsidR="00AE5840" w:rsidRPr="00641283" w:rsidRDefault="00AE5840" w:rsidP="00AB38B4">
            <w:pPr>
              <w:pStyle w:val="TableBodyText"/>
              <w:rPr>
                <w:sz w:val="18"/>
                <w:szCs w:val="18"/>
              </w:rPr>
            </w:pPr>
            <w:r w:rsidRPr="00641283">
              <w:rPr>
                <w:sz w:val="18"/>
                <w:szCs w:val="18"/>
              </w:rPr>
              <w:noBreakHyphen/>
            </w:r>
          </w:p>
        </w:tc>
        <w:tc>
          <w:tcPr>
            <w:tcW w:w="505" w:type="pct"/>
            <w:shd w:val="clear" w:color="auto" w:fill="auto"/>
            <w:vAlign w:val="bottom"/>
          </w:tcPr>
          <w:p w:rsidR="00AE5840" w:rsidRPr="00641283" w:rsidRDefault="00AE5840" w:rsidP="00AB38B4">
            <w:pPr>
              <w:pStyle w:val="TableBodyText"/>
              <w:rPr>
                <w:sz w:val="18"/>
                <w:szCs w:val="18"/>
              </w:rPr>
            </w:pPr>
            <w:r w:rsidRPr="00641283">
              <w:rPr>
                <w:sz w:val="18"/>
                <w:szCs w:val="18"/>
              </w:rPr>
              <w:noBreakHyphen/>
            </w:r>
          </w:p>
        </w:tc>
      </w:tr>
      <w:tr w:rsidR="00AE5840" w:rsidRPr="00AD51E1" w:rsidTr="00100535">
        <w:tc>
          <w:tcPr>
            <w:tcW w:w="1960" w:type="pct"/>
            <w:vAlign w:val="bottom"/>
          </w:tcPr>
          <w:p w:rsidR="00AE5840" w:rsidRPr="00D04898" w:rsidRDefault="00AE5840" w:rsidP="00AB38B4">
            <w:pPr>
              <w:pStyle w:val="TableBodyText"/>
              <w:jc w:val="left"/>
              <w:rPr>
                <w:sz w:val="18"/>
                <w:szCs w:val="18"/>
              </w:rPr>
            </w:pPr>
            <w:r>
              <w:rPr>
                <w:sz w:val="18"/>
                <w:szCs w:val="18"/>
              </w:rPr>
              <w:t>Arts and recreation services</w:t>
            </w:r>
          </w:p>
        </w:tc>
        <w:tc>
          <w:tcPr>
            <w:tcW w:w="507" w:type="pct"/>
            <w:vAlign w:val="bottom"/>
          </w:tcPr>
          <w:p w:rsidR="00AE5840" w:rsidRPr="00641283" w:rsidRDefault="00AE5840" w:rsidP="00100535">
            <w:pPr>
              <w:pStyle w:val="TableBodyText"/>
              <w:rPr>
                <w:sz w:val="18"/>
                <w:szCs w:val="18"/>
              </w:rPr>
            </w:pPr>
            <w:r w:rsidRPr="00641283">
              <w:rPr>
                <w:sz w:val="18"/>
                <w:szCs w:val="18"/>
              </w:rPr>
              <w:noBreakHyphen/>
            </w:r>
          </w:p>
        </w:tc>
        <w:tc>
          <w:tcPr>
            <w:tcW w:w="507" w:type="pct"/>
            <w:vAlign w:val="bottom"/>
          </w:tcPr>
          <w:p w:rsidR="00AE5840" w:rsidRPr="00641283" w:rsidRDefault="00AE5840" w:rsidP="00100535">
            <w:pPr>
              <w:pStyle w:val="TableBodyText"/>
              <w:rPr>
                <w:sz w:val="18"/>
                <w:szCs w:val="18"/>
              </w:rPr>
            </w:pPr>
            <w:r w:rsidRPr="00641283">
              <w:rPr>
                <w:sz w:val="18"/>
                <w:szCs w:val="18"/>
              </w:rPr>
              <w:t>0.9</w:t>
            </w:r>
          </w:p>
        </w:tc>
        <w:tc>
          <w:tcPr>
            <w:tcW w:w="507" w:type="pct"/>
            <w:vAlign w:val="bottom"/>
          </w:tcPr>
          <w:p w:rsidR="00AE5840" w:rsidRPr="00641283" w:rsidRDefault="00AE5840" w:rsidP="00AB38B4">
            <w:pPr>
              <w:pStyle w:val="TableBodyText"/>
              <w:rPr>
                <w:sz w:val="18"/>
                <w:szCs w:val="18"/>
              </w:rPr>
            </w:pPr>
            <w:r w:rsidRPr="00641283">
              <w:rPr>
                <w:sz w:val="18"/>
                <w:szCs w:val="18"/>
              </w:rPr>
              <w:noBreakHyphen/>
            </w:r>
          </w:p>
        </w:tc>
        <w:tc>
          <w:tcPr>
            <w:tcW w:w="507" w:type="pct"/>
            <w:vAlign w:val="bottom"/>
          </w:tcPr>
          <w:p w:rsidR="00AE5840" w:rsidRPr="00641283" w:rsidRDefault="00AE5840" w:rsidP="00AB38B4">
            <w:pPr>
              <w:pStyle w:val="TableBodyText"/>
              <w:rPr>
                <w:sz w:val="18"/>
                <w:szCs w:val="18"/>
              </w:rPr>
            </w:pPr>
            <w:r w:rsidRPr="00641283">
              <w:rPr>
                <w:sz w:val="18"/>
                <w:szCs w:val="18"/>
              </w:rPr>
              <w:noBreakHyphen/>
            </w:r>
          </w:p>
        </w:tc>
        <w:tc>
          <w:tcPr>
            <w:tcW w:w="507" w:type="pct"/>
            <w:shd w:val="clear" w:color="auto" w:fill="auto"/>
            <w:vAlign w:val="bottom"/>
          </w:tcPr>
          <w:p w:rsidR="00AE5840" w:rsidRPr="00641283" w:rsidRDefault="00AE5840" w:rsidP="00AB38B4">
            <w:pPr>
              <w:pStyle w:val="TableBodyText"/>
              <w:rPr>
                <w:sz w:val="18"/>
                <w:szCs w:val="18"/>
              </w:rPr>
            </w:pPr>
            <w:r w:rsidRPr="00641283">
              <w:rPr>
                <w:sz w:val="18"/>
                <w:szCs w:val="18"/>
              </w:rPr>
              <w:noBreakHyphen/>
            </w:r>
          </w:p>
        </w:tc>
        <w:tc>
          <w:tcPr>
            <w:tcW w:w="505" w:type="pct"/>
            <w:shd w:val="clear" w:color="auto" w:fill="auto"/>
            <w:vAlign w:val="bottom"/>
          </w:tcPr>
          <w:p w:rsidR="00AE5840" w:rsidRPr="00641283" w:rsidRDefault="00AE5840" w:rsidP="00AB38B4">
            <w:pPr>
              <w:pStyle w:val="TableBodyText"/>
              <w:rPr>
                <w:sz w:val="18"/>
                <w:szCs w:val="18"/>
              </w:rPr>
            </w:pPr>
            <w:r w:rsidRPr="00641283">
              <w:rPr>
                <w:sz w:val="18"/>
                <w:szCs w:val="18"/>
              </w:rPr>
              <w:noBreakHyphen/>
            </w:r>
          </w:p>
        </w:tc>
      </w:tr>
      <w:tr w:rsidR="00AE5840" w:rsidRPr="00AD51E1" w:rsidTr="00100535">
        <w:tc>
          <w:tcPr>
            <w:tcW w:w="1960" w:type="pct"/>
            <w:vAlign w:val="bottom"/>
          </w:tcPr>
          <w:p w:rsidR="00AE5840" w:rsidRPr="00D04898" w:rsidRDefault="00AE5840" w:rsidP="00AB38B4">
            <w:pPr>
              <w:pStyle w:val="TableBodyText"/>
              <w:jc w:val="left"/>
              <w:rPr>
                <w:sz w:val="18"/>
                <w:szCs w:val="18"/>
              </w:rPr>
            </w:pPr>
            <w:r w:rsidRPr="00D04898">
              <w:rPr>
                <w:sz w:val="18"/>
                <w:szCs w:val="18"/>
              </w:rPr>
              <w:t>Other services</w:t>
            </w:r>
          </w:p>
        </w:tc>
        <w:tc>
          <w:tcPr>
            <w:tcW w:w="507" w:type="pct"/>
            <w:vAlign w:val="bottom"/>
          </w:tcPr>
          <w:p w:rsidR="00AE5840" w:rsidRPr="00641283" w:rsidRDefault="00AE5840" w:rsidP="00100535">
            <w:pPr>
              <w:pStyle w:val="TableBodyText"/>
              <w:rPr>
                <w:sz w:val="18"/>
                <w:szCs w:val="18"/>
              </w:rPr>
            </w:pPr>
            <w:r w:rsidRPr="00641283">
              <w:rPr>
                <w:sz w:val="18"/>
                <w:szCs w:val="18"/>
              </w:rPr>
              <w:noBreakHyphen/>
            </w:r>
          </w:p>
        </w:tc>
        <w:tc>
          <w:tcPr>
            <w:tcW w:w="507" w:type="pct"/>
            <w:vAlign w:val="bottom"/>
          </w:tcPr>
          <w:p w:rsidR="00AE5840" w:rsidRPr="00641283" w:rsidRDefault="00AE5840" w:rsidP="00100535">
            <w:pPr>
              <w:pStyle w:val="TableBodyText"/>
              <w:rPr>
                <w:sz w:val="18"/>
                <w:szCs w:val="18"/>
              </w:rPr>
            </w:pPr>
            <w:r w:rsidRPr="00641283">
              <w:rPr>
                <w:sz w:val="18"/>
                <w:szCs w:val="18"/>
              </w:rPr>
              <w:t>1.7</w:t>
            </w:r>
          </w:p>
        </w:tc>
        <w:tc>
          <w:tcPr>
            <w:tcW w:w="507" w:type="pct"/>
            <w:vAlign w:val="bottom"/>
          </w:tcPr>
          <w:p w:rsidR="00AE5840" w:rsidRPr="00641283" w:rsidRDefault="00AE5840" w:rsidP="00AB38B4">
            <w:pPr>
              <w:pStyle w:val="TableBodyText"/>
              <w:rPr>
                <w:sz w:val="18"/>
                <w:szCs w:val="18"/>
              </w:rPr>
            </w:pPr>
            <w:r w:rsidRPr="00641283">
              <w:rPr>
                <w:sz w:val="18"/>
                <w:szCs w:val="18"/>
              </w:rPr>
              <w:noBreakHyphen/>
            </w:r>
          </w:p>
        </w:tc>
        <w:tc>
          <w:tcPr>
            <w:tcW w:w="507" w:type="pct"/>
            <w:vAlign w:val="bottom"/>
          </w:tcPr>
          <w:p w:rsidR="00AE5840" w:rsidRPr="00641283" w:rsidRDefault="00AE5840" w:rsidP="00AB38B4">
            <w:pPr>
              <w:pStyle w:val="TableBodyText"/>
              <w:rPr>
                <w:sz w:val="18"/>
                <w:szCs w:val="18"/>
              </w:rPr>
            </w:pPr>
            <w:r w:rsidRPr="00641283">
              <w:rPr>
                <w:sz w:val="18"/>
                <w:szCs w:val="18"/>
              </w:rPr>
              <w:noBreakHyphen/>
            </w:r>
          </w:p>
        </w:tc>
        <w:tc>
          <w:tcPr>
            <w:tcW w:w="507" w:type="pct"/>
            <w:shd w:val="clear" w:color="auto" w:fill="auto"/>
            <w:vAlign w:val="bottom"/>
          </w:tcPr>
          <w:p w:rsidR="00AE5840" w:rsidRPr="00641283" w:rsidRDefault="00AE5840" w:rsidP="00AB38B4">
            <w:pPr>
              <w:pStyle w:val="TableBodyText"/>
              <w:rPr>
                <w:sz w:val="18"/>
                <w:szCs w:val="18"/>
              </w:rPr>
            </w:pPr>
            <w:r w:rsidRPr="00641283">
              <w:rPr>
                <w:sz w:val="18"/>
                <w:szCs w:val="18"/>
              </w:rPr>
              <w:noBreakHyphen/>
            </w:r>
          </w:p>
        </w:tc>
        <w:tc>
          <w:tcPr>
            <w:tcW w:w="505" w:type="pct"/>
            <w:shd w:val="clear" w:color="auto" w:fill="auto"/>
            <w:vAlign w:val="bottom"/>
          </w:tcPr>
          <w:p w:rsidR="00AE5840" w:rsidRPr="00641283" w:rsidRDefault="00AE5840" w:rsidP="00AB38B4">
            <w:pPr>
              <w:pStyle w:val="TableBodyText"/>
              <w:rPr>
                <w:sz w:val="18"/>
                <w:szCs w:val="18"/>
              </w:rPr>
            </w:pPr>
            <w:r w:rsidRPr="00641283">
              <w:rPr>
                <w:sz w:val="18"/>
                <w:szCs w:val="18"/>
              </w:rPr>
              <w:noBreakHyphen/>
            </w:r>
          </w:p>
        </w:tc>
      </w:tr>
      <w:tr w:rsidR="00AE5840" w:rsidRPr="00AD51E1" w:rsidTr="00100535">
        <w:tc>
          <w:tcPr>
            <w:tcW w:w="1960" w:type="pct"/>
            <w:vAlign w:val="bottom"/>
          </w:tcPr>
          <w:p w:rsidR="00AE5840" w:rsidRPr="00D04898" w:rsidRDefault="00AE5840" w:rsidP="00AB38B4">
            <w:pPr>
              <w:pStyle w:val="TableBodyText"/>
              <w:jc w:val="left"/>
              <w:rPr>
                <w:sz w:val="18"/>
                <w:szCs w:val="18"/>
              </w:rPr>
            </w:pPr>
            <w:r>
              <w:rPr>
                <w:sz w:val="18"/>
                <w:szCs w:val="18"/>
              </w:rPr>
              <w:t>Unallocated services</w:t>
            </w:r>
          </w:p>
        </w:tc>
        <w:tc>
          <w:tcPr>
            <w:tcW w:w="507" w:type="pct"/>
            <w:vAlign w:val="bottom"/>
          </w:tcPr>
          <w:p w:rsidR="00AE5840" w:rsidRPr="00641283" w:rsidRDefault="00AE5840" w:rsidP="00100535">
            <w:pPr>
              <w:pStyle w:val="TableBodyText"/>
              <w:rPr>
                <w:sz w:val="18"/>
                <w:szCs w:val="18"/>
              </w:rPr>
            </w:pPr>
            <w:r w:rsidRPr="00641283">
              <w:rPr>
                <w:sz w:val="18"/>
                <w:szCs w:val="18"/>
              </w:rPr>
              <w:t>6.8</w:t>
            </w:r>
          </w:p>
        </w:tc>
        <w:tc>
          <w:tcPr>
            <w:tcW w:w="507" w:type="pct"/>
            <w:vAlign w:val="bottom"/>
          </w:tcPr>
          <w:p w:rsidR="00AE5840" w:rsidRPr="00641283" w:rsidRDefault="00C47A1D" w:rsidP="00100535">
            <w:pPr>
              <w:pStyle w:val="TableBodyText"/>
              <w:rPr>
                <w:sz w:val="18"/>
                <w:szCs w:val="18"/>
              </w:rPr>
            </w:pPr>
            <w:r w:rsidRPr="00641283">
              <w:rPr>
                <w:sz w:val="18"/>
                <w:szCs w:val="18"/>
              </w:rPr>
              <w:noBreakHyphen/>
            </w:r>
          </w:p>
        </w:tc>
        <w:tc>
          <w:tcPr>
            <w:tcW w:w="507" w:type="pct"/>
            <w:vAlign w:val="bottom"/>
          </w:tcPr>
          <w:p w:rsidR="00AE5840" w:rsidRPr="00641283" w:rsidRDefault="00AE5840" w:rsidP="00AB38B4">
            <w:pPr>
              <w:pStyle w:val="TableBodyText"/>
              <w:rPr>
                <w:sz w:val="18"/>
                <w:szCs w:val="18"/>
              </w:rPr>
            </w:pPr>
            <w:r w:rsidRPr="00641283">
              <w:rPr>
                <w:sz w:val="18"/>
                <w:szCs w:val="18"/>
              </w:rPr>
              <w:noBreakHyphen/>
            </w:r>
          </w:p>
        </w:tc>
        <w:tc>
          <w:tcPr>
            <w:tcW w:w="507" w:type="pct"/>
            <w:vAlign w:val="bottom"/>
          </w:tcPr>
          <w:p w:rsidR="00AE5840" w:rsidRPr="00641283" w:rsidRDefault="00AE5840" w:rsidP="00AB38B4">
            <w:pPr>
              <w:pStyle w:val="TableBodyText"/>
              <w:rPr>
                <w:sz w:val="18"/>
                <w:szCs w:val="18"/>
              </w:rPr>
            </w:pPr>
            <w:r w:rsidRPr="00641283">
              <w:rPr>
                <w:sz w:val="18"/>
                <w:szCs w:val="18"/>
              </w:rPr>
              <w:noBreakHyphen/>
            </w:r>
          </w:p>
        </w:tc>
        <w:tc>
          <w:tcPr>
            <w:tcW w:w="507" w:type="pct"/>
            <w:shd w:val="clear" w:color="auto" w:fill="auto"/>
            <w:vAlign w:val="bottom"/>
          </w:tcPr>
          <w:p w:rsidR="00AE5840" w:rsidRPr="00641283" w:rsidRDefault="00AE5840" w:rsidP="00AB38B4">
            <w:pPr>
              <w:pStyle w:val="TableBodyText"/>
              <w:rPr>
                <w:sz w:val="18"/>
                <w:szCs w:val="18"/>
              </w:rPr>
            </w:pPr>
            <w:r w:rsidRPr="00641283">
              <w:rPr>
                <w:sz w:val="18"/>
                <w:szCs w:val="18"/>
              </w:rPr>
              <w:noBreakHyphen/>
            </w:r>
          </w:p>
        </w:tc>
        <w:tc>
          <w:tcPr>
            <w:tcW w:w="505" w:type="pct"/>
            <w:shd w:val="clear" w:color="auto" w:fill="auto"/>
            <w:vAlign w:val="bottom"/>
          </w:tcPr>
          <w:p w:rsidR="00AE5840" w:rsidRPr="00641283" w:rsidRDefault="00AE5840" w:rsidP="00AB38B4">
            <w:pPr>
              <w:pStyle w:val="TableBodyText"/>
              <w:rPr>
                <w:sz w:val="18"/>
                <w:szCs w:val="18"/>
              </w:rPr>
            </w:pPr>
            <w:r w:rsidRPr="00641283">
              <w:rPr>
                <w:sz w:val="18"/>
                <w:szCs w:val="18"/>
              </w:rPr>
              <w:noBreakHyphen/>
            </w:r>
          </w:p>
        </w:tc>
      </w:tr>
      <w:tr w:rsidR="00AE5840" w:rsidRPr="00AD51E1" w:rsidTr="00100535">
        <w:tc>
          <w:tcPr>
            <w:tcW w:w="1960" w:type="pct"/>
            <w:tcBorders>
              <w:bottom w:val="single" w:sz="4" w:space="0" w:color="auto"/>
            </w:tcBorders>
            <w:vAlign w:val="bottom"/>
          </w:tcPr>
          <w:p w:rsidR="00AE5840" w:rsidRPr="00D04898" w:rsidRDefault="00AE5840" w:rsidP="00AB38B4">
            <w:pPr>
              <w:pStyle w:val="TableBodyText"/>
              <w:jc w:val="left"/>
              <w:rPr>
                <w:b/>
                <w:bCs/>
                <w:sz w:val="18"/>
                <w:szCs w:val="18"/>
              </w:rPr>
            </w:pPr>
            <w:r w:rsidRPr="00D04898">
              <w:rPr>
                <w:b/>
                <w:bCs/>
                <w:sz w:val="18"/>
                <w:szCs w:val="18"/>
              </w:rPr>
              <w:t>Total</w:t>
            </w:r>
          </w:p>
        </w:tc>
        <w:tc>
          <w:tcPr>
            <w:tcW w:w="507" w:type="pct"/>
            <w:tcBorders>
              <w:bottom w:val="single" w:sz="4" w:space="0" w:color="auto"/>
            </w:tcBorders>
            <w:vAlign w:val="bottom"/>
          </w:tcPr>
          <w:p w:rsidR="00AE5840" w:rsidRPr="00641283" w:rsidRDefault="00AE5840" w:rsidP="00100535">
            <w:pPr>
              <w:pStyle w:val="TableBodyText"/>
              <w:rPr>
                <w:b/>
                <w:sz w:val="18"/>
                <w:szCs w:val="18"/>
              </w:rPr>
            </w:pPr>
            <w:r w:rsidRPr="00641283">
              <w:rPr>
                <w:b/>
                <w:sz w:val="18"/>
                <w:szCs w:val="18"/>
              </w:rPr>
              <w:t>6.8</w:t>
            </w:r>
          </w:p>
        </w:tc>
        <w:tc>
          <w:tcPr>
            <w:tcW w:w="507" w:type="pct"/>
            <w:tcBorders>
              <w:bottom w:val="single" w:sz="4" w:space="0" w:color="auto"/>
            </w:tcBorders>
            <w:vAlign w:val="bottom"/>
          </w:tcPr>
          <w:p w:rsidR="00AE5840" w:rsidRPr="00641283" w:rsidRDefault="00AE5840" w:rsidP="00100535">
            <w:pPr>
              <w:pStyle w:val="TableBodyText"/>
              <w:rPr>
                <w:b/>
                <w:sz w:val="18"/>
                <w:szCs w:val="18"/>
              </w:rPr>
            </w:pPr>
            <w:r w:rsidRPr="00641283">
              <w:rPr>
                <w:b/>
                <w:sz w:val="18"/>
                <w:szCs w:val="18"/>
              </w:rPr>
              <w:t>4.4</w:t>
            </w:r>
          </w:p>
        </w:tc>
        <w:tc>
          <w:tcPr>
            <w:tcW w:w="507" w:type="pct"/>
            <w:tcBorders>
              <w:bottom w:val="single" w:sz="4" w:space="0" w:color="auto"/>
            </w:tcBorders>
            <w:vAlign w:val="bottom"/>
          </w:tcPr>
          <w:p w:rsidR="00AE5840" w:rsidRPr="00641283" w:rsidRDefault="00AE5840" w:rsidP="00AB38B4">
            <w:pPr>
              <w:pStyle w:val="TableBodyText"/>
              <w:rPr>
                <w:b/>
                <w:bCs/>
                <w:sz w:val="18"/>
                <w:szCs w:val="18"/>
              </w:rPr>
            </w:pPr>
            <w:r w:rsidRPr="00641283">
              <w:rPr>
                <w:sz w:val="18"/>
                <w:szCs w:val="18"/>
              </w:rPr>
              <w:noBreakHyphen/>
            </w:r>
          </w:p>
        </w:tc>
        <w:tc>
          <w:tcPr>
            <w:tcW w:w="507" w:type="pct"/>
            <w:tcBorders>
              <w:bottom w:val="single" w:sz="4" w:space="0" w:color="auto"/>
            </w:tcBorders>
            <w:vAlign w:val="bottom"/>
          </w:tcPr>
          <w:p w:rsidR="00AE5840" w:rsidRPr="00641283" w:rsidRDefault="00AE5840" w:rsidP="00AB38B4">
            <w:pPr>
              <w:pStyle w:val="TableBodyText"/>
              <w:rPr>
                <w:b/>
                <w:bCs/>
                <w:sz w:val="18"/>
                <w:szCs w:val="18"/>
              </w:rPr>
            </w:pPr>
            <w:r w:rsidRPr="00641283">
              <w:rPr>
                <w:sz w:val="18"/>
                <w:szCs w:val="18"/>
              </w:rPr>
              <w:noBreakHyphen/>
            </w:r>
          </w:p>
        </w:tc>
        <w:tc>
          <w:tcPr>
            <w:tcW w:w="507" w:type="pct"/>
            <w:tcBorders>
              <w:bottom w:val="single" w:sz="4" w:space="0" w:color="auto"/>
            </w:tcBorders>
            <w:shd w:val="clear" w:color="auto" w:fill="auto"/>
            <w:vAlign w:val="bottom"/>
          </w:tcPr>
          <w:p w:rsidR="00AE5840" w:rsidRPr="00641283" w:rsidRDefault="00AE5840" w:rsidP="00AB38B4">
            <w:pPr>
              <w:pStyle w:val="TableBodyText"/>
              <w:rPr>
                <w:b/>
                <w:bCs/>
                <w:sz w:val="18"/>
                <w:szCs w:val="18"/>
              </w:rPr>
            </w:pPr>
            <w:r w:rsidRPr="00641283">
              <w:rPr>
                <w:sz w:val="18"/>
                <w:szCs w:val="18"/>
              </w:rPr>
              <w:noBreakHyphen/>
            </w:r>
          </w:p>
        </w:tc>
        <w:tc>
          <w:tcPr>
            <w:tcW w:w="505" w:type="pct"/>
            <w:tcBorders>
              <w:bottom w:val="single" w:sz="4" w:space="0" w:color="auto"/>
            </w:tcBorders>
            <w:shd w:val="clear" w:color="auto" w:fill="auto"/>
            <w:vAlign w:val="bottom"/>
          </w:tcPr>
          <w:p w:rsidR="00AE5840" w:rsidRPr="00641283" w:rsidRDefault="00AE5840" w:rsidP="00AB38B4">
            <w:pPr>
              <w:pStyle w:val="TableBodyText"/>
              <w:rPr>
                <w:b/>
                <w:bCs/>
                <w:sz w:val="18"/>
                <w:szCs w:val="18"/>
              </w:rPr>
            </w:pPr>
            <w:r w:rsidRPr="00641283">
              <w:rPr>
                <w:sz w:val="18"/>
                <w:szCs w:val="18"/>
              </w:rPr>
              <w:noBreakHyphen/>
            </w:r>
          </w:p>
        </w:tc>
      </w:tr>
    </w:tbl>
    <w:p w:rsidR="00100535" w:rsidRDefault="00100535" w:rsidP="00100535">
      <w:pPr>
        <w:pStyle w:val="Note"/>
      </w:pPr>
      <w:r w:rsidRPr="00A2379F">
        <w:noBreakHyphen/>
        <w:t xml:space="preserve"> Nil</w:t>
      </w:r>
      <w:r>
        <w:t>.</w:t>
      </w:r>
    </w:p>
    <w:p w:rsidR="00100535" w:rsidRPr="008E77FE" w:rsidRDefault="00100535" w:rsidP="00100535">
      <w:pPr>
        <w:pStyle w:val="Source"/>
      </w:pPr>
      <w:r>
        <w:rPr>
          <w:i/>
        </w:rPr>
        <w:t>Source</w:t>
      </w:r>
      <w:r w:rsidR="00BF57CB">
        <w:rPr>
          <w:i/>
        </w:rPr>
        <w:t>s</w:t>
      </w:r>
      <w:r>
        <w:t xml:space="preserve">: Commission estimates based on </w:t>
      </w:r>
      <w:r w:rsidR="00161E7C">
        <w:t>DIISR Annual Report 2007</w:t>
      </w:r>
      <w:r w:rsidR="00161E7C">
        <w:noBreakHyphen/>
        <w:t>08; Department of Industry, Tourism and Resources Annual Report 2006</w:t>
      </w:r>
      <w:r w:rsidR="00161E7C">
        <w:noBreakHyphen/>
        <w:t xml:space="preserve">07; and </w:t>
      </w:r>
      <w:r>
        <w:t>detailed DIISR data by ANZSIC industry.</w:t>
      </w:r>
    </w:p>
    <w:p w:rsidR="005B7E29" w:rsidRDefault="00FA09C3" w:rsidP="005B7E29">
      <w:pPr>
        <w:pStyle w:val="Heading2"/>
      </w:pPr>
      <w:r>
        <w:t>A.</w:t>
      </w:r>
      <w:r>
        <w:rPr>
          <w:noProof/>
        </w:rPr>
        <w:t>198</w:t>
      </w:r>
      <w:r w:rsidR="005B7E29">
        <w:tab/>
        <w:t>Film Licensed Investment Company Scheme</w:t>
      </w:r>
    </w:p>
    <w:p w:rsidR="005B7E29" w:rsidRDefault="005B7E29" w:rsidP="005B7E29">
      <w:pPr>
        <w:pStyle w:val="BodyText"/>
      </w:pPr>
      <w:r>
        <w:t>Under the Film Licensed Investment Company Scheme, amounts paid by investors in 2005</w:t>
      </w:r>
      <w:r>
        <w:noBreakHyphen/>
        <w:t>06 and 2006</w:t>
      </w:r>
      <w:r>
        <w:noBreakHyphen/>
        <w:t xml:space="preserve">07 for shares in a film-licensed investment company were immediately deductible. The deduction </w:t>
      </w:r>
      <w:r w:rsidR="00BF57CB">
        <w:t xml:space="preserve">did </w:t>
      </w:r>
      <w:r>
        <w:t>not apply to shares issued after 30 June 2007 (Tax Expenditure Statement</w:t>
      </w:r>
      <w:r w:rsidRPr="0012599F">
        <w:t xml:space="preserve">, </w:t>
      </w:r>
      <w:r w:rsidRPr="001E3FD5">
        <w:t>Australian Government 2010, Item B70</w:t>
      </w:r>
      <w:r w:rsidRPr="0012599F">
        <w:t>).</w:t>
      </w:r>
    </w:p>
    <w:p w:rsidR="005B7E29" w:rsidRDefault="005B7E29" w:rsidP="005B7E29">
      <w:pPr>
        <w:pStyle w:val="BodyText"/>
      </w:pPr>
      <w:r>
        <w:t>The scheme benefited businesses providing investments to eligible companies. The scheme would lower the cost of capital to the eligible companies. However, information on the specific industry incidence of the program within the services sector</w:t>
      </w:r>
      <w:r w:rsidR="00481DE5">
        <w:t xml:space="preserve"> </w:t>
      </w:r>
      <w:r>
        <w:t xml:space="preserve">has not been readily available. Accordingly, the budget outlay has been classified to the </w:t>
      </w:r>
      <w:r w:rsidRPr="00D91A36">
        <w:rPr>
          <w:i/>
        </w:rPr>
        <w:t>Unallocated services</w:t>
      </w:r>
      <w:r>
        <w:t xml:space="preserve"> industry grouping in the Commission’s ANZSIC-based classification (table</w:t>
      </w:r>
      <w:r w:rsidR="00886F15">
        <w:t> </w:t>
      </w:r>
      <w:r>
        <w:t>A.198).</w:t>
      </w:r>
    </w:p>
    <w:p w:rsidR="005B7E29" w:rsidRDefault="005B7E29" w:rsidP="005B7E29">
      <w:pPr>
        <w:pStyle w:val="TableTitle"/>
      </w:pPr>
      <w:r>
        <w:rPr>
          <w:b w:val="0"/>
        </w:rPr>
        <w:t xml:space="preserve">Table </w:t>
      </w:r>
      <w:r w:rsidR="00FA09C3">
        <w:rPr>
          <w:b w:val="0"/>
        </w:rPr>
        <w:t>A.</w:t>
      </w:r>
      <w:r w:rsidR="00FA09C3">
        <w:rPr>
          <w:b w:val="0"/>
          <w:noProof/>
        </w:rPr>
        <w:t>198</w:t>
      </w:r>
      <w:r>
        <w:tab/>
        <w:t>Allocation of Film Licensed Investment Company Scheme</w:t>
      </w:r>
      <w:r w:rsidR="00571E36" w:rsidRPr="00571E36">
        <w:t xml:space="preserve"> to industry</w:t>
      </w:r>
      <w:r>
        <w:t>, 2006</w:t>
      </w:r>
      <w:r>
        <w:noBreakHyphen/>
        <w:t>07 to 2011</w:t>
      </w:r>
      <w:r>
        <w:noBreakHyphen/>
        <w:t>12</w:t>
      </w:r>
    </w:p>
    <w:p w:rsidR="005B7E29" w:rsidRDefault="005B7E29" w:rsidP="005B7E29">
      <w:pPr>
        <w:pStyle w:val="Subtitle"/>
      </w:pPr>
      <w:r>
        <w:t>$</w:t>
      </w:r>
      <w:r w:rsidR="00BF57CB">
        <w:t xml:space="preserve"> </w:t>
      </w:r>
      <w:r>
        <w:t xml:space="preserve">million (nominal) </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5B7E29" w:rsidRPr="00AF699A" w:rsidTr="00641283">
        <w:trPr>
          <w:trHeight w:val="340"/>
        </w:trPr>
        <w:tc>
          <w:tcPr>
            <w:tcW w:w="1958" w:type="pct"/>
            <w:tcBorders>
              <w:top w:val="single" w:sz="6" w:space="0" w:color="auto"/>
              <w:bottom w:val="single" w:sz="6" w:space="0" w:color="auto"/>
            </w:tcBorders>
          </w:tcPr>
          <w:p w:rsidR="005B7E29" w:rsidRPr="00AF699A" w:rsidRDefault="005B7E29" w:rsidP="00AB38B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5B7E29" w:rsidRPr="00AF699A" w:rsidRDefault="005B7E29"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5B7E29" w:rsidRPr="00AF699A" w:rsidRDefault="005B7E29" w:rsidP="00AB38B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5B7E29" w:rsidRPr="00AF699A" w:rsidRDefault="005B7E29" w:rsidP="00AB38B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5B7E29" w:rsidRPr="00AF699A" w:rsidRDefault="005B7E29" w:rsidP="00AB38B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5B7E29" w:rsidRPr="00AF699A" w:rsidRDefault="005B7E29" w:rsidP="00AB38B4">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5B7E29" w:rsidRPr="00AF699A" w:rsidRDefault="005B7E29" w:rsidP="00AB38B4">
            <w:pPr>
              <w:pStyle w:val="TableColumnHeading"/>
              <w:ind w:right="28"/>
              <w:rPr>
                <w:rFonts w:cs="Arial"/>
                <w:sz w:val="18"/>
                <w:szCs w:val="18"/>
              </w:rPr>
            </w:pPr>
            <w:r w:rsidRPr="00AF699A">
              <w:rPr>
                <w:rFonts w:cs="Arial"/>
                <w:sz w:val="18"/>
                <w:szCs w:val="18"/>
              </w:rPr>
              <w:t>2011-12</w:t>
            </w:r>
          </w:p>
        </w:tc>
      </w:tr>
      <w:tr w:rsidR="005B7E29" w:rsidRPr="0012023A" w:rsidTr="00AB38B4">
        <w:tc>
          <w:tcPr>
            <w:tcW w:w="1958" w:type="pct"/>
            <w:tcBorders>
              <w:bottom w:val="single" w:sz="4" w:space="0" w:color="auto"/>
            </w:tcBorders>
            <w:vAlign w:val="bottom"/>
          </w:tcPr>
          <w:p w:rsidR="005B7E29" w:rsidRPr="0012023A" w:rsidRDefault="005B7E29" w:rsidP="00AB38B4">
            <w:pPr>
              <w:pStyle w:val="TableBodyText"/>
              <w:jc w:val="left"/>
            </w:pPr>
            <w:r w:rsidRPr="0012023A">
              <w:t>Unallocated services</w:t>
            </w:r>
            <w:r w:rsidRPr="00641283">
              <w:rPr>
                <w:rStyle w:val="NoteLabel"/>
                <w:szCs w:val="18"/>
              </w:rPr>
              <w:t>a</w:t>
            </w:r>
          </w:p>
        </w:tc>
        <w:tc>
          <w:tcPr>
            <w:tcW w:w="507" w:type="pct"/>
            <w:tcBorders>
              <w:bottom w:val="single" w:sz="4" w:space="0" w:color="auto"/>
            </w:tcBorders>
            <w:vAlign w:val="bottom"/>
          </w:tcPr>
          <w:p w:rsidR="005B7E29" w:rsidRPr="0012023A" w:rsidRDefault="005B7E29" w:rsidP="00AB38B4">
            <w:pPr>
              <w:pStyle w:val="TableBodyText"/>
            </w:pPr>
            <w:r>
              <w:t>4.0</w:t>
            </w:r>
          </w:p>
        </w:tc>
        <w:tc>
          <w:tcPr>
            <w:tcW w:w="507" w:type="pct"/>
            <w:tcBorders>
              <w:bottom w:val="single" w:sz="4" w:space="0" w:color="auto"/>
            </w:tcBorders>
            <w:vAlign w:val="bottom"/>
          </w:tcPr>
          <w:p w:rsidR="005B7E29" w:rsidRPr="0012023A" w:rsidRDefault="005B7E29" w:rsidP="00AB38B4">
            <w:pPr>
              <w:pStyle w:val="TableBodyText"/>
            </w:pPr>
            <w:r w:rsidRPr="0012023A">
              <w:t>4</w:t>
            </w:r>
            <w:r>
              <w:t>.0</w:t>
            </w:r>
          </w:p>
        </w:tc>
        <w:tc>
          <w:tcPr>
            <w:tcW w:w="507" w:type="pct"/>
            <w:tcBorders>
              <w:bottom w:val="single" w:sz="4" w:space="0" w:color="auto"/>
            </w:tcBorders>
            <w:vAlign w:val="bottom"/>
          </w:tcPr>
          <w:p w:rsidR="005B7E29" w:rsidRPr="0012023A" w:rsidRDefault="005B7E29" w:rsidP="00AB38B4">
            <w:pPr>
              <w:pStyle w:val="TableBodyText"/>
            </w:pPr>
            <w:r>
              <w:noBreakHyphen/>
            </w:r>
          </w:p>
        </w:tc>
        <w:tc>
          <w:tcPr>
            <w:tcW w:w="507" w:type="pct"/>
            <w:tcBorders>
              <w:bottom w:val="single" w:sz="4" w:space="0" w:color="auto"/>
            </w:tcBorders>
            <w:vAlign w:val="bottom"/>
          </w:tcPr>
          <w:p w:rsidR="005B7E29" w:rsidRPr="0012023A" w:rsidRDefault="005B7E29" w:rsidP="00AB38B4">
            <w:pPr>
              <w:pStyle w:val="TableBodyText"/>
            </w:pPr>
            <w:r>
              <w:noBreakHyphen/>
            </w:r>
          </w:p>
        </w:tc>
        <w:tc>
          <w:tcPr>
            <w:tcW w:w="507" w:type="pct"/>
            <w:tcBorders>
              <w:bottom w:val="single" w:sz="4" w:space="0" w:color="auto"/>
            </w:tcBorders>
            <w:shd w:val="clear" w:color="auto" w:fill="auto"/>
            <w:vAlign w:val="bottom"/>
          </w:tcPr>
          <w:p w:rsidR="005B7E29" w:rsidRPr="0012023A" w:rsidRDefault="005B7E29" w:rsidP="00AB38B4">
            <w:pPr>
              <w:pStyle w:val="TableBodyText"/>
            </w:pPr>
            <w:r>
              <w:noBreakHyphen/>
            </w:r>
          </w:p>
        </w:tc>
        <w:tc>
          <w:tcPr>
            <w:tcW w:w="507" w:type="pct"/>
            <w:tcBorders>
              <w:bottom w:val="single" w:sz="4" w:space="0" w:color="auto"/>
            </w:tcBorders>
            <w:shd w:val="clear" w:color="auto" w:fill="auto"/>
            <w:vAlign w:val="bottom"/>
          </w:tcPr>
          <w:p w:rsidR="005B7E29" w:rsidRPr="0012023A" w:rsidRDefault="005B7E29" w:rsidP="00AB38B4">
            <w:pPr>
              <w:pStyle w:val="TableBodyText"/>
            </w:pPr>
            <w:r>
              <w:noBreakHyphen/>
            </w:r>
          </w:p>
        </w:tc>
      </w:tr>
    </w:tbl>
    <w:p w:rsidR="005B7E29" w:rsidRDefault="005B7E29" w:rsidP="005B7E29">
      <w:pPr>
        <w:pStyle w:val="Note"/>
      </w:pPr>
      <w:r w:rsidRPr="00A2379F">
        <w:noBreakHyphen/>
        <w:t xml:space="preserve"> Nil</w:t>
      </w:r>
      <w:r>
        <w:t>.</w:t>
      </w:r>
      <w:r w:rsidRPr="008E77FE">
        <w:rPr>
          <w:rStyle w:val="NoteLabel"/>
        </w:rPr>
        <w:t xml:space="preserve"> a</w:t>
      </w:r>
      <w:r>
        <w:t xml:space="preserve"> </w:t>
      </w:r>
      <w:r w:rsidRPr="009B56F1">
        <w:t>Unallocated includes general programs where detai</w:t>
      </w:r>
      <w:r>
        <w:t>ls of beneficiaries are unknown.</w:t>
      </w:r>
    </w:p>
    <w:p w:rsidR="005B7E29" w:rsidRPr="008E77FE" w:rsidRDefault="005B7E29" w:rsidP="005B7E29">
      <w:pPr>
        <w:pStyle w:val="Source"/>
      </w:pPr>
      <w:r>
        <w:rPr>
          <w:i/>
        </w:rPr>
        <w:t>Source</w:t>
      </w:r>
      <w:r>
        <w:t>: Commission estimates based on Tax Expenditure Statement </w:t>
      </w:r>
      <w:r w:rsidRPr="00EF17F4">
        <w:t>201</w:t>
      </w:r>
      <w:r>
        <w:t>0, Australian Government 2011</w:t>
      </w:r>
      <w:r w:rsidRPr="00EF17F4">
        <w:t>, p</w:t>
      </w:r>
      <w:r w:rsidR="00BF57CB" w:rsidRPr="00EF17F4">
        <w:t>.</w:t>
      </w:r>
      <w:r w:rsidR="00BF57CB">
        <w:t> </w:t>
      </w:r>
      <w:r w:rsidRPr="00EF17F4">
        <w:t>1</w:t>
      </w:r>
      <w:r>
        <w:t>00</w:t>
      </w:r>
      <w:r w:rsidRPr="00EF17F4">
        <w:t xml:space="preserve">, item </w:t>
      </w:r>
      <w:r>
        <w:t>B78.</w:t>
      </w:r>
    </w:p>
    <w:p w:rsidR="00F26E4E" w:rsidRDefault="00FA09C3" w:rsidP="00F26E4E">
      <w:pPr>
        <w:pStyle w:val="Heading2"/>
      </w:pPr>
      <w:r>
        <w:t>A.</w:t>
      </w:r>
      <w:r>
        <w:rPr>
          <w:noProof/>
        </w:rPr>
        <w:t>199</w:t>
      </w:r>
      <w:r w:rsidR="00F26E4E">
        <w:tab/>
        <w:t>Integrated Forest Products Grant Program</w:t>
      </w:r>
    </w:p>
    <w:p w:rsidR="00F26E4E" w:rsidRDefault="00F26E4E" w:rsidP="00F26E4E">
      <w:pPr>
        <w:pStyle w:val="BodyText"/>
      </w:pPr>
      <w:r>
        <w:t xml:space="preserve">The Integrated Forest Products Grant Program provided $4 million plus GST </w:t>
      </w:r>
      <w:r w:rsidRPr="00D37D90">
        <w:t>to Integrated Forest Products (Receivers and Managers Appointed) to support the operation of the Hume sawmill in the Australian Capital Territory while the receiver conducted a process to sell the sawmill as a going concern. Funds were used to support the mill’s continuing operation.</w:t>
      </w:r>
      <w:r>
        <w:t xml:space="preserve"> </w:t>
      </w:r>
      <w:r w:rsidRPr="00D37D90">
        <w:t>Four payments of $1</w:t>
      </w:r>
      <w:r>
        <w:t> </w:t>
      </w:r>
      <w:r w:rsidRPr="00D37D90">
        <w:t xml:space="preserve">million plus GST were made </w:t>
      </w:r>
      <w:r>
        <w:t xml:space="preserve">during </w:t>
      </w:r>
      <w:r w:rsidRPr="00D37D90">
        <w:t>2007.</w:t>
      </w:r>
    </w:p>
    <w:p w:rsidR="00F26E4E" w:rsidRDefault="00F26E4E" w:rsidP="00F26E4E">
      <w:pPr>
        <w:pStyle w:val="BodyText"/>
      </w:pPr>
      <w:r w:rsidRPr="00303958">
        <w:t xml:space="preserve">The </w:t>
      </w:r>
      <w:r>
        <w:t>Program</w:t>
      </w:r>
      <w:r w:rsidRPr="00303958">
        <w:t xml:space="preserve"> </w:t>
      </w:r>
      <w:r>
        <w:t xml:space="preserve">selectively benefited </w:t>
      </w:r>
      <w:r w:rsidRPr="00303958">
        <w:t xml:space="preserve">the timber industry and has been allocated to the </w:t>
      </w:r>
      <w:r w:rsidRPr="00303958">
        <w:rPr>
          <w:i/>
        </w:rPr>
        <w:t>Wood and paper products</w:t>
      </w:r>
      <w:r w:rsidRPr="00303958">
        <w:t xml:space="preserve"> industry grouping in the Commission’s ANZSIC-based </w:t>
      </w:r>
      <w:r>
        <w:t>classification</w:t>
      </w:r>
      <w:r w:rsidRPr="00303958">
        <w:t xml:space="preserve"> (table</w:t>
      </w:r>
      <w:r>
        <w:t> </w:t>
      </w:r>
      <w:r w:rsidRPr="00303958">
        <w:t>A.</w:t>
      </w:r>
      <w:r>
        <w:t>199</w:t>
      </w:r>
      <w:r w:rsidRPr="00303958">
        <w:t>)</w:t>
      </w:r>
      <w:r>
        <w:t>.</w:t>
      </w:r>
    </w:p>
    <w:p w:rsidR="00F26E4E" w:rsidRDefault="00F26E4E" w:rsidP="00F26E4E">
      <w:pPr>
        <w:pStyle w:val="TableTitle"/>
      </w:pPr>
      <w:r>
        <w:rPr>
          <w:b w:val="0"/>
        </w:rPr>
        <w:t xml:space="preserve">Table </w:t>
      </w:r>
      <w:r w:rsidR="00FA09C3">
        <w:rPr>
          <w:b w:val="0"/>
        </w:rPr>
        <w:t>A.</w:t>
      </w:r>
      <w:r w:rsidR="00FA09C3">
        <w:rPr>
          <w:b w:val="0"/>
          <w:noProof/>
        </w:rPr>
        <w:t>199</w:t>
      </w:r>
      <w:r>
        <w:tab/>
        <w:t>Allocation of Integrated Forest Products Grant</w:t>
      </w:r>
      <w:r w:rsidR="00571E36">
        <w:t xml:space="preserve"> Program</w:t>
      </w:r>
      <w:r w:rsidR="001E2E25">
        <w:br/>
      </w:r>
      <w:r w:rsidR="00571E36" w:rsidRPr="00571E36">
        <w:t>to industry</w:t>
      </w:r>
      <w:r w:rsidR="001E2E25">
        <w:t>,</w:t>
      </w:r>
      <w:r>
        <w:t xml:space="preserve"> 2006</w:t>
      </w:r>
      <w:r>
        <w:noBreakHyphen/>
        <w:t>07 to 2011</w:t>
      </w:r>
      <w:r>
        <w:noBreakHyphen/>
        <w:t>12</w:t>
      </w:r>
    </w:p>
    <w:p w:rsidR="00F26E4E" w:rsidRDefault="000E1A26" w:rsidP="00F26E4E">
      <w:pPr>
        <w:pStyle w:val="Subtitle"/>
      </w:pPr>
      <w:r>
        <w:t>$ m</w:t>
      </w:r>
      <w:r w:rsidR="00F26E4E">
        <w:t xml:space="preserve">illion (nominal) </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C7788D" w:rsidRPr="00AF699A" w:rsidTr="00641283">
        <w:trPr>
          <w:trHeight w:val="340"/>
        </w:trPr>
        <w:tc>
          <w:tcPr>
            <w:tcW w:w="1958" w:type="pct"/>
            <w:tcBorders>
              <w:top w:val="single" w:sz="6" w:space="0" w:color="auto"/>
              <w:bottom w:val="single" w:sz="6" w:space="0" w:color="auto"/>
            </w:tcBorders>
          </w:tcPr>
          <w:p w:rsidR="00C7788D" w:rsidRPr="00AF699A" w:rsidRDefault="00C7788D" w:rsidP="00AB38B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C7788D" w:rsidRPr="00AF699A" w:rsidRDefault="00C7788D"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C7788D" w:rsidRPr="00AF699A" w:rsidRDefault="00C7788D" w:rsidP="00AB38B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C7788D" w:rsidRPr="00AF699A" w:rsidRDefault="00C7788D" w:rsidP="00AB38B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C7788D" w:rsidRPr="00AF699A" w:rsidRDefault="00C7788D" w:rsidP="00AB38B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C7788D" w:rsidRPr="00AF699A" w:rsidRDefault="00C7788D" w:rsidP="00AB38B4">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C7788D" w:rsidRPr="00AF699A" w:rsidRDefault="00C7788D" w:rsidP="00AB38B4">
            <w:pPr>
              <w:pStyle w:val="TableColumnHeading"/>
              <w:ind w:right="28"/>
              <w:rPr>
                <w:rFonts w:cs="Arial"/>
                <w:sz w:val="18"/>
                <w:szCs w:val="18"/>
              </w:rPr>
            </w:pPr>
            <w:r w:rsidRPr="00AF699A">
              <w:rPr>
                <w:rFonts w:cs="Arial"/>
                <w:sz w:val="18"/>
                <w:szCs w:val="18"/>
              </w:rPr>
              <w:t>2011-12</w:t>
            </w:r>
          </w:p>
        </w:tc>
      </w:tr>
      <w:tr w:rsidR="00C7788D" w:rsidRPr="00AD51E1" w:rsidTr="00E80A54">
        <w:tc>
          <w:tcPr>
            <w:tcW w:w="1958" w:type="pct"/>
            <w:tcBorders>
              <w:bottom w:val="single" w:sz="4" w:space="0" w:color="auto"/>
            </w:tcBorders>
            <w:vAlign w:val="bottom"/>
          </w:tcPr>
          <w:p w:rsidR="00C7788D" w:rsidRPr="00FD0F6E" w:rsidRDefault="00C7788D" w:rsidP="00AB38B4">
            <w:pPr>
              <w:pStyle w:val="TableBodyText"/>
              <w:jc w:val="left"/>
            </w:pPr>
            <w:r w:rsidRPr="00FD0F6E">
              <w:t>Wood and paper products</w:t>
            </w:r>
          </w:p>
        </w:tc>
        <w:tc>
          <w:tcPr>
            <w:tcW w:w="507" w:type="pct"/>
            <w:tcBorders>
              <w:bottom w:val="single" w:sz="4" w:space="0" w:color="auto"/>
            </w:tcBorders>
            <w:vAlign w:val="bottom"/>
          </w:tcPr>
          <w:p w:rsidR="00C7788D" w:rsidRPr="00FD0F6E" w:rsidRDefault="00C7788D" w:rsidP="00AB38B4">
            <w:pPr>
              <w:pStyle w:val="TableBodyText"/>
            </w:pPr>
            <w:r>
              <w:noBreakHyphen/>
            </w:r>
          </w:p>
        </w:tc>
        <w:tc>
          <w:tcPr>
            <w:tcW w:w="507" w:type="pct"/>
            <w:tcBorders>
              <w:bottom w:val="single" w:sz="4" w:space="0" w:color="auto"/>
            </w:tcBorders>
            <w:vAlign w:val="bottom"/>
          </w:tcPr>
          <w:p w:rsidR="00C7788D" w:rsidRPr="00FD0F6E" w:rsidRDefault="00C7788D" w:rsidP="00AB38B4">
            <w:pPr>
              <w:pStyle w:val="TableBodyText"/>
            </w:pPr>
            <w:r w:rsidRPr="00FD0F6E">
              <w:t>4</w:t>
            </w:r>
            <w:r>
              <w:t>.0</w:t>
            </w:r>
          </w:p>
        </w:tc>
        <w:tc>
          <w:tcPr>
            <w:tcW w:w="507" w:type="pct"/>
            <w:tcBorders>
              <w:bottom w:val="single" w:sz="4" w:space="0" w:color="auto"/>
            </w:tcBorders>
            <w:vAlign w:val="bottom"/>
          </w:tcPr>
          <w:p w:rsidR="00C7788D" w:rsidRPr="00FD0F6E" w:rsidRDefault="00C7788D" w:rsidP="00AB38B4">
            <w:pPr>
              <w:pStyle w:val="TableBodyText"/>
            </w:pPr>
            <w:r>
              <w:noBreakHyphen/>
            </w:r>
          </w:p>
        </w:tc>
        <w:tc>
          <w:tcPr>
            <w:tcW w:w="507" w:type="pct"/>
            <w:tcBorders>
              <w:bottom w:val="single" w:sz="4" w:space="0" w:color="auto"/>
            </w:tcBorders>
            <w:vAlign w:val="bottom"/>
          </w:tcPr>
          <w:p w:rsidR="00C7788D" w:rsidRPr="00FD0F6E" w:rsidRDefault="00C7788D" w:rsidP="00AB38B4">
            <w:pPr>
              <w:pStyle w:val="TableBodyText"/>
            </w:pPr>
            <w:r>
              <w:noBreakHyphen/>
            </w:r>
          </w:p>
        </w:tc>
        <w:tc>
          <w:tcPr>
            <w:tcW w:w="507" w:type="pct"/>
            <w:tcBorders>
              <w:bottom w:val="single" w:sz="4" w:space="0" w:color="auto"/>
            </w:tcBorders>
            <w:shd w:val="clear" w:color="auto" w:fill="auto"/>
            <w:vAlign w:val="bottom"/>
          </w:tcPr>
          <w:p w:rsidR="00C7788D" w:rsidRPr="00FD0F6E" w:rsidRDefault="00C7788D" w:rsidP="00AB38B4">
            <w:pPr>
              <w:pStyle w:val="TableBodyText"/>
            </w:pPr>
            <w:r>
              <w:noBreakHyphen/>
            </w:r>
          </w:p>
        </w:tc>
        <w:tc>
          <w:tcPr>
            <w:tcW w:w="507" w:type="pct"/>
            <w:tcBorders>
              <w:bottom w:val="single" w:sz="4" w:space="0" w:color="auto"/>
            </w:tcBorders>
            <w:shd w:val="clear" w:color="auto" w:fill="auto"/>
            <w:vAlign w:val="bottom"/>
          </w:tcPr>
          <w:p w:rsidR="00C7788D" w:rsidRPr="00FD0F6E" w:rsidRDefault="00C7788D" w:rsidP="00AB38B4">
            <w:pPr>
              <w:pStyle w:val="TableBodyText"/>
            </w:pPr>
            <w:r>
              <w:noBreakHyphen/>
            </w:r>
          </w:p>
        </w:tc>
      </w:tr>
    </w:tbl>
    <w:p w:rsidR="00F26E4E" w:rsidRDefault="00F26E4E" w:rsidP="00F26E4E">
      <w:pPr>
        <w:pStyle w:val="Note"/>
      </w:pPr>
      <w:r w:rsidRPr="00A2379F">
        <w:noBreakHyphen/>
        <w:t xml:space="preserve"> </w:t>
      </w:r>
      <w:r>
        <w:t>Nil</w:t>
      </w:r>
      <w:r w:rsidRPr="00A2379F">
        <w:t>.</w:t>
      </w:r>
    </w:p>
    <w:p w:rsidR="00F26E4E" w:rsidRPr="008E77FE" w:rsidRDefault="00F26E4E" w:rsidP="00F26E4E">
      <w:pPr>
        <w:pStyle w:val="Source"/>
      </w:pPr>
      <w:r>
        <w:rPr>
          <w:i/>
        </w:rPr>
        <w:t>Source</w:t>
      </w:r>
      <w:r>
        <w:t>: Commission estimates based on DAFF Annual Report 2007</w:t>
      </w:r>
      <w:r>
        <w:noBreakHyphen/>
        <w:t>08.</w:t>
      </w:r>
    </w:p>
    <w:p w:rsidR="00F26E4E" w:rsidRDefault="00FA09C3" w:rsidP="00F26E4E">
      <w:pPr>
        <w:pStyle w:val="Heading2"/>
      </w:pPr>
      <w:r>
        <w:t>A.</w:t>
      </w:r>
      <w:r>
        <w:rPr>
          <w:noProof/>
        </w:rPr>
        <w:t>200</w:t>
      </w:r>
      <w:r w:rsidR="00F26E4E">
        <w:tab/>
        <w:t>Port Kembla Industry Facilitation Fund</w:t>
      </w:r>
    </w:p>
    <w:p w:rsidR="00F26E4E" w:rsidRDefault="00F26E4E" w:rsidP="00F26E4E">
      <w:pPr>
        <w:pStyle w:val="BodyText"/>
      </w:pPr>
      <w:r>
        <w:t xml:space="preserve">Announced on 29 June 2006, the $5 million Port Kembla Industry Facilitation Fund provided grants for job creation to eligible businesses in the Port Kembla region following closure of the BlueScope Steel tin mill </w:t>
      </w:r>
      <w:r w:rsidRPr="002F5C9C">
        <w:t>(</w:t>
      </w:r>
      <w:r w:rsidRPr="00E80A54">
        <w:t>DIISR 2007</w:t>
      </w:r>
      <w:r w:rsidRPr="002F5C9C">
        <w:t>)</w:t>
      </w:r>
      <w:r>
        <w:t>.</w:t>
      </w:r>
    </w:p>
    <w:p w:rsidR="00F26E4E" w:rsidRDefault="00F26E4E" w:rsidP="00F26E4E">
      <w:pPr>
        <w:pStyle w:val="BodyText"/>
      </w:pPr>
      <w:r>
        <w:t>The Fund closed during 2007</w:t>
      </w:r>
      <w:r>
        <w:noBreakHyphen/>
        <w:t xml:space="preserve">08 </w:t>
      </w:r>
      <w:r w:rsidRPr="002F5C9C">
        <w:t>(</w:t>
      </w:r>
      <w:r w:rsidRPr="00E80A54">
        <w:t>DIISR 2008</w:t>
      </w:r>
      <w:r w:rsidRPr="002F5C9C">
        <w:t>)</w:t>
      </w:r>
      <w:r>
        <w:t>.</w:t>
      </w:r>
    </w:p>
    <w:p w:rsidR="00F26E4E" w:rsidRDefault="00F26E4E" w:rsidP="00F26E4E">
      <w:pPr>
        <w:pStyle w:val="BodyText"/>
      </w:pPr>
      <w:r>
        <w:t>I</w:t>
      </w:r>
      <w:r w:rsidRPr="002956B6">
        <w:t xml:space="preserve">nformation on the industry incidence of </w:t>
      </w:r>
      <w:r>
        <w:t>the program</w:t>
      </w:r>
      <w:r w:rsidRPr="002956B6">
        <w:t xml:space="preserve"> </w:t>
      </w:r>
      <w:r>
        <w:t xml:space="preserve">has not been readily available. Accordingly, the budget outlay </w:t>
      </w:r>
      <w:r w:rsidRPr="002956B6">
        <w:t xml:space="preserve">has </w:t>
      </w:r>
      <w:r>
        <w:t>been classifi</w:t>
      </w:r>
      <w:r w:rsidRPr="002956B6">
        <w:t xml:space="preserve">ed to the </w:t>
      </w:r>
      <w:r w:rsidRPr="002956B6">
        <w:rPr>
          <w:i/>
        </w:rPr>
        <w:t>Unallocated other</w:t>
      </w:r>
      <w:r w:rsidRPr="002956B6">
        <w:t xml:space="preserve"> industry grouping in the Commission’s ANZSIC-based classification (table</w:t>
      </w:r>
      <w:r w:rsidR="00605FAE">
        <w:t> </w:t>
      </w:r>
      <w:r w:rsidRPr="002956B6">
        <w:t>A.</w:t>
      </w:r>
      <w:r>
        <w:t>200</w:t>
      </w:r>
      <w:r w:rsidRPr="002956B6">
        <w:t>).</w:t>
      </w:r>
    </w:p>
    <w:p w:rsidR="00F26E4E" w:rsidRDefault="00F26E4E" w:rsidP="00F26E4E">
      <w:pPr>
        <w:pStyle w:val="TableTitle"/>
      </w:pPr>
      <w:r>
        <w:rPr>
          <w:b w:val="0"/>
        </w:rPr>
        <w:t xml:space="preserve">Table </w:t>
      </w:r>
      <w:r w:rsidR="00FA09C3">
        <w:rPr>
          <w:b w:val="0"/>
        </w:rPr>
        <w:t>A.</w:t>
      </w:r>
      <w:r w:rsidR="00FA09C3">
        <w:rPr>
          <w:b w:val="0"/>
          <w:noProof/>
        </w:rPr>
        <w:t>200</w:t>
      </w:r>
      <w:r>
        <w:tab/>
        <w:t>Allocation of Port Kembla Industry Facilitation Fund</w:t>
      </w:r>
      <w:r w:rsidR="00571E36" w:rsidRPr="00571E36">
        <w:t xml:space="preserve"> to industry</w:t>
      </w:r>
      <w:r>
        <w:t>, 2006</w:t>
      </w:r>
      <w:r>
        <w:noBreakHyphen/>
        <w:t>07 to 2011</w:t>
      </w:r>
      <w:r>
        <w:noBreakHyphen/>
        <w:t>12</w:t>
      </w:r>
    </w:p>
    <w:p w:rsidR="00F26E4E" w:rsidRDefault="00F26E4E" w:rsidP="00F26E4E">
      <w:pPr>
        <w:pStyle w:val="Subtitle"/>
      </w:pPr>
      <w:r>
        <w:t>$</w:t>
      </w:r>
      <w:r w:rsidR="00F53C2C">
        <w:t xml:space="preserve"> </w:t>
      </w:r>
      <w:r>
        <w:t>million (nominal)</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F26E4E" w:rsidRPr="00AF699A" w:rsidTr="00641283">
        <w:trPr>
          <w:trHeight w:val="340"/>
        </w:trPr>
        <w:tc>
          <w:tcPr>
            <w:tcW w:w="1958" w:type="pct"/>
            <w:tcBorders>
              <w:top w:val="single" w:sz="6" w:space="0" w:color="auto"/>
              <w:bottom w:val="single" w:sz="6" w:space="0" w:color="auto"/>
            </w:tcBorders>
          </w:tcPr>
          <w:p w:rsidR="00F26E4E" w:rsidRPr="00AF699A" w:rsidRDefault="00F26E4E" w:rsidP="00AB38B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F26E4E" w:rsidRPr="00AF699A" w:rsidRDefault="00F26E4E"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F26E4E" w:rsidRPr="00AF699A" w:rsidRDefault="00F26E4E" w:rsidP="00AB38B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F26E4E" w:rsidRPr="00AF699A" w:rsidRDefault="00F26E4E" w:rsidP="00AB38B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F26E4E" w:rsidRPr="00AF699A" w:rsidRDefault="00F26E4E" w:rsidP="00AB38B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F26E4E" w:rsidRPr="00AF699A" w:rsidRDefault="00F26E4E" w:rsidP="00AB38B4">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F26E4E" w:rsidRPr="00AF699A" w:rsidRDefault="00F26E4E" w:rsidP="00AB38B4">
            <w:pPr>
              <w:pStyle w:val="TableColumnHeading"/>
              <w:ind w:right="28"/>
              <w:rPr>
                <w:rFonts w:cs="Arial"/>
                <w:sz w:val="18"/>
                <w:szCs w:val="18"/>
              </w:rPr>
            </w:pPr>
            <w:r w:rsidRPr="00AF699A">
              <w:rPr>
                <w:rFonts w:cs="Arial"/>
                <w:sz w:val="18"/>
                <w:szCs w:val="18"/>
              </w:rPr>
              <w:t>2011-12</w:t>
            </w:r>
          </w:p>
        </w:tc>
      </w:tr>
      <w:tr w:rsidR="00F26E4E" w:rsidRPr="001E2B09" w:rsidTr="00AB38B4">
        <w:tc>
          <w:tcPr>
            <w:tcW w:w="1958" w:type="pct"/>
            <w:tcBorders>
              <w:bottom w:val="single" w:sz="4" w:space="0" w:color="auto"/>
            </w:tcBorders>
            <w:vAlign w:val="bottom"/>
          </w:tcPr>
          <w:p w:rsidR="00F26E4E" w:rsidRPr="001E2B09" w:rsidRDefault="00F26E4E" w:rsidP="00AB38B4">
            <w:pPr>
              <w:pStyle w:val="TableBodyText"/>
              <w:jc w:val="left"/>
            </w:pPr>
            <w:r w:rsidRPr="001E2B09">
              <w:t>Unallocated other</w:t>
            </w:r>
            <w:r w:rsidRPr="00641283">
              <w:rPr>
                <w:rStyle w:val="NoteLabel"/>
                <w:szCs w:val="18"/>
              </w:rPr>
              <w:t>a</w:t>
            </w:r>
          </w:p>
        </w:tc>
        <w:tc>
          <w:tcPr>
            <w:tcW w:w="507" w:type="pct"/>
            <w:tcBorders>
              <w:bottom w:val="single" w:sz="4" w:space="0" w:color="auto"/>
            </w:tcBorders>
            <w:vAlign w:val="bottom"/>
          </w:tcPr>
          <w:p w:rsidR="00F26E4E" w:rsidRPr="001E2B09" w:rsidRDefault="00F26E4E" w:rsidP="00AB38B4">
            <w:pPr>
              <w:pStyle w:val="TableBodyText"/>
            </w:pPr>
            <w:r w:rsidRPr="001E2B09">
              <w:t>2.4</w:t>
            </w:r>
          </w:p>
        </w:tc>
        <w:tc>
          <w:tcPr>
            <w:tcW w:w="507" w:type="pct"/>
            <w:tcBorders>
              <w:bottom w:val="single" w:sz="4" w:space="0" w:color="auto"/>
            </w:tcBorders>
            <w:vAlign w:val="bottom"/>
          </w:tcPr>
          <w:p w:rsidR="00F26E4E" w:rsidRPr="001E2B09" w:rsidRDefault="00F26E4E" w:rsidP="00AB38B4">
            <w:pPr>
              <w:pStyle w:val="TableBodyText"/>
            </w:pPr>
            <w:r w:rsidRPr="001E2B09">
              <w:t>2.6</w:t>
            </w:r>
          </w:p>
        </w:tc>
        <w:tc>
          <w:tcPr>
            <w:tcW w:w="507" w:type="pct"/>
            <w:tcBorders>
              <w:bottom w:val="single" w:sz="4" w:space="0" w:color="auto"/>
            </w:tcBorders>
            <w:vAlign w:val="bottom"/>
          </w:tcPr>
          <w:p w:rsidR="00F26E4E" w:rsidRPr="001E2B09" w:rsidRDefault="00F26E4E" w:rsidP="00AB38B4">
            <w:pPr>
              <w:pStyle w:val="TableBodyText"/>
            </w:pPr>
            <w:r>
              <w:noBreakHyphen/>
            </w:r>
          </w:p>
        </w:tc>
        <w:tc>
          <w:tcPr>
            <w:tcW w:w="507" w:type="pct"/>
            <w:tcBorders>
              <w:bottom w:val="single" w:sz="4" w:space="0" w:color="auto"/>
            </w:tcBorders>
            <w:vAlign w:val="bottom"/>
          </w:tcPr>
          <w:p w:rsidR="00F26E4E" w:rsidRPr="001E2B09" w:rsidRDefault="00F26E4E" w:rsidP="00AB38B4">
            <w:pPr>
              <w:pStyle w:val="TableBodyText"/>
            </w:pPr>
            <w:r>
              <w:noBreakHyphen/>
            </w:r>
          </w:p>
        </w:tc>
        <w:tc>
          <w:tcPr>
            <w:tcW w:w="507" w:type="pct"/>
            <w:tcBorders>
              <w:bottom w:val="single" w:sz="4" w:space="0" w:color="auto"/>
            </w:tcBorders>
            <w:shd w:val="clear" w:color="auto" w:fill="auto"/>
            <w:vAlign w:val="bottom"/>
          </w:tcPr>
          <w:p w:rsidR="00F26E4E" w:rsidRPr="001E2B09" w:rsidRDefault="00F26E4E" w:rsidP="00AB38B4">
            <w:pPr>
              <w:pStyle w:val="TableBodyText"/>
            </w:pPr>
            <w:r>
              <w:noBreakHyphen/>
            </w:r>
          </w:p>
        </w:tc>
        <w:tc>
          <w:tcPr>
            <w:tcW w:w="507" w:type="pct"/>
            <w:tcBorders>
              <w:bottom w:val="single" w:sz="4" w:space="0" w:color="auto"/>
            </w:tcBorders>
            <w:shd w:val="clear" w:color="auto" w:fill="auto"/>
            <w:vAlign w:val="bottom"/>
          </w:tcPr>
          <w:p w:rsidR="00F26E4E" w:rsidRPr="001E2B09" w:rsidRDefault="00F26E4E" w:rsidP="00AB38B4">
            <w:pPr>
              <w:pStyle w:val="TableBodyText"/>
            </w:pPr>
            <w:r>
              <w:noBreakHyphen/>
            </w:r>
          </w:p>
        </w:tc>
      </w:tr>
    </w:tbl>
    <w:p w:rsidR="00F26E4E" w:rsidRDefault="00F26E4E" w:rsidP="00F26E4E">
      <w:pPr>
        <w:pStyle w:val="Note"/>
      </w:pPr>
      <w:r w:rsidRPr="00A2379F">
        <w:noBreakHyphen/>
        <w:t xml:space="preserve"> Nil</w:t>
      </w:r>
      <w:r>
        <w:t>.</w:t>
      </w:r>
      <w:r w:rsidRPr="008E77FE">
        <w:rPr>
          <w:rStyle w:val="NoteLabel"/>
        </w:rPr>
        <w:t xml:space="preserve"> a</w:t>
      </w:r>
      <w:r>
        <w:t xml:space="preserve"> </w:t>
      </w:r>
      <w:r w:rsidRPr="009B56F1">
        <w:t>Unallocated includes general programs where detai</w:t>
      </w:r>
      <w:r>
        <w:t>ls of beneficiaries are unknown.</w:t>
      </w:r>
    </w:p>
    <w:p w:rsidR="00F26E4E" w:rsidRPr="008E77FE" w:rsidRDefault="00F26E4E" w:rsidP="00F26E4E">
      <w:pPr>
        <w:pStyle w:val="Source"/>
      </w:pPr>
      <w:r>
        <w:rPr>
          <w:i/>
        </w:rPr>
        <w:t>Sources</w:t>
      </w:r>
      <w:r>
        <w:t>: Commission estimates based on DIISR Annual Report 2007</w:t>
      </w:r>
      <w:r>
        <w:noBreakHyphen/>
        <w:t>08; and Department of Industry, Tourism and Resources Annual Report 2006</w:t>
      </w:r>
      <w:r>
        <w:noBreakHyphen/>
        <w:t>07.</w:t>
      </w:r>
    </w:p>
    <w:p w:rsidR="00F26E4E" w:rsidRDefault="00FA09C3" w:rsidP="00F26E4E">
      <w:pPr>
        <w:pStyle w:val="Heading2"/>
      </w:pPr>
      <w:r>
        <w:t>A.</w:t>
      </w:r>
      <w:r>
        <w:rPr>
          <w:noProof/>
        </w:rPr>
        <w:t>201</w:t>
      </w:r>
      <w:r w:rsidR="00F26E4E">
        <w:tab/>
        <w:t>Beaconsfield Community Fund</w:t>
      </w:r>
    </w:p>
    <w:p w:rsidR="00F26E4E" w:rsidRDefault="00F26E4E" w:rsidP="00F26E4E">
      <w:pPr>
        <w:pStyle w:val="BodyText"/>
      </w:pPr>
      <w:r>
        <w:t>Launched in June 2006, the $8 million Beaconsfield Community Fund aimed to help the Beaconsfield community recover after the tragic mining accident on 25 April 2006 that led to the mine’s closure for several months. The program offered grants for a range of economic, social, and culturally related projects to help aid recovery (</w:t>
      </w:r>
      <w:r w:rsidRPr="00E80A54">
        <w:t>DITR 2007a</w:t>
      </w:r>
      <w:r>
        <w:t>).</w:t>
      </w:r>
    </w:p>
    <w:p w:rsidR="00F26E4E" w:rsidRDefault="00F26E4E" w:rsidP="00F26E4E">
      <w:pPr>
        <w:pStyle w:val="BodyText"/>
      </w:pPr>
      <w:r>
        <w:t>For 2006</w:t>
      </w:r>
      <w:r>
        <w:noBreakHyphen/>
        <w:t>07, details of funded projects were used to allocate total funding across the Commission’s ANZSIC-based industry groupings. For 2007</w:t>
      </w:r>
      <w:r>
        <w:noBreakHyphen/>
        <w:t>08, this information was not readily available</w:t>
      </w:r>
      <w:r w:rsidR="0083544E">
        <w:t xml:space="preserve"> </w:t>
      </w:r>
      <w:r w:rsidRPr="00354D5E">
        <w:t>(table</w:t>
      </w:r>
      <w:r>
        <w:t> </w:t>
      </w:r>
      <w:r w:rsidRPr="00354D5E">
        <w:t>A.</w:t>
      </w:r>
      <w:r>
        <w:t>201</w:t>
      </w:r>
      <w:r w:rsidRPr="00354D5E">
        <w:t>)</w:t>
      </w:r>
      <w:r>
        <w:t>.</w:t>
      </w:r>
    </w:p>
    <w:p w:rsidR="00F26E4E" w:rsidRDefault="00F26E4E" w:rsidP="00F26E4E">
      <w:pPr>
        <w:pStyle w:val="TableTitle"/>
      </w:pPr>
      <w:r>
        <w:rPr>
          <w:b w:val="0"/>
        </w:rPr>
        <w:t xml:space="preserve">Table </w:t>
      </w:r>
      <w:r w:rsidR="00FA09C3">
        <w:rPr>
          <w:b w:val="0"/>
        </w:rPr>
        <w:t>A.</w:t>
      </w:r>
      <w:r w:rsidR="00FA09C3">
        <w:rPr>
          <w:b w:val="0"/>
          <w:noProof/>
        </w:rPr>
        <w:t>201</w:t>
      </w:r>
      <w:r>
        <w:tab/>
        <w:t xml:space="preserve">Allocation of Beaconsfield Community Fund </w:t>
      </w:r>
      <w:r w:rsidR="00571E36" w:rsidRPr="00571E36">
        <w:t>to industry</w:t>
      </w:r>
      <w:r>
        <w:t>, 2006</w:t>
      </w:r>
      <w:r>
        <w:noBreakHyphen/>
        <w:t>07 to 2011</w:t>
      </w:r>
      <w:r>
        <w:noBreakHyphen/>
        <w:t>12</w:t>
      </w:r>
    </w:p>
    <w:p w:rsidR="00F26E4E" w:rsidRDefault="000E1A26" w:rsidP="00F26E4E">
      <w:pPr>
        <w:pStyle w:val="Subtitle"/>
      </w:pPr>
      <w:r>
        <w:t>$ m</w:t>
      </w:r>
      <w:r w:rsidR="00F26E4E">
        <w:t>illion (nominal)</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F26E4E" w:rsidRPr="00AF699A" w:rsidTr="00641283">
        <w:trPr>
          <w:trHeight w:val="340"/>
        </w:trPr>
        <w:tc>
          <w:tcPr>
            <w:tcW w:w="1958" w:type="pct"/>
            <w:tcBorders>
              <w:top w:val="single" w:sz="6" w:space="0" w:color="auto"/>
              <w:bottom w:val="single" w:sz="6" w:space="0" w:color="auto"/>
            </w:tcBorders>
          </w:tcPr>
          <w:p w:rsidR="00F26E4E" w:rsidRPr="00AF699A" w:rsidRDefault="00F26E4E" w:rsidP="00AB38B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F26E4E" w:rsidRPr="00AF699A" w:rsidRDefault="00F26E4E"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F26E4E" w:rsidRPr="00AF699A" w:rsidRDefault="00F26E4E" w:rsidP="00AB38B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F26E4E" w:rsidRPr="00AF699A" w:rsidRDefault="00F26E4E" w:rsidP="00AB38B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F26E4E" w:rsidRPr="00AF699A" w:rsidRDefault="00F26E4E" w:rsidP="00AB38B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F26E4E" w:rsidRPr="00AF699A" w:rsidRDefault="00F26E4E" w:rsidP="00AB38B4">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F26E4E" w:rsidRPr="00AF699A" w:rsidRDefault="00F26E4E" w:rsidP="00AB38B4">
            <w:pPr>
              <w:pStyle w:val="TableColumnHeading"/>
              <w:ind w:right="28"/>
              <w:rPr>
                <w:rFonts w:cs="Arial"/>
                <w:sz w:val="18"/>
                <w:szCs w:val="18"/>
              </w:rPr>
            </w:pPr>
            <w:r w:rsidRPr="00AF699A">
              <w:rPr>
                <w:rFonts w:cs="Arial"/>
                <w:sz w:val="18"/>
                <w:szCs w:val="18"/>
              </w:rPr>
              <w:t>2011-12</w:t>
            </w:r>
          </w:p>
        </w:tc>
      </w:tr>
      <w:tr w:rsidR="00F26E4E" w:rsidRPr="008C58EA" w:rsidTr="00AB38B4">
        <w:tc>
          <w:tcPr>
            <w:tcW w:w="1958" w:type="pct"/>
            <w:vAlign w:val="bottom"/>
          </w:tcPr>
          <w:p w:rsidR="00F26E4E" w:rsidRPr="006F5E94" w:rsidRDefault="00F26E4E" w:rsidP="00AB38B4">
            <w:pPr>
              <w:pStyle w:val="TableBodyText"/>
              <w:jc w:val="left"/>
              <w:rPr>
                <w:b/>
              </w:rPr>
            </w:pPr>
            <w:r w:rsidRPr="006F5E94">
              <w:rPr>
                <w:b/>
              </w:rPr>
              <w:t>Mining</w:t>
            </w:r>
          </w:p>
        </w:tc>
        <w:tc>
          <w:tcPr>
            <w:tcW w:w="507" w:type="pct"/>
            <w:vAlign w:val="bottom"/>
          </w:tcPr>
          <w:p w:rsidR="00F26E4E" w:rsidRPr="006F5E94" w:rsidRDefault="00F26E4E" w:rsidP="00AB38B4">
            <w:pPr>
              <w:pStyle w:val="TableBodyText"/>
              <w:rPr>
                <w:b/>
              </w:rPr>
            </w:pPr>
            <w:r w:rsidRPr="006F5E94">
              <w:rPr>
                <w:b/>
              </w:rPr>
              <w:t>3.2</w:t>
            </w:r>
          </w:p>
        </w:tc>
        <w:tc>
          <w:tcPr>
            <w:tcW w:w="507" w:type="pct"/>
            <w:vAlign w:val="bottom"/>
          </w:tcPr>
          <w:p w:rsidR="00F26E4E" w:rsidRPr="006F5E94" w:rsidRDefault="00F26E4E" w:rsidP="00AB38B4">
            <w:pPr>
              <w:pStyle w:val="TableBodyText"/>
              <w:rPr>
                <w:b/>
              </w:rPr>
            </w:pPr>
            <w:r w:rsidRPr="006F5E94">
              <w:rPr>
                <w:b/>
              </w:rPr>
              <w:noBreakHyphen/>
            </w:r>
          </w:p>
        </w:tc>
        <w:tc>
          <w:tcPr>
            <w:tcW w:w="507" w:type="pct"/>
            <w:vAlign w:val="bottom"/>
          </w:tcPr>
          <w:p w:rsidR="00F26E4E" w:rsidRPr="006F5E94" w:rsidRDefault="00F26E4E" w:rsidP="00AB38B4">
            <w:pPr>
              <w:pStyle w:val="TableBodyText"/>
              <w:rPr>
                <w:b/>
              </w:rPr>
            </w:pPr>
            <w:r w:rsidRPr="006F5E94">
              <w:rPr>
                <w:b/>
              </w:rPr>
              <w:noBreakHyphen/>
            </w:r>
          </w:p>
        </w:tc>
        <w:tc>
          <w:tcPr>
            <w:tcW w:w="507" w:type="pct"/>
            <w:vAlign w:val="bottom"/>
          </w:tcPr>
          <w:p w:rsidR="00F26E4E" w:rsidRPr="006F5E94" w:rsidRDefault="00F26E4E" w:rsidP="00AB38B4">
            <w:pPr>
              <w:pStyle w:val="TableBodyText"/>
              <w:rPr>
                <w:b/>
              </w:rPr>
            </w:pPr>
            <w:r w:rsidRPr="006F5E94">
              <w:rPr>
                <w:b/>
              </w:rPr>
              <w:noBreakHyphen/>
            </w:r>
          </w:p>
        </w:tc>
        <w:tc>
          <w:tcPr>
            <w:tcW w:w="507" w:type="pct"/>
            <w:shd w:val="clear" w:color="auto" w:fill="auto"/>
            <w:vAlign w:val="bottom"/>
          </w:tcPr>
          <w:p w:rsidR="00F26E4E" w:rsidRPr="006F5E94" w:rsidRDefault="00F26E4E" w:rsidP="00AB38B4">
            <w:pPr>
              <w:pStyle w:val="TableBodyText"/>
              <w:rPr>
                <w:b/>
              </w:rPr>
            </w:pPr>
            <w:r w:rsidRPr="006F5E94">
              <w:rPr>
                <w:b/>
              </w:rPr>
              <w:noBreakHyphen/>
            </w:r>
          </w:p>
        </w:tc>
        <w:tc>
          <w:tcPr>
            <w:tcW w:w="507" w:type="pct"/>
            <w:shd w:val="clear" w:color="auto" w:fill="auto"/>
            <w:vAlign w:val="bottom"/>
          </w:tcPr>
          <w:p w:rsidR="00F26E4E" w:rsidRPr="006F5E94" w:rsidRDefault="00F26E4E" w:rsidP="00AB38B4">
            <w:pPr>
              <w:pStyle w:val="TableBodyText"/>
              <w:rPr>
                <w:b/>
              </w:rPr>
            </w:pPr>
            <w:r w:rsidRPr="006F5E94">
              <w:rPr>
                <w:b/>
              </w:rPr>
              <w:noBreakHyphen/>
            </w:r>
          </w:p>
        </w:tc>
      </w:tr>
      <w:tr w:rsidR="00F26E4E" w:rsidRPr="008C58EA" w:rsidTr="00AB38B4">
        <w:tc>
          <w:tcPr>
            <w:tcW w:w="1958" w:type="pct"/>
            <w:vAlign w:val="bottom"/>
          </w:tcPr>
          <w:p w:rsidR="00F26E4E" w:rsidRPr="00EB74A6" w:rsidRDefault="00F26E4E" w:rsidP="00AB38B4">
            <w:pPr>
              <w:pStyle w:val="TableBodyText"/>
              <w:jc w:val="left"/>
            </w:pPr>
            <w:r w:rsidRPr="00EB74A6">
              <w:t>Unallocated other</w:t>
            </w:r>
            <w:r w:rsidRPr="00641283">
              <w:rPr>
                <w:rStyle w:val="NoteLabel"/>
                <w:szCs w:val="18"/>
              </w:rPr>
              <w:t>a</w:t>
            </w:r>
          </w:p>
        </w:tc>
        <w:tc>
          <w:tcPr>
            <w:tcW w:w="507" w:type="pct"/>
            <w:vAlign w:val="bottom"/>
          </w:tcPr>
          <w:p w:rsidR="00F26E4E" w:rsidRPr="00EB74A6" w:rsidRDefault="00F26E4E" w:rsidP="00AB38B4">
            <w:pPr>
              <w:pStyle w:val="TableBodyText"/>
            </w:pPr>
            <w:r w:rsidRPr="00EB74A6">
              <w:t>1.0</w:t>
            </w:r>
          </w:p>
        </w:tc>
        <w:tc>
          <w:tcPr>
            <w:tcW w:w="507" w:type="pct"/>
            <w:vAlign w:val="bottom"/>
          </w:tcPr>
          <w:p w:rsidR="00F26E4E" w:rsidRPr="00EB74A6" w:rsidRDefault="00F26E4E" w:rsidP="00AB38B4">
            <w:pPr>
              <w:pStyle w:val="TableBodyText"/>
            </w:pPr>
            <w:r w:rsidRPr="00EB74A6">
              <w:t>2.4</w:t>
            </w:r>
          </w:p>
        </w:tc>
        <w:tc>
          <w:tcPr>
            <w:tcW w:w="507" w:type="pct"/>
            <w:vAlign w:val="bottom"/>
          </w:tcPr>
          <w:p w:rsidR="00F26E4E" w:rsidRPr="00EB74A6" w:rsidRDefault="00F26E4E" w:rsidP="00AB38B4">
            <w:pPr>
              <w:pStyle w:val="TableBodyText"/>
            </w:pPr>
            <w:r>
              <w:noBreakHyphen/>
            </w:r>
          </w:p>
        </w:tc>
        <w:tc>
          <w:tcPr>
            <w:tcW w:w="507" w:type="pct"/>
            <w:vAlign w:val="bottom"/>
          </w:tcPr>
          <w:p w:rsidR="00F26E4E" w:rsidRPr="00EB74A6" w:rsidRDefault="00F26E4E" w:rsidP="00AB38B4">
            <w:pPr>
              <w:pStyle w:val="TableBodyText"/>
            </w:pPr>
            <w:r>
              <w:noBreakHyphen/>
            </w:r>
          </w:p>
        </w:tc>
        <w:tc>
          <w:tcPr>
            <w:tcW w:w="507" w:type="pct"/>
            <w:shd w:val="clear" w:color="auto" w:fill="auto"/>
            <w:vAlign w:val="bottom"/>
          </w:tcPr>
          <w:p w:rsidR="00F26E4E" w:rsidRPr="00EB74A6" w:rsidRDefault="00F26E4E" w:rsidP="00AB38B4">
            <w:pPr>
              <w:pStyle w:val="TableBodyText"/>
            </w:pPr>
            <w:r>
              <w:noBreakHyphen/>
            </w:r>
          </w:p>
        </w:tc>
        <w:tc>
          <w:tcPr>
            <w:tcW w:w="507" w:type="pct"/>
            <w:shd w:val="clear" w:color="auto" w:fill="auto"/>
            <w:vAlign w:val="bottom"/>
          </w:tcPr>
          <w:p w:rsidR="00F26E4E" w:rsidRPr="00EB74A6" w:rsidRDefault="00F26E4E" w:rsidP="00AB38B4">
            <w:pPr>
              <w:pStyle w:val="TableBodyText"/>
            </w:pPr>
            <w:r>
              <w:noBreakHyphen/>
            </w:r>
          </w:p>
        </w:tc>
      </w:tr>
      <w:tr w:rsidR="00F26E4E" w:rsidRPr="008C58EA" w:rsidTr="00AB38B4">
        <w:tc>
          <w:tcPr>
            <w:tcW w:w="1958" w:type="pct"/>
            <w:tcBorders>
              <w:bottom w:val="single" w:sz="4" w:space="0" w:color="auto"/>
            </w:tcBorders>
            <w:vAlign w:val="bottom"/>
          </w:tcPr>
          <w:p w:rsidR="00F26E4E" w:rsidRPr="006F5E94" w:rsidRDefault="00F26E4E" w:rsidP="00AB38B4">
            <w:pPr>
              <w:pStyle w:val="TableBodyText"/>
              <w:jc w:val="left"/>
              <w:rPr>
                <w:b/>
              </w:rPr>
            </w:pPr>
            <w:r w:rsidRPr="006F5E94">
              <w:rPr>
                <w:b/>
              </w:rPr>
              <w:t>Total</w:t>
            </w:r>
          </w:p>
        </w:tc>
        <w:tc>
          <w:tcPr>
            <w:tcW w:w="507" w:type="pct"/>
            <w:tcBorders>
              <w:bottom w:val="single" w:sz="4" w:space="0" w:color="auto"/>
            </w:tcBorders>
            <w:vAlign w:val="bottom"/>
          </w:tcPr>
          <w:p w:rsidR="00F26E4E" w:rsidRPr="006F5E94" w:rsidRDefault="00F26E4E" w:rsidP="00AB38B4">
            <w:pPr>
              <w:pStyle w:val="TableBodyText"/>
              <w:rPr>
                <w:b/>
              </w:rPr>
            </w:pPr>
            <w:r w:rsidRPr="006F5E94">
              <w:rPr>
                <w:b/>
              </w:rPr>
              <w:t>4.2</w:t>
            </w:r>
          </w:p>
        </w:tc>
        <w:tc>
          <w:tcPr>
            <w:tcW w:w="507" w:type="pct"/>
            <w:tcBorders>
              <w:bottom w:val="single" w:sz="4" w:space="0" w:color="auto"/>
            </w:tcBorders>
            <w:vAlign w:val="bottom"/>
          </w:tcPr>
          <w:p w:rsidR="00F26E4E" w:rsidRPr="006F5E94" w:rsidRDefault="00F26E4E" w:rsidP="00AB38B4">
            <w:pPr>
              <w:pStyle w:val="TableBodyText"/>
              <w:rPr>
                <w:b/>
              </w:rPr>
            </w:pPr>
            <w:r w:rsidRPr="006F5E94">
              <w:rPr>
                <w:b/>
              </w:rPr>
              <w:t>2.4</w:t>
            </w:r>
          </w:p>
        </w:tc>
        <w:tc>
          <w:tcPr>
            <w:tcW w:w="507" w:type="pct"/>
            <w:tcBorders>
              <w:bottom w:val="single" w:sz="4" w:space="0" w:color="auto"/>
            </w:tcBorders>
            <w:vAlign w:val="bottom"/>
          </w:tcPr>
          <w:p w:rsidR="00F26E4E" w:rsidRPr="006F5E94" w:rsidRDefault="00F26E4E" w:rsidP="00AB38B4">
            <w:pPr>
              <w:pStyle w:val="TableBodyText"/>
              <w:rPr>
                <w:b/>
              </w:rPr>
            </w:pPr>
            <w:r w:rsidRPr="006F5E94">
              <w:rPr>
                <w:b/>
              </w:rPr>
              <w:noBreakHyphen/>
            </w:r>
          </w:p>
        </w:tc>
        <w:tc>
          <w:tcPr>
            <w:tcW w:w="507" w:type="pct"/>
            <w:tcBorders>
              <w:bottom w:val="single" w:sz="4" w:space="0" w:color="auto"/>
            </w:tcBorders>
            <w:vAlign w:val="bottom"/>
          </w:tcPr>
          <w:p w:rsidR="00F26E4E" w:rsidRPr="006F5E94" w:rsidRDefault="00F26E4E" w:rsidP="00AB38B4">
            <w:pPr>
              <w:pStyle w:val="TableBodyText"/>
              <w:rPr>
                <w:b/>
              </w:rPr>
            </w:pPr>
            <w:r w:rsidRPr="006F5E94">
              <w:rPr>
                <w:b/>
              </w:rPr>
              <w:noBreakHyphen/>
            </w:r>
          </w:p>
        </w:tc>
        <w:tc>
          <w:tcPr>
            <w:tcW w:w="507" w:type="pct"/>
            <w:tcBorders>
              <w:bottom w:val="single" w:sz="4" w:space="0" w:color="auto"/>
            </w:tcBorders>
            <w:shd w:val="clear" w:color="auto" w:fill="auto"/>
            <w:vAlign w:val="bottom"/>
          </w:tcPr>
          <w:p w:rsidR="00F26E4E" w:rsidRPr="006F5E94" w:rsidRDefault="00F26E4E" w:rsidP="00AB38B4">
            <w:pPr>
              <w:pStyle w:val="TableBodyText"/>
              <w:rPr>
                <w:b/>
              </w:rPr>
            </w:pPr>
            <w:r w:rsidRPr="006F5E94">
              <w:rPr>
                <w:b/>
              </w:rPr>
              <w:noBreakHyphen/>
            </w:r>
          </w:p>
        </w:tc>
        <w:tc>
          <w:tcPr>
            <w:tcW w:w="507" w:type="pct"/>
            <w:tcBorders>
              <w:bottom w:val="single" w:sz="4" w:space="0" w:color="auto"/>
            </w:tcBorders>
            <w:shd w:val="clear" w:color="auto" w:fill="auto"/>
            <w:vAlign w:val="bottom"/>
          </w:tcPr>
          <w:p w:rsidR="00F26E4E" w:rsidRPr="006F5E94" w:rsidRDefault="00F26E4E" w:rsidP="00AB38B4">
            <w:pPr>
              <w:pStyle w:val="TableBodyText"/>
              <w:rPr>
                <w:b/>
              </w:rPr>
            </w:pPr>
            <w:r w:rsidRPr="006F5E94">
              <w:rPr>
                <w:b/>
              </w:rPr>
              <w:noBreakHyphen/>
            </w:r>
          </w:p>
        </w:tc>
      </w:tr>
    </w:tbl>
    <w:p w:rsidR="00F26E4E" w:rsidRPr="00F60026" w:rsidRDefault="00F26E4E" w:rsidP="00F26E4E">
      <w:pPr>
        <w:pStyle w:val="Source"/>
        <w:spacing w:after="0"/>
        <w:rPr>
          <w:i/>
        </w:rPr>
      </w:pPr>
      <w:r w:rsidRPr="00A2379F">
        <w:noBreakHyphen/>
        <w:t xml:space="preserve"> Nil.</w:t>
      </w:r>
      <w:r>
        <w:t xml:space="preserve"> </w:t>
      </w:r>
      <w:r w:rsidRPr="008E77FE">
        <w:rPr>
          <w:rStyle w:val="NoteLabel"/>
        </w:rPr>
        <w:t>a</w:t>
      </w:r>
      <w:r>
        <w:t xml:space="preserve"> </w:t>
      </w:r>
      <w:r w:rsidRPr="009B56F1">
        <w:t>Unallocated includes general programs where detai</w:t>
      </w:r>
      <w:r>
        <w:t>ls of beneficiaries are unknown.</w:t>
      </w:r>
    </w:p>
    <w:p w:rsidR="00F26E4E" w:rsidRDefault="00F26E4E" w:rsidP="00F26E4E">
      <w:pPr>
        <w:pStyle w:val="Source"/>
      </w:pPr>
      <w:r>
        <w:rPr>
          <w:i/>
        </w:rPr>
        <w:t>Sources</w:t>
      </w:r>
      <w:r>
        <w:t>: Commission estimates based on DIISR Annual Report 2007</w:t>
      </w:r>
      <w:r>
        <w:noBreakHyphen/>
        <w:t>08; and Department of Industry, Tourism and Resources Annual Report 2006</w:t>
      </w:r>
      <w:r>
        <w:noBreakHyphen/>
        <w:t>07.</w:t>
      </w:r>
    </w:p>
    <w:p w:rsidR="00CC78E1" w:rsidRPr="00CC78E1" w:rsidRDefault="00CC78E1" w:rsidP="00CC78E1">
      <w:pPr>
        <w:pStyle w:val="Source"/>
      </w:pPr>
      <w:r>
        <w:br w:type="page"/>
      </w:r>
    </w:p>
    <w:p w:rsidR="00F26E4E" w:rsidRDefault="00FA09C3" w:rsidP="00F26E4E">
      <w:pPr>
        <w:pStyle w:val="Heading2"/>
      </w:pPr>
      <w:r>
        <w:t>A.</w:t>
      </w:r>
      <w:r>
        <w:rPr>
          <w:noProof/>
        </w:rPr>
        <w:t>202</w:t>
      </w:r>
      <w:r w:rsidR="00F26E4E">
        <w:tab/>
        <w:t>Food Processing in Regional Australia Program</w:t>
      </w:r>
    </w:p>
    <w:p w:rsidR="00F26E4E" w:rsidRPr="00D40533" w:rsidRDefault="00F26E4E" w:rsidP="00F26E4E">
      <w:pPr>
        <w:pStyle w:val="BodyText"/>
      </w:pPr>
      <w:r>
        <w:t>The Food Processing in Regional Australia Program funded projects that aimed to increase t</w:t>
      </w:r>
      <w:r w:rsidRPr="00F069D7">
        <w:t>he capacity of agribusinesses and food processing businesses in rural and regional Austral</w:t>
      </w:r>
      <w:r>
        <w:t xml:space="preserve">ia to add value to food produce and </w:t>
      </w:r>
      <w:r w:rsidRPr="00F069D7">
        <w:t>commodities</w:t>
      </w:r>
      <w:r>
        <w:t>. In doing so, the Program aimed to build commercially sustainable industries with better responsiveness to market conditions (</w:t>
      </w:r>
      <w:r w:rsidRPr="00E80A54">
        <w:t>DAFF 2008</w:t>
      </w:r>
      <w:r>
        <w:t>).</w:t>
      </w:r>
    </w:p>
    <w:p w:rsidR="00F26E4E" w:rsidRDefault="00F26E4E" w:rsidP="00F26E4E">
      <w:pPr>
        <w:pStyle w:val="BodyText"/>
      </w:pPr>
      <w:r>
        <w:t>The Program closed at the end of the 2007</w:t>
      </w:r>
      <w:r>
        <w:noBreakHyphen/>
        <w:t>08 financial year.</w:t>
      </w:r>
    </w:p>
    <w:p w:rsidR="00F26E4E" w:rsidRDefault="00F26E4E" w:rsidP="00F26E4E">
      <w:pPr>
        <w:pStyle w:val="BodyText"/>
      </w:pPr>
      <w:r>
        <w:t>Program funding</w:t>
      </w:r>
      <w:r w:rsidRPr="00487C05">
        <w:t xml:space="preserve"> has been allocated to the </w:t>
      </w:r>
      <w:r w:rsidRPr="00487C05">
        <w:rPr>
          <w:i/>
        </w:rPr>
        <w:t>Food, beverages and tobacco</w:t>
      </w:r>
      <w:r w:rsidRPr="00487C05">
        <w:t xml:space="preserve"> industry </w:t>
      </w:r>
      <w:r>
        <w:t xml:space="preserve">grouping </w:t>
      </w:r>
      <w:r w:rsidRPr="00487C05">
        <w:t xml:space="preserve">in the Commission’s ANZSIC-based </w:t>
      </w:r>
      <w:r>
        <w:t>classification</w:t>
      </w:r>
      <w:r w:rsidRPr="00487C05">
        <w:t xml:space="preserve"> (table</w:t>
      </w:r>
      <w:r>
        <w:t> </w:t>
      </w:r>
      <w:r w:rsidRPr="00487C05">
        <w:t>A.</w:t>
      </w:r>
      <w:r>
        <w:t>202</w:t>
      </w:r>
      <w:r w:rsidRPr="00487C05">
        <w:t>).</w:t>
      </w:r>
    </w:p>
    <w:p w:rsidR="00F26E4E" w:rsidRDefault="00F26E4E" w:rsidP="00F26E4E">
      <w:pPr>
        <w:pStyle w:val="TableTitle"/>
      </w:pPr>
      <w:r>
        <w:rPr>
          <w:b w:val="0"/>
        </w:rPr>
        <w:t xml:space="preserve">Table </w:t>
      </w:r>
      <w:r w:rsidR="00FA09C3">
        <w:rPr>
          <w:b w:val="0"/>
        </w:rPr>
        <w:t>A.</w:t>
      </w:r>
      <w:r w:rsidR="00FA09C3">
        <w:rPr>
          <w:b w:val="0"/>
          <w:noProof/>
        </w:rPr>
        <w:t>202</w:t>
      </w:r>
      <w:r>
        <w:tab/>
        <w:t>Allocation of Food Processing in Regional Australia Program</w:t>
      </w:r>
      <w:r w:rsidR="00571E36" w:rsidRPr="00571E36">
        <w:t xml:space="preserve"> to industry</w:t>
      </w:r>
      <w:r>
        <w:t>, 2006</w:t>
      </w:r>
      <w:r>
        <w:noBreakHyphen/>
        <w:t>07 to 2011</w:t>
      </w:r>
      <w:r>
        <w:noBreakHyphen/>
        <w:t>12</w:t>
      </w:r>
    </w:p>
    <w:p w:rsidR="00F26E4E" w:rsidRDefault="00F26E4E" w:rsidP="00F26E4E">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F26E4E" w:rsidRPr="00AF699A" w:rsidTr="00AB38B4">
        <w:tc>
          <w:tcPr>
            <w:tcW w:w="1960" w:type="pct"/>
            <w:tcBorders>
              <w:top w:val="single" w:sz="6" w:space="0" w:color="auto"/>
              <w:bottom w:val="single" w:sz="6" w:space="0" w:color="auto"/>
            </w:tcBorders>
          </w:tcPr>
          <w:p w:rsidR="00F26E4E" w:rsidRPr="00AF699A" w:rsidRDefault="00F26E4E" w:rsidP="00AB38B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F26E4E" w:rsidRPr="00AF699A" w:rsidRDefault="00F26E4E"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F26E4E" w:rsidRPr="00AF699A" w:rsidRDefault="00F26E4E" w:rsidP="00AB38B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F26E4E" w:rsidRPr="00AF699A" w:rsidRDefault="00F26E4E" w:rsidP="00AB38B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F26E4E" w:rsidRPr="00AF699A" w:rsidRDefault="00F26E4E" w:rsidP="00AB38B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F26E4E" w:rsidRPr="00AF699A" w:rsidRDefault="00F26E4E" w:rsidP="00AB38B4">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F26E4E" w:rsidRPr="00AF699A" w:rsidRDefault="00F26E4E" w:rsidP="00AB38B4">
            <w:pPr>
              <w:pStyle w:val="TableColumnHeading"/>
              <w:ind w:right="28"/>
              <w:rPr>
                <w:rFonts w:cs="Arial"/>
                <w:sz w:val="18"/>
                <w:szCs w:val="18"/>
              </w:rPr>
            </w:pPr>
            <w:r w:rsidRPr="00AF699A">
              <w:rPr>
                <w:rFonts w:cs="Arial"/>
                <w:sz w:val="18"/>
                <w:szCs w:val="18"/>
              </w:rPr>
              <w:t>2011-12</w:t>
            </w:r>
          </w:p>
        </w:tc>
      </w:tr>
      <w:tr w:rsidR="00F26E4E" w:rsidRPr="006C5A80" w:rsidTr="00AB38B4">
        <w:tc>
          <w:tcPr>
            <w:tcW w:w="1960" w:type="pct"/>
            <w:tcBorders>
              <w:bottom w:val="single" w:sz="4" w:space="0" w:color="auto"/>
            </w:tcBorders>
            <w:vAlign w:val="bottom"/>
          </w:tcPr>
          <w:p w:rsidR="00F26E4E" w:rsidRPr="00C944BA" w:rsidRDefault="00F26E4E" w:rsidP="00AB38B4">
            <w:pPr>
              <w:pStyle w:val="TableBodyText"/>
              <w:jc w:val="left"/>
            </w:pPr>
            <w:r>
              <w:t>Food, beverages and tobacco</w:t>
            </w:r>
          </w:p>
        </w:tc>
        <w:tc>
          <w:tcPr>
            <w:tcW w:w="507" w:type="pct"/>
            <w:tcBorders>
              <w:bottom w:val="single" w:sz="4" w:space="0" w:color="auto"/>
            </w:tcBorders>
            <w:vAlign w:val="bottom"/>
          </w:tcPr>
          <w:p w:rsidR="00F26E4E" w:rsidRPr="0037003E" w:rsidRDefault="00F26E4E" w:rsidP="00AB38B4">
            <w:pPr>
              <w:pStyle w:val="TableBodyText"/>
            </w:pPr>
            <w:r w:rsidRPr="0037003E">
              <w:t>4.2</w:t>
            </w:r>
          </w:p>
        </w:tc>
        <w:tc>
          <w:tcPr>
            <w:tcW w:w="507" w:type="pct"/>
            <w:tcBorders>
              <w:bottom w:val="single" w:sz="4" w:space="0" w:color="auto"/>
            </w:tcBorders>
            <w:vAlign w:val="bottom"/>
          </w:tcPr>
          <w:p w:rsidR="00F26E4E" w:rsidRPr="0037003E" w:rsidRDefault="00F26E4E" w:rsidP="00AB38B4">
            <w:pPr>
              <w:pStyle w:val="TableBodyText"/>
            </w:pPr>
            <w:r w:rsidRPr="0037003E">
              <w:t>2.3</w:t>
            </w:r>
          </w:p>
        </w:tc>
        <w:tc>
          <w:tcPr>
            <w:tcW w:w="507" w:type="pct"/>
            <w:tcBorders>
              <w:bottom w:val="single" w:sz="4" w:space="0" w:color="auto"/>
            </w:tcBorders>
            <w:vAlign w:val="bottom"/>
          </w:tcPr>
          <w:p w:rsidR="00F26E4E" w:rsidRPr="0037003E" w:rsidRDefault="00F26E4E" w:rsidP="00AB38B4">
            <w:pPr>
              <w:pStyle w:val="TableBodyText"/>
            </w:pPr>
            <w:r>
              <w:noBreakHyphen/>
            </w:r>
          </w:p>
        </w:tc>
        <w:tc>
          <w:tcPr>
            <w:tcW w:w="507" w:type="pct"/>
            <w:tcBorders>
              <w:bottom w:val="single" w:sz="4" w:space="0" w:color="auto"/>
            </w:tcBorders>
            <w:vAlign w:val="bottom"/>
          </w:tcPr>
          <w:p w:rsidR="00F26E4E" w:rsidRPr="0037003E" w:rsidRDefault="00F26E4E" w:rsidP="00AB38B4">
            <w:pPr>
              <w:pStyle w:val="TableBodyText"/>
            </w:pPr>
            <w:r>
              <w:noBreakHyphen/>
            </w:r>
          </w:p>
        </w:tc>
        <w:tc>
          <w:tcPr>
            <w:tcW w:w="507" w:type="pct"/>
            <w:tcBorders>
              <w:bottom w:val="single" w:sz="4" w:space="0" w:color="auto"/>
            </w:tcBorders>
            <w:shd w:val="clear" w:color="auto" w:fill="auto"/>
            <w:vAlign w:val="bottom"/>
          </w:tcPr>
          <w:p w:rsidR="00F26E4E" w:rsidRPr="0037003E" w:rsidRDefault="00F26E4E" w:rsidP="00AB38B4">
            <w:pPr>
              <w:pStyle w:val="TableBodyText"/>
            </w:pPr>
            <w:r>
              <w:noBreakHyphen/>
            </w:r>
          </w:p>
        </w:tc>
        <w:tc>
          <w:tcPr>
            <w:tcW w:w="505" w:type="pct"/>
            <w:tcBorders>
              <w:bottom w:val="single" w:sz="4" w:space="0" w:color="auto"/>
            </w:tcBorders>
            <w:shd w:val="clear" w:color="auto" w:fill="auto"/>
            <w:vAlign w:val="bottom"/>
          </w:tcPr>
          <w:p w:rsidR="00F26E4E" w:rsidRPr="0037003E" w:rsidRDefault="00F26E4E" w:rsidP="00AB38B4">
            <w:pPr>
              <w:pStyle w:val="TableBodyText"/>
            </w:pPr>
            <w:r>
              <w:noBreakHyphen/>
            </w:r>
          </w:p>
        </w:tc>
      </w:tr>
    </w:tbl>
    <w:p w:rsidR="00F26E4E" w:rsidRPr="00F60026" w:rsidRDefault="00F26E4E" w:rsidP="00F26E4E">
      <w:pPr>
        <w:pStyle w:val="Source"/>
        <w:spacing w:after="0"/>
        <w:rPr>
          <w:i/>
        </w:rPr>
      </w:pPr>
      <w:r w:rsidRPr="00A2379F">
        <w:noBreakHyphen/>
        <w:t xml:space="preserve"> </w:t>
      </w:r>
      <w:r>
        <w:t>Nil</w:t>
      </w:r>
      <w:r w:rsidRPr="00A2379F">
        <w:t>.</w:t>
      </w:r>
    </w:p>
    <w:p w:rsidR="00F26E4E" w:rsidRDefault="00F26E4E" w:rsidP="00F26E4E">
      <w:pPr>
        <w:pStyle w:val="Source"/>
      </w:pPr>
      <w:r>
        <w:rPr>
          <w:i/>
        </w:rPr>
        <w:t>Sources</w:t>
      </w:r>
      <w:r>
        <w:t>: Commission estimates based on DAFF Annual Report 2007</w:t>
      </w:r>
      <w:r>
        <w:noBreakHyphen/>
        <w:t>08; and DAFF Portfolio Budget Statements 2007</w:t>
      </w:r>
      <w:r>
        <w:noBreakHyphen/>
        <w:t>08.</w:t>
      </w:r>
    </w:p>
    <w:p w:rsidR="00B976E0" w:rsidRDefault="00FA09C3" w:rsidP="00B976E0">
      <w:pPr>
        <w:pStyle w:val="Heading2"/>
      </w:pPr>
      <w:r>
        <w:t>A.</w:t>
      </w:r>
      <w:r>
        <w:rPr>
          <w:noProof/>
        </w:rPr>
        <w:t>203</w:t>
      </w:r>
      <w:r w:rsidR="00B976E0">
        <w:tab/>
        <w:t>Wheat Export Authority Supplementation</w:t>
      </w:r>
    </w:p>
    <w:p w:rsidR="00B976E0" w:rsidRDefault="00B976E0" w:rsidP="00B976E0">
      <w:pPr>
        <w:pStyle w:val="BodyText"/>
      </w:pPr>
      <w:r w:rsidRPr="00140896">
        <w:t>The Export Wheat Commission (EWC) replaced the Wheat Export Authority (WEA) on 1</w:t>
      </w:r>
      <w:r>
        <w:t> </w:t>
      </w:r>
      <w:r w:rsidRPr="00140896">
        <w:t>October</w:t>
      </w:r>
      <w:r>
        <w:t> 2007. In September 2007, a lump sum grant of $2 million was made with the intention of maintaining the EWC’s solvency (</w:t>
      </w:r>
      <w:r w:rsidRPr="00E80A54">
        <w:t>DAFF 2008</w:t>
      </w:r>
      <w:r>
        <w:t>). This was required because a</w:t>
      </w:r>
      <w:r w:rsidRPr="00140896">
        <w:t xml:space="preserve"> drought and subsequent drop in </w:t>
      </w:r>
      <w:r w:rsidR="00F53C2C">
        <w:t xml:space="preserve">wheat </w:t>
      </w:r>
      <w:r w:rsidRPr="00140896">
        <w:t xml:space="preserve">exports meant </w:t>
      </w:r>
      <w:r>
        <w:t xml:space="preserve">that </w:t>
      </w:r>
      <w:r w:rsidRPr="00140896">
        <w:t>the Wheat Export Charge of 22</w:t>
      </w:r>
      <w:r>
        <w:t> </w:t>
      </w:r>
      <w:r w:rsidRPr="00140896">
        <w:t xml:space="preserve">cents per tonne of wheat exported </w:t>
      </w:r>
      <w:r>
        <w:t xml:space="preserve">had </w:t>
      </w:r>
      <w:r w:rsidRPr="00140896">
        <w:t>collected insufficient revenue to fund</w:t>
      </w:r>
      <w:r>
        <w:t xml:space="preserve"> the operations of the EWC. The $2 million</w:t>
      </w:r>
      <w:r w:rsidRPr="00140896">
        <w:t xml:space="preserve"> grant </w:t>
      </w:r>
      <w:r>
        <w:t xml:space="preserve">aimed to </w:t>
      </w:r>
      <w:r w:rsidRPr="00140896">
        <w:t>allow the EWC to operate effectively in 2007</w:t>
      </w:r>
      <w:r>
        <w:noBreakHyphen/>
      </w:r>
      <w:r w:rsidRPr="00140896">
        <w:t>08</w:t>
      </w:r>
      <w:r>
        <w:t>.</w:t>
      </w:r>
    </w:p>
    <w:p w:rsidR="00B976E0" w:rsidRDefault="00B976E0" w:rsidP="00B976E0">
      <w:pPr>
        <w:pStyle w:val="BodyText"/>
      </w:pPr>
      <w:r w:rsidRPr="008C0031">
        <w:t xml:space="preserve">The </w:t>
      </w:r>
      <w:r>
        <w:t>grant</w:t>
      </w:r>
      <w:r w:rsidRPr="008C0031">
        <w:t xml:space="preserve"> selectively benefited the </w:t>
      </w:r>
      <w:r>
        <w:t>wheat</w:t>
      </w:r>
      <w:r w:rsidRPr="008C0031">
        <w:t xml:space="preserve"> industry and has been allocated to the </w:t>
      </w:r>
      <w:r w:rsidRPr="008C0031">
        <w:rPr>
          <w:i/>
        </w:rPr>
        <w:t>Sheep, beef cattle and grain farming</w:t>
      </w:r>
      <w:r>
        <w:t xml:space="preserve"> industry grouping</w:t>
      </w:r>
      <w:r w:rsidRPr="008C0031">
        <w:t xml:space="preserve"> in the Commission’s ANZSIC-based classification (table</w:t>
      </w:r>
      <w:r>
        <w:t> </w:t>
      </w:r>
      <w:r w:rsidRPr="008C0031">
        <w:t>A.</w:t>
      </w:r>
      <w:r>
        <w:t>203</w:t>
      </w:r>
      <w:r w:rsidRPr="008C0031">
        <w:t>).</w:t>
      </w:r>
    </w:p>
    <w:p w:rsidR="00B976E0" w:rsidRDefault="00B976E0" w:rsidP="00B976E0">
      <w:pPr>
        <w:pStyle w:val="TableTitle"/>
      </w:pPr>
      <w:r>
        <w:rPr>
          <w:b w:val="0"/>
        </w:rPr>
        <w:t xml:space="preserve">Table </w:t>
      </w:r>
      <w:r w:rsidR="00FA09C3">
        <w:rPr>
          <w:b w:val="0"/>
        </w:rPr>
        <w:t>A.</w:t>
      </w:r>
      <w:r w:rsidR="00FA09C3">
        <w:rPr>
          <w:b w:val="0"/>
          <w:noProof/>
        </w:rPr>
        <w:t>203</w:t>
      </w:r>
      <w:r>
        <w:tab/>
        <w:t>Allocation of Wheat Export Authority Supplementation</w:t>
      </w:r>
      <w:r w:rsidR="00571E36" w:rsidRPr="00571E36">
        <w:t xml:space="preserve"> to industry</w:t>
      </w:r>
      <w:r>
        <w:t>, 2006</w:t>
      </w:r>
      <w:r>
        <w:noBreakHyphen/>
        <w:t>07 to 2011</w:t>
      </w:r>
      <w:r>
        <w:noBreakHyphen/>
        <w:t>12</w:t>
      </w:r>
    </w:p>
    <w:p w:rsidR="00B976E0" w:rsidRDefault="00B976E0" w:rsidP="00B976E0">
      <w:pPr>
        <w:pStyle w:val="Subtitle"/>
      </w:pPr>
      <w:r>
        <w:t>$</w:t>
      </w:r>
      <w:r w:rsidR="00F53C2C">
        <w:t xml:space="preserve"> </w:t>
      </w:r>
      <w:r>
        <w:t xml:space="preserve">million (nominal) </w:t>
      </w:r>
    </w:p>
    <w:tbl>
      <w:tblPr>
        <w:tblW w:w="4997" w:type="pct"/>
        <w:tblCellMar>
          <w:left w:w="0" w:type="dxa"/>
          <w:right w:w="0" w:type="dxa"/>
        </w:tblCellMar>
        <w:tblLook w:val="0000" w:firstRow="0" w:lastRow="0" w:firstColumn="0" w:lastColumn="0" w:noHBand="0" w:noVBand="0"/>
      </w:tblPr>
      <w:tblGrid>
        <w:gridCol w:w="3441"/>
        <w:gridCol w:w="892"/>
        <w:gridCol w:w="891"/>
        <w:gridCol w:w="891"/>
        <w:gridCol w:w="891"/>
        <w:gridCol w:w="891"/>
        <w:gridCol w:w="887"/>
      </w:tblGrid>
      <w:tr w:rsidR="00956305" w:rsidRPr="00AF699A" w:rsidTr="00956305">
        <w:trPr>
          <w:trHeight w:val="340"/>
        </w:trPr>
        <w:tc>
          <w:tcPr>
            <w:tcW w:w="1959" w:type="pct"/>
            <w:tcBorders>
              <w:top w:val="single" w:sz="6" w:space="0" w:color="auto"/>
              <w:bottom w:val="single" w:sz="6" w:space="0" w:color="auto"/>
            </w:tcBorders>
          </w:tcPr>
          <w:p w:rsidR="00C7788D" w:rsidRPr="00AF699A" w:rsidRDefault="00C7788D" w:rsidP="00AB38B4">
            <w:pPr>
              <w:pStyle w:val="TableColumnHeading"/>
              <w:jc w:val="left"/>
              <w:rPr>
                <w:rFonts w:cs="Arial"/>
                <w:sz w:val="18"/>
                <w:szCs w:val="18"/>
              </w:rPr>
            </w:pPr>
            <w:r w:rsidRPr="00AF699A">
              <w:rPr>
                <w:rFonts w:cs="Arial"/>
                <w:sz w:val="18"/>
                <w:szCs w:val="18"/>
              </w:rPr>
              <w:t>Industry grouping</w:t>
            </w:r>
          </w:p>
        </w:tc>
        <w:tc>
          <w:tcPr>
            <w:tcW w:w="508" w:type="pct"/>
            <w:tcBorders>
              <w:top w:val="single" w:sz="6" w:space="0" w:color="auto"/>
              <w:bottom w:val="single" w:sz="6" w:space="0" w:color="auto"/>
            </w:tcBorders>
          </w:tcPr>
          <w:p w:rsidR="00C7788D" w:rsidRPr="00AF699A" w:rsidRDefault="00C7788D"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C7788D" w:rsidRPr="00AF699A" w:rsidRDefault="00C7788D" w:rsidP="00AB38B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C7788D" w:rsidRPr="00AF699A" w:rsidRDefault="00C7788D" w:rsidP="00AB38B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C7788D" w:rsidRPr="00AF699A" w:rsidRDefault="00C7788D" w:rsidP="00AB38B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C7788D" w:rsidRPr="00AF699A" w:rsidRDefault="00C7788D" w:rsidP="00AB38B4">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C7788D" w:rsidRPr="00AF699A" w:rsidRDefault="00C7788D" w:rsidP="00AB38B4">
            <w:pPr>
              <w:pStyle w:val="TableColumnHeading"/>
              <w:ind w:right="28"/>
              <w:rPr>
                <w:rFonts w:cs="Arial"/>
                <w:sz w:val="18"/>
                <w:szCs w:val="18"/>
              </w:rPr>
            </w:pPr>
            <w:r w:rsidRPr="00AF699A">
              <w:rPr>
                <w:rFonts w:cs="Arial"/>
                <w:sz w:val="18"/>
                <w:szCs w:val="18"/>
              </w:rPr>
              <w:t>2011-12</w:t>
            </w:r>
          </w:p>
        </w:tc>
      </w:tr>
      <w:tr w:rsidR="00956305" w:rsidRPr="00825B58" w:rsidTr="00956305">
        <w:tc>
          <w:tcPr>
            <w:tcW w:w="1959" w:type="pct"/>
            <w:tcBorders>
              <w:bottom w:val="single" w:sz="4" w:space="0" w:color="auto"/>
            </w:tcBorders>
            <w:vAlign w:val="bottom"/>
          </w:tcPr>
          <w:p w:rsidR="00C7788D" w:rsidRPr="009E7011" w:rsidRDefault="00C7788D" w:rsidP="00AB38B4">
            <w:pPr>
              <w:pStyle w:val="TableBodyText"/>
              <w:jc w:val="left"/>
            </w:pPr>
            <w:r w:rsidRPr="009E7011">
              <w:t>Sheep, beef cattle and grain farming</w:t>
            </w:r>
          </w:p>
        </w:tc>
        <w:tc>
          <w:tcPr>
            <w:tcW w:w="508" w:type="pct"/>
            <w:tcBorders>
              <w:bottom w:val="single" w:sz="4" w:space="0" w:color="auto"/>
            </w:tcBorders>
            <w:vAlign w:val="bottom"/>
          </w:tcPr>
          <w:p w:rsidR="00C7788D" w:rsidRPr="009E7011" w:rsidRDefault="00C7788D" w:rsidP="00AB38B4">
            <w:pPr>
              <w:pStyle w:val="TableBodyText"/>
            </w:pPr>
            <w:r>
              <w:noBreakHyphen/>
            </w:r>
          </w:p>
        </w:tc>
        <w:tc>
          <w:tcPr>
            <w:tcW w:w="507" w:type="pct"/>
            <w:tcBorders>
              <w:bottom w:val="single" w:sz="4" w:space="0" w:color="auto"/>
            </w:tcBorders>
            <w:vAlign w:val="bottom"/>
          </w:tcPr>
          <w:p w:rsidR="00C7788D" w:rsidRPr="009E7011" w:rsidRDefault="00C7788D" w:rsidP="00AB38B4">
            <w:pPr>
              <w:pStyle w:val="TableBodyText"/>
            </w:pPr>
            <w:r w:rsidRPr="009E7011">
              <w:t>2</w:t>
            </w:r>
            <w:r>
              <w:t>.0</w:t>
            </w:r>
          </w:p>
        </w:tc>
        <w:tc>
          <w:tcPr>
            <w:tcW w:w="507" w:type="pct"/>
            <w:tcBorders>
              <w:bottom w:val="single" w:sz="4" w:space="0" w:color="auto"/>
            </w:tcBorders>
            <w:vAlign w:val="bottom"/>
          </w:tcPr>
          <w:p w:rsidR="00C7788D" w:rsidRPr="009E7011" w:rsidRDefault="00C7788D" w:rsidP="00AB38B4">
            <w:pPr>
              <w:pStyle w:val="TableBodyText"/>
            </w:pPr>
            <w:r>
              <w:noBreakHyphen/>
            </w:r>
          </w:p>
        </w:tc>
        <w:tc>
          <w:tcPr>
            <w:tcW w:w="507" w:type="pct"/>
            <w:tcBorders>
              <w:bottom w:val="single" w:sz="4" w:space="0" w:color="auto"/>
            </w:tcBorders>
            <w:vAlign w:val="bottom"/>
          </w:tcPr>
          <w:p w:rsidR="00C7788D" w:rsidRPr="009E7011" w:rsidRDefault="00C7788D" w:rsidP="00AB38B4">
            <w:pPr>
              <w:pStyle w:val="TableBodyText"/>
            </w:pPr>
            <w:r>
              <w:noBreakHyphen/>
            </w:r>
          </w:p>
        </w:tc>
        <w:tc>
          <w:tcPr>
            <w:tcW w:w="507" w:type="pct"/>
            <w:tcBorders>
              <w:bottom w:val="single" w:sz="4" w:space="0" w:color="auto"/>
            </w:tcBorders>
            <w:shd w:val="clear" w:color="auto" w:fill="auto"/>
            <w:vAlign w:val="bottom"/>
          </w:tcPr>
          <w:p w:rsidR="00C7788D" w:rsidRPr="009E7011" w:rsidRDefault="00C7788D" w:rsidP="00AB38B4">
            <w:pPr>
              <w:pStyle w:val="TableBodyText"/>
            </w:pPr>
            <w:r>
              <w:noBreakHyphen/>
            </w:r>
          </w:p>
        </w:tc>
        <w:tc>
          <w:tcPr>
            <w:tcW w:w="507" w:type="pct"/>
            <w:tcBorders>
              <w:bottom w:val="single" w:sz="4" w:space="0" w:color="auto"/>
            </w:tcBorders>
            <w:shd w:val="clear" w:color="auto" w:fill="auto"/>
            <w:vAlign w:val="bottom"/>
          </w:tcPr>
          <w:p w:rsidR="00C7788D" w:rsidRPr="009E7011" w:rsidRDefault="00C7788D" w:rsidP="00AB38B4">
            <w:pPr>
              <w:pStyle w:val="TableBodyText"/>
            </w:pPr>
            <w:r>
              <w:noBreakHyphen/>
            </w:r>
          </w:p>
        </w:tc>
      </w:tr>
    </w:tbl>
    <w:p w:rsidR="00B976E0" w:rsidRDefault="00B976E0" w:rsidP="00B976E0">
      <w:pPr>
        <w:pStyle w:val="Note"/>
      </w:pPr>
      <w:r w:rsidRPr="00A2379F">
        <w:noBreakHyphen/>
        <w:t xml:space="preserve"> </w:t>
      </w:r>
      <w:r>
        <w:t>Nil</w:t>
      </w:r>
      <w:r w:rsidRPr="00A2379F">
        <w:t>.</w:t>
      </w:r>
    </w:p>
    <w:p w:rsidR="00B976E0" w:rsidRPr="008E77FE" w:rsidRDefault="00B976E0" w:rsidP="00B976E0">
      <w:pPr>
        <w:pStyle w:val="Source"/>
      </w:pPr>
      <w:r>
        <w:rPr>
          <w:i/>
        </w:rPr>
        <w:t>Source</w:t>
      </w:r>
      <w:r>
        <w:t>: Commission estimates based on DAFF Annual Report 2007</w:t>
      </w:r>
      <w:r>
        <w:noBreakHyphen/>
        <w:t>08.</w:t>
      </w:r>
    </w:p>
    <w:p w:rsidR="001A1143" w:rsidRDefault="00FA09C3" w:rsidP="001A1143">
      <w:pPr>
        <w:pStyle w:val="Heading2"/>
      </w:pPr>
      <w:r>
        <w:t>A.</w:t>
      </w:r>
      <w:r>
        <w:rPr>
          <w:noProof/>
        </w:rPr>
        <w:t>204</w:t>
      </w:r>
      <w:r w:rsidR="001A1143">
        <w:tab/>
        <w:t>Grant to ACL Bearings</w:t>
      </w:r>
    </w:p>
    <w:p w:rsidR="001A1143" w:rsidRDefault="001A1143" w:rsidP="001A1143">
      <w:pPr>
        <w:pStyle w:val="BodyText"/>
      </w:pPr>
      <w:r>
        <w:t>In 2007</w:t>
      </w:r>
      <w:r>
        <w:noBreakHyphen/>
        <w:t>08, the Australian Government provided a $2 million grant to ACL Bearings. The grant aimed to help ensure the short-term viability of the company in the wake of the global financial crisis.</w:t>
      </w:r>
    </w:p>
    <w:p w:rsidR="001A1143" w:rsidRDefault="001A1143" w:rsidP="001A1143">
      <w:pPr>
        <w:pStyle w:val="BodyText"/>
      </w:pPr>
      <w:r>
        <w:t xml:space="preserve">The grant has been classified to the </w:t>
      </w:r>
      <w:r w:rsidRPr="00A77C34">
        <w:rPr>
          <w:i/>
        </w:rPr>
        <w:t xml:space="preserve">Motor vehicles </w:t>
      </w:r>
      <w:r>
        <w:rPr>
          <w:i/>
        </w:rPr>
        <w:t>and</w:t>
      </w:r>
      <w:r w:rsidRPr="00A77C34">
        <w:rPr>
          <w:i/>
        </w:rPr>
        <w:t xml:space="preserve"> parts</w:t>
      </w:r>
      <w:r>
        <w:t xml:space="preserve"> industry grouping in the Commissions ANZSIC-based classification (table A.204).</w:t>
      </w:r>
    </w:p>
    <w:p w:rsidR="001A1143" w:rsidRDefault="001A1143" w:rsidP="001A1143">
      <w:pPr>
        <w:pStyle w:val="TableTitle"/>
      </w:pPr>
      <w:r>
        <w:rPr>
          <w:b w:val="0"/>
        </w:rPr>
        <w:t xml:space="preserve">Table </w:t>
      </w:r>
      <w:r w:rsidR="00FA09C3">
        <w:rPr>
          <w:b w:val="0"/>
        </w:rPr>
        <w:t>A.</w:t>
      </w:r>
      <w:r w:rsidR="00FA09C3">
        <w:rPr>
          <w:b w:val="0"/>
          <w:noProof/>
        </w:rPr>
        <w:t>204</w:t>
      </w:r>
      <w:r>
        <w:tab/>
        <w:t>Allocation of Grant to ACL Bearings</w:t>
      </w:r>
      <w:r w:rsidR="00571E36" w:rsidRPr="00571E36">
        <w:t xml:space="preserve"> to industry</w:t>
      </w:r>
      <w:r>
        <w:t>, 2006</w:t>
      </w:r>
      <w:r>
        <w:noBreakHyphen/>
        <w:t>07 to 2011</w:t>
      </w:r>
      <w:r>
        <w:noBreakHyphen/>
        <w:t>12</w:t>
      </w:r>
    </w:p>
    <w:p w:rsidR="001A1143" w:rsidRDefault="001A1143" w:rsidP="001A1143">
      <w:pPr>
        <w:pStyle w:val="Subtitle"/>
      </w:pPr>
      <w:r>
        <w:t>$</w:t>
      </w:r>
      <w:r w:rsidR="008E121B">
        <w:t xml:space="preserve"> </w:t>
      </w:r>
      <w:r>
        <w:t xml:space="preserve">million (nominal) </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1A1143" w:rsidRPr="00AF699A" w:rsidTr="00641283">
        <w:trPr>
          <w:trHeight w:val="340"/>
        </w:trPr>
        <w:tc>
          <w:tcPr>
            <w:tcW w:w="1958" w:type="pct"/>
            <w:tcBorders>
              <w:top w:val="single" w:sz="6" w:space="0" w:color="auto"/>
              <w:bottom w:val="single" w:sz="6" w:space="0" w:color="auto"/>
            </w:tcBorders>
          </w:tcPr>
          <w:p w:rsidR="001A1143" w:rsidRPr="00AF699A" w:rsidRDefault="001A1143" w:rsidP="00AB38B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1A1143" w:rsidRPr="00AF699A" w:rsidRDefault="001A1143"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1A1143" w:rsidRPr="00AF699A" w:rsidRDefault="001A1143" w:rsidP="00AB38B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1A1143" w:rsidRPr="00AF699A" w:rsidRDefault="001A1143" w:rsidP="00AB38B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1A1143" w:rsidRPr="00AF699A" w:rsidRDefault="001A1143" w:rsidP="00AB38B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1A1143" w:rsidRPr="00AF699A" w:rsidRDefault="001A1143" w:rsidP="00AB38B4">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1A1143" w:rsidRPr="00AF699A" w:rsidRDefault="001A1143" w:rsidP="00AB38B4">
            <w:pPr>
              <w:pStyle w:val="TableColumnHeading"/>
              <w:ind w:right="28"/>
              <w:rPr>
                <w:rFonts w:cs="Arial"/>
                <w:sz w:val="18"/>
                <w:szCs w:val="18"/>
              </w:rPr>
            </w:pPr>
            <w:r w:rsidRPr="00AF699A">
              <w:rPr>
                <w:rFonts w:cs="Arial"/>
                <w:sz w:val="18"/>
                <w:szCs w:val="18"/>
              </w:rPr>
              <w:t>2011-12</w:t>
            </w:r>
          </w:p>
        </w:tc>
      </w:tr>
      <w:tr w:rsidR="001A1143" w:rsidRPr="00AF69E5" w:rsidTr="00AB38B4">
        <w:tc>
          <w:tcPr>
            <w:tcW w:w="1958" w:type="pct"/>
            <w:tcBorders>
              <w:bottom w:val="single" w:sz="4" w:space="0" w:color="auto"/>
            </w:tcBorders>
            <w:vAlign w:val="bottom"/>
          </w:tcPr>
          <w:p w:rsidR="001A1143" w:rsidRPr="007D6D7C" w:rsidRDefault="001A1143" w:rsidP="00AB38B4">
            <w:pPr>
              <w:pStyle w:val="TableBodyText"/>
              <w:jc w:val="left"/>
            </w:pPr>
            <w:r w:rsidRPr="007D6D7C">
              <w:t>Motor vehicle and parts</w:t>
            </w:r>
          </w:p>
        </w:tc>
        <w:tc>
          <w:tcPr>
            <w:tcW w:w="507" w:type="pct"/>
            <w:tcBorders>
              <w:bottom w:val="single" w:sz="4" w:space="0" w:color="auto"/>
            </w:tcBorders>
            <w:vAlign w:val="bottom"/>
          </w:tcPr>
          <w:p w:rsidR="001A1143" w:rsidRPr="007D6D7C" w:rsidRDefault="001A1143" w:rsidP="00AB38B4">
            <w:pPr>
              <w:pStyle w:val="TableBodyText"/>
            </w:pPr>
            <w:r>
              <w:noBreakHyphen/>
            </w:r>
          </w:p>
        </w:tc>
        <w:tc>
          <w:tcPr>
            <w:tcW w:w="507" w:type="pct"/>
            <w:tcBorders>
              <w:bottom w:val="single" w:sz="4" w:space="0" w:color="auto"/>
            </w:tcBorders>
            <w:vAlign w:val="bottom"/>
          </w:tcPr>
          <w:p w:rsidR="001A1143" w:rsidRPr="007D6D7C" w:rsidRDefault="001A1143" w:rsidP="00AB38B4">
            <w:pPr>
              <w:pStyle w:val="TableBodyText"/>
            </w:pPr>
            <w:r w:rsidRPr="007D6D7C">
              <w:t>2.0</w:t>
            </w:r>
          </w:p>
        </w:tc>
        <w:tc>
          <w:tcPr>
            <w:tcW w:w="507" w:type="pct"/>
            <w:tcBorders>
              <w:bottom w:val="single" w:sz="4" w:space="0" w:color="auto"/>
            </w:tcBorders>
            <w:vAlign w:val="bottom"/>
          </w:tcPr>
          <w:p w:rsidR="001A1143" w:rsidRPr="007D6D7C" w:rsidRDefault="001A1143" w:rsidP="00AB38B4">
            <w:pPr>
              <w:pStyle w:val="TableBodyText"/>
            </w:pPr>
            <w:r>
              <w:noBreakHyphen/>
            </w:r>
          </w:p>
        </w:tc>
        <w:tc>
          <w:tcPr>
            <w:tcW w:w="507" w:type="pct"/>
            <w:tcBorders>
              <w:bottom w:val="single" w:sz="4" w:space="0" w:color="auto"/>
            </w:tcBorders>
            <w:vAlign w:val="bottom"/>
          </w:tcPr>
          <w:p w:rsidR="001A1143" w:rsidRPr="007D6D7C" w:rsidRDefault="001A1143" w:rsidP="00AB38B4">
            <w:pPr>
              <w:pStyle w:val="TableBodyText"/>
            </w:pPr>
            <w:r>
              <w:noBreakHyphen/>
            </w:r>
          </w:p>
        </w:tc>
        <w:tc>
          <w:tcPr>
            <w:tcW w:w="507" w:type="pct"/>
            <w:tcBorders>
              <w:bottom w:val="single" w:sz="4" w:space="0" w:color="auto"/>
            </w:tcBorders>
            <w:shd w:val="clear" w:color="auto" w:fill="auto"/>
            <w:vAlign w:val="bottom"/>
          </w:tcPr>
          <w:p w:rsidR="001A1143" w:rsidRPr="007D6D7C" w:rsidRDefault="001A1143" w:rsidP="00AB38B4">
            <w:pPr>
              <w:pStyle w:val="TableBodyText"/>
            </w:pPr>
            <w:r>
              <w:noBreakHyphen/>
            </w:r>
          </w:p>
        </w:tc>
        <w:tc>
          <w:tcPr>
            <w:tcW w:w="507" w:type="pct"/>
            <w:tcBorders>
              <w:bottom w:val="single" w:sz="4" w:space="0" w:color="auto"/>
            </w:tcBorders>
            <w:shd w:val="clear" w:color="auto" w:fill="auto"/>
            <w:vAlign w:val="bottom"/>
          </w:tcPr>
          <w:p w:rsidR="001A1143" w:rsidRPr="007D6D7C" w:rsidRDefault="001A1143" w:rsidP="00AB38B4">
            <w:pPr>
              <w:pStyle w:val="TableBodyText"/>
            </w:pPr>
            <w:r>
              <w:noBreakHyphen/>
            </w:r>
          </w:p>
        </w:tc>
      </w:tr>
    </w:tbl>
    <w:p w:rsidR="001A1143" w:rsidRPr="00F60026" w:rsidRDefault="001A1143" w:rsidP="001A1143">
      <w:pPr>
        <w:pStyle w:val="Source"/>
        <w:spacing w:after="0"/>
        <w:rPr>
          <w:i/>
        </w:rPr>
      </w:pPr>
      <w:r w:rsidRPr="00A2379F">
        <w:noBreakHyphen/>
        <w:t xml:space="preserve"> Nil.</w:t>
      </w:r>
    </w:p>
    <w:p w:rsidR="001A1143" w:rsidRPr="008E77FE" w:rsidRDefault="001A1143" w:rsidP="001A1143">
      <w:pPr>
        <w:pStyle w:val="Source"/>
      </w:pPr>
      <w:r>
        <w:rPr>
          <w:i/>
        </w:rPr>
        <w:t>Source</w:t>
      </w:r>
      <w:r>
        <w:t>: Commission estimates based on Department of Innovation, Industry, Science and Research Annual Report 2007</w:t>
      </w:r>
      <w:r>
        <w:noBreakHyphen/>
        <w:t>08.</w:t>
      </w:r>
    </w:p>
    <w:p w:rsidR="00015B35" w:rsidRDefault="00FA09C3" w:rsidP="00015B35">
      <w:pPr>
        <w:pStyle w:val="Heading2"/>
      </w:pPr>
      <w:r>
        <w:t>A.</w:t>
      </w:r>
      <w:r>
        <w:rPr>
          <w:noProof/>
        </w:rPr>
        <w:t>205</w:t>
      </w:r>
      <w:r w:rsidR="00015B35">
        <w:tab/>
        <w:t>Intermediary Access Program</w:t>
      </w:r>
    </w:p>
    <w:p w:rsidR="00015B35" w:rsidRPr="004071E9" w:rsidRDefault="00015B35" w:rsidP="00015B35">
      <w:pPr>
        <w:pStyle w:val="BodyText"/>
      </w:pPr>
      <w:r>
        <w:t xml:space="preserve">Announced during 2006-07, the $4 million Intermediary Access Program aimed to help small and medium sized enterprises access intermediary services to assist collaboration and technology transfer with: other firms and public research institutions; the InnovationXchange; and the Australian Institute for Commercialisation </w:t>
      </w:r>
      <w:r w:rsidRPr="002F5C9C">
        <w:t>(</w:t>
      </w:r>
      <w:r w:rsidRPr="00E80A54">
        <w:t>DITR 2007a</w:t>
      </w:r>
      <w:r w:rsidRPr="002F5C9C">
        <w:t>)</w:t>
      </w:r>
      <w:r>
        <w:t>.</w:t>
      </w:r>
    </w:p>
    <w:p w:rsidR="00015B35" w:rsidRDefault="00015B35" w:rsidP="00015B35">
      <w:pPr>
        <w:pStyle w:val="BodyText"/>
      </w:pPr>
      <w:r>
        <w:t>For 2006</w:t>
      </w:r>
      <w:r>
        <w:noBreakHyphen/>
        <w:t xml:space="preserve">07, program funding </w:t>
      </w:r>
      <w:r w:rsidR="008E121B">
        <w:t xml:space="preserve">has been </w:t>
      </w:r>
      <w:r>
        <w:t xml:space="preserve">allocated to the </w:t>
      </w:r>
      <w:r w:rsidRPr="00E80A54">
        <w:rPr>
          <w:i/>
        </w:rPr>
        <w:t>Unallocated manufacturing</w:t>
      </w:r>
      <w:r>
        <w:t xml:space="preserve"> industry grouping in the Commission’s ANZSIC-based classification. For 2007</w:t>
      </w:r>
      <w:r>
        <w:noBreakHyphen/>
        <w:t xml:space="preserve">08, </w:t>
      </w:r>
      <w:r w:rsidR="008E121B">
        <w:t xml:space="preserve">the </w:t>
      </w:r>
      <w:r>
        <w:t xml:space="preserve">program </w:t>
      </w:r>
      <w:r w:rsidR="008E121B">
        <w:t xml:space="preserve">funding has been allocated to </w:t>
      </w:r>
      <w:r w:rsidR="008E121B" w:rsidRPr="0083544E">
        <w:rPr>
          <w:i/>
        </w:rPr>
        <w:t>Unallocated other</w:t>
      </w:r>
      <w:r>
        <w:t xml:space="preserve"> </w:t>
      </w:r>
      <w:r w:rsidRPr="00C74DCE">
        <w:t>(table</w:t>
      </w:r>
      <w:r>
        <w:t> </w:t>
      </w:r>
      <w:r w:rsidRPr="00C74DCE">
        <w:t>A.</w:t>
      </w:r>
      <w:r>
        <w:t>205</w:t>
      </w:r>
      <w:r w:rsidRPr="00C74DCE">
        <w:t>).</w:t>
      </w:r>
    </w:p>
    <w:p w:rsidR="00015B35" w:rsidRDefault="00015B35" w:rsidP="00015B35">
      <w:pPr>
        <w:pStyle w:val="TableTitle"/>
      </w:pPr>
      <w:r>
        <w:rPr>
          <w:b w:val="0"/>
        </w:rPr>
        <w:t xml:space="preserve">Table </w:t>
      </w:r>
      <w:r w:rsidR="00FA09C3">
        <w:rPr>
          <w:b w:val="0"/>
        </w:rPr>
        <w:t>A.</w:t>
      </w:r>
      <w:r w:rsidR="00FA09C3">
        <w:rPr>
          <w:b w:val="0"/>
          <w:noProof/>
        </w:rPr>
        <w:t>205</w:t>
      </w:r>
      <w:r>
        <w:tab/>
        <w:t xml:space="preserve">Allocation of Intermediary Access Program </w:t>
      </w:r>
      <w:r w:rsidR="00571E36" w:rsidRPr="00571E36">
        <w:t>to industry</w:t>
      </w:r>
      <w:r>
        <w:t>, 2006</w:t>
      </w:r>
      <w:r>
        <w:noBreakHyphen/>
        <w:t>07 to 2011</w:t>
      </w:r>
      <w:r>
        <w:noBreakHyphen/>
        <w:t>12</w:t>
      </w:r>
    </w:p>
    <w:p w:rsidR="00015B35" w:rsidRDefault="000E1A26" w:rsidP="00015B35">
      <w:pPr>
        <w:pStyle w:val="Subtitle"/>
      </w:pPr>
      <w:r>
        <w:t>$ m</w:t>
      </w:r>
      <w:r w:rsidR="00015B35">
        <w:t>illion (nominal)</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015B35" w:rsidRPr="00AF699A" w:rsidTr="00641283">
        <w:trPr>
          <w:trHeight w:val="340"/>
        </w:trPr>
        <w:tc>
          <w:tcPr>
            <w:tcW w:w="1958" w:type="pct"/>
            <w:tcBorders>
              <w:top w:val="single" w:sz="6" w:space="0" w:color="auto"/>
              <w:bottom w:val="single" w:sz="6" w:space="0" w:color="auto"/>
            </w:tcBorders>
          </w:tcPr>
          <w:p w:rsidR="00015B35" w:rsidRPr="00AF699A" w:rsidRDefault="00015B35" w:rsidP="00AB38B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015B35" w:rsidRPr="00AF699A" w:rsidRDefault="00015B35"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015B35" w:rsidRPr="00AF699A" w:rsidRDefault="00015B35" w:rsidP="00AB38B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015B35" w:rsidRPr="00AF699A" w:rsidRDefault="00015B35" w:rsidP="00AB38B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015B35" w:rsidRPr="00AF699A" w:rsidRDefault="00015B35" w:rsidP="00AB38B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015B35" w:rsidRPr="00AF699A" w:rsidRDefault="00015B35" w:rsidP="00AB38B4">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015B35" w:rsidRPr="00AF699A" w:rsidRDefault="00015B35" w:rsidP="00AB38B4">
            <w:pPr>
              <w:pStyle w:val="TableColumnHeading"/>
              <w:ind w:right="28"/>
              <w:rPr>
                <w:rFonts w:cs="Arial"/>
                <w:sz w:val="18"/>
                <w:szCs w:val="18"/>
              </w:rPr>
            </w:pPr>
            <w:r w:rsidRPr="00AF699A">
              <w:rPr>
                <w:rFonts w:cs="Arial"/>
                <w:sz w:val="18"/>
                <w:szCs w:val="18"/>
              </w:rPr>
              <w:t>2011-12</w:t>
            </w:r>
          </w:p>
        </w:tc>
      </w:tr>
      <w:tr w:rsidR="00015B35" w:rsidRPr="00CE1906" w:rsidTr="00AB38B4">
        <w:tc>
          <w:tcPr>
            <w:tcW w:w="1958" w:type="pct"/>
            <w:vAlign w:val="bottom"/>
          </w:tcPr>
          <w:p w:rsidR="00015B35" w:rsidRPr="006C4423" w:rsidRDefault="00015B35" w:rsidP="00AB38B4">
            <w:pPr>
              <w:pStyle w:val="TableBodyText"/>
              <w:jc w:val="left"/>
            </w:pPr>
            <w:r w:rsidRPr="006C4423">
              <w:t>Unallocated manufacturing</w:t>
            </w:r>
            <w:r w:rsidRPr="00641283">
              <w:rPr>
                <w:rStyle w:val="NoteLabel"/>
                <w:szCs w:val="18"/>
              </w:rPr>
              <w:t>a</w:t>
            </w:r>
          </w:p>
        </w:tc>
        <w:tc>
          <w:tcPr>
            <w:tcW w:w="507" w:type="pct"/>
            <w:vAlign w:val="bottom"/>
          </w:tcPr>
          <w:p w:rsidR="00015B35" w:rsidRPr="006C4423" w:rsidRDefault="00015B35" w:rsidP="00AB38B4">
            <w:pPr>
              <w:pStyle w:val="TableBodyText"/>
            </w:pPr>
            <w:r w:rsidRPr="006C4423">
              <w:t>1.1</w:t>
            </w:r>
          </w:p>
        </w:tc>
        <w:tc>
          <w:tcPr>
            <w:tcW w:w="507" w:type="pct"/>
            <w:vAlign w:val="bottom"/>
          </w:tcPr>
          <w:p w:rsidR="00015B35" w:rsidRPr="006C4423" w:rsidRDefault="00015B35" w:rsidP="00AB38B4">
            <w:pPr>
              <w:pStyle w:val="TableBodyText"/>
            </w:pPr>
            <w:r>
              <w:noBreakHyphen/>
            </w:r>
          </w:p>
        </w:tc>
        <w:tc>
          <w:tcPr>
            <w:tcW w:w="507" w:type="pct"/>
            <w:vAlign w:val="bottom"/>
          </w:tcPr>
          <w:p w:rsidR="00015B35" w:rsidRPr="006C4423" w:rsidRDefault="00015B35" w:rsidP="00AB38B4">
            <w:pPr>
              <w:pStyle w:val="TableBodyText"/>
            </w:pPr>
            <w:r>
              <w:noBreakHyphen/>
            </w:r>
          </w:p>
        </w:tc>
        <w:tc>
          <w:tcPr>
            <w:tcW w:w="507" w:type="pct"/>
            <w:vAlign w:val="bottom"/>
          </w:tcPr>
          <w:p w:rsidR="00015B35" w:rsidRPr="006C4423" w:rsidRDefault="00015B35" w:rsidP="00AB38B4">
            <w:pPr>
              <w:pStyle w:val="TableBodyText"/>
            </w:pPr>
            <w:r>
              <w:noBreakHyphen/>
            </w:r>
          </w:p>
        </w:tc>
        <w:tc>
          <w:tcPr>
            <w:tcW w:w="507" w:type="pct"/>
            <w:shd w:val="clear" w:color="auto" w:fill="auto"/>
            <w:vAlign w:val="bottom"/>
          </w:tcPr>
          <w:p w:rsidR="00015B35" w:rsidRPr="006C4423" w:rsidRDefault="00015B35" w:rsidP="00AB38B4">
            <w:pPr>
              <w:pStyle w:val="TableBodyText"/>
            </w:pPr>
            <w:r>
              <w:noBreakHyphen/>
            </w:r>
          </w:p>
        </w:tc>
        <w:tc>
          <w:tcPr>
            <w:tcW w:w="507" w:type="pct"/>
            <w:shd w:val="clear" w:color="auto" w:fill="auto"/>
            <w:vAlign w:val="bottom"/>
          </w:tcPr>
          <w:p w:rsidR="00015B35" w:rsidRPr="006C4423" w:rsidRDefault="00015B35" w:rsidP="00AB38B4">
            <w:pPr>
              <w:pStyle w:val="TableBodyText"/>
            </w:pPr>
            <w:r>
              <w:noBreakHyphen/>
            </w:r>
          </w:p>
        </w:tc>
      </w:tr>
      <w:tr w:rsidR="00015B35" w:rsidRPr="00CE1906" w:rsidTr="00AB38B4">
        <w:tc>
          <w:tcPr>
            <w:tcW w:w="1958" w:type="pct"/>
            <w:vAlign w:val="bottom"/>
          </w:tcPr>
          <w:p w:rsidR="00015B35" w:rsidRPr="006C4423" w:rsidRDefault="00015B35" w:rsidP="00AB38B4">
            <w:pPr>
              <w:pStyle w:val="TableBodyText"/>
              <w:jc w:val="left"/>
            </w:pPr>
            <w:r w:rsidRPr="006C4423">
              <w:t>Unallocated other</w:t>
            </w:r>
            <w:r w:rsidRPr="00641283">
              <w:rPr>
                <w:rStyle w:val="NoteLabel"/>
                <w:szCs w:val="18"/>
              </w:rPr>
              <w:t>a</w:t>
            </w:r>
          </w:p>
        </w:tc>
        <w:tc>
          <w:tcPr>
            <w:tcW w:w="507" w:type="pct"/>
            <w:vAlign w:val="bottom"/>
          </w:tcPr>
          <w:p w:rsidR="00015B35" w:rsidRPr="006C4423" w:rsidRDefault="00015B35" w:rsidP="00AB38B4">
            <w:pPr>
              <w:pStyle w:val="TableBodyText"/>
            </w:pPr>
            <w:r>
              <w:noBreakHyphen/>
            </w:r>
          </w:p>
        </w:tc>
        <w:tc>
          <w:tcPr>
            <w:tcW w:w="507" w:type="pct"/>
            <w:vAlign w:val="bottom"/>
          </w:tcPr>
          <w:p w:rsidR="00015B35" w:rsidRPr="006C4423" w:rsidRDefault="00015B35" w:rsidP="00AB38B4">
            <w:pPr>
              <w:pStyle w:val="TableBodyText"/>
            </w:pPr>
            <w:r w:rsidRPr="006C4423">
              <w:t>1.9</w:t>
            </w:r>
          </w:p>
        </w:tc>
        <w:tc>
          <w:tcPr>
            <w:tcW w:w="507" w:type="pct"/>
            <w:vAlign w:val="bottom"/>
          </w:tcPr>
          <w:p w:rsidR="00015B35" w:rsidRPr="006C4423" w:rsidRDefault="00015B35" w:rsidP="00AB38B4">
            <w:pPr>
              <w:pStyle w:val="TableBodyText"/>
            </w:pPr>
            <w:r>
              <w:noBreakHyphen/>
            </w:r>
          </w:p>
        </w:tc>
        <w:tc>
          <w:tcPr>
            <w:tcW w:w="507" w:type="pct"/>
            <w:vAlign w:val="bottom"/>
          </w:tcPr>
          <w:p w:rsidR="00015B35" w:rsidRPr="006C4423" w:rsidRDefault="00015B35" w:rsidP="00AB38B4">
            <w:pPr>
              <w:pStyle w:val="TableBodyText"/>
            </w:pPr>
            <w:r>
              <w:noBreakHyphen/>
            </w:r>
          </w:p>
        </w:tc>
        <w:tc>
          <w:tcPr>
            <w:tcW w:w="507" w:type="pct"/>
            <w:shd w:val="clear" w:color="auto" w:fill="auto"/>
            <w:vAlign w:val="bottom"/>
          </w:tcPr>
          <w:p w:rsidR="00015B35" w:rsidRPr="006C4423" w:rsidRDefault="00015B35" w:rsidP="00AB38B4">
            <w:pPr>
              <w:pStyle w:val="TableBodyText"/>
            </w:pPr>
            <w:r>
              <w:noBreakHyphen/>
            </w:r>
          </w:p>
        </w:tc>
        <w:tc>
          <w:tcPr>
            <w:tcW w:w="507" w:type="pct"/>
            <w:shd w:val="clear" w:color="auto" w:fill="auto"/>
            <w:vAlign w:val="bottom"/>
          </w:tcPr>
          <w:p w:rsidR="00015B35" w:rsidRPr="006C4423" w:rsidRDefault="00015B35" w:rsidP="00AB38B4">
            <w:pPr>
              <w:pStyle w:val="TableBodyText"/>
            </w:pPr>
            <w:r>
              <w:noBreakHyphen/>
            </w:r>
          </w:p>
        </w:tc>
      </w:tr>
      <w:tr w:rsidR="00015B35" w:rsidRPr="00CE1906" w:rsidTr="00AB38B4">
        <w:tc>
          <w:tcPr>
            <w:tcW w:w="1958" w:type="pct"/>
            <w:tcBorders>
              <w:bottom w:val="single" w:sz="4" w:space="0" w:color="auto"/>
            </w:tcBorders>
            <w:vAlign w:val="bottom"/>
          </w:tcPr>
          <w:p w:rsidR="00015B35" w:rsidRPr="006C4423" w:rsidRDefault="00015B35" w:rsidP="00AB38B4">
            <w:pPr>
              <w:pStyle w:val="TableBodyText"/>
              <w:jc w:val="left"/>
              <w:rPr>
                <w:b/>
              </w:rPr>
            </w:pPr>
            <w:r w:rsidRPr="006C4423">
              <w:rPr>
                <w:b/>
              </w:rPr>
              <w:t>Total</w:t>
            </w:r>
          </w:p>
        </w:tc>
        <w:tc>
          <w:tcPr>
            <w:tcW w:w="507" w:type="pct"/>
            <w:tcBorders>
              <w:bottom w:val="single" w:sz="4" w:space="0" w:color="auto"/>
            </w:tcBorders>
            <w:vAlign w:val="bottom"/>
          </w:tcPr>
          <w:p w:rsidR="00015B35" w:rsidRPr="006C4423" w:rsidRDefault="00015B35" w:rsidP="00AB38B4">
            <w:pPr>
              <w:pStyle w:val="TableBodyText"/>
              <w:rPr>
                <w:b/>
              </w:rPr>
            </w:pPr>
            <w:r w:rsidRPr="006C4423">
              <w:rPr>
                <w:b/>
              </w:rPr>
              <w:t>1.1</w:t>
            </w:r>
          </w:p>
        </w:tc>
        <w:tc>
          <w:tcPr>
            <w:tcW w:w="507" w:type="pct"/>
            <w:tcBorders>
              <w:bottom w:val="single" w:sz="4" w:space="0" w:color="auto"/>
            </w:tcBorders>
            <w:vAlign w:val="bottom"/>
          </w:tcPr>
          <w:p w:rsidR="00015B35" w:rsidRPr="006C4423" w:rsidRDefault="00015B35" w:rsidP="00AB38B4">
            <w:pPr>
              <w:pStyle w:val="TableBodyText"/>
              <w:rPr>
                <w:b/>
              </w:rPr>
            </w:pPr>
            <w:r w:rsidRPr="006C4423">
              <w:rPr>
                <w:b/>
              </w:rPr>
              <w:t>1.9</w:t>
            </w:r>
          </w:p>
        </w:tc>
        <w:tc>
          <w:tcPr>
            <w:tcW w:w="507" w:type="pct"/>
            <w:tcBorders>
              <w:bottom w:val="single" w:sz="4" w:space="0" w:color="auto"/>
            </w:tcBorders>
            <w:vAlign w:val="bottom"/>
          </w:tcPr>
          <w:p w:rsidR="00015B35" w:rsidRPr="006C4423" w:rsidRDefault="00015B35" w:rsidP="00AB38B4">
            <w:pPr>
              <w:pStyle w:val="TableBodyText"/>
              <w:rPr>
                <w:b/>
              </w:rPr>
            </w:pPr>
            <w:r>
              <w:rPr>
                <w:b/>
              </w:rPr>
              <w:noBreakHyphen/>
            </w:r>
          </w:p>
        </w:tc>
        <w:tc>
          <w:tcPr>
            <w:tcW w:w="507" w:type="pct"/>
            <w:tcBorders>
              <w:bottom w:val="single" w:sz="4" w:space="0" w:color="auto"/>
            </w:tcBorders>
            <w:vAlign w:val="bottom"/>
          </w:tcPr>
          <w:p w:rsidR="00015B35" w:rsidRPr="006C4423" w:rsidRDefault="00015B35" w:rsidP="00AB38B4">
            <w:pPr>
              <w:pStyle w:val="TableBodyText"/>
              <w:rPr>
                <w:b/>
              </w:rPr>
            </w:pPr>
            <w:r>
              <w:rPr>
                <w:b/>
              </w:rPr>
              <w:noBreakHyphen/>
            </w:r>
          </w:p>
        </w:tc>
        <w:tc>
          <w:tcPr>
            <w:tcW w:w="507" w:type="pct"/>
            <w:tcBorders>
              <w:bottom w:val="single" w:sz="4" w:space="0" w:color="auto"/>
            </w:tcBorders>
            <w:shd w:val="clear" w:color="auto" w:fill="auto"/>
            <w:vAlign w:val="bottom"/>
          </w:tcPr>
          <w:p w:rsidR="00015B35" w:rsidRPr="006C4423" w:rsidRDefault="00015B35" w:rsidP="00AB38B4">
            <w:pPr>
              <w:pStyle w:val="TableBodyText"/>
              <w:rPr>
                <w:b/>
              </w:rPr>
            </w:pPr>
            <w:r>
              <w:rPr>
                <w:b/>
              </w:rPr>
              <w:noBreakHyphen/>
            </w:r>
          </w:p>
        </w:tc>
        <w:tc>
          <w:tcPr>
            <w:tcW w:w="507" w:type="pct"/>
            <w:tcBorders>
              <w:bottom w:val="single" w:sz="4" w:space="0" w:color="auto"/>
            </w:tcBorders>
            <w:shd w:val="clear" w:color="auto" w:fill="auto"/>
            <w:vAlign w:val="bottom"/>
          </w:tcPr>
          <w:p w:rsidR="00015B35" w:rsidRPr="006C4423" w:rsidRDefault="00015B35" w:rsidP="00AB38B4">
            <w:pPr>
              <w:pStyle w:val="TableBodyText"/>
              <w:rPr>
                <w:b/>
              </w:rPr>
            </w:pPr>
            <w:r>
              <w:rPr>
                <w:b/>
              </w:rPr>
              <w:noBreakHyphen/>
            </w:r>
          </w:p>
        </w:tc>
      </w:tr>
    </w:tbl>
    <w:p w:rsidR="00015B35" w:rsidRDefault="00015B35" w:rsidP="00015B35">
      <w:pPr>
        <w:pStyle w:val="Note"/>
      </w:pPr>
      <w:r w:rsidRPr="00A2379F">
        <w:noBreakHyphen/>
        <w:t xml:space="preserve"> Nil</w:t>
      </w:r>
      <w:r>
        <w:t>.</w:t>
      </w:r>
      <w:r w:rsidRPr="008E77FE">
        <w:rPr>
          <w:rStyle w:val="NoteLabel"/>
        </w:rPr>
        <w:t xml:space="preserve"> a</w:t>
      </w:r>
      <w:r>
        <w:t xml:space="preserve"> </w:t>
      </w:r>
      <w:r w:rsidRPr="009B56F1">
        <w:t>Unallocated includes general programs where detai</w:t>
      </w:r>
      <w:r>
        <w:t>ls of beneficiaries are unknown.</w:t>
      </w:r>
    </w:p>
    <w:p w:rsidR="00015B35" w:rsidRPr="008E77FE" w:rsidRDefault="00015B35" w:rsidP="00015B35">
      <w:pPr>
        <w:pStyle w:val="Source"/>
      </w:pPr>
      <w:r>
        <w:rPr>
          <w:i/>
        </w:rPr>
        <w:t>Sources</w:t>
      </w:r>
      <w:r>
        <w:t>: Commission estimates based on DIISR Annual Report 2007</w:t>
      </w:r>
      <w:r>
        <w:noBreakHyphen/>
        <w:t>08; Department of Industry, Tourism and Resources Annual Report 2006</w:t>
      </w:r>
      <w:r>
        <w:noBreakHyphen/>
        <w:t>07; and detailed DIISR data by ANZSIC industry.</w:t>
      </w:r>
    </w:p>
    <w:p w:rsidR="00D26D56" w:rsidRDefault="00FA09C3" w:rsidP="00D26D56">
      <w:pPr>
        <w:pStyle w:val="Heading2"/>
      </w:pPr>
      <w:r>
        <w:t>A.</w:t>
      </w:r>
      <w:r>
        <w:rPr>
          <w:noProof/>
        </w:rPr>
        <w:t>206</w:t>
      </w:r>
      <w:r w:rsidR="00D26D56">
        <w:tab/>
        <w:t>Renewable Energy Equity Fund</w:t>
      </w:r>
    </w:p>
    <w:p w:rsidR="00D26D56" w:rsidRDefault="00D26D56" w:rsidP="00D26D56">
      <w:pPr>
        <w:pStyle w:val="BodyText"/>
      </w:pPr>
      <w:r w:rsidRPr="00F25564">
        <w:t>Part of the Australian Centre for Renewable Energy</w:t>
      </w:r>
      <w:r>
        <w:t xml:space="preserve">, the Renewable Energy Equity Fund (REEF) aims to assist companies to commercialise research and development in renewable energy technologies, including wind power, ocean energy conversion, long-life batteries for energy storage in remote areas, and renewable transport </w:t>
      </w:r>
      <w:r w:rsidRPr="00345044">
        <w:t>(</w:t>
      </w:r>
      <w:r w:rsidRPr="00E80A54">
        <w:t>DIISR 2008</w:t>
      </w:r>
      <w:r w:rsidRPr="00345044">
        <w:t>)</w:t>
      </w:r>
      <w:r>
        <w:t>.</w:t>
      </w:r>
    </w:p>
    <w:p w:rsidR="00D26D56" w:rsidRDefault="00D26D56" w:rsidP="00D26D56">
      <w:pPr>
        <w:pStyle w:val="BodyText"/>
      </w:pPr>
      <w:r w:rsidRPr="001B2107">
        <w:t xml:space="preserve">The Commission has obtained information from the Department of Innovation, Industry, Science and Research </w:t>
      </w:r>
      <w:r>
        <w:t xml:space="preserve">(DIISR) </w:t>
      </w:r>
      <w:r w:rsidRPr="001B2107">
        <w:t xml:space="preserve">detailing program funding according to ANZSIC industry. This information has been used to allocate the Department’s estimate of total program expenditure, as published in </w:t>
      </w:r>
      <w:r w:rsidR="008E121B">
        <w:t>its</w:t>
      </w:r>
      <w:r w:rsidR="008E121B" w:rsidRPr="001B2107">
        <w:t xml:space="preserve"> </w:t>
      </w:r>
      <w:r w:rsidRPr="001B2107">
        <w:t>annual report, to the Commission’s ANZSIC-based industry groupings</w:t>
      </w:r>
      <w:r w:rsidRPr="00F65AD4">
        <w:t xml:space="preserve"> (table</w:t>
      </w:r>
      <w:r w:rsidR="00605FAE">
        <w:t> </w:t>
      </w:r>
      <w:r w:rsidRPr="00F65AD4">
        <w:t>A.</w:t>
      </w:r>
      <w:r>
        <w:t>206</w:t>
      </w:r>
      <w:r w:rsidRPr="00F65AD4">
        <w:t>).</w:t>
      </w:r>
    </w:p>
    <w:p w:rsidR="00D26D56" w:rsidRDefault="00D26D56" w:rsidP="00D26D56">
      <w:pPr>
        <w:pStyle w:val="TableTitle"/>
      </w:pPr>
      <w:r>
        <w:rPr>
          <w:b w:val="0"/>
        </w:rPr>
        <w:t xml:space="preserve">Table </w:t>
      </w:r>
      <w:r w:rsidR="00FA09C3">
        <w:rPr>
          <w:b w:val="0"/>
        </w:rPr>
        <w:t>A.</w:t>
      </w:r>
      <w:r w:rsidR="00FA09C3">
        <w:rPr>
          <w:b w:val="0"/>
          <w:noProof/>
        </w:rPr>
        <w:t>206</w:t>
      </w:r>
      <w:r>
        <w:tab/>
        <w:t xml:space="preserve">Allocation of Renewable Energy Equity Fund </w:t>
      </w:r>
      <w:r w:rsidR="00571E36" w:rsidRPr="00571E36">
        <w:t>to industry</w:t>
      </w:r>
      <w:r>
        <w:t>, 2006</w:t>
      </w:r>
      <w:r>
        <w:noBreakHyphen/>
        <w:t>07 to 2011</w:t>
      </w:r>
      <w:r>
        <w:noBreakHyphen/>
        <w:t>12</w:t>
      </w:r>
    </w:p>
    <w:p w:rsidR="00D26D56" w:rsidRDefault="00D26D56" w:rsidP="00D26D56">
      <w:pPr>
        <w:pStyle w:val="Subtitle"/>
      </w:pPr>
      <w:r>
        <w:t>$</w:t>
      </w:r>
      <w:r w:rsidR="008E121B">
        <w:t xml:space="preserve"> </w:t>
      </w:r>
      <w:r>
        <w:t xml:space="preserve">million (nominal) </w:t>
      </w:r>
    </w:p>
    <w:tbl>
      <w:tblPr>
        <w:tblW w:w="5000" w:type="pct"/>
        <w:tblCellMar>
          <w:left w:w="0" w:type="dxa"/>
          <w:right w:w="0" w:type="dxa"/>
        </w:tblCellMar>
        <w:tblLook w:val="0000" w:firstRow="0" w:lastRow="0" w:firstColumn="0" w:lastColumn="0" w:noHBand="0" w:noVBand="0"/>
      </w:tblPr>
      <w:tblGrid>
        <w:gridCol w:w="3445"/>
        <w:gridCol w:w="891"/>
        <w:gridCol w:w="891"/>
        <w:gridCol w:w="891"/>
        <w:gridCol w:w="891"/>
        <w:gridCol w:w="891"/>
        <w:gridCol w:w="889"/>
      </w:tblGrid>
      <w:tr w:rsidR="00D26D56" w:rsidRPr="00AF699A" w:rsidTr="00641283">
        <w:trPr>
          <w:trHeight w:val="340"/>
        </w:trPr>
        <w:tc>
          <w:tcPr>
            <w:tcW w:w="1959" w:type="pct"/>
            <w:tcBorders>
              <w:top w:val="single" w:sz="6" w:space="0" w:color="auto"/>
              <w:bottom w:val="single" w:sz="6" w:space="0" w:color="auto"/>
            </w:tcBorders>
          </w:tcPr>
          <w:p w:rsidR="00D26D56" w:rsidRPr="00AF699A" w:rsidRDefault="00D26D56" w:rsidP="00AB38B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D26D56" w:rsidRPr="00AF699A" w:rsidRDefault="00D26D56"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D26D56" w:rsidRPr="00AF699A" w:rsidRDefault="00D26D56" w:rsidP="00AB38B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D26D56" w:rsidRPr="00AF699A" w:rsidRDefault="00D26D56" w:rsidP="00AB38B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D26D56" w:rsidRPr="00AF699A" w:rsidRDefault="00D26D56" w:rsidP="00AB38B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D26D56" w:rsidRPr="00AF699A" w:rsidRDefault="00D26D56" w:rsidP="00AB38B4">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D26D56" w:rsidRPr="00AF699A" w:rsidRDefault="00D26D56" w:rsidP="00AB38B4">
            <w:pPr>
              <w:pStyle w:val="TableColumnHeading"/>
              <w:ind w:right="28"/>
              <w:rPr>
                <w:rFonts w:cs="Arial"/>
                <w:sz w:val="18"/>
                <w:szCs w:val="18"/>
              </w:rPr>
            </w:pPr>
            <w:r w:rsidRPr="00AF699A">
              <w:rPr>
                <w:rFonts w:cs="Arial"/>
                <w:sz w:val="18"/>
                <w:szCs w:val="18"/>
              </w:rPr>
              <w:t>2011-12</w:t>
            </w:r>
          </w:p>
        </w:tc>
      </w:tr>
      <w:tr w:rsidR="00D26D56" w:rsidRPr="00CE1906" w:rsidTr="00AB38B4">
        <w:tc>
          <w:tcPr>
            <w:tcW w:w="1959" w:type="pct"/>
            <w:vAlign w:val="bottom"/>
          </w:tcPr>
          <w:p w:rsidR="00D26D56" w:rsidRPr="00D04898" w:rsidRDefault="00D26D56" w:rsidP="00AB38B4">
            <w:pPr>
              <w:pStyle w:val="TableBodyText"/>
              <w:jc w:val="left"/>
              <w:rPr>
                <w:b/>
                <w:sz w:val="18"/>
                <w:szCs w:val="18"/>
              </w:rPr>
            </w:pPr>
            <w:r w:rsidRPr="00D04898">
              <w:rPr>
                <w:b/>
                <w:sz w:val="18"/>
                <w:szCs w:val="18"/>
              </w:rPr>
              <w:t>Manufacturing</w:t>
            </w:r>
          </w:p>
        </w:tc>
        <w:tc>
          <w:tcPr>
            <w:tcW w:w="507" w:type="pct"/>
            <w:vAlign w:val="bottom"/>
          </w:tcPr>
          <w:p w:rsidR="00D26D56" w:rsidRPr="00D04898" w:rsidRDefault="00D26D56" w:rsidP="00AB38B4">
            <w:pPr>
              <w:pStyle w:val="TableBodyText"/>
              <w:rPr>
                <w:b/>
                <w:sz w:val="18"/>
                <w:szCs w:val="18"/>
              </w:rPr>
            </w:pPr>
            <w:r w:rsidRPr="00D04898">
              <w:rPr>
                <w:b/>
                <w:sz w:val="18"/>
                <w:szCs w:val="18"/>
              </w:rPr>
              <w:t>0.2</w:t>
            </w:r>
          </w:p>
        </w:tc>
        <w:tc>
          <w:tcPr>
            <w:tcW w:w="507" w:type="pct"/>
            <w:vAlign w:val="bottom"/>
          </w:tcPr>
          <w:p w:rsidR="00D26D56" w:rsidRPr="00D04898" w:rsidRDefault="00D26D56" w:rsidP="00AB38B4">
            <w:pPr>
              <w:pStyle w:val="TableBodyText"/>
              <w:rPr>
                <w:b/>
                <w:sz w:val="18"/>
                <w:szCs w:val="18"/>
              </w:rPr>
            </w:pPr>
            <w:r w:rsidRPr="00D04898">
              <w:rPr>
                <w:b/>
                <w:sz w:val="18"/>
                <w:szCs w:val="18"/>
              </w:rPr>
              <w:t>0.1</w:t>
            </w:r>
          </w:p>
        </w:tc>
        <w:tc>
          <w:tcPr>
            <w:tcW w:w="507" w:type="pct"/>
            <w:vAlign w:val="bottom"/>
          </w:tcPr>
          <w:p w:rsidR="00D26D56" w:rsidRPr="00D04898" w:rsidRDefault="00D26D56" w:rsidP="00AB38B4">
            <w:pPr>
              <w:pStyle w:val="TableBodyText"/>
              <w:rPr>
                <w:b/>
                <w:sz w:val="18"/>
                <w:szCs w:val="18"/>
              </w:rPr>
            </w:pPr>
            <w:r w:rsidRPr="00D04898">
              <w:rPr>
                <w:b/>
                <w:sz w:val="18"/>
                <w:szCs w:val="18"/>
              </w:rPr>
              <w:noBreakHyphen/>
            </w:r>
          </w:p>
        </w:tc>
        <w:tc>
          <w:tcPr>
            <w:tcW w:w="507" w:type="pct"/>
            <w:vAlign w:val="bottom"/>
          </w:tcPr>
          <w:p w:rsidR="00D26D56" w:rsidRPr="00D04898" w:rsidRDefault="00D26D56" w:rsidP="00AB38B4">
            <w:pPr>
              <w:pStyle w:val="TableBodyText"/>
              <w:rPr>
                <w:b/>
                <w:sz w:val="18"/>
                <w:szCs w:val="18"/>
              </w:rPr>
            </w:pPr>
            <w:r w:rsidRPr="00D04898">
              <w:rPr>
                <w:b/>
                <w:sz w:val="18"/>
                <w:szCs w:val="18"/>
              </w:rPr>
              <w:noBreakHyphen/>
            </w:r>
          </w:p>
        </w:tc>
        <w:tc>
          <w:tcPr>
            <w:tcW w:w="507" w:type="pct"/>
            <w:shd w:val="clear" w:color="auto" w:fill="auto"/>
            <w:vAlign w:val="bottom"/>
          </w:tcPr>
          <w:p w:rsidR="00D26D56" w:rsidRPr="00D04898" w:rsidRDefault="00D26D56" w:rsidP="00AB38B4">
            <w:pPr>
              <w:pStyle w:val="TableBodyText"/>
              <w:rPr>
                <w:b/>
                <w:sz w:val="18"/>
                <w:szCs w:val="18"/>
              </w:rPr>
            </w:pPr>
            <w:r w:rsidRPr="00D04898">
              <w:rPr>
                <w:b/>
                <w:sz w:val="18"/>
                <w:szCs w:val="18"/>
              </w:rPr>
              <w:noBreakHyphen/>
            </w:r>
          </w:p>
        </w:tc>
        <w:tc>
          <w:tcPr>
            <w:tcW w:w="507" w:type="pct"/>
            <w:shd w:val="clear" w:color="auto" w:fill="auto"/>
            <w:vAlign w:val="bottom"/>
          </w:tcPr>
          <w:p w:rsidR="00D26D56" w:rsidRPr="00D04898" w:rsidRDefault="00D26D56" w:rsidP="00AB38B4">
            <w:pPr>
              <w:pStyle w:val="TableBodyText"/>
              <w:rPr>
                <w:b/>
                <w:sz w:val="18"/>
                <w:szCs w:val="18"/>
              </w:rPr>
            </w:pPr>
            <w:r w:rsidRPr="00D04898">
              <w:rPr>
                <w:b/>
                <w:sz w:val="18"/>
                <w:szCs w:val="18"/>
              </w:rPr>
              <w:noBreakHyphen/>
            </w:r>
          </w:p>
        </w:tc>
      </w:tr>
      <w:tr w:rsidR="00D26D56" w:rsidRPr="00CE1906" w:rsidTr="00AB38B4">
        <w:tc>
          <w:tcPr>
            <w:tcW w:w="1959" w:type="pct"/>
            <w:vAlign w:val="bottom"/>
          </w:tcPr>
          <w:p w:rsidR="00D26D56" w:rsidRPr="00D04898" w:rsidRDefault="00D26D56" w:rsidP="00AB38B4">
            <w:pPr>
              <w:pStyle w:val="TableBodyText"/>
              <w:jc w:val="left"/>
              <w:rPr>
                <w:sz w:val="18"/>
                <w:szCs w:val="18"/>
              </w:rPr>
            </w:pPr>
            <w:r w:rsidRPr="00D04898">
              <w:rPr>
                <w:sz w:val="18"/>
                <w:szCs w:val="18"/>
              </w:rPr>
              <w:t>Petroleum, coal, chemical and rubber products</w:t>
            </w:r>
          </w:p>
        </w:tc>
        <w:tc>
          <w:tcPr>
            <w:tcW w:w="507" w:type="pct"/>
            <w:vAlign w:val="bottom"/>
          </w:tcPr>
          <w:p w:rsidR="00D26D56" w:rsidRPr="00D04898" w:rsidRDefault="00D26D56" w:rsidP="00AB38B4">
            <w:pPr>
              <w:pStyle w:val="TableBodyText"/>
              <w:rPr>
                <w:sz w:val="18"/>
                <w:szCs w:val="18"/>
              </w:rPr>
            </w:pPr>
            <w:r w:rsidRPr="00D04898">
              <w:rPr>
                <w:sz w:val="18"/>
                <w:szCs w:val="18"/>
              </w:rPr>
              <w:t>0.2</w:t>
            </w:r>
          </w:p>
        </w:tc>
        <w:tc>
          <w:tcPr>
            <w:tcW w:w="507" w:type="pct"/>
            <w:vAlign w:val="bottom"/>
          </w:tcPr>
          <w:p w:rsidR="00D26D56" w:rsidRPr="00D04898" w:rsidRDefault="00D26D56" w:rsidP="00AB38B4">
            <w:pPr>
              <w:pStyle w:val="TableBodyText"/>
              <w:rPr>
                <w:sz w:val="18"/>
                <w:szCs w:val="18"/>
              </w:rPr>
            </w:pPr>
            <w:r w:rsidRPr="00D04898">
              <w:rPr>
                <w:sz w:val="18"/>
                <w:szCs w:val="18"/>
              </w:rPr>
              <w:t>0.1</w:t>
            </w:r>
          </w:p>
        </w:tc>
        <w:tc>
          <w:tcPr>
            <w:tcW w:w="507" w:type="pct"/>
            <w:vAlign w:val="bottom"/>
          </w:tcPr>
          <w:p w:rsidR="00D26D56" w:rsidRPr="00D04898" w:rsidRDefault="00D26D56" w:rsidP="00AB38B4">
            <w:pPr>
              <w:pStyle w:val="TableBodyText"/>
              <w:rPr>
                <w:sz w:val="18"/>
                <w:szCs w:val="18"/>
              </w:rPr>
            </w:pPr>
            <w:r w:rsidRPr="00D04898">
              <w:rPr>
                <w:sz w:val="18"/>
                <w:szCs w:val="18"/>
              </w:rPr>
              <w:noBreakHyphen/>
            </w:r>
          </w:p>
        </w:tc>
        <w:tc>
          <w:tcPr>
            <w:tcW w:w="507" w:type="pct"/>
            <w:vAlign w:val="bottom"/>
          </w:tcPr>
          <w:p w:rsidR="00D26D56" w:rsidRPr="00D04898" w:rsidRDefault="00D26D56" w:rsidP="00AB38B4">
            <w:pPr>
              <w:pStyle w:val="TableBodyText"/>
              <w:rPr>
                <w:sz w:val="18"/>
                <w:szCs w:val="18"/>
              </w:rPr>
            </w:pPr>
            <w:r w:rsidRPr="00D04898">
              <w:rPr>
                <w:sz w:val="18"/>
                <w:szCs w:val="18"/>
              </w:rPr>
              <w:noBreakHyphen/>
            </w:r>
          </w:p>
        </w:tc>
        <w:tc>
          <w:tcPr>
            <w:tcW w:w="507" w:type="pct"/>
            <w:shd w:val="clear" w:color="auto" w:fill="auto"/>
            <w:vAlign w:val="bottom"/>
          </w:tcPr>
          <w:p w:rsidR="00D26D56" w:rsidRPr="00D04898" w:rsidRDefault="00D26D56" w:rsidP="00AB38B4">
            <w:pPr>
              <w:pStyle w:val="TableBodyText"/>
              <w:rPr>
                <w:sz w:val="18"/>
                <w:szCs w:val="18"/>
              </w:rPr>
            </w:pPr>
            <w:r w:rsidRPr="00D04898">
              <w:rPr>
                <w:sz w:val="18"/>
                <w:szCs w:val="18"/>
              </w:rPr>
              <w:noBreakHyphen/>
            </w:r>
          </w:p>
        </w:tc>
        <w:tc>
          <w:tcPr>
            <w:tcW w:w="507" w:type="pct"/>
            <w:shd w:val="clear" w:color="auto" w:fill="auto"/>
            <w:vAlign w:val="bottom"/>
          </w:tcPr>
          <w:p w:rsidR="00D26D56" w:rsidRPr="00D04898" w:rsidRDefault="00D26D56" w:rsidP="00AB38B4">
            <w:pPr>
              <w:pStyle w:val="TableBodyText"/>
              <w:rPr>
                <w:sz w:val="18"/>
                <w:szCs w:val="18"/>
              </w:rPr>
            </w:pPr>
            <w:r w:rsidRPr="00D04898">
              <w:rPr>
                <w:sz w:val="18"/>
                <w:szCs w:val="18"/>
              </w:rPr>
              <w:noBreakHyphen/>
            </w:r>
          </w:p>
        </w:tc>
      </w:tr>
      <w:tr w:rsidR="00D26D56" w:rsidRPr="00CE1906" w:rsidTr="00AB38B4">
        <w:tc>
          <w:tcPr>
            <w:tcW w:w="1959" w:type="pct"/>
            <w:vAlign w:val="bottom"/>
          </w:tcPr>
          <w:p w:rsidR="00D26D56" w:rsidRPr="00D04898" w:rsidRDefault="00D26D56" w:rsidP="00AB38B4">
            <w:pPr>
              <w:pStyle w:val="TableBodyText"/>
              <w:jc w:val="left"/>
              <w:rPr>
                <w:sz w:val="18"/>
                <w:szCs w:val="18"/>
              </w:rPr>
            </w:pPr>
            <w:r w:rsidRPr="00D04898">
              <w:rPr>
                <w:sz w:val="18"/>
                <w:szCs w:val="18"/>
              </w:rPr>
              <w:t>Machinery and equipment manufacturing</w:t>
            </w:r>
          </w:p>
        </w:tc>
        <w:tc>
          <w:tcPr>
            <w:tcW w:w="507" w:type="pct"/>
            <w:vAlign w:val="bottom"/>
          </w:tcPr>
          <w:p w:rsidR="00D26D56" w:rsidRPr="00D04898" w:rsidRDefault="00D26D56" w:rsidP="00AB38B4">
            <w:pPr>
              <w:pStyle w:val="TableBodyText"/>
              <w:rPr>
                <w:sz w:val="18"/>
                <w:szCs w:val="18"/>
              </w:rPr>
            </w:pPr>
            <w:r w:rsidRPr="00D04898">
              <w:rPr>
                <w:sz w:val="18"/>
                <w:szCs w:val="18"/>
              </w:rPr>
              <w:t>&lt;0.1</w:t>
            </w:r>
          </w:p>
        </w:tc>
        <w:tc>
          <w:tcPr>
            <w:tcW w:w="507" w:type="pct"/>
            <w:vAlign w:val="bottom"/>
          </w:tcPr>
          <w:p w:rsidR="00D26D56" w:rsidRPr="00D04898" w:rsidRDefault="00D26D56" w:rsidP="00AB38B4">
            <w:pPr>
              <w:pStyle w:val="TableBodyText"/>
              <w:rPr>
                <w:sz w:val="18"/>
                <w:szCs w:val="18"/>
              </w:rPr>
            </w:pPr>
            <w:r w:rsidRPr="00D04898">
              <w:rPr>
                <w:sz w:val="18"/>
                <w:szCs w:val="18"/>
              </w:rPr>
              <w:noBreakHyphen/>
            </w:r>
          </w:p>
        </w:tc>
        <w:tc>
          <w:tcPr>
            <w:tcW w:w="507" w:type="pct"/>
            <w:vAlign w:val="bottom"/>
          </w:tcPr>
          <w:p w:rsidR="00D26D56" w:rsidRPr="00D04898" w:rsidRDefault="00D26D56" w:rsidP="00AB38B4">
            <w:pPr>
              <w:pStyle w:val="TableBodyText"/>
              <w:rPr>
                <w:sz w:val="18"/>
                <w:szCs w:val="18"/>
              </w:rPr>
            </w:pPr>
            <w:r w:rsidRPr="00D04898">
              <w:rPr>
                <w:sz w:val="18"/>
                <w:szCs w:val="18"/>
              </w:rPr>
              <w:noBreakHyphen/>
            </w:r>
          </w:p>
        </w:tc>
        <w:tc>
          <w:tcPr>
            <w:tcW w:w="507" w:type="pct"/>
            <w:vAlign w:val="bottom"/>
          </w:tcPr>
          <w:p w:rsidR="00D26D56" w:rsidRPr="00D04898" w:rsidRDefault="00D26D56" w:rsidP="00AB38B4">
            <w:pPr>
              <w:pStyle w:val="TableBodyText"/>
              <w:rPr>
                <w:sz w:val="18"/>
                <w:szCs w:val="18"/>
              </w:rPr>
            </w:pPr>
            <w:r w:rsidRPr="00D04898">
              <w:rPr>
                <w:sz w:val="18"/>
                <w:szCs w:val="18"/>
              </w:rPr>
              <w:noBreakHyphen/>
            </w:r>
          </w:p>
        </w:tc>
        <w:tc>
          <w:tcPr>
            <w:tcW w:w="507" w:type="pct"/>
            <w:shd w:val="clear" w:color="auto" w:fill="auto"/>
            <w:vAlign w:val="bottom"/>
          </w:tcPr>
          <w:p w:rsidR="00D26D56" w:rsidRPr="00D04898" w:rsidRDefault="00D26D56" w:rsidP="00AB38B4">
            <w:pPr>
              <w:pStyle w:val="TableBodyText"/>
              <w:rPr>
                <w:sz w:val="18"/>
                <w:szCs w:val="18"/>
              </w:rPr>
            </w:pPr>
            <w:r w:rsidRPr="00D04898">
              <w:rPr>
                <w:sz w:val="18"/>
                <w:szCs w:val="18"/>
              </w:rPr>
              <w:noBreakHyphen/>
            </w:r>
          </w:p>
        </w:tc>
        <w:tc>
          <w:tcPr>
            <w:tcW w:w="507" w:type="pct"/>
            <w:shd w:val="clear" w:color="auto" w:fill="auto"/>
            <w:vAlign w:val="bottom"/>
          </w:tcPr>
          <w:p w:rsidR="00D26D56" w:rsidRPr="00D04898" w:rsidRDefault="00D26D56" w:rsidP="00AB38B4">
            <w:pPr>
              <w:pStyle w:val="TableBodyText"/>
              <w:rPr>
                <w:sz w:val="18"/>
                <w:szCs w:val="18"/>
              </w:rPr>
            </w:pPr>
            <w:r w:rsidRPr="00D04898">
              <w:rPr>
                <w:sz w:val="18"/>
                <w:szCs w:val="18"/>
              </w:rPr>
              <w:noBreakHyphen/>
            </w:r>
          </w:p>
        </w:tc>
      </w:tr>
      <w:tr w:rsidR="00D26D56" w:rsidRPr="00CE1906" w:rsidTr="00AB38B4">
        <w:tc>
          <w:tcPr>
            <w:tcW w:w="1959" w:type="pct"/>
            <w:vAlign w:val="bottom"/>
          </w:tcPr>
          <w:p w:rsidR="00D26D56" w:rsidRPr="00D04898" w:rsidRDefault="00D26D56" w:rsidP="00AB38B4">
            <w:pPr>
              <w:pStyle w:val="TableBodyText"/>
              <w:jc w:val="left"/>
              <w:rPr>
                <w:b/>
                <w:sz w:val="18"/>
                <w:szCs w:val="18"/>
              </w:rPr>
            </w:pPr>
            <w:r w:rsidRPr="00D04898">
              <w:rPr>
                <w:b/>
                <w:sz w:val="18"/>
                <w:szCs w:val="18"/>
              </w:rPr>
              <w:t>Services</w:t>
            </w:r>
          </w:p>
        </w:tc>
        <w:tc>
          <w:tcPr>
            <w:tcW w:w="507" w:type="pct"/>
            <w:vAlign w:val="bottom"/>
          </w:tcPr>
          <w:p w:rsidR="00D26D56" w:rsidRPr="00D04898" w:rsidRDefault="00D26D56" w:rsidP="00AB38B4">
            <w:pPr>
              <w:pStyle w:val="TableBodyText"/>
              <w:rPr>
                <w:b/>
                <w:sz w:val="18"/>
                <w:szCs w:val="18"/>
              </w:rPr>
            </w:pPr>
            <w:r w:rsidRPr="00D04898">
              <w:rPr>
                <w:b/>
                <w:sz w:val="18"/>
                <w:szCs w:val="18"/>
              </w:rPr>
              <w:t>0.6</w:t>
            </w:r>
          </w:p>
        </w:tc>
        <w:tc>
          <w:tcPr>
            <w:tcW w:w="507" w:type="pct"/>
            <w:vAlign w:val="bottom"/>
          </w:tcPr>
          <w:p w:rsidR="00D26D56" w:rsidRPr="00D04898" w:rsidRDefault="00D26D56" w:rsidP="00AB38B4">
            <w:pPr>
              <w:pStyle w:val="TableBodyText"/>
              <w:rPr>
                <w:b/>
                <w:sz w:val="18"/>
                <w:szCs w:val="18"/>
              </w:rPr>
            </w:pPr>
            <w:r w:rsidRPr="00D04898">
              <w:rPr>
                <w:b/>
                <w:sz w:val="18"/>
                <w:szCs w:val="18"/>
              </w:rPr>
              <w:t>1.7</w:t>
            </w:r>
          </w:p>
        </w:tc>
        <w:tc>
          <w:tcPr>
            <w:tcW w:w="507" w:type="pct"/>
            <w:vAlign w:val="bottom"/>
          </w:tcPr>
          <w:p w:rsidR="00D26D56" w:rsidRPr="00D04898" w:rsidRDefault="00D26D56" w:rsidP="00AB38B4">
            <w:pPr>
              <w:pStyle w:val="TableBodyText"/>
              <w:rPr>
                <w:b/>
                <w:sz w:val="18"/>
                <w:szCs w:val="18"/>
              </w:rPr>
            </w:pPr>
            <w:r w:rsidRPr="00D04898">
              <w:rPr>
                <w:b/>
                <w:sz w:val="18"/>
                <w:szCs w:val="18"/>
              </w:rPr>
              <w:noBreakHyphen/>
            </w:r>
          </w:p>
        </w:tc>
        <w:tc>
          <w:tcPr>
            <w:tcW w:w="507" w:type="pct"/>
            <w:vAlign w:val="bottom"/>
          </w:tcPr>
          <w:p w:rsidR="00D26D56" w:rsidRPr="00D04898" w:rsidRDefault="00D26D56" w:rsidP="00AB38B4">
            <w:pPr>
              <w:pStyle w:val="TableBodyText"/>
              <w:rPr>
                <w:b/>
                <w:sz w:val="18"/>
                <w:szCs w:val="18"/>
              </w:rPr>
            </w:pPr>
            <w:r w:rsidRPr="00D04898">
              <w:rPr>
                <w:b/>
                <w:sz w:val="18"/>
                <w:szCs w:val="18"/>
              </w:rPr>
              <w:noBreakHyphen/>
            </w:r>
          </w:p>
        </w:tc>
        <w:tc>
          <w:tcPr>
            <w:tcW w:w="507" w:type="pct"/>
            <w:shd w:val="clear" w:color="auto" w:fill="auto"/>
            <w:vAlign w:val="bottom"/>
          </w:tcPr>
          <w:p w:rsidR="00D26D56" w:rsidRPr="00D04898" w:rsidRDefault="00D26D56" w:rsidP="00AB38B4">
            <w:pPr>
              <w:pStyle w:val="TableBodyText"/>
              <w:rPr>
                <w:b/>
                <w:sz w:val="18"/>
                <w:szCs w:val="18"/>
              </w:rPr>
            </w:pPr>
            <w:r w:rsidRPr="00D04898">
              <w:rPr>
                <w:b/>
                <w:sz w:val="18"/>
                <w:szCs w:val="18"/>
              </w:rPr>
              <w:noBreakHyphen/>
            </w:r>
          </w:p>
        </w:tc>
        <w:tc>
          <w:tcPr>
            <w:tcW w:w="507" w:type="pct"/>
            <w:shd w:val="clear" w:color="auto" w:fill="auto"/>
            <w:vAlign w:val="bottom"/>
          </w:tcPr>
          <w:p w:rsidR="00D26D56" w:rsidRPr="00D04898" w:rsidRDefault="00D26D56" w:rsidP="00AB38B4">
            <w:pPr>
              <w:pStyle w:val="TableBodyText"/>
              <w:rPr>
                <w:b/>
                <w:sz w:val="18"/>
                <w:szCs w:val="18"/>
              </w:rPr>
            </w:pPr>
            <w:r w:rsidRPr="00D04898">
              <w:rPr>
                <w:b/>
                <w:sz w:val="18"/>
                <w:szCs w:val="18"/>
              </w:rPr>
              <w:noBreakHyphen/>
            </w:r>
          </w:p>
        </w:tc>
      </w:tr>
      <w:tr w:rsidR="00D26D56" w:rsidRPr="00CE1906" w:rsidTr="00AB38B4">
        <w:tc>
          <w:tcPr>
            <w:tcW w:w="1959" w:type="pct"/>
            <w:vAlign w:val="bottom"/>
          </w:tcPr>
          <w:p w:rsidR="00D26D56" w:rsidRPr="00D04898" w:rsidRDefault="00D26D56" w:rsidP="00AB38B4">
            <w:pPr>
              <w:pStyle w:val="TableBodyText"/>
              <w:jc w:val="left"/>
              <w:rPr>
                <w:sz w:val="18"/>
                <w:szCs w:val="18"/>
              </w:rPr>
            </w:pPr>
            <w:r w:rsidRPr="00D04898">
              <w:rPr>
                <w:sz w:val="18"/>
                <w:szCs w:val="18"/>
              </w:rPr>
              <w:t>Financial and insurance services</w:t>
            </w:r>
          </w:p>
        </w:tc>
        <w:tc>
          <w:tcPr>
            <w:tcW w:w="507" w:type="pct"/>
            <w:vAlign w:val="bottom"/>
          </w:tcPr>
          <w:p w:rsidR="00D26D56" w:rsidRPr="00D04898" w:rsidRDefault="00D26D56" w:rsidP="00AB38B4">
            <w:pPr>
              <w:pStyle w:val="TableBodyText"/>
              <w:rPr>
                <w:sz w:val="18"/>
                <w:szCs w:val="18"/>
              </w:rPr>
            </w:pPr>
            <w:r w:rsidRPr="00D04898">
              <w:rPr>
                <w:sz w:val="18"/>
                <w:szCs w:val="18"/>
              </w:rPr>
              <w:t>0.3</w:t>
            </w:r>
          </w:p>
        </w:tc>
        <w:tc>
          <w:tcPr>
            <w:tcW w:w="507" w:type="pct"/>
            <w:vAlign w:val="bottom"/>
          </w:tcPr>
          <w:p w:rsidR="00D26D56" w:rsidRPr="00D04898" w:rsidRDefault="00D26D56" w:rsidP="00AB38B4">
            <w:pPr>
              <w:pStyle w:val="TableBodyText"/>
              <w:rPr>
                <w:sz w:val="18"/>
                <w:szCs w:val="18"/>
              </w:rPr>
            </w:pPr>
            <w:r w:rsidRPr="00D04898">
              <w:rPr>
                <w:sz w:val="18"/>
                <w:szCs w:val="18"/>
              </w:rPr>
              <w:t>0.3</w:t>
            </w:r>
          </w:p>
        </w:tc>
        <w:tc>
          <w:tcPr>
            <w:tcW w:w="507" w:type="pct"/>
            <w:vAlign w:val="bottom"/>
          </w:tcPr>
          <w:p w:rsidR="00D26D56" w:rsidRPr="00D04898" w:rsidRDefault="00D26D56" w:rsidP="00AB38B4">
            <w:pPr>
              <w:pStyle w:val="TableBodyText"/>
              <w:rPr>
                <w:sz w:val="18"/>
                <w:szCs w:val="18"/>
              </w:rPr>
            </w:pPr>
            <w:r w:rsidRPr="00D04898">
              <w:rPr>
                <w:sz w:val="18"/>
                <w:szCs w:val="18"/>
              </w:rPr>
              <w:noBreakHyphen/>
            </w:r>
          </w:p>
        </w:tc>
        <w:tc>
          <w:tcPr>
            <w:tcW w:w="507" w:type="pct"/>
            <w:vAlign w:val="bottom"/>
          </w:tcPr>
          <w:p w:rsidR="00D26D56" w:rsidRPr="00D04898" w:rsidRDefault="00D26D56" w:rsidP="00AB38B4">
            <w:pPr>
              <w:pStyle w:val="TableBodyText"/>
              <w:rPr>
                <w:sz w:val="18"/>
                <w:szCs w:val="18"/>
              </w:rPr>
            </w:pPr>
            <w:r w:rsidRPr="00D04898">
              <w:rPr>
                <w:sz w:val="18"/>
                <w:szCs w:val="18"/>
              </w:rPr>
              <w:noBreakHyphen/>
            </w:r>
          </w:p>
        </w:tc>
        <w:tc>
          <w:tcPr>
            <w:tcW w:w="507" w:type="pct"/>
            <w:shd w:val="clear" w:color="auto" w:fill="auto"/>
            <w:vAlign w:val="bottom"/>
          </w:tcPr>
          <w:p w:rsidR="00D26D56" w:rsidRPr="00D04898" w:rsidRDefault="00D26D56" w:rsidP="00AB38B4">
            <w:pPr>
              <w:pStyle w:val="TableBodyText"/>
              <w:rPr>
                <w:sz w:val="18"/>
                <w:szCs w:val="18"/>
              </w:rPr>
            </w:pPr>
            <w:r w:rsidRPr="00D04898">
              <w:rPr>
                <w:sz w:val="18"/>
                <w:szCs w:val="18"/>
              </w:rPr>
              <w:noBreakHyphen/>
            </w:r>
          </w:p>
        </w:tc>
        <w:tc>
          <w:tcPr>
            <w:tcW w:w="507" w:type="pct"/>
            <w:shd w:val="clear" w:color="auto" w:fill="auto"/>
            <w:vAlign w:val="bottom"/>
          </w:tcPr>
          <w:p w:rsidR="00D26D56" w:rsidRPr="00D04898" w:rsidRDefault="00D26D56" w:rsidP="00AB38B4">
            <w:pPr>
              <w:pStyle w:val="TableBodyText"/>
              <w:rPr>
                <w:sz w:val="18"/>
                <w:szCs w:val="18"/>
              </w:rPr>
            </w:pPr>
            <w:r w:rsidRPr="00D04898">
              <w:rPr>
                <w:sz w:val="18"/>
                <w:szCs w:val="18"/>
              </w:rPr>
              <w:noBreakHyphen/>
            </w:r>
          </w:p>
        </w:tc>
      </w:tr>
      <w:tr w:rsidR="00D26D56" w:rsidRPr="00CE1906" w:rsidTr="00AB38B4">
        <w:tc>
          <w:tcPr>
            <w:tcW w:w="1959" w:type="pct"/>
            <w:vAlign w:val="bottom"/>
          </w:tcPr>
          <w:p w:rsidR="00D26D56" w:rsidRPr="00D04898" w:rsidRDefault="00D26D56" w:rsidP="00AB38B4">
            <w:pPr>
              <w:pStyle w:val="TableBodyText"/>
              <w:jc w:val="left"/>
              <w:rPr>
                <w:sz w:val="18"/>
                <w:szCs w:val="18"/>
              </w:rPr>
            </w:pPr>
            <w:r w:rsidRPr="00D04898">
              <w:rPr>
                <w:sz w:val="18"/>
                <w:szCs w:val="18"/>
              </w:rPr>
              <w:t>Property, professional and administrative services</w:t>
            </w:r>
          </w:p>
        </w:tc>
        <w:tc>
          <w:tcPr>
            <w:tcW w:w="507" w:type="pct"/>
            <w:vAlign w:val="bottom"/>
          </w:tcPr>
          <w:p w:rsidR="00D26D56" w:rsidRPr="00D04898" w:rsidRDefault="00D26D56" w:rsidP="00AB38B4">
            <w:pPr>
              <w:pStyle w:val="TableBodyText"/>
              <w:rPr>
                <w:sz w:val="18"/>
                <w:szCs w:val="18"/>
              </w:rPr>
            </w:pPr>
            <w:r w:rsidRPr="00D04898">
              <w:rPr>
                <w:sz w:val="18"/>
                <w:szCs w:val="18"/>
              </w:rPr>
              <w:t>0.3</w:t>
            </w:r>
          </w:p>
        </w:tc>
        <w:tc>
          <w:tcPr>
            <w:tcW w:w="507" w:type="pct"/>
            <w:vAlign w:val="bottom"/>
          </w:tcPr>
          <w:p w:rsidR="00D26D56" w:rsidRPr="00D04898" w:rsidRDefault="00D26D56" w:rsidP="00AB38B4">
            <w:pPr>
              <w:pStyle w:val="TableBodyText"/>
              <w:rPr>
                <w:sz w:val="18"/>
                <w:szCs w:val="18"/>
              </w:rPr>
            </w:pPr>
            <w:r w:rsidRPr="00D04898">
              <w:rPr>
                <w:sz w:val="18"/>
                <w:szCs w:val="18"/>
              </w:rPr>
              <w:t>1.4</w:t>
            </w:r>
          </w:p>
        </w:tc>
        <w:tc>
          <w:tcPr>
            <w:tcW w:w="507" w:type="pct"/>
            <w:vAlign w:val="bottom"/>
          </w:tcPr>
          <w:p w:rsidR="00D26D56" w:rsidRPr="00D04898" w:rsidRDefault="00D26D56" w:rsidP="00AB38B4">
            <w:pPr>
              <w:pStyle w:val="TableBodyText"/>
              <w:rPr>
                <w:sz w:val="18"/>
                <w:szCs w:val="18"/>
              </w:rPr>
            </w:pPr>
            <w:r w:rsidRPr="00D04898">
              <w:rPr>
                <w:sz w:val="18"/>
                <w:szCs w:val="18"/>
              </w:rPr>
              <w:noBreakHyphen/>
            </w:r>
          </w:p>
        </w:tc>
        <w:tc>
          <w:tcPr>
            <w:tcW w:w="507" w:type="pct"/>
            <w:vAlign w:val="bottom"/>
          </w:tcPr>
          <w:p w:rsidR="00D26D56" w:rsidRPr="00D04898" w:rsidRDefault="00D26D56" w:rsidP="00AB38B4">
            <w:pPr>
              <w:pStyle w:val="TableBodyText"/>
              <w:rPr>
                <w:sz w:val="18"/>
                <w:szCs w:val="18"/>
              </w:rPr>
            </w:pPr>
            <w:r w:rsidRPr="00D04898">
              <w:rPr>
                <w:sz w:val="18"/>
                <w:szCs w:val="18"/>
              </w:rPr>
              <w:noBreakHyphen/>
            </w:r>
          </w:p>
        </w:tc>
        <w:tc>
          <w:tcPr>
            <w:tcW w:w="507" w:type="pct"/>
            <w:shd w:val="clear" w:color="auto" w:fill="auto"/>
            <w:vAlign w:val="bottom"/>
          </w:tcPr>
          <w:p w:rsidR="00D26D56" w:rsidRPr="00D04898" w:rsidRDefault="00D26D56" w:rsidP="00AB38B4">
            <w:pPr>
              <w:pStyle w:val="TableBodyText"/>
              <w:rPr>
                <w:sz w:val="18"/>
                <w:szCs w:val="18"/>
              </w:rPr>
            </w:pPr>
            <w:r w:rsidRPr="00D04898">
              <w:rPr>
                <w:sz w:val="18"/>
                <w:szCs w:val="18"/>
              </w:rPr>
              <w:noBreakHyphen/>
            </w:r>
          </w:p>
        </w:tc>
        <w:tc>
          <w:tcPr>
            <w:tcW w:w="507" w:type="pct"/>
            <w:shd w:val="clear" w:color="auto" w:fill="auto"/>
            <w:vAlign w:val="bottom"/>
          </w:tcPr>
          <w:p w:rsidR="00D26D56" w:rsidRPr="00D04898" w:rsidRDefault="00D26D56" w:rsidP="00AB38B4">
            <w:pPr>
              <w:pStyle w:val="TableBodyText"/>
              <w:rPr>
                <w:sz w:val="18"/>
                <w:szCs w:val="18"/>
              </w:rPr>
            </w:pPr>
            <w:r w:rsidRPr="00D04898">
              <w:rPr>
                <w:sz w:val="18"/>
                <w:szCs w:val="18"/>
              </w:rPr>
              <w:noBreakHyphen/>
            </w:r>
          </w:p>
        </w:tc>
      </w:tr>
      <w:tr w:rsidR="00D26D56" w:rsidRPr="00CE1906" w:rsidTr="00AB38B4">
        <w:tc>
          <w:tcPr>
            <w:tcW w:w="1959" w:type="pct"/>
            <w:tcBorders>
              <w:bottom w:val="single" w:sz="4" w:space="0" w:color="auto"/>
            </w:tcBorders>
            <w:vAlign w:val="bottom"/>
          </w:tcPr>
          <w:p w:rsidR="00D26D56" w:rsidRPr="00D04898" w:rsidRDefault="00D26D56" w:rsidP="00AB38B4">
            <w:pPr>
              <w:pStyle w:val="TableBodyText"/>
              <w:jc w:val="left"/>
              <w:rPr>
                <w:b/>
                <w:bCs/>
                <w:sz w:val="18"/>
                <w:szCs w:val="18"/>
              </w:rPr>
            </w:pPr>
            <w:r w:rsidRPr="00D04898">
              <w:rPr>
                <w:b/>
                <w:bCs/>
                <w:sz w:val="18"/>
                <w:szCs w:val="18"/>
              </w:rPr>
              <w:t>Total</w:t>
            </w:r>
          </w:p>
        </w:tc>
        <w:tc>
          <w:tcPr>
            <w:tcW w:w="507" w:type="pct"/>
            <w:tcBorders>
              <w:bottom w:val="single" w:sz="4" w:space="0" w:color="auto"/>
            </w:tcBorders>
            <w:vAlign w:val="bottom"/>
          </w:tcPr>
          <w:p w:rsidR="00D26D56" w:rsidRPr="00D04898" w:rsidRDefault="00D26D56" w:rsidP="00AB38B4">
            <w:pPr>
              <w:pStyle w:val="TableBodyText"/>
              <w:rPr>
                <w:b/>
                <w:sz w:val="18"/>
                <w:szCs w:val="18"/>
              </w:rPr>
            </w:pPr>
            <w:r w:rsidRPr="00D04898">
              <w:rPr>
                <w:b/>
                <w:sz w:val="18"/>
                <w:szCs w:val="18"/>
              </w:rPr>
              <w:t>0.9</w:t>
            </w:r>
          </w:p>
        </w:tc>
        <w:tc>
          <w:tcPr>
            <w:tcW w:w="507" w:type="pct"/>
            <w:tcBorders>
              <w:bottom w:val="single" w:sz="4" w:space="0" w:color="auto"/>
            </w:tcBorders>
            <w:vAlign w:val="bottom"/>
          </w:tcPr>
          <w:p w:rsidR="00D26D56" w:rsidRPr="00D04898" w:rsidRDefault="00D26D56" w:rsidP="00AB38B4">
            <w:pPr>
              <w:pStyle w:val="TableBodyText"/>
              <w:rPr>
                <w:b/>
                <w:sz w:val="18"/>
                <w:szCs w:val="18"/>
              </w:rPr>
            </w:pPr>
            <w:r w:rsidRPr="00D04898">
              <w:rPr>
                <w:b/>
                <w:sz w:val="18"/>
                <w:szCs w:val="18"/>
              </w:rPr>
              <w:t>1.8</w:t>
            </w:r>
          </w:p>
        </w:tc>
        <w:tc>
          <w:tcPr>
            <w:tcW w:w="507" w:type="pct"/>
            <w:tcBorders>
              <w:bottom w:val="single" w:sz="4" w:space="0" w:color="auto"/>
            </w:tcBorders>
            <w:vAlign w:val="bottom"/>
          </w:tcPr>
          <w:p w:rsidR="00D26D56" w:rsidRPr="00D04898" w:rsidRDefault="00D26D56" w:rsidP="00AB38B4">
            <w:pPr>
              <w:pStyle w:val="TableBodyText"/>
              <w:rPr>
                <w:b/>
                <w:sz w:val="18"/>
                <w:szCs w:val="18"/>
              </w:rPr>
            </w:pPr>
            <w:r w:rsidRPr="00D04898">
              <w:rPr>
                <w:b/>
                <w:sz w:val="18"/>
                <w:szCs w:val="18"/>
              </w:rPr>
              <w:noBreakHyphen/>
            </w:r>
          </w:p>
        </w:tc>
        <w:tc>
          <w:tcPr>
            <w:tcW w:w="507" w:type="pct"/>
            <w:tcBorders>
              <w:bottom w:val="single" w:sz="4" w:space="0" w:color="auto"/>
            </w:tcBorders>
            <w:vAlign w:val="bottom"/>
          </w:tcPr>
          <w:p w:rsidR="00D26D56" w:rsidRPr="00D04898" w:rsidRDefault="00D26D56" w:rsidP="00AB38B4">
            <w:pPr>
              <w:pStyle w:val="TableBodyText"/>
              <w:rPr>
                <w:b/>
                <w:sz w:val="18"/>
                <w:szCs w:val="18"/>
              </w:rPr>
            </w:pPr>
            <w:r w:rsidRPr="00D04898">
              <w:rPr>
                <w:b/>
                <w:sz w:val="18"/>
                <w:szCs w:val="18"/>
              </w:rPr>
              <w:noBreakHyphen/>
            </w:r>
          </w:p>
        </w:tc>
        <w:tc>
          <w:tcPr>
            <w:tcW w:w="507" w:type="pct"/>
            <w:tcBorders>
              <w:bottom w:val="single" w:sz="4" w:space="0" w:color="auto"/>
            </w:tcBorders>
            <w:shd w:val="clear" w:color="auto" w:fill="auto"/>
            <w:vAlign w:val="bottom"/>
          </w:tcPr>
          <w:p w:rsidR="00D26D56" w:rsidRPr="00D04898" w:rsidRDefault="00D26D56" w:rsidP="00AB38B4">
            <w:pPr>
              <w:pStyle w:val="TableBodyText"/>
              <w:rPr>
                <w:b/>
                <w:sz w:val="18"/>
                <w:szCs w:val="18"/>
              </w:rPr>
            </w:pPr>
            <w:r w:rsidRPr="00D04898">
              <w:rPr>
                <w:b/>
                <w:sz w:val="18"/>
                <w:szCs w:val="18"/>
              </w:rPr>
              <w:noBreakHyphen/>
            </w:r>
          </w:p>
        </w:tc>
        <w:tc>
          <w:tcPr>
            <w:tcW w:w="507" w:type="pct"/>
            <w:tcBorders>
              <w:bottom w:val="single" w:sz="4" w:space="0" w:color="auto"/>
            </w:tcBorders>
            <w:shd w:val="clear" w:color="auto" w:fill="auto"/>
            <w:vAlign w:val="bottom"/>
          </w:tcPr>
          <w:p w:rsidR="00D26D56" w:rsidRPr="00D04898" w:rsidRDefault="00D26D56" w:rsidP="00AB38B4">
            <w:pPr>
              <w:pStyle w:val="TableBodyText"/>
              <w:rPr>
                <w:b/>
                <w:sz w:val="18"/>
                <w:szCs w:val="18"/>
              </w:rPr>
            </w:pPr>
            <w:r w:rsidRPr="00D04898">
              <w:rPr>
                <w:b/>
                <w:sz w:val="18"/>
                <w:szCs w:val="18"/>
              </w:rPr>
              <w:noBreakHyphen/>
            </w:r>
          </w:p>
        </w:tc>
      </w:tr>
    </w:tbl>
    <w:p w:rsidR="00D26D56" w:rsidRDefault="00D26D56" w:rsidP="00D26D56">
      <w:pPr>
        <w:pStyle w:val="Note"/>
      </w:pPr>
      <w:r w:rsidRPr="00A2379F">
        <w:noBreakHyphen/>
        <w:t xml:space="preserve"> Nil</w:t>
      </w:r>
      <w:r>
        <w:t>.</w:t>
      </w:r>
    </w:p>
    <w:p w:rsidR="00D26D56" w:rsidRPr="008E77FE" w:rsidRDefault="00D26D56" w:rsidP="00D26D56">
      <w:pPr>
        <w:pStyle w:val="Source"/>
      </w:pPr>
      <w:r>
        <w:rPr>
          <w:i/>
        </w:rPr>
        <w:t>Sources</w:t>
      </w:r>
      <w:r>
        <w:t>: Commission estimates based on DIISR Annual Report 2007</w:t>
      </w:r>
      <w:r>
        <w:noBreakHyphen/>
        <w:t>08; Department of Industry, Tourism and Resources Annual Report 2006</w:t>
      </w:r>
      <w:r>
        <w:noBreakHyphen/>
        <w:t>07; and detailed DIISR data by ANZSIC industry and detailed Department of Industry, Tourism and Resources data by ANZSIC industry.</w:t>
      </w:r>
    </w:p>
    <w:p w:rsidR="009007E9" w:rsidRDefault="00FA09C3" w:rsidP="009007E9">
      <w:pPr>
        <w:pStyle w:val="Heading2"/>
      </w:pPr>
      <w:r>
        <w:t>A.</w:t>
      </w:r>
      <w:r>
        <w:rPr>
          <w:noProof/>
        </w:rPr>
        <w:t>207</w:t>
      </w:r>
      <w:r w:rsidR="009007E9">
        <w:tab/>
        <w:t>ICT Incubators Program</w:t>
      </w:r>
    </w:p>
    <w:p w:rsidR="009007E9" w:rsidRPr="00E7201E" w:rsidRDefault="009007E9" w:rsidP="009007E9">
      <w:pPr>
        <w:pStyle w:val="BodyText"/>
      </w:pPr>
      <w:r>
        <w:t xml:space="preserve">The ICT Incubators Program funded incubators to provide seed capital and business advice to ICT start-up companies to help accelerate their growth </w:t>
      </w:r>
      <w:r w:rsidRPr="002F5C9C">
        <w:t>(</w:t>
      </w:r>
      <w:r w:rsidRPr="00E80A54">
        <w:t>DIISR 2009</w:t>
      </w:r>
      <w:r w:rsidRPr="002F5C9C">
        <w:t>)</w:t>
      </w:r>
      <w:r>
        <w:t>.</w:t>
      </w:r>
    </w:p>
    <w:p w:rsidR="009007E9" w:rsidRDefault="009007E9" w:rsidP="009007E9">
      <w:pPr>
        <w:pStyle w:val="BodyText"/>
      </w:pPr>
      <w:r w:rsidRPr="00482BDF">
        <w:t xml:space="preserve">The </w:t>
      </w:r>
      <w:r>
        <w:t>Program</w:t>
      </w:r>
      <w:r w:rsidRPr="00482BDF">
        <w:t xml:space="preserve"> </w:t>
      </w:r>
      <w:r>
        <w:t>predomina</w:t>
      </w:r>
      <w:r w:rsidR="008E121B">
        <w:t>n</w:t>
      </w:r>
      <w:r>
        <w:t xml:space="preserve">tly </w:t>
      </w:r>
      <w:r w:rsidRPr="00482BDF">
        <w:t>benefit</w:t>
      </w:r>
      <w:r>
        <w:t>ed</w:t>
      </w:r>
      <w:r w:rsidRPr="00482BDF">
        <w:t xml:space="preserve"> </w:t>
      </w:r>
      <w:r>
        <w:t>businesses</w:t>
      </w:r>
      <w:r w:rsidRPr="00482BDF">
        <w:t xml:space="preserve"> </w:t>
      </w:r>
      <w:r>
        <w:t xml:space="preserve">in the </w:t>
      </w:r>
      <w:r w:rsidRPr="00482BDF">
        <w:t>services</w:t>
      </w:r>
      <w:r>
        <w:t xml:space="preserve"> sector</w:t>
      </w:r>
      <w:r w:rsidRPr="00482BDF">
        <w:t xml:space="preserve">. </w:t>
      </w:r>
      <w:r>
        <w:t xml:space="preserve">However, information on the specific industry incidence of the program has not been readily available. Accordingly, the budget outlay has been classified to the </w:t>
      </w:r>
      <w:r w:rsidRPr="00482BDF">
        <w:rPr>
          <w:i/>
        </w:rPr>
        <w:t>Unallocated services</w:t>
      </w:r>
      <w:r w:rsidRPr="00482BDF">
        <w:t xml:space="preserve"> </w:t>
      </w:r>
      <w:r>
        <w:t xml:space="preserve">industry </w:t>
      </w:r>
      <w:r w:rsidRPr="00482BDF">
        <w:t>grouping in the Commission’s ANZSIC-based classification (table</w:t>
      </w:r>
      <w:r>
        <w:t> </w:t>
      </w:r>
      <w:r w:rsidRPr="00482BDF">
        <w:t>A.</w:t>
      </w:r>
      <w:r>
        <w:t>207</w:t>
      </w:r>
      <w:r w:rsidRPr="00482BDF">
        <w:t>).</w:t>
      </w:r>
    </w:p>
    <w:p w:rsidR="009007E9" w:rsidRDefault="009007E9" w:rsidP="009007E9">
      <w:pPr>
        <w:pStyle w:val="TableTitle"/>
      </w:pPr>
      <w:r>
        <w:rPr>
          <w:b w:val="0"/>
        </w:rPr>
        <w:t xml:space="preserve">Table </w:t>
      </w:r>
      <w:r w:rsidR="00FA09C3">
        <w:rPr>
          <w:b w:val="0"/>
        </w:rPr>
        <w:t>A.</w:t>
      </w:r>
      <w:r w:rsidR="00FA09C3">
        <w:rPr>
          <w:b w:val="0"/>
          <w:noProof/>
        </w:rPr>
        <w:t>207</w:t>
      </w:r>
      <w:r>
        <w:tab/>
        <w:t>Allocation of ICT Incubators Program</w:t>
      </w:r>
      <w:r w:rsidR="00571E36" w:rsidRPr="00571E36">
        <w:t xml:space="preserve"> to industry</w:t>
      </w:r>
      <w:r>
        <w:t>, 2006</w:t>
      </w:r>
      <w:r>
        <w:noBreakHyphen/>
        <w:t>07 to 2011</w:t>
      </w:r>
      <w:r>
        <w:noBreakHyphen/>
        <w:t>12</w:t>
      </w:r>
    </w:p>
    <w:p w:rsidR="009007E9" w:rsidRDefault="009007E9" w:rsidP="009007E9">
      <w:pPr>
        <w:pStyle w:val="Subtitle"/>
      </w:pPr>
      <w:r>
        <w:t>$</w:t>
      </w:r>
      <w:r w:rsidR="008E121B">
        <w:t xml:space="preserve"> </w:t>
      </w:r>
      <w:r>
        <w:t>million (nominal)</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9007E9" w:rsidRPr="00AF699A" w:rsidTr="00641283">
        <w:trPr>
          <w:trHeight w:val="340"/>
        </w:trPr>
        <w:tc>
          <w:tcPr>
            <w:tcW w:w="1958" w:type="pct"/>
            <w:tcBorders>
              <w:top w:val="single" w:sz="6" w:space="0" w:color="auto"/>
              <w:bottom w:val="single" w:sz="6" w:space="0" w:color="auto"/>
            </w:tcBorders>
          </w:tcPr>
          <w:p w:rsidR="009007E9" w:rsidRPr="00AF699A" w:rsidRDefault="009007E9" w:rsidP="00AB38B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9007E9" w:rsidRPr="00AF699A" w:rsidRDefault="009007E9"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9007E9" w:rsidRPr="00AF699A" w:rsidRDefault="009007E9" w:rsidP="00AB38B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9007E9" w:rsidRPr="00AF699A" w:rsidRDefault="009007E9" w:rsidP="00AB38B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9007E9" w:rsidRPr="00AF699A" w:rsidRDefault="009007E9" w:rsidP="00AB38B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9007E9" w:rsidRPr="00AF699A" w:rsidRDefault="009007E9" w:rsidP="00AB38B4">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9007E9" w:rsidRPr="00AF699A" w:rsidRDefault="009007E9" w:rsidP="00AB38B4">
            <w:pPr>
              <w:pStyle w:val="TableColumnHeading"/>
              <w:ind w:right="28"/>
              <w:rPr>
                <w:rFonts w:cs="Arial"/>
                <w:sz w:val="18"/>
                <w:szCs w:val="18"/>
              </w:rPr>
            </w:pPr>
            <w:r w:rsidRPr="00AF699A">
              <w:rPr>
                <w:rFonts w:cs="Arial"/>
                <w:sz w:val="18"/>
                <w:szCs w:val="18"/>
              </w:rPr>
              <w:t>2011-12</w:t>
            </w:r>
          </w:p>
        </w:tc>
      </w:tr>
      <w:tr w:rsidR="009007E9" w:rsidRPr="002A35C8" w:rsidTr="00AB38B4">
        <w:tc>
          <w:tcPr>
            <w:tcW w:w="1958" w:type="pct"/>
            <w:tcBorders>
              <w:bottom w:val="single" w:sz="4" w:space="0" w:color="auto"/>
            </w:tcBorders>
            <w:vAlign w:val="bottom"/>
          </w:tcPr>
          <w:p w:rsidR="009007E9" w:rsidRPr="005D01F7" w:rsidRDefault="009007E9" w:rsidP="00AB38B4">
            <w:pPr>
              <w:pStyle w:val="TableBodyText"/>
              <w:jc w:val="left"/>
            </w:pPr>
            <w:r w:rsidRPr="005D01F7">
              <w:t>Unallocated services</w:t>
            </w:r>
            <w:r w:rsidRPr="00641283">
              <w:rPr>
                <w:rStyle w:val="NoteLabel"/>
                <w:szCs w:val="18"/>
              </w:rPr>
              <w:t>a</w:t>
            </w:r>
          </w:p>
        </w:tc>
        <w:tc>
          <w:tcPr>
            <w:tcW w:w="507" w:type="pct"/>
            <w:tcBorders>
              <w:bottom w:val="single" w:sz="4" w:space="0" w:color="auto"/>
            </w:tcBorders>
            <w:vAlign w:val="bottom"/>
          </w:tcPr>
          <w:p w:rsidR="009007E9" w:rsidRPr="005D01F7" w:rsidRDefault="009007E9" w:rsidP="00AB38B4">
            <w:pPr>
              <w:pStyle w:val="TableBodyText"/>
            </w:pPr>
            <w:r>
              <w:noBreakHyphen/>
            </w:r>
          </w:p>
        </w:tc>
        <w:tc>
          <w:tcPr>
            <w:tcW w:w="507" w:type="pct"/>
            <w:tcBorders>
              <w:bottom w:val="single" w:sz="4" w:space="0" w:color="auto"/>
            </w:tcBorders>
            <w:vAlign w:val="bottom"/>
          </w:tcPr>
          <w:p w:rsidR="009007E9" w:rsidRPr="005D01F7" w:rsidRDefault="009007E9" w:rsidP="00AB38B4">
            <w:pPr>
              <w:pStyle w:val="TableBodyText"/>
            </w:pPr>
            <w:r w:rsidRPr="005D01F7">
              <w:t>1.7</w:t>
            </w:r>
          </w:p>
        </w:tc>
        <w:tc>
          <w:tcPr>
            <w:tcW w:w="507" w:type="pct"/>
            <w:tcBorders>
              <w:bottom w:val="single" w:sz="4" w:space="0" w:color="auto"/>
            </w:tcBorders>
            <w:vAlign w:val="bottom"/>
          </w:tcPr>
          <w:p w:rsidR="009007E9" w:rsidRPr="005D01F7" w:rsidRDefault="009007E9" w:rsidP="00AB38B4">
            <w:pPr>
              <w:pStyle w:val="TableBodyText"/>
            </w:pPr>
            <w:r>
              <w:noBreakHyphen/>
            </w:r>
          </w:p>
        </w:tc>
        <w:tc>
          <w:tcPr>
            <w:tcW w:w="507" w:type="pct"/>
            <w:tcBorders>
              <w:bottom w:val="single" w:sz="4" w:space="0" w:color="auto"/>
            </w:tcBorders>
            <w:vAlign w:val="bottom"/>
          </w:tcPr>
          <w:p w:rsidR="009007E9" w:rsidRPr="005D01F7" w:rsidRDefault="009007E9" w:rsidP="00AB38B4">
            <w:pPr>
              <w:pStyle w:val="TableBodyText"/>
            </w:pPr>
            <w:r>
              <w:noBreakHyphen/>
            </w:r>
          </w:p>
        </w:tc>
        <w:tc>
          <w:tcPr>
            <w:tcW w:w="507" w:type="pct"/>
            <w:tcBorders>
              <w:bottom w:val="single" w:sz="4" w:space="0" w:color="auto"/>
            </w:tcBorders>
            <w:shd w:val="clear" w:color="auto" w:fill="auto"/>
            <w:vAlign w:val="bottom"/>
          </w:tcPr>
          <w:p w:rsidR="009007E9" w:rsidRPr="005D01F7" w:rsidRDefault="009007E9" w:rsidP="00AB38B4">
            <w:pPr>
              <w:pStyle w:val="TableBodyText"/>
            </w:pPr>
            <w:r>
              <w:noBreakHyphen/>
            </w:r>
          </w:p>
        </w:tc>
        <w:tc>
          <w:tcPr>
            <w:tcW w:w="507" w:type="pct"/>
            <w:tcBorders>
              <w:bottom w:val="single" w:sz="4" w:space="0" w:color="auto"/>
            </w:tcBorders>
            <w:shd w:val="clear" w:color="auto" w:fill="auto"/>
            <w:vAlign w:val="bottom"/>
          </w:tcPr>
          <w:p w:rsidR="009007E9" w:rsidRPr="005D01F7" w:rsidRDefault="009007E9" w:rsidP="00AB38B4">
            <w:pPr>
              <w:pStyle w:val="TableBodyText"/>
            </w:pPr>
            <w:r>
              <w:noBreakHyphen/>
            </w:r>
          </w:p>
        </w:tc>
      </w:tr>
    </w:tbl>
    <w:p w:rsidR="009007E9" w:rsidRDefault="009007E9" w:rsidP="009007E9">
      <w:pPr>
        <w:pStyle w:val="Note"/>
      </w:pPr>
      <w:r w:rsidRPr="00A2379F">
        <w:noBreakHyphen/>
        <w:t xml:space="preserve"> Nil</w:t>
      </w:r>
      <w:r>
        <w:t>.</w:t>
      </w:r>
      <w:r w:rsidRPr="008E77FE">
        <w:rPr>
          <w:rStyle w:val="NoteLabel"/>
        </w:rPr>
        <w:t xml:space="preserve"> a</w:t>
      </w:r>
      <w:r>
        <w:t xml:space="preserve"> </w:t>
      </w:r>
      <w:r w:rsidRPr="009B56F1">
        <w:t>Unallocated includes general programs where detai</w:t>
      </w:r>
      <w:r>
        <w:t>ls of beneficiaries are unknown.</w:t>
      </w:r>
    </w:p>
    <w:p w:rsidR="009007E9" w:rsidRPr="008E77FE" w:rsidRDefault="009007E9" w:rsidP="009007E9">
      <w:pPr>
        <w:pStyle w:val="Source"/>
      </w:pPr>
      <w:r>
        <w:rPr>
          <w:i/>
        </w:rPr>
        <w:t>Source</w:t>
      </w:r>
      <w:r>
        <w:t>: Commission estimates based on DIISR Annual Report 2007</w:t>
      </w:r>
      <w:r>
        <w:noBreakHyphen/>
        <w:t>08.</w:t>
      </w:r>
    </w:p>
    <w:p w:rsidR="0037479F" w:rsidRDefault="00FA09C3" w:rsidP="0037479F">
      <w:pPr>
        <w:pStyle w:val="Heading2"/>
      </w:pPr>
      <w:r>
        <w:t>A.</w:t>
      </w:r>
      <w:r>
        <w:rPr>
          <w:noProof/>
        </w:rPr>
        <w:t>208</w:t>
      </w:r>
      <w:r w:rsidR="0037479F">
        <w:tab/>
        <w:t>Innovation Access Program</w:t>
      </w:r>
    </w:p>
    <w:p w:rsidR="0037479F" w:rsidRDefault="0037479F" w:rsidP="0037479F">
      <w:pPr>
        <w:pStyle w:val="BodyText"/>
      </w:pPr>
      <w:r>
        <w:t xml:space="preserve">Part of the Commercial Ready Program, the Innovation Access Program aimed to support projects that improve access and enhance understanding of technologies in a range of industries including restaurant and catering, automotive, telematics, facilities management and nanotechnology </w:t>
      </w:r>
      <w:r w:rsidRPr="00345044">
        <w:t>(</w:t>
      </w:r>
      <w:r w:rsidRPr="00E80A54">
        <w:t>DITR 2005</w:t>
      </w:r>
      <w:r w:rsidRPr="00345044">
        <w:t>)</w:t>
      </w:r>
      <w:r>
        <w:t xml:space="preserve">. </w:t>
      </w:r>
      <w:r w:rsidRPr="00E82EBF">
        <w:t>In doing so, the Program aimed to assist Australian companies to identify best practice and form strategic partnerships</w:t>
      </w:r>
      <w:r>
        <w:t xml:space="preserve"> </w:t>
      </w:r>
      <w:r w:rsidRPr="00345044">
        <w:t>(</w:t>
      </w:r>
      <w:r w:rsidRPr="00E80A54">
        <w:t>DITR 2006</w:t>
      </w:r>
      <w:r w:rsidRPr="00345044">
        <w:t>)</w:t>
      </w:r>
      <w:r w:rsidRPr="00E82EBF">
        <w:t>.</w:t>
      </w:r>
      <w:r>
        <w:t xml:space="preserve"> Some projects supported under the Program aimed to: improve access and awareness of information technology and other innovations for the restaurant and catering industry; raise industry awareness of nanotechnology and its applications; and demonstrate aspects of best practice for the facilities management industry.</w:t>
      </w:r>
    </w:p>
    <w:p w:rsidR="006156BE" w:rsidRDefault="0037479F" w:rsidP="006156BE">
      <w:pPr>
        <w:pStyle w:val="BodyText"/>
      </w:pPr>
      <w:r>
        <w:t xml:space="preserve">Information on the industry incidence of the Program has not been readily available. Accordingly, the budget outlay has been classified to the </w:t>
      </w:r>
      <w:r w:rsidRPr="00DC5FDE">
        <w:rPr>
          <w:i/>
        </w:rPr>
        <w:t>Unallocated other</w:t>
      </w:r>
      <w:r w:rsidRPr="00DC5FDE">
        <w:t xml:space="preserve"> industry grouping in the Commission’s ANZSIC-based classification (table</w:t>
      </w:r>
      <w:r w:rsidR="00886F15">
        <w:t> </w:t>
      </w:r>
      <w:r w:rsidRPr="00DC5FDE">
        <w:t>A.</w:t>
      </w:r>
      <w:r>
        <w:t>208</w:t>
      </w:r>
      <w:r w:rsidRPr="00DC5FDE">
        <w:t>).</w:t>
      </w:r>
      <w:r w:rsidR="00F443A8">
        <w:t xml:space="preserve"> </w:t>
      </w:r>
    </w:p>
    <w:p w:rsidR="0037479F" w:rsidRDefault="0037479F" w:rsidP="0037479F">
      <w:pPr>
        <w:pStyle w:val="TableTitle"/>
      </w:pPr>
      <w:r>
        <w:rPr>
          <w:b w:val="0"/>
        </w:rPr>
        <w:t xml:space="preserve">Table </w:t>
      </w:r>
      <w:r w:rsidR="00FA09C3">
        <w:rPr>
          <w:b w:val="0"/>
        </w:rPr>
        <w:t>A.</w:t>
      </w:r>
      <w:r w:rsidR="00FA09C3">
        <w:rPr>
          <w:b w:val="0"/>
          <w:noProof/>
        </w:rPr>
        <w:t>208</w:t>
      </w:r>
      <w:r>
        <w:tab/>
        <w:t>Allocation of Innovation Access Program</w:t>
      </w:r>
      <w:r w:rsidR="00571E36" w:rsidRPr="00571E36">
        <w:t xml:space="preserve"> to industry</w:t>
      </w:r>
      <w:r>
        <w:t>, 2006</w:t>
      </w:r>
      <w:r>
        <w:noBreakHyphen/>
        <w:t>07 to 2011</w:t>
      </w:r>
      <w:r>
        <w:noBreakHyphen/>
        <w:t>12</w:t>
      </w:r>
    </w:p>
    <w:p w:rsidR="0037479F" w:rsidRDefault="0037479F" w:rsidP="0037479F">
      <w:pPr>
        <w:pStyle w:val="Subtitle"/>
      </w:pPr>
      <w:r>
        <w:t>$</w:t>
      </w:r>
      <w:r w:rsidR="008E121B">
        <w:t xml:space="preserve"> </w:t>
      </w:r>
      <w:r>
        <w:t xml:space="preserve">million (nominal) </w:t>
      </w:r>
    </w:p>
    <w:tbl>
      <w:tblPr>
        <w:tblW w:w="4997" w:type="pct"/>
        <w:tblCellMar>
          <w:left w:w="0" w:type="dxa"/>
          <w:right w:w="0" w:type="dxa"/>
        </w:tblCellMar>
        <w:tblLook w:val="0000" w:firstRow="0" w:lastRow="0" w:firstColumn="0" w:lastColumn="0" w:noHBand="0" w:noVBand="0"/>
      </w:tblPr>
      <w:tblGrid>
        <w:gridCol w:w="3446"/>
        <w:gridCol w:w="891"/>
        <w:gridCol w:w="891"/>
        <w:gridCol w:w="891"/>
        <w:gridCol w:w="889"/>
        <w:gridCol w:w="889"/>
        <w:gridCol w:w="887"/>
      </w:tblGrid>
      <w:tr w:rsidR="00051865" w:rsidRPr="00AF699A" w:rsidTr="00F443A8">
        <w:trPr>
          <w:trHeight w:val="340"/>
        </w:trPr>
        <w:tc>
          <w:tcPr>
            <w:tcW w:w="1962" w:type="pct"/>
            <w:tcBorders>
              <w:top w:val="single" w:sz="6" w:space="0" w:color="auto"/>
              <w:bottom w:val="single" w:sz="6" w:space="0" w:color="auto"/>
            </w:tcBorders>
          </w:tcPr>
          <w:p w:rsidR="00051865" w:rsidRPr="00AF699A" w:rsidRDefault="00051865" w:rsidP="00AB38B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051865" w:rsidRPr="00AF699A" w:rsidRDefault="00051865"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051865" w:rsidRPr="00AF699A" w:rsidRDefault="00051865" w:rsidP="00AB38B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051865" w:rsidRPr="00AF699A" w:rsidRDefault="00051865" w:rsidP="00AB38B4">
            <w:pPr>
              <w:pStyle w:val="TableColumnHeading"/>
              <w:ind w:right="28"/>
              <w:rPr>
                <w:rFonts w:cs="Arial"/>
                <w:sz w:val="18"/>
                <w:szCs w:val="18"/>
              </w:rPr>
            </w:pPr>
            <w:r w:rsidRPr="00AF699A">
              <w:rPr>
                <w:rFonts w:cs="Arial"/>
                <w:sz w:val="18"/>
                <w:szCs w:val="18"/>
              </w:rPr>
              <w:t>2008-09</w:t>
            </w:r>
          </w:p>
        </w:tc>
        <w:tc>
          <w:tcPr>
            <w:tcW w:w="506" w:type="pct"/>
            <w:tcBorders>
              <w:top w:val="single" w:sz="6" w:space="0" w:color="auto"/>
              <w:bottom w:val="single" w:sz="6" w:space="0" w:color="auto"/>
            </w:tcBorders>
          </w:tcPr>
          <w:p w:rsidR="00051865" w:rsidRPr="00AF699A" w:rsidRDefault="00051865" w:rsidP="00AB38B4">
            <w:pPr>
              <w:pStyle w:val="TableColumnHeading"/>
              <w:ind w:right="28"/>
              <w:rPr>
                <w:rFonts w:cs="Arial"/>
                <w:sz w:val="18"/>
                <w:szCs w:val="18"/>
              </w:rPr>
            </w:pPr>
            <w:r w:rsidRPr="00AF699A">
              <w:rPr>
                <w:rFonts w:cs="Arial"/>
                <w:sz w:val="18"/>
                <w:szCs w:val="18"/>
              </w:rPr>
              <w:t>2009-10</w:t>
            </w:r>
          </w:p>
        </w:tc>
        <w:tc>
          <w:tcPr>
            <w:tcW w:w="506" w:type="pct"/>
            <w:tcBorders>
              <w:top w:val="single" w:sz="6" w:space="0" w:color="auto"/>
              <w:bottom w:val="single" w:sz="6" w:space="0" w:color="auto"/>
            </w:tcBorders>
            <w:shd w:val="clear" w:color="auto" w:fill="auto"/>
          </w:tcPr>
          <w:p w:rsidR="00051865" w:rsidRPr="00AF699A" w:rsidRDefault="00051865" w:rsidP="00AB38B4">
            <w:pPr>
              <w:pStyle w:val="TableColumnHeading"/>
              <w:ind w:right="28"/>
              <w:rPr>
                <w:rFonts w:cs="Arial"/>
                <w:sz w:val="18"/>
                <w:szCs w:val="18"/>
              </w:rPr>
            </w:pPr>
            <w:r w:rsidRPr="00AF699A">
              <w:rPr>
                <w:rFonts w:cs="Arial"/>
                <w:sz w:val="18"/>
                <w:szCs w:val="18"/>
              </w:rPr>
              <w:t>2010-11</w:t>
            </w:r>
          </w:p>
        </w:tc>
        <w:tc>
          <w:tcPr>
            <w:tcW w:w="506" w:type="pct"/>
            <w:tcBorders>
              <w:top w:val="single" w:sz="6" w:space="0" w:color="auto"/>
              <w:bottom w:val="single" w:sz="6" w:space="0" w:color="auto"/>
            </w:tcBorders>
            <w:shd w:val="clear" w:color="auto" w:fill="auto"/>
          </w:tcPr>
          <w:p w:rsidR="00051865" w:rsidRPr="00AF699A" w:rsidRDefault="00051865" w:rsidP="00AB38B4">
            <w:pPr>
              <w:pStyle w:val="TableColumnHeading"/>
              <w:ind w:right="28"/>
              <w:rPr>
                <w:rFonts w:cs="Arial"/>
                <w:sz w:val="18"/>
                <w:szCs w:val="18"/>
              </w:rPr>
            </w:pPr>
            <w:r w:rsidRPr="00AF699A">
              <w:rPr>
                <w:rFonts w:cs="Arial"/>
                <w:sz w:val="18"/>
                <w:szCs w:val="18"/>
              </w:rPr>
              <w:t>2011-12</w:t>
            </w:r>
          </w:p>
        </w:tc>
      </w:tr>
      <w:tr w:rsidR="00051865" w:rsidRPr="002A35C8" w:rsidTr="00051865">
        <w:tc>
          <w:tcPr>
            <w:tcW w:w="1962" w:type="pct"/>
            <w:tcBorders>
              <w:bottom w:val="single" w:sz="4" w:space="0" w:color="auto"/>
            </w:tcBorders>
            <w:vAlign w:val="bottom"/>
          </w:tcPr>
          <w:p w:rsidR="00051865" w:rsidRPr="00C44E2B" w:rsidRDefault="00051865" w:rsidP="00AB38B4">
            <w:pPr>
              <w:pStyle w:val="TableBodyText"/>
              <w:jc w:val="left"/>
            </w:pPr>
            <w:r w:rsidRPr="00C44E2B">
              <w:t>Unallocated other</w:t>
            </w:r>
            <w:r w:rsidRPr="00F443A8">
              <w:rPr>
                <w:rStyle w:val="NoteLabel"/>
                <w:szCs w:val="18"/>
              </w:rPr>
              <w:t>a</w:t>
            </w:r>
          </w:p>
        </w:tc>
        <w:tc>
          <w:tcPr>
            <w:tcW w:w="507" w:type="pct"/>
            <w:tcBorders>
              <w:bottom w:val="single" w:sz="4" w:space="0" w:color="auto"/>
            </w:tcBorders>
            <w:vAlign w:val="bottom"/>
          </w:tcPr>
          <w:p w:rsidR="00051865" w:rsidRPr="00C44E2B" w:rsidRDefault="00051865" w:rsidP="00AB38B4">
            <w:pPr>
              <w:pStyle w:val="TableBodyText"/>
            </w:pPr>
            <w:r w:rsidRPr="00C44E2B">
              <w:t>0.8</w:t>
            </w:r>
          </w:p>
        </w:tc>
        <w:tc>
          <w:tcPr>
            <w:tcW w:w="507" w:type="pct"/>
            <w:tcBorders>
              <w:bottom w:val="single" w:sz="4" w:space="0" w:color="auto"/>
            </w:tcBorders>
            <w:vAlign w:val="bottom"/>
          </w:tcPr>
          <w:p w:rsidR="00051865" w:rsidRPr="00C44E2B" w:rsidRDefault="00051865" w:rsidP="00AB38B4">
            <w:pPr>
              <w:pStyle w:val="TableBodyText"/>
            </w:pPr>
            <w:r w:rsidRPr="00C44E2B">
              <w:t>1.1</w:t>
            </w:r>
          </w:p>
        </w:tc>
        <w:tc>
          <w:tcPr>
            <w:tcW w:w="507" w:type="pct"/>
            <w:tcBorders>
              <w:bottom w:val="single" w:sz="4" w:space="0" w:color="auto"/>
            </w:tcBorders>
            <w:vAlign w:val="bottom"/>
          </w:tcPr>
          <w:p w:rsidR="00051865" w:rsidRPr="00C44E2B" w:rsidRDefault="00051865" w:rsidP="00AB38B4">
            <w:pPr>
              <w:pStyle w:val="TableBodyText"/>
            </w:pPr>
            <w:r>
              <w:noBreakHyphen/>
            </w:r>
          </w:p>
        </w:tc>
        <w:tc>
          <w:tcPr>
            <w:tcW w:w="506" w:type="pct"/>
            <w:tcBorders>
              <w:bottom w:val="single" w:sz="4" w:space="0" w:color="auto"/>
            </w:tcBorders>
            <w:vAlign w:val="bottom"/>
          </w:tcPr>
          <w:p w:rsidR="00051865" w:rsidRPr="00C44E2B" w:rsidRDefault="00051865" w:rsidP="00AB38B4">
            <w:pPr>
              <w:pStyle w:val="TableBodyText"/>
            </w:pPr>
            <w:r>
              <w:noBreakHyphen/>
            </w:r>
          </w:p>
        </w:tc>
        <w:tc>
          <w:tcPr>
            <w:tcW w:w="506" w:type="pct"/>
            <w:tcBorders>
              <w:bottom w:val="single" w:sz="4" w:space="0" w:color="auto"/>
            </w:tcBorders>
            <w:shd w:val="clear" w:color="auto" w:fill="auto"/>
            <w:vAlign w:val="bottom"/>
          </w:tcPr>
          <w:p w:rsidR="00051865" w:rsidRPr="00C44E2B" w:rsidRDefault="00051865" w:rsidP="00AB38B4">
            <w:pPr>
              <w:pStyle w:val="TableBodyText"/>
            </w:pPr>
            <w:r>
              <w:noBreakHyphen/>
            </w:r>
          </w:p>
        </w:tc>
        <w:tc>
          <w:tcPr>
            <w:tcW w:w="506" w:type="pct"/>
            <w:tcBorders>
              <w:bottom w:val="single" w:sz="4" w:space="0" w:color="auto"/>
            </w:tcBorders>
            <w:shd w:val="clear" w:color="auto" w:fill="auto"/>
            <w:vAlign w:val="bottom"/>
          </w:tcPr>
          <w:p w:rsidR="00051865" w:rsidRPr="00C44E2B" w:rsidRDefault="00051865" w:rsidP="00AB38B4">
            <w:pPr>
              <w:pStyle w:val="TableBodyText"/>
            </w:pPr>
            <w:r>
              <w:noBreakHyphen/>
            </w:r>
          </w:p>
        </w:tc>
      </w:tr>
    </w:tbl>
    <w:p w:rsidR="0037479F" w:rsidRDefault="0037479F" w:rsidP="0037479F">
      <w:pPr>
        <w:pStyle w:val="Note"/>
      </w:pPr>
      <w:r w:rsidRPr="00A2379F">
        <w:noBreakHyphen/>
        <w:t xml:space="preserve"> Nil</w:t>
      </w:r>
      <w:r>
        <w:t>.</w:t>
      </w:r>
      <w:r w:rsidRPr="008E77FE">
        <w:rPr>
          <w:rStyle w:val="NoteLabel"/>
        </w:rPr>
        <w:t xml:space="preserve"> a</w:t>
      </w:r>
      <w:r>
        <w:t xml:space="preserve"> </w:t>
      </w:r>
      <w:r w:rsidRPr="009B56F1">
        <w:t>Unallocated includes general programs where detai</w:t>
      </w:r>
      <w:r>
        <w:t>ls of beneficiaries are unknown.</w:t>
      </w:r>
    </w:p>
    <w:p w:rsidR="0037479F" w:rsidRPr="008E77FE" w:rsidRDefault="0037479F" w:rsidP="0037479F">
      <w:pPr>
        <w:pStyle w:val="Source"/>
      </w:pPr>
      <w:r>
        <w:rPr>
          <w:i/>
        </w:rPr>
        <w:t>Sources</w:t>
      </w:r>
      <w:r>
        <w:t>: Commission estimates based on detailed DIISR data by ANZSIC industry; and detailed Department of Industry, Tourism and Resources data by ANZSIC industry.</w:t>
      </w:r>
    </w:p>
    <w:p w:rsidR="00D25D2D" w:rsidRDefault="00FA09C3" w:rsidP="00D25D2D">
      <w:pPr>
        <w:pStyle w:val="Heading2"/>
      </w:pPr>
      <w:r>
        <w:t>A.</w:t>
      </w:r>
      <w:r>
        <w:rPr>
          <w:noProof/>
        </w:rPr>
        <w:t>209</w:t>
      </w:r>
      <w:r w:rsidR="00D25D2D">
        <w:tab/>
        <w:t>Australian HomeGrown Campaign</w:t>
      </w:r>
    </w:p>
    <w:p w:rsidR="00D25D2D" w:rsidRDefault="00D25D2D" w:rsidP="00D25D2D">
      <w:pPr>
        <w:pStyle w:val="BodyText"/>
      </w:pPr>
      <w:r>
        <w:t>The Australian HomeGrown Campaign assisted Australian food producers and processors to market the Australian origin of their products and offered a readily recognised symbol to help consumers identify Australian-grown products on supermarket shelves. In 2007</w:t>
      </w:r>
      <w:r>
        <w:noBreakHyphen/>
        <w:t>08, the contracted scheme administrator, Australian Made Campaign Limited, managed a wide marketing campaign involving print, television, radio and outdoor advertising and public relations events (</w:t>
      </w:r>
      <w:r w:rsidRPr="00E80A54">
        <w:t>DAFF 2008</w:t>
      </w:r>
      <w:r>
        <w:t>).</w:t>
      </w:r>
    </w:p>
    <w:p w:rsidR="00D25D2D" w:rsidRPr="003C580F" w:rsidRDefault="00D25D2D" w:rsidP="00D25D2D">
      <w:pPr>
        <w:pStyle w:val="BodyText"/>
      </w:pPr>
      <w:r>
        <w:t>Funding for the scheme ceased on 30 June 2008.</w:t>
      </w:r>
    </w:p>
    <w:p w:rsidR="00D25D2D" w:rsidRDefault="00D25D2D" w:rsidP="00D25D2D">
      <w:pPr>
        <w:pStyle w:val="BodyText"/>
      </w:pPr>
      <w:r>
        <w:t>F</w:t>
      </w:r>
      <w:r w:rsidRPr="006E11F4">
        <w:t xml:space="preserve">unding </w:t>
      </w:r>
      <w:r>
        <w:t xml:space="preserve">for the Campaign </w:t>
      </w:r>
      <w:r w:rsidRPr="006E11F4">
        <w:t xml:space="preserve">has been allocated to the </w:t>
      </w:r>
      <w:r w:rsidRPr="006E11F4">
        <w:rPr>
          <w:i/>
        </w:rPr>
        <w:t>Food, beverages and tobacco</w:t>
      </w:r>
      <w:r w:rsidRPr="006E11F4">
        <w:t xml:space="preserve"> industry </w:t>
      </w:r>
      <w:r>
        <w:t xml:space="preserve">grouping </w:t>
      </w:r>
      <w:r w:rsidRPr="006E11F4">
        <w:t xml:space="preserve">in the Commission’s ANZSIC-based </w:t>
      </w:r>
      <w:r>
        <w:t>classification</w:t>
      </w:r>
      <w:r w:rsidRPr="006E11F4">
        <w:t xml:space="preserve"> (table</w:t>
      </w:r>
      <w:r>
        <w:t> </w:t>
      </w:r>
      <w:r w:rsidRPr="006E11F4">
        <w:t>A.</w:t>
      </w:r>
      <w:r>
        <w:t>209</w:t>
      </w:r>
      <w:r w:rsidRPr="006E11F4">
        <w:t>)</w:t>
      </w:r>
      <w:r>
        <w:t>.</w:t>
      </w:r>
    </w:p>
    <w:p w:rsidR="00D25D2D" w:rsidRDefault="00D25D2D" w:rsidP="00D25D2D">
      <w:pPr>
        <w:pStyle w:val="TableTitle"/>
      </w:pPr>
      <w:r>
        <w:rPr>
          <w:b w:val="0"/>
        </w:rPr>
        <w:t xml:space="preserve">Table </w:t>
      </w:r>
      <w:r w:rsidR="00FA09C3">
        <w:rPr>
          <w:b w:val="0"/>
        </w:rPr>
        <w:t>A.</w:t>
      </w:r>
      <w:r w:rsidR="00FA09C3">
        <w:rPr>
          <w:b w:val="0"/>
          <w:noProof/>
        </w:rPr>
        <w:t>209</w:t>
      </w:r>
      <w:r>
        <w:tab/>
      </w:r>
      <w:r w:rsidR="0002477A">
        <w:t xml:space="preserve">Allocation of </w:t>
      </w:r>
      <w:r>
        <w:t>Australian Home Grown Campaign</w:t>
      </w:r>
      <w:r w:rsidR="00571E36" w:rsidRPr="00571E36">
        <w:t xml:space="preserve"> to industry</w:t>
      </w:r>
      <w:r w:rsidR="0002477A">
        <w:t>, 2006</w:t>
      </w:r>
      <w:r w:rsidR="0002477A">
        <w:noBreakHyphen/>
        <w:t>07 to 2011</w:t>
      </w:r>
      <w:r w:rsidR="0002477A">
        <w:noBreakHyphen/>
        <w:t>12</w:t>
      </w:r>
    </w:p>
    <w:p w:rsidR="00D25D2D" w:rsidRDefault="00D25D2D" w:rsidP="00D25D2D">
      <w:pPr>
        <w:pStyle w:val="Subtitle"/>
      </w:pPr>
      <w:r>
        <w:t>$</w:t>
      </w:r>
      <w:r w:rsidR="008E121B">
        <w:t xml:space="preserve"> </w:t>
      </w:r>
      <w:r>
        <w:t xml:space="preserve">million (nominal) </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C7788D" w:rsidRPr="00AF699A" w:rsidTr="00F443A8">
        <w:trPr>
          <w:trHeight w:val="340"/>
        </w:trPr>
        <w:tc>
          <w:tcPr>
            <w:tcW w:w="1958" w:type="pct"/>
            <w:tcBorders>
              <w:top w:val="single" w:sz="6" w:space="0" w:color="auto"/>
              <w:bottom w:val="single" w:sz="6" w:space="0" w:color="auto"/>
            </w:tcBorders>
          </w:tcPr>
          <w:p w:rsidR="00C7788D" w:rsidRPr="00AF699A" w:rsidRDefault="00C7788D" w:rsidP="00AB38B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C7788D" w:rsidRPr="00AF699A" w:rsidRDefault="00C7788D"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C7788D" w:rsidRPr="00AF699A" w:rsidRDefault="00C7788D" w:rsidP="00AB38B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C7788D" w:rsidRPr="00AF699A" w:rsidRDefault="00C7788D" w:rsidP="00AB38B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C7788D" w:rsidRPr="00AF699A" w:rsidRDefault="00C7788D" w:rsidP="00AB38B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C7788D" w:rsidRPr="00AF699A" w:rsidRDefault="00C7788D" w:rsidP="00AB38B4">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C7788D" w:rsidRPr="00AF699A" w:rsidRDefault="00C7788D" w:rsidP="00AB38B4">
            <w:pPr>
              <w:pStyle w:val="TableColumnHeading"/>
              <w:ind w:right="28"/>
              <w:rPr>
                <w:rFonts w:cs="Arial"/>
                <w:sz w:val="18"/>
                <w:szCs w:val="18"/>
              </w:rPr>
            </w:pPr>
            <w:r w:rsidRPr="00AF699A">
              <w:rPr>
                <w:rFonts w:cs="Arial"/>
                <w:sz w:val="18"/>
                <w:szCs w:val="18"/>
              </w:rPr>
              <w:t>2011-12</w:t>
            </w:r>
          </w:p>
        </w:tc>
      </w:tr>
      <w:tr w:rsidR="00C7788D" w:rsidRPr="00CE1906" w:rsidTr="00E80A54">
        <w:tc>
          <w:tcPr>
            <w:tcW w:w="1958" w:type="pct"/>
            <w:tcBorders>
              <w:bottom w:val="single" w:sz="4" w:space="0" w:color="auto"/>
            </w:tcBorders>
            <w:vAlign w:val="bottom"/>
          </w:tcPr>
          <w:p w:rsidR="00C7788D" w:rsidRPr="003D6DF5" w:rsidRDefault="00C7788D" w:rsidP="00AB38B4">
            <w:pPr>
              <w:pStyle w:val="TableBodyText"/>
              <w:jc w:val="left"/>
            </w:pPr>
            <w:r w:rsidRPr="003D6DF5">
              <w:t>Food, beverages and tobacco</w:t>
            </w:r>
          </w:p>
        </w:tc>
        <w:tc>
          <w:tcPr>
            <w:tcW w:w="507" w:type="pct"/>
            <w:tcBorders>
              <w:bottom w:val="single" w:sz="4" w:space="0" w:color="auto"/>
            </w:tcBorders>
            <w:vAlign w:val="bottom"/>
          </w:tcPr>
          <w:p w:rsidR="00C7788D" w:rsidRPr="003D6DF5" w:rsidRDefault="00C7788D" w:rsidP="00AB38B4">
            <w:pPr>
              <w:pStyle w:val="TableBodyText"/>
            </w:pPr>
            <w:r w:rsidRPr="003D6DF5">
              <w:t>1.8</w:t>
            </w:r>
          </w:p>
        </w:tc>
        <w:tc>
          <w:tcPr>
            <w:tcW w:w="507" w:type="pct"/>
            <w:tcBorders>
              <w:bottom w:val="single" w:sz="4" w:space="0" w:color="auto"/>
            </w:tcBorders>
            <w:vAlign w:val="bottom"/>
          </w:tcPr>
          <w:p w:rsidR="00C7788D" w:rsidRPr="003D6DF5" w:rsidRDefault="00C7788D" w:rsidP="00AB38B4">
            <w:pPr>
              <w:pStyle w:val="TableBodyText"/>
            </w:pPr>
            <w:r w:rsidRPr="003D6DF5">
              <w:t>0.9</w:t>
            </w:r>
          </w:p>
        </w:tc>
        <w:tc>
          <w:tcPr>
            <w:tcW w:w="507" w:type="pct"/>
            <w:tcBorders>
              <w:bottom w:val="single" w:sz="4" w:space="0" w:color="auto"/>
            </w:tcBorders>
            <w:vAlign w:val="bottom"/>
          </w:tcPr>
          <w:p w:rsidR="00C7788D" w:rsidRPr="003D6DF5" w:rsidRDefault="00C7788D" w:rsidP="00AB38B4">
            <w:pPr>
              <w:pStyle w:val="TableBodyText"/>
            </w:pPr>
            <w:r w:rsidRPr="00A2379F">
              <w:noBreakHyphen/>
            </w:r>
          </w:p>
        </w:tc>
        <w:tc>
          <w:tcPr>
            <w:tcW w:w="507" w:type="pct"/>
            <w:tcBorders>
              <w:bottom w:val="single" w:sz="4" w:space="0" w:color="auto"/>
            </w:tcBorders>
            <w:vAlign w:val="bottom"/>
          </w:tcPr>
          <w:p w:rsidR="00C7788D" w:rsidRPr="003D6DF5" w:rsidRDefault="00C7788D" w:rsidP="00AB38B4">
            <w:pPr>
              <w:pStyle w:val="TableBodyText"/>
            </w:pPr>
            <w:r w:rsidRPr="00A2379F">
              <w:noBreakHyphen/>
            </w:r>
          </w:p>
        </w:tc>
        <w:tc>
          <w:tcPr>
            <w:tcW w:w="507" w:type="pct"/>
            <w:tcBorders>
              <w:bottom w:val="single" w:sz="4" w:space="0" w:color="auto"/>
            </w:tcBorders>
            <w:shd w:val="clear" w:color="auto" w:fill="auto"/>
            <w:vAlign w:val="bottom"/>
          </w:tcPr>
          <w:p w:rsidR="00C7788D" w:rsidRPr="003D6DF5" w:rsidRDefault="00C7788D" w:rsidP="00AB38B4">
            <w:pPr>
              <w:pStyle w:val="TableBodyText"/>
            </w:pPr>
            <w:r w:rsidRPr="00A2379F">
              <w:noBreakHyphen/>
            </w:r>
          </w:p>
        </w:tc>
        <w:tc>
          <w:tcPr>
            <w:tcW w:w="507" w:type="pct"/>
            <w:tcBorders>
              <w:bottom w:val="single" w:sz="4" w:space="0" w:color="auto"/>
            </w:tcBorders>
            <w:shd w:val="clear" w:color="auto" w:fill="auto"/>
            <w:vAlign w:val="bottom"/>
          </w:tcPr>
          <w:p w:rsidR="00C7788D" w:rsidRPr="003D6DF5" w:rsidRDefault="00C7788D" w:rsidP="00AB38B4">
            <w:pPr>
              <w:pStyle w:val="TableBodyText"/>
            </w:pPr>
            <w:r w:rsidRPr="00A2379F">
              <w:noBreakHyphen/>
            </w:r>
          </w:p>
        </w:tc>
      </w:tr>
    </w:tbl>
    <w:p w:rsidR="00D25D2D" w:rsidRPr="00DF27E6" w:rsidRDefault="00D25D2D" w:rsidP="00D25D2D">
      <w:pPr>
        <w:pStyle w:val="Source"/>
        <w:spacing w:after="0"/>
        <w:rPr>
          <w:i/>
        </w:rPr>
      </w:pPr>
      <w:r w:rsidRPr="00A2379F">
        <w:noBreakHyphen/>
        <w:t xml:space="preserve"> </w:t>
      </w:r>
      <w:r>
        <w:t>Nil</w:t>
      </w:r>
      <w:r w:rsidRPr="00A2379F">
        <w:t>.</w:t>
      </w:r>
    </w:p>
    <w:p w:rsidR="00D25D2D" w:rsidRDefault="00D25D2D" w:rsidP="00D25D2D">
      <w:pPr>
        <w:pStyle w:val="Source"/>
      </w:pPr>
      <w:r>
        <w:rPr>
          <w:i/>
        </w:rPr>
        <w:t>Sources</w:t>
      </w:r>
      <w:r>
        <w:t>: Commission estimates based on DAFF Annual Report 2007</w:t>
      </w:r>
      <w:r>
        <w:noBreakHyphen/>
        <w:t>08; and DAFF Portfolio Budget Statements 2007</w:t>
      </w:r>
      <w:r>
        <w:noBreakHyphen/>
        <w:t>08.</w:t>
      </w:r>
    </w:p>
    <w:p w:rsidR="00216629" w:rsidRPr="00216629" w:rsidRDefault="00216629" w:rsidP="00216629">
      <w:pPr>
        <w:pStyle w:val="Source"/>
      </w:pPr>
      <w:r>
        <w:br w:type="page"/>
      </w:r>
    </w:p>
    <w:p w:rsidR="00ED0B8F" w:rsidRDefault="00FA09C3" w:rsidP="00ED0B8F">
      <w:pPr>
        <w:pStyle w:val="Heading2"/>
      </w:pPr>
      <w:r>
        <w:t>A.</w:t>
      </w:r>
      <w:r>
        <w:rPr>
          <w:noProof/>
        </w:rPr>
        <w:t>210</w:t>
      </w:r>
      <w:r w:rsidR="00ED0B8F">
        <w:tab/>
        <w:t>Citrus Canker Eradication Program</w:t>
      </w:r>
    </w:p>
    <w:p w:rsidR="00ED0B8F" w:rsidRDefault="00ED0B8F" w:rsidP="00ED0B8F">
      <w:pPr>
        <w:pStyle w:val="BodyText"/>
      </w:pPr>
      <w:r>
        <w:t>In accordance with the national eradication strategy, t</w:t>
      </w:r>
      <w:r w:rsidRPr="00A82686">
        <w:t xml:space="preserve">he </w:t>
      </w:r>
      <w:r>
        <w:t xml:space="preserve">Citrus Canker Eradication </w:t>
      </w:r>
      <w:r w:rsidRPr="00A82686">
        <w:t xml:space="preserve">Program aimed to </w:t>
      </w:r>
      <w:r>
        <w:t xml:space="preserve">eliminate </w:t>
      </w:r>
      <w:r w:rsidRPr="00A82686">
        <w:t>citrus canker</w:t>
      </w:r>
      <w:r>
        <w:t xml:space="preserve"> (a bacterial disease)</w:t>
      </w:r>
      <w:r w:rsidRPr="00A82686">
        <w:t xml:space="preserve"> from the Emerald region of Queensland</w:t>
      </w:r>
      <w:r>
        <w:t xml:space="preserve"> to mitigate its potential impact on Australia’s citrus industry (</w:t>
      </w:r>
      <w:r w:rsidRPr="00E80A54">
        <w:t>DAFF 2008</w:t>
      </w:r>
      <w:r>
        <w:t xml:space="preserve">). </w:t>
      </w:r>
      <w:r w:rsidRPr="00DF6B97">
        <w:t>Progress of the Program was measured through reviews by the national consultative committee, including the National Managemen</w:t>
      </w:r>
      <w:r>
        <w:t>t Group, and by external review.</w:t>
      </w:r>
    </w:p>
    <w:p w:rsidR="00ED0B8F" w:rsidRDefault="00ED0B8F" w:rsidP="00ED0B8F">
      <w:pPr>
        <w:pStyle w:val="BodyText"/>
      </w:pPr>
      <w:r>
        <w:t>Following the Program’s implementation, replanting of commercial citrus began in the quarantine zone on 1 July 2007. Inspection continued every 90 days to help ensure freedom from disease.</w:t>
      </w:r>
    </w:p>
    <w:p w:rsidR="00ED0B8F" w:rsidRDefault="00ED0B8F" w:rsidP="00ED0B8F">
      <w:pPr>
        <w:pStyle w:val="BodyText"/>
      </w:pPr>
      <w:r>
        <w:t xml:space="preserve">The Program selectively benefited the citrus industry and </w:t>
      </w:r>
      <w:r w:rsidRPr="00DF6B97">
        <w:t xml:space="preserve">has been allocated to the </w:t>
      </w:r>
      <w:r w:rsidRPr="00DF6B97">
        <w:rPr>
          <w:i/>
        </w:rPr>
        <w:t>Horticulture and fruit growing</w:t>
      </w:r>
      <w:r w:rsidRPr="00DF6B97">
        <w:t xml:space="preserve"> industry grouping in the Commission’s ANZSIC-based classification (table</w:t>
      </w:r>
      <w:r>
        <w:t> </w:t>
      </w:r>
      <w:r w:rsidRPr="00DF6B97">
        <w:t>A.</w:t>
      </w:r>
      <w:r>
        <w:t>210</w:t>
      </w:r>
      <w:r w:rsidRPr="00DF6B97">
        <w:t>)</w:t>
      </w:r>
      <w:r>
        <w:t>.</w:t>
      </w:r>
    </w:p>
    <w:p w:rsidR="00ED0B8F" w:rsidRDefault="00ED0B8F" w:rsidP="00ED0B8F">
      <w:pPr>
        <w:pStyle w:val="TableTitle"/>
      </w:pPr>
      <w:r>
        <w:rPr>
          <w:b w:val="0"/>
        </w:rPr>
        <w:t xml:space="preserve">Table </w:t>
      </w:r>
      <w:r w:rsidR="00FA09C3">
        <w:rPr>
          <w:b w:val="0"/>
        </w:rPr>
        <w:t>A.</w:t>
      </w:r>
      <w:r w:rsidR="00FA09C3">
        <w:rPr>
          <w:b w:val="0"/>
          <w:noProof/>
        </w:rPr>
        <w:t>210</w:t>
      </w:r>
      <w:r>
        <w:tab/>
        <w:t>Allocation of Citrus Canker Eradication Program</w:t>
      </w:r>
      <w:r w:rsidR="00571E36" w:rsidRPr="00571E36">
        <w:t xml:space="preserve"> to industry</w:t>
      </w:r>
      <w:r>
        <w:t>, 2006</w:t>
      </w:r>
      <w:r>
        <w:noBreakHyphen/>
        <w:t>07 to 2011</w:t>
      </w:r>
      <w:r>
        <w:noBreakHyphen/>
        <w:t>12</w:t>
      </w:r>
    </w:p>
    <w:p w:rsidR="00ED0B8F" w:rsidRDefault="00ED0B8F" w:rsidP="00ED0B8F">
      <w:pPr>
        <w:pStyle w:val="Subtitle"/>
      </w:pPr>
      <w:r>
        <w:t>$</w:t>
      </w:r>
      <w:r w:rsidR="008E121B">
        <w:t xml:space="preserve"> </w:t>
      </w:r>
      <w:r>
        <w:t xml:space="preserve">million (nominal) </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C7788D" w:rsidRPr="00AF699A" w:rsidTr="00F443A8">
        <w:trPr>
          <w:trHeight w:val="340"/>
        </w:trPr>
        <w:tc>
          <w:tcPr>
            <w:tcW w:w="1958" w:type="pct"/>
            <w:tcBorders>
              <w:top w:val="single" w:sz="6" w:space="0" w:color="auto"/>
              <w:bottom w:val="single" w:sz="6" w:space="0" w:color="auto"/>
            </w:tcBorders>
          </w:tcPr>
          <w:p w:rsidR="00C7788D" w:rsidRPr="00AF699A" w:rsidRDefault="00C7788D" w:rsidP="00AB38B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C7788D" w:rsidRPr="00AF699A" w:rsidRDefault="00C7788D"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C7788D" w:rsidRPr="00AF699A" w:rsidRDefault="00C7788D" w:rsidP="00AB38B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C7788D" w:rsidRPr="00AF699A" w:rsidRDefault="00C7788D" w:rsidP="00AB38B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C7788D" w:rsidRPr="00AF699A" w:rsidRDefault="00C7788D" w:rsidP="00AB38B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C7788D" w:rsidRPr="00AF699A" w:rsidRDefault="00C7788D" w:rsidP="00AB38B4">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C7788D" w:rsidRPr="00AF699A" w:rsidRDefault="00C7788D" w:rsidP="00AB38B4">
            <w:pPr>
              <w:pStyle w:val="TableColumnHeading"/>
              <w:ind w:right="28"/>
              <w:rPr>
                <w:rFonts w:cs="Arial"/>
                <w:sz w:val="18"/>
                <w:szCs w:val="18"/>
              </w:rPr>
            </w:pPr>
            <w:r w:rsidRPr="00AF699A">
              <w:rPr>
                <w:rFonts w:cs="Arial"/>
                <w:sz w:val="18"/>
                <w:szCs w:val="18"/>
              </w:rPr>
              <w:t>2011-12</w:t>
            </w:r>
          </w:p>
        </w:tc>
      </w:tr>
      <w:tr w:rsidR="00C7788D" w:rsidRPr="008F202F" w:rsidTr="00E80A54">
        <w:tc>
          <w:tcPr>
            <w:tcW w:w="1958" w:type="pct"/>
            <w:tcBorders>
              <w:bottom w:val="single" w:sz="4" w:space="0" w:color="auto"/>
            </w:tcBorders>
            <w:vAlign w:val="bottom"/>
          </w:tcPr>
          <w:p w:rsidR="00C7788D" w:rsidRPr="00945294" w:rsidRDefault="00C7788D" w:rsidP="00AB38B4">
            <w:pPr>
              <w:pStyle w:val="TableBodyText"/>
              <w:jc w:val="left"/>
            </w:pPr>
            <w:r w:rsidRPr="00945294">
              <w:t>Horticulture and fruit growing</w:t>
            </w:r>
          </w:p>
        </w:tc>
        <w:tc>
          <w:tcPr>
            <w:tcW w:w="507" w:type="pct"/>
            <w:tcBorders>
              <w:bottom w:val="single" w:sz="4" w:space="0" w:color="auto"/>
            </w:tcBorders>
            <w:vAlign w:val="bottom"/>
          </w:tcPr>
          <w:p w:rsidR="00C7788D" w:rsidRPr="00945294" w:rsidRDefault="00C7788D" w:rsidP="00AB38B4">
            <w:pPr>
              <w:pStyle w:val="TableBodyText"/>
            </w:pPr>
            <w:r w:rsidRPr="00945294">
              <w:t>0.6</w:t>
            </w:r>
          </w:p>
        </w:tc>
        <w:tc>
          <w:tcPr>
            <w:tcW w:w="507" w:type="pct"/>
            <w:tcBorders>
              <w:bottom w:val="single" w:sz="4" w:space="0" w:color="auto"/>
            </w:tcBorders>
            <w:vAlign w:val="bottom"/>
          </w:tcPr>
          <w:p w:rsidR="00C7788D" w:rsidRPr="00945294" w:rsidRDefault="00C7788D" w:rsidP="00AB38B4">
            <w:pPr>
              <w:pStyle w:val="TableBodyText"/>
            </w:pPr>
            <w:r w:rsidRPr="00945294">
              <w:t>0.6</w:t>
            </w:r>
          </w:p>
        </w:tc>
        <w:tc>
          <w:tcPr>
            <w:tcW w:w="507" w:type="pct"/>
            <w:tcBorders>
              <w:bottom w:val="single" w:sz="4" w:space="0" w:color="auto"/>
            </w:tcBorders>
            <w:vAlign w:val="bottom"/>
          </w:tcPr>
          <w:p w:rsidR="00C7788D" w:rsidRPr="00945294" w:rsidRDefault="00C7788D" w:rsidP="00AB38B4">
            <w:pPr>
              <w:pStyle w:val="TableBodyText"/>
            </w:pPr>
            <w:r>
              <w:noBreakHyphen/>
            </w:r>
          </w:p>
        </w:tc>
        <w:tc>
          <w:tcPr>
            <w:tcW w:w="507" w:type="pct"/>
            <w:tcBorders>
              <w:bottom w:val="single" w:sz="4" w:space="0" w:color="auto"/>
            </w:tcBorders>
            <w:vAlign w:val="bottom"/>
          </w:tcPr>
          <w:p w:rsidR="00C7788D" w:rsidRPr="00945294" w:rsidRDefault="00C7788D" w:rsidP="00AB38B4">
            <w:pPr>
              <w:pStyle w:val="TableBodyText"/>
            </w:pPr>
            <w:r>
              <w:noBreakHyphen/>
            </w:r>
          </w:p>
        </w:tc>
        <w:tc>
          <w:tcPr>
            <w:tcW w:w="507" w:type="pct"/>
            <w:tcBorders>
              <w:bottom w:val="single" w:sz="4" w:space="0" w:color="auto"/>
            </w:tcBorders>
            <w:shd w:val="clear" w:color="auto" w:fill="auto"/>
            <w:vAlign w:val="bottom"/>
          </w:tcPr>
          <w:p w:rsidR="00C7788D" w:rsidRPr="00945294" w:rsidRDefault="00C7788D" w:rsidP="00AB38B4">
            <w:pPr>
              <w:pStyle w:val="TableBodyText"/>
            </w:pPr>
            <w:r>
              <w:noBreakHyphen/>
            </w:r>
          </w:p>
        </w:tc>
        <w:tc>
          <w:tcPr>
            <w:tcW w:w="507" w:type="pct"/>
            <w:tcBorders>
              <w:bottom w:val="single" w:sz="4" w:space="0" w:color="auto"/>
            </w:tcBorders>
            <w:shd w:val="clear" w:color="auto" w:fill="auto"/>
            <w:vAlign w:val="bottom"/>
          </w:tcPr>
          <w:p w:rsidR="00C7788D" w:rsidRPr="00945294" w:rsidRDefault="00C7788D" w:rsidP="00AB38B4">
            <w:pPr>
              <w:pStyle w:val="TableBodyText"/>
            </w:pPr>
            <w:r>
              <w:noBreakHyphen/>
            </w:r>
          </w:p>
        </w:tc>
      </w:tr>
    </w:tbl>
    <w:p w:rsidR="00ED0B8F" w:rsidRDefault="00ED0B8F" w:rsidP="00ED0B8F">
      <w:pPr>
        <w:pStyle w:val="Note"/>
      </w:pPr>
      <w:r w:rsidRPr="00A2379F">
        <w:noBreakHyphen/>
        <w:t xml:space="preserve"> </w:t>
      </w:r>
      <w:r>
        <w:t>Nil</w:t>
      </w:r>
      <w:r w:rsidRPr="00A2379F">
        <w:t>.</w:t>
      </w:r>
    </w:p>
    <w:p w:rsidR="00ED0B8F" w:rsidRPr="008E77FE" w:rsidRDefault="00ED0B8F" w:rsidP="00ED0B8F">
      <w:pPr>
        <w:pStyle w:val="Source"/>
      </w:pPr>
      <w:r>
        <w:rPr>
          <w:i/>
        </w:rPr>
        <w:t>Sources</w:t>
      </w:r>
      <w:r>
        <w:t>: Commission estimates based on DAFF Annual Report 2007</w:t>
      </w:r>
      <w:r>
        <w:noBreakHyphen/>
        <w:t>08; and DAFF Portfolio Budget Statements 2007</w:t>
      </w:r>
      <w:r>
        <w:noBreakHyphen/>
        <w:t>08 (and earlier years).</w:t>
      </w:r>
    </w:p>
    <w:p w:rsidR="00ED0B8F" w:rsidRDefault="00FA09C3" w:rsidP="00ED0B8F">
      <w:pPr>
        <w:pStyle w:val="Heading2"/>
      </w:pPr>
      <w:r>
        <w:t>A.</w:t>
      </w:r>
      <w:r>
        <w:rPr>
          <w:noProof/>
        </w:rPr>
        <w:t>211</w:t>
      </w:r>
      <w:r w:rsidR="00ED0B8F">
        <w:tab/>
        <w:t>National Food Industry Strategy</w:t>
      </w:r>
    </w:p>
    <w:p w:rsidR="00ED0B8F" w:rsidRDefault="00ED0B8F" w:rsidP="00ED0B8F">
      <w:pPr>
        <w:pStyle w:val="BodyText"/>
      </w:pPr>
      <w:r>
        <w:t>The National Food Industry Strategy, which began in 2002, aimed to contribute to increased knowledge, understanding and take-up of innovation throughout the food industry and increase</w:t>
      </w:r>
      <w:r w:rsidRPr="00646A8C">
        <w:t xml:space="preserve"> linkages between food businesses and Australian-based research providers</w:t>
      </w:r>
      <w:r>
        <w:t>. In doing so, the Strategy aimed to lead</w:t>
      </w:r>
      <w:r w:rsidRPr="00B22DC5">
        <w:t xml:space="preserve"> to commercial gains from </w:t>
      </w:r>
      <w:r>
        <w:t>R&amp;D</w:t>
      </w:r>
      <w:r w:rsidRPr="00B22DC5">
        <w:t xml:space="preserve"> and</w:t>
      </w:r>
      <w:r>
        <w:t xml:space="preserve"> innovation, and help achieve longer term competitiveness, sustainability and investment across the food and beverage </w:t>
      </w:r>
      <w:r w:rsidRPr="00B22DC5">
        <w:t>industry</w:t>
      </w:r>
      <w:r>
        <w:t>. Grants under the Strategy aimed to result in</w:t>
      </w:r>
      <w:r w:rsidRPr="00B22DC5">
        <w:t xml:space="preserve"> new or improved food products and packaging, processing, storage and distribution technologies</w:t>
      </w:r>
      <w:r>
        <w:t xml:space="preserve"> (</w:t>
      </w:r>
      <w:r w:rsidRPr="00E80A54">
        <w:t>DAFF 2008; DAFF 2007</w:t>
      </w:r>
      <w:r>
        <w:t>).</w:t>
      </w:r>
    </w:p>
    <w:p w:rsidR="00ED0B8F" w:rsidRDefault="00ED0B8F" w:rsidP="00ED0B8F">
      <w:pPr>
        <w:pStyle w:val="BodyText"/>
      </w:pPr>
      <w:r>
        <w:t>This program ceased in March 2008.</w:t>
      </w:r>
    </w:p>
    <w:p w:rsidR="00ED0B8F" w:rsidRDefault="00ED0B8F" w:rsidP="00ED0B8F">
      <w:pPr>
        <w:pStyle w:val="BodyText"/>
      </w:pPr>
      <w:r w:rsidRPr="00AA2B04">
        <w:t xml:space="preserve">Funding for the </w:t>
      </w:r>
      <w:r>
        <w:t>Strategy</w:t>
      </w:r>
      <w:r w:rsidRPr="00AA2B04">
        <w:t xml:space="preserve"> has been allocated to the </w:t>
      </w:r>
      <w:r w:rsidRPr="00AA2B04">
        <w:rPr>
          <w:i/>
        </w:rPr>
        <w:t>Food, beverages and tobacco</w:t>
      </w:r>
      <w:r w:rsidRPr="00AA2B04">
        <w:t xml:space="preserve"> industry </w:t>
      </w:r>
      <w:r>
        <w:t xml:space="preserve">grouping </w:t>
      </w:r>
      <w:r w:rsidRPr="00AA2B04">
        <w:t xml:space="preserve">in the Commission’s ANZSIC-based </w:t>
      </w:r>
      <w:r>
        <w:t>classification</w:t>
      </w:r>
      <w:r w:rsidRPr="00AA2B04">
        <w:t xml:space="preserve"> (table</w:t>
      </w:r>
      <w:r>
        <w:t> </w:t>
      </w:r>
      <w:r w:rsidRPr="00AA2B04">
        <w:t>A.</w:t>
      </w:r>
      <w:r>
        <w:t>211</w:t>
      </w:r>
      <w:r w:rsidRPr="00AA2B04">
        <w:t>)</w:t>
      </w:r>
      <w:r>
        <w:t>.</w:t>
      </w:r>
    </w:p>
    <w:p w:rsidR="00ED0B8F" w:rsidRDefault="00ED0B8F" w:rsidP="00ED0B8F">
      <w:pPr>
        <w:pStyle w:val="TableTitle"/>
      </w:pPr>
      <w:r>
        <w:rPr>
          <w:b w:val="0"/>
        </w:rPr>
        <w:t xml:space="preserve">Table </w:t>
      </w:r>
      <w:r w:rsidR="00FA09C3">
        <w:rPr>
          <w:b w:val="0"/>
        </w:rPr>
        <w:t>A.</w:t>
      </w:r>
      <w:r w:rsidR="00FA09C3">
        <w:rPr>
          <w:b w:val="0"/>
          <w:noProof/>
        </w:rPr>
        <w:t>211</w:t>
      </w:r>
      <w:r>
        <w:tab/>
        <w:t>Allocation of National Food Industry Strategy</w:t>
      </w:r>
      <w:r w:rsidR="00571E36" w:rsidRPr="00571E36">
        <w:t xml:space="preserve"> to industry</w:t>
      </w:r>
      <w:r>
        <w:t>, 2006</w:t>
      </w:r>
      <w:r>
        <w:noBreakHyphen/>
        <w:t>07 to 2011</w:t>
      </w:r>
      <w:r>
        <w:noBreakHyphen/>
        <w:t>12</w:t>
      </w:r>
    </w:p>
    <w:p w:rsidR="00ED0B8F" w:rsidRDefault="00ED0B8F" w:rsidP="00ED0B8F">
      <w:pPr>
        <w:pStyle w:val="Subtitle"/>
      </w:pPr>
      <w:r>
        <w:t>$ 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ED0B8F" w:rsidRPr="00AF699A" w:rsidTr="00AB38B4">
        <w:tc>
          <w:tcPr>
            <w:tcW w:w="1960" w:type="pct"/>
            <w:tcBorders>
              <w:top w:val="single" w:sz="6" w:space="0" w:color="auto"/>
              <w:bottom w:val="single" w:sz="6" w:space="0" w:color="auto"/>
            </w:tcBorders>
          </w:tcPr>
          <w:p w:rsidR="00ED0B8F" w:rsidRPr="00AF699A" w:rsidRDefault="00ED0B8F" w:rsidP="00AB38B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ED0B8F" w:rsidRPr="00AF699A" w:rsidRDefault="00ED0B8F"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ED0B8F" w:rsidRPr="00AF699A" w:rsidRDefault="00ED0B8F" w:rsidP="00AB38B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ED0B8F" w:rsidRPr="00AF699A" w:rsidRDefault="00ED0B8F" w:rsidP="00AB38B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ED0B8F" w:rsidRPr="00AF699A" w:rsidRDefault="00ED0B8F" w:rsidP="00AB38B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ED0B8F" w:rsidRPr="00AF699A" w:rsidRDefault="00ED0B8F" w:rsidP="00AB38B4">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ED0B8F" w:rsidRPr="00AF699A" w:rsidRDefault="00ED0B8F" w:rsidP="00AB38B4">
            <w:pPr>
              <w:pStyle w:val="TableColumnHeading"/>
              <w:ind w:right="28"/>
              <w:rPr>
                <w:rFonts w:cs="Arial"/>
                <w:sz w:val="18"/>
                <w:szCs w:val="18"/>
              </w:rPr>
            </w:pPr>
            <w:r w:rsidRPr="00AF699A">
              <w:rPr>
                <w:rFonts w:cs="Arial"/>
                <w:sz w:val="18"/>
                <w:szCs w:val="18"/>
              </w:rPr>
              <w:t>2011-12</w:t>
            </w:r>
          </w:p>
        </w:tc>
      </w:tr>
      <w:tr w:rsidR="00ED0B8F" w:rsidRPr="006C5A80" w:rsidTr="00AB38B4">
        <w:tc>
          <w:tcPr>
            <w:tcW w:w="1960" w:type="pct"/>
            <w:tcBorders>
              <w:bottom w:val="single" w:sz="4" w:space="0" w:color="auto"/>
            </w:tcBorders>
            <w:vAlign w:val="bottom"/>
          </w:tcPr>
          <w:p w:rsidR="00ED0B8F" w:rsidRPr="00C944BA" w:rsidRDefault="00ED0B8F" w:rsidP="00AB38B4">
            <w:pPr>
              <w:pStyle w:val="TableBodyText"/>
              <w:jc w:val="left"/>
            </w:pPr>
            <w:r>
              <w:t>Food, beverages and tobacco</w:t>
            </w:r>
          </w:p>
        </w:tc>
        <w:tc>
          <w:tcPr>
            <w:tcW w:w="507" w:type="pct"/>
            <w:tcBorders>
              <w:bottom w:val="single" w:sz="4" w:space="0" w:color="auto"/>
            </w:tcBorders>
            <w:vAlign w:val="bottom"/>
          </w:tcPr>
          <w:p w:rsidR="00ED0B8F" w:rsidRPr="00DA6D87" w:rsidRDefault="00ED0B8F" w:rsidP="00AB38B4">
            <w:pPr>
              <w:pStyle w:val="TableBodyText"/>
            </w:pPr>
            <w:r w:rsidRPr="00DA6D87">
              <w:t>15.6</w:t>
            </w:r>
          </w:p>
        </w:tc>
        <w:tc>
          <w:tcPr>
            <w:tcW w:w="507" w:type="pct"/>
            <w:tcBorders>
              <w:bottom w:val="single" w:sz="4" w:space="0" w:color="auto"/>
            </w:tcBorders>
            <w:vAlign w:val="bottom"/>
          </w:tcPr>
          <w:p w:rsidR="00ED0B8F" w:rsidRPr="00DA6D87" w:rsidRDefault="00ED0B8F" w:rsidP="00AB38B4">
            <w:pPr>
              <w:pStyle w:val="TableBodyText"/>
            </w:pPr>
            <w:r w:rsidRPr="00DA6D87">
              <w:t>0.5</w:t>
            </w:r>
          </w:p>
        </w:tc>
        <w:tc>
          <w:tcPr>
            <w:tcW w:w="507" w:type="pct"/>
            <w:tcBorders>
              <w:bottom w:val="single" w:sz="4" w:space="0" w:color="auto"/>
            </w:tcBorders>
            <w:vAlign w:val="bottom"/>
          </w:tcPr>
          <w:p w:rsidR="00ED0B8F" w:rsidRPr="00F567A8" w:rsidRDefault="00ED0B8F" w:rsidP="00AB38B4">
            <w:pPr>
              <w:pStyle w:val="TableBodyText"/>
            </w:pPr>
            <w:r>
              <w:noBreakHyphen/>
            </w:r>
          </w:p>
        </w:tc>
        <w:tc>
          <w:tcPr>
            <w:tcW w:w="507" w:type="pct"/>
            <w:tcBorders>
              <w:bottom w:val="single" w:sz="4" w:space="0" w:color="auto"/>
            </w:tcBorders>
            <w:vAlign w:val="bottom"/>
          </w:tcPr>
          <w:p w:rsidR="00ED0B8F" w:rsidRPr="00F567A8" w:rsidRDefault="00ED0B8F" w:rsidP="00AB38B4">
            <w:pPr>
              <w:pStyle w:val="TableBodyText"/>
            </w:pPr>
            <w:r>
              <w:noBreakHyphen/>
            </w:r>
          </w:p>
        </w:tc>
        <w:tc>
          <w:tcPr>
            <w:tcW w:w="507" w:type="pct"/>
            <w:tcBorders>
              <w:bottom w:val="single" w:sz="4" w:space="0" w:color="auto"/>
            </w:tcBorders>
            <w:shd w:val="clear" w:color="auto" w:fill="auto"/>
            <w:vAlign w:val="bottom"/>
          </w:tcPr>
          <w:p w:rsidR="00ED0B8F" w:rsidRPr="00F567A8" w:rsidRDefault="00ED0B8F" w:rsidP="00AB38B4">
            <w:pPr>
              <w:pStyle w:val="TableBodyText"/>
            </w:pPr>
            <w:r>
              <w:noBreakHyphen/>
            </w:r>
          </w:p>
        </w:tc>
        <w:tc>
          <w:tcPr>
            <w:tcW w:w="505" w:type="pct"/>
            <w:tcBorders>
              <w:bottom w:val="single" w:sz="4" w:space="0" w:color="auto"/>
            </w:tcBorders>
            <w:shd w:val="clear" w:color="auto" w:fill="auto"/>
            <w:vAlign w:val="bottom"/>
          </w:tcPr>
          <w:p w:rsidR="00ED0B8F" w:rsidRPr="00F567A8" w:rsidRDefault="00ED0B8F" w:rsidP="00AB38B4">
            <w:pPr>
              <w:pStyle w:val="TableBodyText"/>
            </w:pPr>
            <w:r>
              <w:noBreakHyphen/>
            </w:r>
          </w:p>
        </w:tc>
      </w:tr>
    </w:tbl>
    <w:p w:rsidR="00ED0B8F" w:rsidRPr="00F60026" w:rsidRDefault="00ED0B8F" w:rsidP="00ED0B8F">
      <w:pPr>
        <w:pStyle w:val="Source"/>
        <w:spacing w:after="0"/>
        <w:rPr>
          <w:i/>
        </w:rPr>
      </w:pPr>
      <w:r w:rsidRPr="00A2379F">
        <w:noBreakHyphen/>
        <w:t xml:space="preserve"> </w:t>
      </w:r>
      <w:r>
        <w:t>Nil</w:t>
      </w:r>
      <w:r w:rsidRPr="00A2379F">
        <w:t>.</w:t>
      </w:r>
    </w:p>
    <w:p w:rsidR="00ED0B8F" w:rsidRDefault="00ED0B8F" w:rsidP="00ED0B8F">
      <w:pPr>
        <w:pStyle w:val="Source"/>
      </w:pPr>
      <w:r>
        <w:rPr>
          <w:i/>
        </w:rPr>
        <w:t>Sources</w:t>
      </w:r>
      <w:r>
        <w:t>: Commission estimates based on DAFF Annual Report 2007</w:t>
      </w:r>
      <w:r>
        <w:noBreakHyphen/>
        <w:t>08; and DAFF Portfolio Budget Statements 2007</w:t>
      </w:r>
      <w:r>
        <w:noBreakHyphen/>
        <w:t>08.</w:t>
      </w:r>
    </w:p>
    <w:p w:rsidR="00ED0B8F" w:rsidRDefault="00FA09C3" w:rsidP="00ED0B8F">
      <w:pPr>
        <w:pStyle w:val="Heading2"/>
      </w:pPr>
      <w:r>
        <w:t>A.</w:t>
      </w:r>
      <w:r>
        <w:rPr>
          <w:noProof/>
        </w:rPr>
        <w:t>212</w:t>
      </w:r>
      <w:r w:rsidR="00ED0B8F">
        <w:tab/>
        <w:t>Development Allowance</w:t>
      </w:r>
    </w:p>
    <w:p w:rsidR="00ED0B8F" w:rsidRDefault="00ED0B8F" w:rsidP="00ED0B8F">
      <w:pPr>
        <w:pStyle w:val="BodyText"/>
      </w:pPr>
      <w:r w:rsidRPr="002A6D79">
        <w:t>For major projects approved by the Development Allowance Authority, 10</w:t>
      </w:r>
      <w:r>
        <w:t> </w:t>
      </w:r>
      <w:r w:rsidRPr="002A6D79">
        <w:t>per</w:t>
      </w:r>
      <w:r>
        <w:t> </w:t>
      </w:r>
      <w:r w:rsidRPr="002A6D79">
        <w:t>cent of capital expenditure on plant and equipment, including motor vehicles and primary production, was immediately deductible. Registrations for projects closed on 31</w:t>
      </w:r>
      <w:r>
        <w:t> </w:t>
      </w:r>
      <w:r w:rsidRPr="002A6D79">
        <w:t>July</w:t>
      </w:r>
      <w:r>
        <w:t> </w:t>
      </w:r>
      <w:r w:rsidRPr="002A6D79">
        <w:t>1996 for plant and equipment that was first used or installed ready for use before 1</w:t>
      </w:r>
      <w:r>
        <w:t> </w:t>
      </w:r>
      <w:r w:rsidRPr="002A6D79">
        <w:t>July</w:t>
      </w:r>
      <w:r>
        <w:t> </w:t>
      </w:r>
      <w:r w:rsidRPr="002A6D79">
        <w:t>2002</w:t>
      </w:r>
      <w:r>
        <w:t xml:space="preserve"> (Tax Expenditure </w:t>
      </w:r>
      <w:r w:rsidRPr="00222338">
        <w:t xml:space="preserve">Statement, </w:t>
      </w:r>
      <w:r w:rsidRPr="00E80A54">
        <w:t>Australian Government 2012, item B91</w:t>
      </w:r>
      <w:r>
        <w:t>)</w:t>
      </w:r>
      <w:r w:rsidRPr="002A6D79">
        <w:t>.</w:t>
      </w:r>
    </w:p>
    <w:p w:rsidR="00ED0B8F" w:rsidRDefault="00ED0B8F" w:rsidP="00ED0B8F">
      <w:pPr>
        <w:pStyle w:val="BodyText"/>
      </w:pPr>
      <w:r>
        <w:t xml:space="preserve">The ATO </w:t>
      </w:r>
      <w:r w:rsidRPr="0062700C">
        <w:t>provided information detailing claim data for the concession by ANZSIC industry. The industry shares derived from the ATO claim data have been used to allocate the TES estimates of total revenue forgone for the concession to the Commission’s ANZSIC-based industry groupings (table</w:t>
      </w:r>
      <w:r w:rsidR="00E420FD">
        <w:t> </w:t>
      </w:r>
      <w:r w:rsidRPr="0062700C">
        <w:t>A.</w:t>
      </w:r>
      <w:r>
        <w:t>212</w:t>
      </w:r>
      <w:r w:rsidRPr="0062700C">
        <w:t>).</w:t>
      </w:r>
    </w:p>
    <w:p w:rsidR="00ED0B8F" w:rsidRDefault="00ED0B8F" w:rsidP="00ED0B8F">
      <w:pPr>
        <w:pStyle w:val="TableTitle"/>
      </w:pPr>
      <w:r>
        <w:rPr>
          <w:b w:val="0"/>
        </w:rPr>
        <w:t xml:space="preserve">Table </w:t>
      </w:r>
      <w:r w:rsidR="00FA09C3">
        <w:rPr>
          <w:b w:val="0"/>
        </w:rPr>
        <w:t>A.</w:t>
      </w:r>
      <w:r w:rsidR="00FA09C3">
        <w:rPr>
          <w:b w:val="0"/>
          <w:noProof/>
        </w:rPr>
        <w:t>212</w:t>
      </w:r>
      <w:r w:rsidR="00571E36">
        <w:tab/>
        <w:t>Allocation of Development A</w:t>
      </w:r>
      <w:r>
        <w:t xml:space="preserve">llowance </w:t>
      </w:r>
      <w:r w:rsidR="00571E36" w:rsidRPr="00571E36">
        <w:t>to industry</w:t>
      </w:r>
      <w:r>
        <w:t>, 2006</w:t>
      </w:r>
      <w:r>
        <w:noBreakHyphen/>
        <w:t>07 to 2011</w:t>
      </w:r>
      <w:r>
        <w:noBreakHyphen/>
        <w:t>12</w:t>
      </w:r>
    </w:p>
    <w:p w:rsidR="00ED0B8F" w:rsidRDefault="00ED0B8F" w:rsidP="00ED0B8F">
      <w:pPr>
        <w:pStyle w:val="Subtitle"/>
      </w:pPr>
      <w:r>
        <w:t>$</w:t>
      </w:r>
      <w:r w:rsidR="008E121B">
        <w:t xml:space="preserve"> </w:t>
      </w:r>
      <w:r>
        <w:t xml:space="preserve">million (nominal) </w:t>
      </w:r>
    </w:p>
    <w:tbl>
      <w:tblPr>
        <w:tblW w:w="5000" w:type="pct"/>
        <w:tblCellMar>
          <w:left w:w="0" w:type="dxa"/>
          <w:right w:w="0" w:type="dxa"/>
        </w:tblCellMar>
        <w:tblLook w:val="0000" w:firstRow="0" w:lastRow="0" w:firstColumn="0" w:lastColumn="0" w:noHBand="0" w:noVBand="0"/>
      </w:tblPr>
      <w:tblGrid>
        <w:gridCol w:w="3445"/>
        <w:gridCol w:w="891"/>
        <w:gridCol w:w="891"/>
        <w:gridCol w:w="891"/>
        <w:gridCol w:w="891"/>
        <w:gridCol w:w="891"/>
        <w:gridCol w:w="889"/>
      </w:tblGrid>
      <w:tr w:rsidR="00ED0B8F" w:rsidRPr="00AF699A" w:rsidTr="00F443A8">
        <w:trPr>
          <w:trHeight w:val="340"/>
        </w:trPr>
        <w:tc>
          <w:tcPr>
            <w:tcW w:w="1959" w:type="pct"/>
            <w:tcBorders>
              <w:top w:val="single" w:sz="6" w:space="0" w:color="auto"/>
              <w:bottom w:val="single" w:sz="6" w:space="0" w:color="auto"/>
            </w:tcBorders>
          </w:tcPr>
          <w:p w:rsidR="00ED0B8F" w:rsidRPr="00AF699A" w:rsidRDefault="00ED0B8F" w:rsidP="00AB38B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ED0B8F" w:rsidRPr="00AF699A" w:rsidRDefault="00ED0B8F"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ED0B8F" w:rsidRPr="00AF699A" w:rsidRDefault="00ED0B8F" w:rsidP="00AB38B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ED0B8F" w:rsidRPr="00AF699A" w:rsidRDefault="00ED0B8F" w:rsidP="00AB38B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ED0B8F" w:rsidRPr="00AF699A" w:rsidRDefault="00ED0B8F" w:rsidP="00AB38B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ED0B8F" w:rsidRPr="00AF699A" w:rsidRDefault="00ED0B8F" w:rsidP="00AB38B4">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ED0B8F" w:rsidRPr="00AF699A" w:rsidRDefault="00ED0B8F" w:rsidP="00AB38B4">
            <w:pPr>
              <w:pStyle w:val="TableColumnHeading"/>
              <w:ind w:right="28"/>
              <w:rPr>
                <w:rFonts w:cs="Arial"/>
                <w:sz w:val="18"/>
                <w:szCs w:val="18"/>
              </w:rPr>
            </w:pPr>
            <w:r w:rsidRPr="00AF699A">
              <w:rPr>
                <w:rFonts w:cs="Arial"/>
                <w:sz w:val="18"/>
                <w:szCs w:val="18"/>
              </w:rPr>
              <w:t>2011-12</w:t>
            </w:r>
          </w:p>
        </w:tc>
      </w:tr>
      <w:tr w:rsidR="00ED0B8F" w:rsidRPr="00AC5A12" w:rsidTr="00AB38B4">
        <w:tc>
          <w:tcPr>
            <w:tcW w:w="1959" w:type="pct"/>
            <w:vAlign w:val="bottom"/>
          </w:tcPr>
          <w:p w:rsidR="00ED0B8F" w:rsidRPr="00F04AD1" w:rsidRDefault="00ED0B8F" w:rsidP="00AB38B4">
            <w:pPr>
              <w:pStyle w:val="TableBodyText"/>
              <w:jc w:val="left"/>
              <w:rPr>
                <w:b/>
                <w:sz w:val="18"/>
                <w:szCs w:val="18"/>
              </w:rPr>
            </w:pPr>
            <w:r w:rsidRPr="00F04AD1">
              <w:rPr>
                <w:b/>
                <w:sz w:val="18"/>
                <w:szCs w:val="18"/>
              </w:rPr>
              <w:t>Primary production</w:t>
            </w:r>
          </w:p>
        </w:tc>
        <w:tc>
          <w:tcPr>
            <w:tcW w:w="507" w:type="pct"/>
            <w:vAlign w:val="bottom"/>
          </w:tcPr>
          <w:p w:rsidR="00ED0B8F" w:rsidRPr="000E6799" w:rsidRDefault="00ED0B8F" w:rsidP="00AB38B4">
            <w:pPr>
              <w:pStyle w:val="TableBodyText"/>
              <w:rPr>
                <w:b/>
                <w:sz w:val="18"/>
                <w:szCs w:val="18"/>
              </w:rPr>
            </w:pPr>
            <w:r>
              <w:rPr>
                <w:b/>
                <w:sz w:val="18"/>
                <w:szCs w:val="18"/>
              </w:rPr>
              <w:t>&lt;</w:t>
            </w:r>
            <w:r w:rsidRPr="000E6799">
              <w:rPr>
                <w:b/>
                <w:sz w:val="18"/>
                <w:szCs w:val="18"/>
              </w:rPr>
              <w:t>0.1</w:t>
            </w:r>
          </w:p>
        </w:tc>
        <w:tc>
          <w:tcPr>
            <w:tcW w:w="507" w:type="pct"/>
            <w:vAlign w:val="bottom"/>
          </w:tcPr>
          <w:p w:rsidR="00ED0B8F" w:rsidRPr="000E6799" w:rsidRDefault="00ED0B8F" w:rsidP="00AB38B4">
            <w:pPr>
              <w:pStyle w:val="TableBodyText"/>
              <w:rPr>
                <w:b/>
                <w:sz w:val="18"/>
                <w:szCs w:val="18"/>
              </w:rPr>
            </w:pPr>
            <w:r w:rsidRPr="00FD3633">
              <w:rPr>
                <w:b/>
                <w:sz w:val="18"/>
                <w:szCs w:val="18"/>
              </w:rPr>
              <w:t>&lt;0.1</w:t>
            </w:r>
          </w:p>
        </w:tc>
        <w:tc>
          <w:tcPr>
            <w:tcW w:w="507" w:type="pct"/>
            <w:vAlign w:val="bottom"/>
          </w:tcPr>
          <w:p w:rsidR="00ED0B8F" w:rsidRPr="006035DA" w:rsidRDefault="00ED0B8F" w:rsidP="00AB38B4">
            <w:pPr>
              <w:pStyle w:val="TableBodyText"/>
              <w:rPr>
                <w:b/>
                <w:sz w:val="18"/>
                <w:szCs w:val="18"/>
              </w:rPr>
            </w:pPr>
            <w:r w:rsidRPr="006035DA">
              <w:rPr>
                <w:b/>
                <w:sz w:val="18"/>
                <w:szCs w:val="18"/>
              </w:rPr>
              <w:noBreakHyphen/>
            </w:r>
          </w:p>
        </w:tc>
        <w:tc>
          <w:tcPr>
            <w:tcW w:w="507" w:type="pct"/>
            <w:vAlign w:val="bottom"/>
          </w:tcPr>
          <w:p w:rsidR="00ED0B8F" w:rsidRPr="006035DA" w:rsidRDefault="00ED0B8F" w:rsidP="00AB38B4">
            <w:pPr>
              <w:pStyle w:val="TableBodyText"/>
              <w:rPr>
                <w:b/>
                <w:sz w:val="18"/>
                <w:szCs w:val="18"/>
              </w:rPr>
            </w:pPr>
            <w:r w:rsidRPr="006035DA">
              <w:rPr>
                <w:b/>
                <w:sz w:val="18"/>
                <w:szCs w:val="18"/>
              </w:rPr>
              <w:noBreakHyphen/>
            </w:r>
          </w:p>
        </w:tc>
        <w:tc>
          <w:tcPr>
            <w:tcW w:w="507" w:type="pct"/>
            <w:shd w:val="clear" w:color="auto" w:fill="auto"/>
            <w:vAlign w:val="bottom"/>
          </w:tcPr>
          <w:p w:rsidR="00ED0B8F" w:rsidRPr="006035DA" w:rsidRDefault="00ED0B8F" w:rsidP="00AB38B4">
            <w:pPr>
              <w:pStyle w:val="TableBodyText"/>
              <w:rPr>
                <w:b/>
                <w:sz w:val="18"/>
                <w:szCs w:val="18"/>
              </w:rPr>
            </w:pPr>
            <w:r w:rsidRPr="006035DA">
              <w:rPr>
                <w:b/>
                <w:sz w:val="18"/>
                <w:szCs w:val="18"/>
              </w:rPr>
              <w:noBreakHyphen/>
            </w:r>
          </w:p>
        </w:tc>
        <w:tc>
          <w:tcPr>
            <w:tcW w:w="507" w:type="pct"/>
            <w:shd w:val="clear" w:color="auto" w:fill="auto"/>
            <w:vAlign w:val="bottom"/>
          </w:tcPr>
          <w:p w:rsidR="00ED0B8F" w:rsidRPr="006035DA" w:rsidRDefault="00ED0B8F" w:rsidP="00AB38B4">
            <w:pPr>
              <w:pStyle w:val="TableBodyText"/>
              <w:rPr>
                <w:b/>
                <w:sz w:val="18"/>
                <w:szCs w:val="18"/>
              </w:rPr>
            </w:pPr>
            <w:r w:rsidRPr="006035DA">
              <w:rPr>
                <w:b/>
                <w:sz w:val="18"/>
                <w:szCs w:val="18"/>
              </w:rPr>
              <w:noBreakHyphen/>
            </w:r>
          </w:p>
        </w:tc>
      </w:tr>
      <w:tr w:rsidR="00ED0B8F" w:rsidRPr="00AC5A12" w:rsidTr="00AB38B4">
        <w:tc>
          <w:tcPr>
            <w:tcW w:w="1959" w:type="pct"/>
            <w:vAlign w:val="bottom"/>
          </w:tcPr>
          <w:p w:rsidR="00ED0B8F" w:rsidRPr="00267504" w:rsidRDefault="00ED0B8F" w:rsidP="00AB38B4">
            <w:pPr>
              <w:pStyle w:val="TableBodyText"/>
              <w:jc w:val="left"/>
              <w:rPr>
                <w:sz w:val="18"/>
                <w:szCs w:val="18"/>
              </w:rPr>
            </w:pPr>
            <w:r w:rsidRPr="00267504">
              <w:rPr>
                <w:sz w:val="18"/>
                <w:szCs w:val="18"/>
              </w:rPr>
              <w:t>Horticulture and fruit growing</w:t>
            </w:r>
          </w:p>
        </w:tc>
        <w:tc>
          <w:tcPr>
            <w:tcW w:w="507" w:type="pct"/>
            <w:vAlign w:val="bottom"/>
          </w:tcPr>
          <w:p w:rsidR="00ED0B8F" w:rsidRPr="00C22C4F" w:rsidRDefault="00ED0B8F" w:rsidP="00AB38B4">
            <w:pPr>
              <w:pStyle w:val="TableBodyText"/>
              <w:rPr>
                <w:sz w:val="18"/>
                <w:szCs w:val="18"/>
              </w:rPr>
            </w:pPr>
            <w:r>
              <w:rPr>
                <w:sz w:val="18"/>
                <w:szCs w:val="18"/>
              </w:rPr>
              <w:t>&lt;</w:t>
            </w:r>
            <w:r w:rsidRPr="00C22C4F">
              <w:rPr>
                <w:sz w:val="18"/>
                <w:szCs w:val="18"/>
              </w:rPr>
              <w:t>0.</w:t>
            </w:r>
            <w:r>
              <w:rPr>
                <w:sz w:val="18"/>
                <w:szCs w:val="18"/>
              </w:rPr>
              <w:t>1</w:t>
            </w:r>
          </w:p>
        </w:tc>
        <w:tc>
          <w:tcPr>
            <w:tcW w:w="507" w:type="pct"/>
            <w:vAlign w:val="bottom"/>
          </w:tcPr>
          <w:p w:rsidR="00ED0B8F" w:rsidRPr="00C22C4F" w:rsidRDefault="00ED0B8F" w:rsidP="00AB38B4">
            <w:pPr>
              <w:pStyle w:val="TableBodyText"/>
              <w:rPr>
                <w:sz w:val="18"/>
                <w:szCs w:val="18"/>
              </w:rPr>
            </w:pPr>
            <w:r>
              <w:rPr>
                <w:sz w:val="18"/>
                <w:szCs w:val="18"/>
              </w:rPr>
              <w:t>&lt;</w:t>
            </w:r>
            <w:r w:rsidRPr="00C22C4F">
              <w:rPr>
                <w:sz w:val="18"/>
                <w:szCs w:val="18"/>
              </w:rPr>
              <w:t>0.</w:t>
            </w:r>
            <w:r>
              <w:rPr>
                <w:sz w:val="18"/>
                <w:szCs w:val="18"/>
              </w:rPr>
              <w:t>1</w:t>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r>
      <w:tr w:rsidR="00ED0B8F" w:rsidRPr="00AC5A12" w:rsidTr="00AB38B4">
        <w:tc>
          <w:tcPr>
            <w:tcW w:w="1959" w:type="pct"/>
            <w:vAlign w:val="bottom"/>
          </w:tcPr>
          <w:p w:rsidR="00ED0B8F" w:rsidRPr="00267504" w:rsidRDefault="00ED0B8F" w:rsidP="00AB38B4">
            <w:pPr>
              <w:pStyle w:val="TableBodyText"/>
              <w:jc w:val="left"/>
              <w:rPr>
                <w:sz w:val="18"/>
                <w:szCs w:val="18"/>
              </w:rPr>
            </w:pPr>
            <w:r w:rsidRPr="00267504">
              <w:rPr>
                <w:sz w:val="18"/>
                <w:szCs w:val="18"/>
              </w:rPr>
              <w:t>Sheep, beef cattle and grain farming</w:t>
            </w:r>
          </w:p>
        </w:tc>
        <w:tc>
          <w:tcPr>
            <w:tcW w:w="507" w:type="pct"/>
            <w:vAlign w:val="bottom"/>
          </w:tcPr>
          <w:p w:rsidR="00ED0B8F" w:rsidRPr="00C22C4F" w:rsidRDefault="00ED0B8F" w:rsidP="00AB38B4">
            <w:pPr>
              <w:pStyle w:val="TableBodyText"/>
              <w:rPr>
                <w:sz w:val="18"/>
                <w:szCs w:val="18"/>
              </w:rPr>
            </w:pPr>
            <w:r>
              <w:rPr>
                <w:sz w:val="18"/>
                <w:szCs w:val="18"/>
              </w:rPr>
              <w:t>&lt;</w:t>
            </w:r>
            <w:r w:rsidRPr="00C22C4F">
              <w:rPr>
                <w:sz w:val="18"/>
                <w:szCs w:val="18"/>
              </w:rPr>
              <w:t>0.</w:t>
            </w:r>
            <w:r>
              <w:rPr>
                <w:sz w:val="18"/>
                <w:szCs w:val="18"/>
              </w:rPr>
              <w:t>1</w:t>
            </w:r>
          </w:p>
        </w:tc>
        <w:tc>
          <w:tcPr>
            <w:tcW w:w="507" w:type="pct"/>
            <w:vAlign w:val="bottom"/>
          </w:tcPr>
          <w:p w:rsidR="00ED0B8F" w:rsidRPr="00C22C4F" w:rsidRDefault="00ED0B8F" w:rsidP="00AB38B4">
            <w:pPr>
              <w:pStyle w:val="TableBodyText"/>
              <w:rPr>
                <w:sz w:val="18"/>
                <w:szCs w:val="18"/>
              </w:rPr>
            </w:pPr>
            <w:r>
              <w:rPr>
                <w:sz w:val="18"/>
                <w:szCs w:val="18"/>
              </w:rPr>
              <w:t>&lt;</w:t>
            </w:r>
            <w:r w:rsidRPr="00C22C4F">
              <w:rPr>
                <w:sz w:val="18"/>
                <w:szCs w:val="18"/>
              </w:rPr>
              <w:t>0.</w:t>
            </w:r>
            <w:r>
              <w:rPr>
                <w:sz w:val="18"/>
                <w:szCs w:val="18"/>
              </w:rPr>
              <w:t>1</w:t>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r>
      <w:tr w:rsidR="00ED0B8F" w:rsidRPr="00AC5A12" w:rsidTr="00AB38B4">
        <w:tc>
          <w:tcPr>
            <w:tcW w:w="1959" w:type="pct"/>
            <w:vAlign w:val="bottom"/>
          </w:tcPr>
          <w:p w:rsidR="00ED0B8F" w:rsidRPr="00267504" w:rsidRDefault="00ED0B8F" w:rsidP="00AB38B4">
            <w:pPr>
              <w:pStyle w:val="TableBodyText"/>
              <w:jc w:val="left"/>
              <w:rPr>
                <w:sz w:val="18"/>
                <w:szCs w:val="18"/>
              </w:rPr>
            </w:pPr>
            <w:r w:rsidRPr="00267504">
              <w:rPr>
                <w:sz w:val="18"/>
                <w:szCs w:val="18"/>
              </w:rPr>
              <w:t>Aquaculture and fishing</w:t>
            </w:r>
          </w:p>
        </w:tc>
        <w:tc>
          <w:tcPr>
            <w:tcW w:w="507" w:type="pct"/>
            <w:vAlign w:val="bottom"/>
          </w:tcPr>
          <w:p w:rsidR="00ED0B8F" w:rsidRPr="00C22C4F" w:rsidRDefault="00ED0B8F" w:rsidP="00AB38B4">
            <w:pPr>
              <w:pStyle w:val="TableBodyText"/>
              <w:rPr>
                <w:sz w:val="18"/>
                <w:szCs w:val="18"/>
              </w:rPr>
            </w:pPr>
            <w:r>
              <w:rPr>
                <w:sz w:val="18"/>
                <w:szCs w:val="18"/>
              </w:rPr>
              <w:t>&lt;</w:t>
            </w:r>
            <w:r w:rsidRPr="00C22C4F">
              <w:rPr>
                <w:sz w:val="18"/>
                <w:szCs w:val="18"/>
              </w:rPr>
              <w:t>0.1</w:t>
            </w:r>
          </w:p>
        </w:tc>
        <w:tc>
          <w:tcPr>
            <w:tcW w:w="507" w:type="pct"/>
            <w:vAlign w:val="bottom"/>
          </w:tcPr>
          <w:p w:rsidR="00ED0B8F" w:rsidRPr="00C22C4F" w:rsidRDefault="00ED0B8F" w:rsidP="00AB38B4">
            <w:pPr>
              <w:pStyle w:val="TableBodyText"/>
              <w:rPr>
                <w:sz w:val="18"/>
                <w:szCs w:val="18"/>
              </w:rPr>
            </w:pPr>
            <w:r>
              <w:rPr>
                <w:sz w:val="18"/>
                <w:szCs w:val="18"/>
              </w:rPr>
              <w:t>&lt;</w:t>
            </w:r>
            <w:r w:rsidRPr="00C22C4F">
              <w:rPr>
                <w:sz w:val="18"/>
                <w:szCs w:val="18"/>
              </w:rPr>
              <w:t>0.</w:t>
            </w:r>
            <w:r>
              <w:rPr>
                <w:sz w:val="18"/>
                <w:szCs w:val="18"/>
              </w:rPr>
              <w:t>1</w:t>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r>
      <w:tr w:rsidR="00ED0B8F" w:rsidRPr="00F04AD1" w:rsidTr="00AB38B4">
        <w:tc>
          <w:tcPr>
            <w:tcW w:w="1959" w:type="pct"/>
            <w:vAlign w:val="bottom"/>
          </w:tcPr>
          <w:p w:rsidR="00ED0B8F" w:rsidRPr="00F04AD1" w:rsidRDefault="00ED0B8F" w:rsidP="00AB38B4">
            <w:pPr>
              <w:pStyle w:val="TableBodyText"/>
              <w:jc w:val="left"/>
              <w:rPr>
                <w:b/>
                <w:sz w:val="18"/>
                <w:szCs w:val="18"/>
              </w:rPr>
            </w:pPr>
            <w:r w:rsidRPr="00F04AD1">
              <w:rPr>
                <w:b/>
                <w:sz w:val="18"/>
                <w:szCs w:val="18"/>
              </w:rPr>
              <w:t>Mining</w:t>
            </w:r>
          </w:p>
        </w:tc>
        <w:tc>
          <w:tcPr>
            <w:tcW w:w="507" w:type="pct"/>
            <w:vAlign w:val="bottom"/>
          </w:tcPr>
          <w:p w:rsidR="00ED0B8F" w:rsidRPr="000E6799" w:rsidRDefault="00ED0B8F" w:rsidP="00AB38B4">
            <w:pPr>
              <w:pStyle w:val="TableBodyText"/>
              <w:rPr>
                <w:b/>
                <w:sz w:val="18"/>
                <w:szCs w:val="18"/>
              </w:rPr>
            </w:pPr>
            <w:r w:rsidRPr="000E6799">
              <w:rPr>
                <w:b/>
                <w:sz w:val="18"/>
                <w:szCs w:val="18"/>
              </w:rPr>
              <w:t>3.6</w:t>
            </w:r>
          </w:p>
        </w:tc>
        <w:tc>
          <w:tcPr>
            <w:tcW w:w="507" w:type="pct"/>
            <w:vAlign w:val="bottom"/>
          </w:tcPr>
          <w:p w:rsidR="00ED0B8F" w:rsidRPr="000E6799" w:rsidRDefault="00ED0B8F" w:rsidP="00AB38B4">
            <w:pPr>
              <w:pStyle w:val="TableBodyText"/>
              <w:rPr>
                <w:b/>
                <w:sz w:val="18"/>
                <w:szCs w:val="18"/>
              </w:rPr>
            </w:pPr>
            <w:r w:rsidRPr="000E6799">
              <w:rPr>
                <w:b/>
                <w:sz w:val="18"/>
                <w:szCs w:val="18"/>
              </w:rPr>
              <w:t>0.2</w:t>
            </w:r>
          </w:p>
        </w:tc>
        <w:tc>
          <w:tcPr>
            <w:tcW w:w="507" w:type="pct"/>
            <w:vAlign w:val="bottom"/>
          </w:tcPr>
          <w:p w:rsidR="00ED0B8F" w:rsidRPr="006035DA" w:rsidRDefault="00ED0B8F" w:rsidP="00AB38B4">
            <w:pPr>
              <w:pStyle w:val="TableBodyText"/>
              <w:rPr>
                <w:b/>
                <w:sz w:val="18"/>
                <w:szCs w:val="18"/>
              </w:rPr>
            </w:pPr>
            <w:r w:rsidRPr="006035DA">
              <w:rPr>
                <w:b/>
                <w:sz w:val="18"/>
                <w:szCs w:val="18"/>
              </w:rPr>
              <w:noBreakHyphen/>
            </w:r>
          </w:p>
        </w:tc>
        <w:tc>
          <w:tcPr>
            <w:tcW w:w="507" w:type="pct"/>
            <w:vAlign w:val="bottom"/>
          </w:tcPr>
          <w:p w:rsidR="00ED0B8F" w:rsidRPr="006035DA" w:rsidRDefault="00ED0B8F" w:rsidP="00AB38B4">
            <w:pPr>
              <w:pStyle w:val="TableBodyText"/>
              <w:rPr>
                <w:b/>
                <w:sz w:val="18"/>
                <w:szCs w:val="18"/>
              </w:rPr>
            </w:pPr>
            <w:r w:rsidRPr="006035DA">
              <w:rPr>
                <w:b/>
                <w:sz w:val="18"/>
                <w:szCs w:val="18"/>
              </w:rPr>
              <w:noBreakHyphen/>
            </w:r>
          </w:p>
        </w:tc>
        <w:tc>
          <w:tcPr>
            <w:tcW w:w="507" w:type="pct"/>
            <w:shd w:val="clear" w:color="auto" w:fill="auto"/>
            <w:vAlign w:val="bottom"/>
          </w:tcPr>
          <w:p w:rsidR="00ED0B8F" w:rsidRPr="006035DA" w:rsidRDefault="00ED0B8F" w:rsidP="00AB38B4">
            <w:pPr>
              <w:pStyle w:val="TableBodyText"/>
              <w:rPr>
                <w:b/>
                <w:sz w:val="18"/>
                <w:szCs w:val="18"/>
              </w:rPr>
            </w:pPr>
            <w:r w:rsidRPr="006035DA">
              <w:rPr>
                <w:b/>
                <w:sz w:val="18"/>
                <w:szCs w:val="18"/>
              </w:rPr>
              <w:noBreakHyphen/>
            </w:r>
          </w:p>
        </w:tc>
        <w:tc>
          <w:tcPr>
            <w:tcW w:w="507" w:type="pct"/>
            <w:shd w:val="clear" w:color="auto" w:fill="auto"/>
            <w:vAlign w:val="bottom"/>
          </w:tcPr>
          <w:p w:rsidR="00ED0B8F" w:rsidRPr="006035DA" w:rsidRDefault="00ED0B8F" w:rsidP="00AB38B4">
            <w:pPr>
              <w:pStyle w:val="TableBodyText"/>
              <w:rPr>
                <w:b/>
                <w:sz w:val="18"/>
                <w:szCs w:val="18"/>
              </w:rPr>
            </w:pPr>
            <w:r w:rsidRPr="006035DA">
              <w:rPr>
                <w:b/>
                <w:sz w:val="18"/>
                <w:szCs w:val="18"/>
              </w:rPr>
              <w:noBreakHyphen/>
            </w:r>
          </w:p>
        </w:tc>
      </w:tr>
      <w:tr w:rsidR="00ED0B8F" w:rsidRPr="00AC5A12" w:rsidTr="00AB38B4">
        <w:tc>
          <w:tcPr>
            <w:tcW w:w="1959" w:type="pct"/>
            <w:vAlign w:val="bottom"/>
          </w:tcPr>
          <w:p w:rsidR="00ED0B8F" w:rsidRPr="00F04AD1" w:rsidRDefault="00ED0B8F" w:rsidP="00AB38B4">
            <w:pPr>
              <w:pStyle w:val="TableBodyText"/>
              <w:jc w:val="left"/>
              <w:rPr>
                <w:b/>
                <w:sz w:val="18"/>
                <w:szCs w:val="18"/>
              </w:rPr>
            </w:pPr>
            <w:r w:rsidRPr="00F04AD1">
              <w:rPr>
                <w:b/>
                <w:sz w:val="18"/>
                <w:szCs w:val="18"/>
              </w:rPr>
              <w:t>Manufacturing</w:t>
            </w:r>
          </w:p>
        </w:tc>
        <w:tc>
          <w:tcPr>
            <w:tcW w:w="507" w:type="pct"/>
            <w:vAlign w:val="bottom"/>
          </w:tcPr>
          <w:p w:rsidR="00ED0B8F" w:rsidRPr="000E6799" w:rsidRDefault="00ED0B8F" w:rsidP="00AB38B4">
            <w:pPr>
              <w:pStyle w:val="TableBodyText"/>
              <w:rPr>
                <w:b/>
                <w:sz w:val="18"/>
                <w:szCs w:val="18"/>
              </w:rPr>
            </w:pPr>
            <w:r w:rsidRPr="000E6799">
              <w:rPr>
                <w:b/>
                <w:sz w:val="18"/>
                <w:szCs w:val="18"/>
              </w:rPr>
              <w:t>2.8</w:t>
            </w:r>
          </w:p>
        </w:tc>
        <w:tc>
          <w:tcPr>
            <w:tcW w:w="507" w:type="pct"/>
            <w:vAlign w:val="bottom"/>
          </w:tcPr>
          <w:p w:rsidR="00ED0B8F" w:rsidRPr="000E6799" w:rsidRDefault="00ED0B8F" w:rsidP="00AB38B4">
            <w:pPr>
              <w:pStyle w:val="TableBodyText"/>
              <w:rPr>
                <w:b/>
                <w:sz w:val="18"/>
                <w:szCs w:val="18"/>
              </w:rPr>
            </w:pPr>
            <w:r w:rsidRPr="000E6799">
              <w:rPr>
                <w:b/>
                <w:sz w:val="18"/>
                <w:szCs w:val="18"/>
              </w:rPr>
              <w:t>0.1</w:t>
            </w:r>
          </w:p>
        </w:tc>
        <w:tc>
          <w:tcPr>
            <w:tcW w:w="507" w:type="pct"/>
            <w:vAlign w:val="bottom"/>
          </w:tcPr>
          <w:p w:rsidR="00ED0B8F" w:rsidRPr="006035DA" w:rsidRDefault="00ED0B8F" w:rsidP="00AB38B4">
            <w:pPr>
              <w:pStyle w:val="TableBodyText"/>
              <w:rPr>
                <w:b/>
                <w:sz w:val="18"/>
                <w:szCs w:val="18"/>
              </w:rPr>
            </w:pPr>
            <w:r w:rsidRPr="006035DA">
              <w:rPr>
                <w:b/>
                <w:sz w:val="18"/>
                <w:szCs w:val="18"/>
              </w:rPr>
              <w:noBreakHyphen/>
            </w:r>
          </w:p>
        </w:tc>
        <w:tc>
          <w:tcPr>
            <w:tcW w:w="507" w:type="pct"/>
            <w:vAlign w:val="bottom"/>
          </w:tcPr>
          <w:p w:rsidR="00ED0B8F" w:rsidRPr="006035DA" w:rsidRDefault="00ED0B8F" w:rsidP="00AB38B4">
            <w:pPr>
              <w:pStyle w:val="TableBodyText"/>
              <w:rPr>
                <w:b/>
                <w:sz w:val="18"/>
                <w:szCs w:val="18"/>
              </w:rPr>
            </w:pPr>
            <w:r w:rsidRPr="006035DA">
              <w:rPr>
                <w:b/>
                <w:sz w:val="18"/>
                <w:szCs w:val="18"/>
              </w:rPr>
              <w:noBreakHyphen/>
            </w:r>
          </w:p>
        </w:tc>
        <w:tc>
          <w:tcPr>
            <w:tcW w:w="507" w:type="pct"/>
            <w:shd w:val="clear" w:color="auto" w:fill="auto"/>
            <w:vAlign w:val="bottom"/>
          </w:tcPr>
          <w:p w:rsidR="00ED0B8F" w:rsidRPr="006035DA" w:rsidRDefault="00ED0B8F" w:rsidP="00AB38B4">
            <w:pPr>
              <w:pStyle w:val="TableBodyText"/>
              <w:rPr>
                <w:b/>
                <w:sz w:val="18"/>
                <w:szCs w:val="18"/>
              </w:rPr>
            </w:pPr>
            <w:r w:rsidRPr="006035DA">
              <w:rPr>
                <w:b/>
                <w:sz w:val="18"/>
                <w:szCs w:val="18"/>
              </w:rPr>
              <w:noBreakHyphen/>
            </w:r>
          </w:p>
        </w:tc>
        <w:tc>
          <w:tcPr>
            <w:tcW w:w="507" w:type="pct"/>
            <w:shd w:val="clear" w:color="auto" w:fill="auto"/>
            <w:vAlign w:val="bottom"/>
          </w:tcPr>
          <w:p w:rsidR="00ED0B8F" w:rsidRPr="006035DA" w:rsidRDefault="00ED0B8F" w:rsidP="00AB38B4">
            <w:pPr>
              <w:pStyle w:val="TableBodyText"/>
              <w:rPr>
                <w:b/>
                <w:sz w:val="18"/>
                <w:szCs w:val="18"/>
              </w:rPr>
            </w:pPr>
            <w:r w:rsidRPr="006035DA">
              <w:rPr>
                <w:b/>
                <w:sz w:val="18"/>
                <w:szCs w:val="18"/>
              </w:rPr>
              <w:noBreakHyphen/>
            </w:r>
          </w:p>
        </w:tc>
      </w:tr>
      <w:tr w:rsidR="00ED0B8F" w:rsidRPr="00AC5A12" w:rsidTr="00AB38B4">
        <w:tc>
          <w:tcPr>
            <w:tcW w:w="1959" w:type="pct"/>
            <w:vAlign w:val="bottom"/>
          </w:tcPr>
          <w:p w:rsidR="00ED0B8F" w:rsidRPr="00267504" w:rsidRDefault="00ED0B8F" w:rsidP="00AB38B4">
            <w:pPr>
              <w:pStyle w:val="TableBodyText"/>
              <w:jc w:val="left"/>
              <w:rPr>
                <w:sz w:val="18"/>
                <w:szCs w:val="18"/>
              </w:rPr>
            </w:pPr>
            <w:r w:rsidRPr="00267504">
              <w:rPr>
                <w:sz w:val="18"/>
                <w:szCs w:val="18"/>
              </w:rPr>
              <w:t>Food, beverages and tobacco</w:t>
            </w:r>
          </w:p>
        </w:tc>
        <w:tc>
          <w:tcPr>
            <w:tcW w:w="507" w:type="pct"/>
            <w:vAlign w:val="bottom"/>
          </w:tcPr>
          <w:p w:rsidR="00ED0B8F" w:rsidRPr="00C22C4F" w:rsidRDefault="00ED0B8F" w:rsidP="00AB38B4">
            <w:pPr>
              <w:pStyle w:val="TableBodyText"/>
              <w:rPr>
                <w:sz w:val="18"/>
                <w:szCs w:val="18"/>
              </w:rPr>
            </w:pPr>
            <w:r w:rsidRPr="00C22C4F">
              <w:rPr>
                <w:sz w:val="18"/>
                <w:szCs w:val="18"/>
              </w:rPr>
              <w:t>0.1</w:t>
            </w:r>
          </w:p>
        </w:tc>
        <w:tc>
          <w:tcPr>
            <w:tcW w:w="507" w:type="pct"/>
            <w:vAlign w:val="bottom"/>
          </w:tcPr>
          <w:p w:rsidR="00ED0B8F" w:rsidRPr="00C22C4F" w:rsidRDefault="00ED0B8F" w:rsidP="00AB38B4">
            <w:pPr>
              <w:pStyle w:val="TableBodyText"/>
              <w:rPr>
                <w:sz w:val="18"/>
                <w:szCs w:val="18"/>
              </w:rPr>
            </w:pPr>
            <w:r>
              <w:rPr>
                <w:sz w:val="18"/>
                <w:szCs w:val="18"/>
              </w:rPr>
              <w:t>&lt;</w:t>
            </w:r>
            <w:r w:rsidRPr="00C22C4F">
              <w:rPr>
                <w:sz w:val="18"/>
                <w:szCs w:val="18"/>
              </w:rPr>
              <w:t>0.</w:t>
            </w:r>
            <w:r>
              <w:rPr>
                <w:sz w:val="18"/>
                <w:szCs w:val="18"/>
              </w:rPr>
              <w:t>1</w:t>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r>
      <w:tr w:rsidR="00ED0B8F" w:rsidRPr="00AC5A12" w:rsidTr="00AB38B4">
        <w:tc>
          <w:tcPr>
            <w:tcW w:w="1959" w:type="pct"/>
            <w:vAlign w:val="bottom"/>
          </w:tcPr>
          <w:p w:rsidR="00ED0B8F" w:rsidRPr="00267504" w:rsidRDefault="00ED0B8F" w:rsidP="00AB38B4">
            <w:pPr>
              <w:pStyle w:val="TableBodyText"/>
              <w:jc w:val="left"/>
              <w:rPr>
                <w:sz w:val="18"/>
                <w:szCs w:val="18"/>
              </w:rPr>
            </w:pPr>
            <w:r w:rsidRPr="00267504">
              <w:rPr>
                <w:sz w:val="18"/>
                <w:szCs w:val="18"/>
              </w:rPr>
              <w:t>Wood and paper products</w:t>
            </w:r>
          </w:p>
        </w:tc>
        <w:tc>
          <w:tcPr>
            <w:tcW w:w="507" w:type="pct"/>
            <w:vAlign w:val="bottom"/>
          </w:tcPr>
          <w:p w:rsidR="00ED0B8F" w:rsidRPr="00C22C4F" w:rsidRDefault="00ED0B8F" w:rsidP="00AB38B4">
            <w:pPr>
              <w:pStyle w:val="TableBodyText"/>
              <w:rPr>
                <w:sz w:val="18"/>
                <w:szCs w:val="18"/>
              </w:rPr>
            </w:pPr>
            <w:r>
              <w:rPr>
                <w:sz w:val="18"/>
                <w:szCs w:val="18"/>
              </w:rPr>
              <w:t>&lt;</w:t>
            </w:r>
            <w:r w:rsidRPr="00C22C4F">
              <w:rPr>
                <w:sz w:val="18"/>
                <w:szCs w:val="18"/>
              </w:rPr>
              <w:t>0.</w:t>
            </w:r>
            <w:r>
              <w:rPr>
                <w:sz w:val="18"/>
                <w:szCs w:val="18"/>
              </w:rPr>
              <w:t>1</w:t>
            </w:r>
          </w:p>
        </w:tc>
        <w:tc>
          <w:tcPr>
            <w:tcW w:w="507" w:type="pct"/>
            <w:vAlign w:val="bottom"/>
          </w:tcPr>
          <w:p w:rsidR="00ED0B8F" w:rsidRPr="00C22C4F" w:rsidRDefault="00ED0B8F" w:rsidP="00AB38B4">
            <w:pPr>
              <w:pStyle w:val="TableBodyText"/>
              <w:rPr>
                <w:sz w:val="18"/>
                <w:szCs w:val="18"/>
              </w:rPr>
            </w:pPr>
            <w:r>
              <w:rPr>
                <w:sz w:val="18"/>
                <w:szCs w:val="18"/>
              </w:rPr>
              <w:t>&lt;</w:t>
            </w:r>
            <w:r w:rsidRPr="00C22C4F">
              <w:rPr>
                <w:sz w:val="18"/>
                <w:szCs w:val="18"/>
              </w:rPr>
              <w:t>0.</w:t>
            </w:r>
            <w:r>
              <w:rPr>
                <w:sz w:val="18"/>
                <w:szCs w:val="18"/>
              </w:rPr>
              <w:t>1</w:t>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r>
      <w:tr w:rsidR="00ED0B8F" w:rsidRPr="00AC5A12" w:rsidTr="00AB38B4">
        <w:tc>
          <w:tcPr>
            <w:tcW w:w="1959" w:type="pct"/>
            <w:vAlign w:val="bottom"/>
          </w:tcPr>
          <w:p w:rsidR="00ED0B8F" w:rsidRPr="00267504" w:rsidRDefault="00ED0B8F" w:rsidP="00AB38B4">
            <w:pPr>
              <w:pStyle w:val="TableBodyText"/>
              <w:jc w:val="left"/>
              <w:rPr>
                <w:sz w:val="18"/>
                <w:szCs w:val="18"/>
              </w:rPr>
            </w:pPr>
            <w:r w:rsidRPr="00267504">
              <w:rPr>
                <w:sz w:val="18"/>
                <w:szCs w:val="18"/>
              </w:rPr>
              <w:t>Printing and recorded media</w:t>
            </w:r>
          </w:p>
        </w:tc>
        <w:tc>
          <w:tcPr>
            <w:tcW w:w="507" w:type="pct"/>
            <w:vAlign w:val="bottom"/>
          </w:tcPr>
          <w:p w:rsidR="00ED0B8F" w:rsidRPr="00C22C4F" w:rsidRDefault="00ED0B8F" w:rsidP="00AB38B4">
            <w:pPr>
              <w:pStyle w:val="TableBodyText"/>
              <w:rPr>
                <w:sz w:val="18"/>
                <w:szCs w:val="18"/>
              </w:rPr>
            </w:pPr>
            <w:r>
              <w:rPr>
                <w:sz w:val="18"/>
                <w:szCs w:val="18"/>
              </w:rPr>
              <w:t>&lt;</w:t>
            </w:r>
            <w:r w:rsidRPr="00C22C4F">
              <w:rPr>
                <w:sz w:val="18"/>
                <w:szCs w:val="18"/>
              </w:rPr>
              <w:t>0.</w:t>
            </w:r>
            <w:r>
              <w:rPr>
                <w:sz w:val="18"/>
                <w:szCs w:val="18"/>
              </w:rPr>
              <w:t>1</w:t>
            </w:r>
          </w:p>
        </w:tc>
        <w:tc>
          <w:tcPr>
            <w:tcW w:w="507" w:type="pct"/>
            <w:vAlign w:val="bottom"/>
          </w:tcPr>
          <w:p w:rsidR="00ED0B8F" w:rsidRPr="00C22C4F" w:rsidRDefault="00ED0B8F" w:rsidP="00AB38B4">
            <w:pPr>
              <w:pStyle w:val="TableBodyText"/>
              <w:rPr>
                <w:sz w:val="18"/>
                <w:szCs w:val="18"/>
              </w:rPr>
            </w:pPr>
            <w:r>
              <w:rPr>
                <w:sz w:val="18"/>
                <w:szCs w:val="18"/>
              </w:rPr>
              <w:t>&lt;</w:t>
            </w:r>
            <w:r w:rsidRPr="00C22C4F">
              <w:rPr>
                <w:sz w:val="18"/>
                <w:szCs w:val="18"/>
              </w:rPr>
              <w:t>0.</w:t>
            </w:r>
            <w:r>
              <w:rPr>
                <w:sz w:val="18"/>
                <w:szCs w:val="18"/>
              </w:rPr>
              <w:t>1</w:t>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r>
      <w:tr w:rsidR="00ED0B8F" w:rsidRPr="00AC5A12" w:rsidTr="00AB38B4">
        <w:tc>
          <w:tcPr>
            <w:tcW w:w="1959" w:type="pct"/>
            <w:vAlign w:val="bottom"/>
          </w:tcPr>
          <w:p w:rsidR="00ED0B8F" w:rsidRPr="00267504" w:rsidRDefault="00ED0B8F" w:rsidP="00AB38B4">
            <w:pPr>
              <w:pStyle w:val="TableBodyText"/>
              <w:jc w:val="left"/>
              <w:rPr>
                <w:sz w:val="18"/>
                <w:szCs w:val="18"/>
              </w:rPr>
            </w:pPr>
            <w:r w:rsidRPr="00267504">
              <w:rPr>
                <w:sz w:val="18"/>
                <w:szCs w:val="18"/>
              </w:rPr>
              <w:t>Petroleum, coal, chemical and rubber products</w:t>
            </w:r>
          </w:p>
        </w:tc>
        <w:tc>
          <w:tcPr>
            <w:tcW w:w="507" w:type="pct"/>
            <w:vAlign w:val="bottom"/>
          </w:tcPr>
          <w:p w:rsidR="00ED0B8F" w:rsidRPr="00C22C4F" w:rsidRDefault="00ED0B8F" w:rsidP="00AB38B4">
            <w:pPr>
              <w:pStyle w:val="TableBodyText"/>
              <w:rPr>
                <w:sz w:val="18"/>
                <w:szCs w:val="18"/>
              </w:rPr>
            </w:pPr>
            <w:r w:rsidRPr="00C22C4F">
              <w:rPr>
                <w:sz w:val="18"/>
                <w:szCs w:val="18"/>
              </w:rPr>
              <w:t>0.3</w:t>
            </w:r>
          </w:p>
        </w:tc>
        <w:tc>
          <w:tcPr>
            <w:tcW w:w="507" w:type="pct"/>
            <w:vAlign w:val="bottom"/>
          </w:tcPr>
          <w:p w:rsidR="00ED0B8F" w:rsidRPr="00C22C4F" w:rsidRDefault="00ED0B8F" w:rsidP="00AB38B4">
            <w:pPr>
              <w:pStyle w:val="TableBodyText"/>
              <w:rPr>
                <w:sz w:val="18"/>
                <w:szCs w:val="18"/>
              </w:rPr>
            </w:pPr>
            <w:r>
              <w:rPr>
                <w:sz w:val="18"/>
                <w:szCs w:val="18"/>
              </w:rPr>
              <w:t>&lt;</w:t>
            </w:r>
            <w:r w:rsidRPr="00C22C4F">
              <w:rPr>
                <w:sz w:val="18"/>
                <w:szCs w:val="18"/>
              </w:rPr>
              <w:t>0.</w:t>
            </w:r>
            <w:r>
              <w:rPr>
                <w:sz w:val="18"/>
                <w:szCs w:val="18"/>
              </w:rPr>
              <w:t>1</w:t>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r>
      <w:tr w:rsidR="00ED0B8F" w:rsidRPr="00AC5A12" w:rsidTr="00AB38B4">
        <w:tc>
          <w:tcPr>
            <w:tcW w:w="1959" w:type="pct"/>
            <w:vAlign w:val="bottom"/>
          </w:tcPr>
          <w:p w:rsidR="00ED0B8F" w:rsidRPr="00267504" w:rsidRDefault="00ED0B8F" w:rsidP="00821748">
            <w:pPr>
              <w:pStyle w:val="TableBodyText"/>
              <w:jc w:val="left"/>
              <w:rPr>
                <w:sz w:val="18"/>
                <w:szCs w:val="18"/>
              </w:rPr>
            </w:pPr>
            <w:r w:rsidRPr="00267504">
              <w:rPr>
                <w:sz w:val="18"/>
                <w:szCs w:val="18"/>
              </w:rPr>
              <w:t>Non-</w:t>
            </w:r>
            <w:r w:rsidR="00821748">
              <w:rPr>
                <w:sz w:val="18"/>
                <w:szCs w:val="18"/>
              </w:rPr>
              <w:t>m</w:t>
            </w:r>
            <w:r w:rsidRPr="00267504">
              <w:rPr>
                <w:sz w:val="18"/>
                <w:szCs w:val="18"/>
              </w:rPr>
              <w:t>etallic mineral products</w:t>
            </w:r>
          </w:p>
        </w:tc>
        <w:tc>
          <w:tcPr>
            <w:tcW w:w="507" w:type="pct"/>
            <w:vAlign w:val="bottom"/>
          </w:tcPr>
          <w:p w:rsidR="00ED0B8F" w:rsidRPr="00C22C4F" w:rsidRDefault="00ED0B8F" w:rsidP="00AB38B4">
            <w:pPr>
              <w:pStyle w:val="TableBodyText"/>
              <w:rPr>
                <w:sz w:val="18"/>
                <w:szCs w:val="18"/>
              </w:rPr>
            </w:pPr>
            <w:r>
              <w:rPr>
                <w:sz w:val="18"/>
                <w:szCs w:val="18"/>
              </w:rPr>
              <w:t>&lt;</w:t>
            </w:r>
            <w:r w:rsidRPr="00C22C4F">
              <w:rPr>
                <w:sz w:val="18"/>
                <w:szCs w:val="18"/>
              </w:rPr>
              <w:t>0.</w:t>
            </w:r>
            <w:r>
              <w:rPr>
                <w:sz w:val="18"/>
                <w:szCs w:val="18"/>
              </w:rPr>
              <w:t>1</w:t>
            </w:r>
          </w:p>
        </w:tc>
        <w:tc>
          <w:tcPr>
            <w:tcW w:w="507" w:type="pct"/>
            <w:vAlign w:val="bottom"/>
          </w:tcPr>
          <w:p w:rsidR="00ED0B8F" w:rsidRPr="00C22C4F" w:rsidRDefault="00ED0B8F" w:rsidP="00AB38B4">
            <w:pPr>
              <w:pStyle w:val="TableBodyText"/>
              <w:rPr>
                <w:sz w:val="18"/>
                <w:szCs w:val="18"/>
              </w:rPr>
            </w:pPr>
            <w:r>
              <w:rPr>
                <w:sz w:val="18"/>
                <w:szCs w:val="18"/>
              </w:rPr>
              <w:t>&lt;</w:t>
            </w:r>
            <w:r w:rsidRPr="00C22C4F">
              <w:rPr>
                <w:sz w:val="18"/>
                <w:szCs w:val="18"/>
              </w:rPr>
              <w:t>0.</w:t>
            </w:r>
            <w:r>
              <w:rPr>
                <w:sz w:val="18"/>
                <w:szCs w:val="18"/>
              </w:rPr>
              <w:t>1</w:t>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r>
      <w:tr w:rsidR="00ED0B8F" w:rsidRPr="00AC5A12" w:rsidTr="00AB38B4">
        <w:tc>
          <w:tcPr>
            <w:tcW w:w="1959" w:type="pct"/>
            <w:vAlign w:val="bottom"/>
          </w:tcPr>
          <w:p w:rsidR="00ED0B8F" w:rsidRPr="00267504" w:rsidRDefault="00ED0B8F" w:rsidP="00AB38B4">
            <w:pPr>
              <w:pStyle w:val="TableBodyText"/>
              <w:jc w:val="left"/>
              <w:rPr>
                <w:sz w:val="18"/>
                <w:szCs w:val="18"/>
              </w:rPr>
            </w:pPr>
            <w:r w:rsidRPr="00267504">
              <w:rPr>
                <w:sz w:val="18"/>
                <w:szCs w:val="18"/>
              </w:rPr>
              <w:t>Metal and fabricated metal products</w:t>
            </w:r>
          </w:p>
        </w:tc>
        <w:tc>
          <w:tcPr>
            <w:tcW w:w="507" w:type="pct"/>
            <w:vAlign w:val="bottom"/>
          </w:tcPr>
          <w:p w:rsidR="00ED0B8F" w:rsidRPr="00C22C4F" w:rsidRDefault="00ED0B8F" w:rsidP="00AB38B4">
            <w:pPr>
              <w:pStyle w:val="TableBodyText"/>
              <w:rPr>
                <w:sz w:val="18"/>
                <w:szCs w:val="18"/>
              </w:rPr>
            </w:pPr>
            <w:r w:rsidRPr="00C22C4F">
              <w:rPr>
                <w:sz w:val="18"/>
                <w:szCs w:val="18"/>
              </w:rPr>
              <w:t>1.8</w:t>
            </w:r>
          </w:p>
        </w:tc>
        <w:tc>
          <w:tcPr>
            <w:tcW w:w="507" w:type="pct"/>
            <w:vAlign w:val="bottom"/>
          </w:tcPr>
          <w:p w:rsidR="00ED0B8F" w:rsidRPr="00C22C4F" w:rsidRDefault="00ED0B8F" w:rsidP="00AB38B4">
            <w:pPr>
              <w:pStyle w:val="TableBodyText"/>
              <w:rPr>
                <w:sz w:val="18"/>
                <w:szCs w:val="18"/>
              </w:rPr>
            </w:pPr>
            <w:r>
              <w:rPr>
                <w:sz w:val="18"/>
                <w:szCs w:val="18"/>
              </w:rPr>
              <w:t>&lt;</w:t>
            </w:r>
            <w:r w:rsidRPr="00C22C4F">
              <w:rPr>
                <w:sz w:val="18"/>
                <w:szCs w:val="18"/>
              </w:rPr>
              <w:t>0.1</w:t>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r>
      <w:tr w:rsidR="00ED0B8F" w:rsidRPr="00AC5A12" w:rsidTr="00AB38B4">
        <w:tc>
          <w:tcPr>
            <w:tcW w:w="1959" w:type="pct"/>
            <w:vAlign w:val="bottom"/>
          </w:tcPr>
          <w:p w:rsidR="00ED0B8F" w:rsidRPr="00267504" w:rsidRDefault="00ED0B8F" w:rsidP="00AB38B4">
            <w:pPr>
              <w:pStyle w:val="TableBodyText"/>
              <w:jc w:val="left"/>
              <w:rPr>
                <w:sz w:val="18"/>
                <w:szCs w:val="18"/>
              </w:rPr>
            </w:pPr>
            <w:r w:rsidRPr="00267504">
              <w:rPr>
                <w:sz w:val="18"/>
                <w:szCs w:val="18"/>
              </w:rPr>
              <w:t>Motor vehicle and parts</w:t>
            </w:r>
          </w:p>
        </w:tc>
        <w:tc>
          <w:tcPr>
            <w:tcW w:w="507" w:type="pct"/>
            <w:vAlign w:val="bottom"/>
          </w:tcPr>
          <w:p w:rsidR="00ED0B8F" w:rsidRPr="00C22C4F" w:rsidRDefault="00ED0B8F" w:rsidP="00AB38B4">
            <w:pPr>
              <w:pStyle w:val="TableBodyText"/>
              <w:rPr>
                <w:sz w:val="18"/>
                <w:szCs w:val="18"/>
              </w:rPr>
            </w:pPr>
            <w:r w:rsidRPr="00C22C4F">
              <w:rPr>
                <w:sz w:val="18"/>
                <w:szCs w:val="18"/>
              </w:rPr>
              <w:t>0.4</w:t>
            </w:r>
          </w:p>
        </w:tc>
        <w:tc>
          <w:tcPr>
            <w:tcW w:w="507" w:type="pct"/>
            <w:vAlign w:val="bottom"/>
          </w:tcPr>
          <w:p w:rsidR="00ED0B8F" w:rsidRPr="00C22C4F" w:rsidRDefault="00ED0B8F" w:rsidP="00AB38B4">
            <w:pPr>
              <w:pStyle w:val="TableBodyText"/>
              <w:rPr>
                <w:sz w:val="18"/>
                <w:szCs w:val="18"/>
              </w:rPr>
            </w:pPr>
            <w:r>
              <w:rPr>
                <w:sz w:val="18"/>
                <w:szCs w:val="18"/>
              </w:rPr>
              <w:t>&lt;</w:t>
            </w:r>
            <w:r w:rsidRPr="00C22C4F">
              <w:rPr>
                <w:sz w:val="18"/>
                <w:szCs w:val="18"/>
              </w:rPr>
              <w:t>0.</w:t>
            </w:r>
            <w:r>
              <w:rPr>
                <w:sz w:val="18"/>
                <w:szCs w:val="18"/>
              </w:rPr>
              <w:t>1</w:t>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r>
      <w:tr w:rsidR="00ED0B8F" w:rsidRPr="00AC5A12" w:rsidTr="00AB38B4">
        <w:tc>
          <w:tcPr>
            <w:tcW w:w="1959" w:type="pct"/>
            <w:vAlign w:val="bottom"/>
          </w:tcPr>
          <w:p w:rsidR="00ED0B8F" w:rsidRPr="00267504" w:rsidRDefault="00ED0B8F" w:rsidP="00AB38B4">
            <w:pPr>
              <w:pStyle w:val="TableBodyText"/>
              <w:jc w:val="left"/>
              <w:rPr>
                <w:sz w:val="18"/>
                <w:szCs w:val="18"/>
              </w:rPr>
            </w:pPr>
            <w:r w:rsidRPr="00267504">
              <w:rPr>
                <w:sz w:val="18"/>
                <w:szCs w:val="18"/>
              </w:rPr>
              <w:t>Machinery and equipment manufacturing</w:t>
            </w:r>
          </w:p>
        </w:tc>
        <w:tc>
          <w:tcPr>
            <w:tcW w:w="507" w:type="pct"/>
            <w:vAlign w:val="bottom"/>
          </w:tcPr>
          <w:p w:rsidR="00ED0B8F" w:rsidRPr="00C22C4F" w:rsidRDefault="00ED0B8F" w:rsidP="00AB38B4">
            <w:pPr>
              <w:pStyle w:val="TableBodyText"/>
              <w:rPr>
                <w:sz w:val="18"/>
                <w:szCs w:val="18"/>
              </w:rPr>
            </w:pPr>
            <w:r>
              <w:rPr>
                <w:sz w:val="18"/>
                <w:szCs w:val="18"/>
              </w:rPr>
              <w:t>&lt;</w:t>
            </w:r>
            <w:r w:rsidRPr="00C22C4F">
              <w:rPr>
                <w:sz w:val="18"/>
                <w:szCs w:val="18"/>
              </w:rPr>
              <w:t>0.</w:t>
            </w:r>
            <w:r>
              <w:rPr>
                <w:sz w:val="18"/>
                <w:szCs w:val="18"/>
              </w:rPr>
              <w:t>1</w:t>
            </w:r>
          </w:p>
        </w:tc>
        <w:tc>
          <w:tcPr>
            <w:tcW w:w="507" w:type="pct"/>
            <w:vAlign w:val="bottom"/>
          </w:tcPr>
          <w:p w:rsidR="00ED0B8F" w:rsidRPr="00C22C4F" w:rsidRDefault="00ED0B8F" w:rsidP="00AB38B4">
            <w:pPr>
              <w:pStyle w:val="TableBodyText"/>
              <w:rPr>
                <w:sz w:val="18"/>
                <w:szCs w:val="18"/>
              </w:rPr>
            </w:pPr>
            <w:r>
              <w:rPr>
                <w:sz w:val="18"/>
                <w:szCs w:val="18"/>
              </w:rPr>
              <w:t>&lt;</w:t>
            </w:r>
            <w:r w:rsidRPr="00C22C4F">
              <w:rPr>
                <w:sz w:val="18"/>
                <w:szCs w:val="18"/>
              </w:rPr>
              <w:t>0.</w:t>
            </w:r>
            <w:r>
              <w:rPr>
                <w:sz w:val="18"/>
                <w:szCs w:val="18"/>
              </w:rPr>
              <w:t>1</w:t>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r>
      <w:tr w:rsidR="00ED0B8F" w:rsidRPr="00AC5A12" w:rsidTr="00AB38B4">
        <w:tc>
          <w:tcPr>
            <w:tcW w:w="1959" w:type="pct"/>
            <w:vAlign w:val="bottom"/>
          </w:tcPr>
          <w:p w:rsidR="00ED0B8F" w:rsidRPr="00267504" w:rsidRDefault="00ED0B8F" w:rsidP="00AB38B4">
            <w:pPr>
              <w:pStyle w:val="TableBodyText"/>
              <w:jc w:val="left"/>
              <w:rPr>
                <w:sz w:val="18"/>
                <w:szCs w:val="18"/>
              </w:rPr>
            </w:pPr>
            <w:r w:rsidRPr="00267504">
              <w:rPr>
                <w:sz w:val="18"/>
                <w:szCs w:val="18"/>
              </w:rPr>
              <w:t>Furniture and other manufacturing</w:t>
            </w:r>
          </w:p>
        </w:tc>
        <w:tc>
          <w:tcPr>
            <w:tcW w:w="507" w:type="pct"/>
            <w:vAlign w:val="bottom"/>
          </w:tcPr>
          <w:p w:rsidR="00ED0B8F" w:rsidRPr="00C22C4F" w:rsidRDefault="00ED0B8F" w:rsidP="00AB38B4">
            <w:pPr>
              <w:pStyle w:val="TableBodyText"/>
              <w:rPr>
                <w:sz w:val="18"/>
                <w:szCs w:val="18"/>
              </w:rPr>
            </w:pPr>
            <w:r>
              <w:rPr>
                <w:sz w:val="18"/>
                <w:szCs w:val="18"/>
              </w:rPr>
              <w:t>&lt;</w:t>
            </w:r>
            <w:r w:rsidRPr="00C22C4F">
              <w:rPr>
                <w:sz w:val="18"/>
                <w:szCs w:val="18"/>
              </w:rPr>
              <w:t>0.</w:t>
            </w:r>
            <w:r>
              <w:rPr>
                <w:sz w:val="18"/>
                <w:szCs w:val="18"/>
              </w:rPr>
              <w:t>1</w:t>
            </w:r>
          </w:p>
        </w:tc>
        <w:tc>
          <w:tcPr>
            <w:tcW w:w="507" w:type="pct"/>
            <w:vAlign w:val="bottom"/>
          </w:tcPr>
          <w:p w:rsidR="00ED0B8F" w:rsidRPr="00C22C4F" w:rsidRDefault="00ED0B8F" w:rsidP="00AB38B4">
            <w:pPr>
              <w:pStyle w:val="TableBodyText"/>
              <w:rPr>
                <w:sz w:val="18"/>
                <w:szCs w:val="18"/>
              </w:rPr>
            </w:pPr>
            <w:r>
              <w:rPr>
                <w:sz w:val="18"/>
                <w:szCs w:val="18"/>
              </w:rPr>
              <w:t>&lt;</w:t>
            </w:r>
            <w:r w:rsidRPr="00C22C4F">
              <w:rPr>
                <w:sz w:val="18"/>
                <w:szCs w:val="18"/>
              </w:rPr>
              <w:t>0.</w:t>
            </w:r>
            <w:r>
              <w:rPr>
                <w:sz w:val="18"/>
                <w:szCs w:val="18"/>
              </w:rPr>
              <w:t>1</w:t>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r>
      <w:tr w:rsidR="00ED0B8F" w:rsidRPr="00F04AD1" w:rsidTr="00AB38B4">
        <w:tc>
          <w:tcPr>
            <w:tcW w:w="1959" w:type="pct"/>
            <w:vAlign w:val="bottom"/>
          </w:tcPr>
          <w:p w:rsidR="00ED0B8F" w:rsidRPr="00F04AD1" w:rsidRDefault="00ED0B8F" w:rsidP="00AB38B4">
            <w:pPr>
              <w:pStyle w:val="TableBodyText"/>
              <w:jc w:val="left"/>
              <w:rPr>
                <w:b/>
                <w:sz w:val="18"/>
                <w:szCs w:val="18"/>
              </w:rPr>
            </w:pPr>
            <w:r w:rsidRPr="00F04AD1">
              <w:rPr>
                <w:b/>
                <w:sz w:val="18"/>
                <w:szCs w:val="18"/>
              </w:rPr>
              <w:t>Services</w:t>
            </w:r>
          </w:p>
        </w:tc>
        <w:tc>
          <w:tcPr>
            <w:tcW w:w="507" w:type="pct"/>
            <w:vAlign w:val="bottom"/>
          </w:tcPr>
          <w:p w:rsidR="00ED0B8F" w:rsidRPr="000E6799" w:rsidRDefault="00ED0B8F" w:rsidP="00AB38B4">
            <w:pPr>
              <w:pStyle w:val="TableBodyText"/>
              <w:rPr>
                <w:b/>
                <w:sz w:val="18"/>
                <w:szCs w:val="18"/>
              </w:rPr>
            </w:pPr>
            <w:r w:rsidRPr="000E6799">
              <w:rPr>
                <w:b/>
                <w:sz w:val="18"/>
                <w:szCs w:val="18"/>
              </w:rPr>
              <w:t>1.4</w:t>
            </w:r>
          </w:p>
        </w:tc>
        <w:tc>
          <w:tcPr>
            <w:tcW w:w="507" w:type="pct"/>
            <w:vAlign w:val="bottom"/>
          </w:tcPr>
          <w:p w:rsidR="00ED0B8F" w:rsidRPr="000E6799" w:rsidRDefault="00ED0B8F" w:rsidP="00AB38B4">
            <w:pPr>
              <w:pStyle w:val="TableBodyText"/>
              <w:rPr>
                <w:b/>
                <w:sz w:val="18"/>
                <w:szCs w:val="18"/>
              </w:rPr>
            </w:pPr>
            <w:r>
              <w:rPr>
                <w:b/>
                <w:sz w:val="18"/>
                <w:szCs w:val="18"/>
              </w:rPr>
              <w:t>&lt;</w:t>
            </w:r>
            <w:r w:rsidRPr="000E6799">
              <w:rPr>
                <w:b/>
                <w:sz w:val="18"/>
                <w:szCs w:val="18"/>
              </w:rPr>
              <w:t>0.1</w:t>
            </w:r>
          </w:p>
        </w:tc>
        <w:tc>
          <w:tcPr>
            <w:tcW w:w="507" w:type="pct"/>
            <w:vAlign w:val="bottom"/>
          </w:tcPr>
          <w:p w:rsidR="00ED0B8F" w:rsidRPr="006035DA" w:rsidRDefault="00ED0B8F" w:rsidP="00AB38B4">
            <w:pPr>
              <w:pStyle w:val="TableBodyText"/>
              <w:rPr>
                <w:b/>
                <w:sz w:val="18"/>
                <w:szCs w:val="18"/>
              </w:rPr>
            </w:pPr>
            <w:r w:rsidRPr="006035DA">
              <w:rPr>
                <w:b/>
                <w:sz w:val="18"/>
                <w:szCs w:val="18"/>
              </w:rPr>
              <w:noBreakHyphen/>
            </w:r>
          </w:p>
        </w:tc>
        <w:tc>
          <w:tcPr>
            <w:tcW w:w="507" w:type="pct"/>
            <w:vAlign w:val="bottom"/>
          </w:tcPr>
          <w:p w:rsidR="00ED0B8F" w:rsidRPr="006035DA" w:rsidRDefault="00ED0B8F" w:rsidP="00AB38B4">
            <w:pPr>
              <w:pStyle w:val="TableBodyText"/>
              <w:rPr>
                <w:b/>
                <w:sz w:val="18"/>
                <w:szCs w:val="18"/>
              </w:rPr>
            </w:pPr>
            <w:r w:rsidRPr="006035DA">
              <w:rPr>
                <w:b/>
                <w:sz w:val="18"/>
                <w:szCs w:val="18"/>
              </w:rPr>
              <w:noBreakHyphen/>
            </w:r>
          </w:p>
        </w:tc>
        <w:tc>
          <w:tcPr>
            <w:tcW w:w="507" w:type="pct"/>
            <w:shd w:val="clear" w:color="auto" w:fill="auto"/>
            <w:vAlign w:val="bottom"/>
          </w:tcPr>
          <w:p w:rsidR="00ED0B8F" w:rsidRPr="006035DA" w:rsidRDefault="00ED0B8F" w:rsidP="00AB38B4">
            <w:pPr>
              <w:pStyle w:val="TableBodyText"/>
              <w:rPr>
                <w:b/>
                <w:sz w:val="18"/>
                <w:szCs w:val="18"/>
              </w:rPr>
            </w:pPr>
            <w:r w:rsidRPr="006035DA">
              <w:rPr>
                <w:b/>
                <w:sz w:val="18"/>
                <w:szCs w:val="18"/>
              </w:rPr>
              <w:noBreakHyphen/>
            </w:r>
          </w:p>
        </w:tc>
        <w:tc>
          <w:tcPr>
            <w:tcW w:w="507" w:type="pct"/>
            <w:shd w:val="clear" w:color="auto" w:fill="auto"/>
            <w:vAlign w:val="bottom"/>
          </w:tcPr>
          <w:p w:rsidR="00ED0B8F" w:rsidRPr="006035DA" w:rsidRDefault="00ED0B8F" w:rsidP="00AB38B4">
            <w:pPr>
              <w:pStyle w:val="TableBodyText"/>
              <w:rPr>
                <w:b/>
                <w:sz w:val="18"/>
                <w:szCs w:val="18"/>
              </w:rPr>
            </w:pPr>
            <w:r w:rsidRPr="006035DA">
              <w:rPr>
                <w:b/>
                <w:sz w:val="18"/>
                <w:szCs w:val="18"/>
              </w:rPr>
              <w:noBreakHyphen/>
            </w:r>
          </w:p>
        </w:tc>
      </w:tr>
      <w:tr w:rsidR="00ED0B8F" w:rsidRPr="00AC5A12" w:rsidTr="00AB38B4">
        <w:tc>
          <w:tcPr>
            <w:tcW w:w="1959" w:type="pct"/>
            <w:vAlign w:val="bottom"/>
          </w:tcPr>
          <w:p w:rsidR="00ED0B8F" w:rsidRPr="00267504" w:rsidRDefault="00ED0B8F" w:rsidP="00AB38B4">
            <w:pPr>
              <w:pStyle w:val="TableBodyText"/>
              <w:jc w:val="left"/>
              <w:rPr>
                <w:sz w:val="18"/>
                <w:szCs w:val="18"/>
              </w:rPr>
            </w:pPr>
            <w:r w:rsidRPr="00267504">
              <w:rPr>
                <w:sz w:val="18"/>
                <w:szCs w:val="18"/>
              </w:rPr>
              <w:t>Electricity, gas, water and waste services</w:t>
            </w:r>
          </w:p>
        </w:tc>
        <w:tc>
          <w:tcPr>
            <w:tcW w:w="507" w:type="pct"/>
            <w:vAlign w:val="bottom"/>
          </w:tcPr>
          <w:p w:rsidR="00ED0B8F" w:rsidRPr="00C22C4F" w:rsidRDefault="00ED0B8F" w:rsidP="00AB38B4">
            <w:pPr>
              <w:pStyle w:val="TableBodyText"/>
              <w:rPr>
                <w:sz w:val="18"/>
                <w:szCs w:val="18"/>
              </w:rPr>
            </w:pPr>
            <w:r w:rsidRPr="00C22C4F">
              <w:rPr>
                <w:sz w:val="18"/>
                <w:szCs w:val="18"/>
              </w:rPr>
              <w:t>0.2</w:t>
            </w:r>
          </w:p>
        </w:tc>
        <w:tc>
          <w:tcPr>
            <w:tcW w:w="507" w:type="pct"/>
            <w:vAlign w:val="bottom"/>
          </w:tcPr>
          <w:p w:rsidR="00ED0B8F" w:rsidRPr="00C22C4F" w:rsidRDefault="00ED0B8F" w:rsidP="00AB38B4">
            <w:pPr>
              <w:pStyle w:val="TableBodyText"/>
              <w:rPr>
                <w:sz w:val="18"/>
                <w:szCs w:val="18"/>
              </w:rPr>
            </w:pPr>
            <w:r>
              <w:rPr>
                <w:sz w:val="18"/>
                <w:szCs w:val="18"/>
              </w:rPr>
              <w:t>&lt;</w:t>
            </w:r>
            <w:r w:rsidRPr="00C22C4F">
              <w:rPr>
                <w:sz w:val="18"/>
                <w:szCs w:val="18"/>
              </w:rPr>
              <w:t>0.</w:t>
            </w:r>
            <w:r>
              <w:rPr>
                <w:sz w:val="18"/>
                <w:szCs w:val="18"/>
              </w:rPr>
              <w:t>1</w:t>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r>
      <w:tr w:rsidR="00ED0B8F" w:rsidRPr="00AC5A12" w:rsidTr="00AB38B4">
        <w:tc>
          <w:tcPr>
            <w:tcW w:w="1959" w:type="pct"/>
            <w:vAlign w:val="bottom"/>
          </w:tcPr>
          <w:p w:rsidR="00ED0B8F" w:rsidRPr="00267504" w:rsidRDefault="00ED0B8F" w:rsidP="00AB38B4">
            <w:pPr>
              <w:pStyle w:val="TableBodyText"/>
              <w:jc w:val="left"/>
              <w:rPr>
                <w:sz w:val="18"/>
                <w:szCs w:val="18"/>
              </w:rPr>
            </w:pPr>
            <w:r w:rsidRPr="00267504">
              <w:rPr>
                <w:sz w:val="18"/>
                <w:szCs w:val="18"/>
              </w:rPr>
              <w:t>Construction</w:t>
            </w:r>
          </w:p>
        </w:tc>
        <w:tc>
          <w:tcPr>
            <w:tcW w:w="507" w:type="pct"/>
            <w:vAlign w:val="bottom"/>
          </w:tcPr>
          <w:p w:rsidR="00ED0B8F" w:rsidRPr="00C22C4F" w:rsidRDefault="00ED0B8F" w:rsidP="00AB38B4">
            <w:pPr>
              <w:pStyle w:val="TableBodyText"/>
              <w:rPr>
                <w:sz w:val="18"/>
                <w:szCs w:val="18"/>
              </w:rPr>
            </w:pPr>
            <w:r>
              <w:rPr>
                <w:sz w:val="18"/>
                <w:szCs w:val="18"/>
              </w:rPr>
              <w:t>&lt;</w:t>
            </w:r>
            <w:r w:rsidRPr="00C22C4F">
              <w:rPr>
                <w:sz w:val="18"/>
                <w:szCs w:val="18"/>
              </w:rPr>
              <w:t>0.</w:t>
            </w:r>
            <w:r>
              <w:rPr>
                <w:sz w:val="18"/>
                <w:szCs w:val="18"/>
              </w:rPr>
              <w:t>1</w:t>
            </w:r>
          </w:p>
        </w:tc>
        <w:tc>
          <w:tcPr>
            <w:tcW w:w="507" w:type="pct"/>
            <w:vAlign w:val="bottom"/>
          </w:tcPr>
          <w:p w:rsidR="00ED0B8F" w:rsidRPr="00C22C4F" w:rsidRDefault="00ED0B8F" w:rsidP="00AB38B4">
            <w:pPr>
              <w:pStyle w:val="TableBodyText"/>
              <w:rPr>
                <w:sz w:val="18"/>
                <w:szCs w:val="18"/>
              </w:rPr>
            </w:pPr>
            <w:r>
              <w:rPr>
                <w:sz w:val="18"/>
                <w:szCs w:val="18"/>
              </w:rPr>
              <w:t>&lt;</w:t>
            </w:r>
            <w:r w:rsidRPr="00C22C4F">
              <w:rPr>
                <w:sz w:val="18"/>
                <w:szCs w:val="18"/>
              </w:rPr>
              <w:t>0.</w:t>
            </w:r>
            <w:r>
              <w:rPr>
                <w:sz w:val="18"/>
                <w:szCs w:val="18"/>
              </w:rPr>
              <w:t>1</w:t>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r>
      <w:tr w:rsidR="00ED0B8F" w:rsidRPr="00AC5A12" w:rsidTr="00AB38B4">
        <w:tc>
          <w:tcPr>
            <w:tcW w:w="1959" w:type="pct"/>
            <w:vAlign w:val="bottom"/>
          </w:tcPr>
          <w:p w:rsidR="00ED0B8F" w:rsidRPr="00267504" w:rsidRDefault="00ED0B8F" w:rsidP="00AB38B4">
            <w:pPr>
              <w:pStyle w:val="TableBodyText"/>
              <w:jc w:val="left"/>
              <w:rPr>
                <w:sz w:val="18"/>
                <w:szCs w:val="18"/>
              </w:rPr>
            </w:pPr>
            <w:r w:rsidRPr="00267504">
              <w:rPr>
                <w:sz w:val="18"/>
                <w:szCs w:val="18"/>
              </w:rPr>
              <w:t>Wholesale trade</w:t>
            </w:r>
          </w:p>
        </w:tc>
        <w:tc>
          <w:tcPr>
            <w:tcW w:w="507" w:type="pct"/>
            <w:vAlign w:val="bottom"/>
          </w:tcPr>
          <w:p w:rsidR="00ED0B8F" w:rsidRPr="00C22C4F" w:rsidRDefault="00ED0B8F" w:rsidP="00AB38B4">
            <w:pPr>
              <w:pStyle w:val="TableBodyText"/>
              <w:rPr>
                <w:sz w:val="18"/>
                <w:szCs w:val="18"/>
              </w:rPr>
            </w:pPr>
            <w:r>
              <w:rPr>
                <w:sz w:val="18"/>
                <w:szCs w:val="18"/>
              </w:rPr>
              <w:t>&lt;</w:t>
            </w:r>
            <w:r w:rsidRPr="00C22C4F">
              <w:rPr>
                <w:sz w:val="18"/>
                <w:szCs w:val="18"/>
              </w:rPr>
              <w:t>0.</w:t>
            </w:r>
            <w:r>
              <w:rPr>
                <w:sz w:val="18"/>
                <w:szCs w:val="18"/>
              </w:rPr>
              <w:t>1</w:t>
            </w:r>
          </w:p>
        </w:tc>
        <w:tc>
          <w:tcPr>
            <w:tcW w:w="507" w:type="pct"/>
            <w:vAlign w:val="bottom"/>
          </w:tcPr>
          <w:p w:rsidR="00ED0B8F" w:rsidRPr="00C22C4F" w:rsidRDefault="00ED0B8F" w:rsidP="00AB38B4">
            <w:pPr>
              <w:pStyle w:val="TableBodyText"/>
              <w:rPr>
                <w:sz w:val="18"/>
                <w:szCs w:val="18"/>
              </w:rPr>
            </w:pPr>
            <w:r>
              <w:rPr>
                <w:sz w:val="18"/>
                <w:szCs w:val="18"/>
              </w:rPr>
              <w:t>&lt;</w:t>
            </w:r>
            <w:r w:rsidRPr="00C22C4F">
              <w:rPr>
                <w:sz w:val="18"/>
                <w:szCs w:val="18"/>
              </w:rPr>
              <w:t>0.</w:t>
            </w:r>
            <w:r>
              <w:rPr>
                <w:sz w:val="18"/>
                <w:szCs w:val="18"/>
              </w:rPr>
              <w:t>1</w:t>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r>
      <w:tr w:rsidR="00ED0B8F" w:rsidRPr="00AC5A12" w:rsidTr="00AB38B4">
        <w:tc>
          <w:tcPr>
            <w:tcW w:w="1959" w:type="pct"/>
            <w:vAlign w:val="bottom"/>
          </w:tcPr>
          <w:p w:rsidR="00ED0B8F" w:rsidRPr="00267504" w:rsidRDefault="00ED0B8F" w:rsidP="00AB38B4">
            <w:pPr>
              <w:pStyle w:val="TableBodyText"/>
              <w:jc w:val="left"/>
              <w:rPr>
                <w:sz w:val="18"/>
                <w:szCs w:val="18"/>
              </w:rPr>
            </w:pPr>
            <w:r w:rsidRPr="00267504">
              <w:rPr>
                <w:sz w:val="18"/>
                <w:szCs w:val="18"/>
              </w:rPr>
              <w:t>Retail trade</w:t>
            </w:r>
          </w:p>
        </w:tc>
        <w:tc>
          <w:tcPr>
            <w:tcW w:w="507" w:type="pct"/>
            <w:vAlign w:val="bottom"/>
          </w:tcPr>
          <w:p w:rsidR="00ED0B8F" w:rsidRPr="00C22C4F" w:rsidRDefault="00ED0B8F" w:rsidP="00AB38B4">
            <w:pPr>
              <w:pStyle w:val="TableBodyText"/>
              <w:rPr>
                <w:sz w:val="18"/>
                <w:szCs w:val="18"/>
              </w:rPr>
            </w:pPr>
            <w:r>
              <w:rPr>
                <w:sz w:val="18"/>
                <w:szCs w:val="18"/>
              </w:rPr>
              <w:t>&lt;</w:t>
            </w:r>
            <w:r w:rsidRPr="00C22C4F">
              <w:rPr>
                <w:sz w:val="18"/>
                <w:szCs w:val="18"/>
              </w:rPr>
              <w:t>0.</w:t>
            </w:r>
            <w:r>
              <w:rPr>
                <w:sz w:val="18"/>
                <w:szCs w:val="18"/>
              </w:rPr>
              <w:t>1</w:t>
            </w:r>
          </w:p>
        </w:tc>
        <w:tc>
          <w:tcPr>
            <w:tcW w:w="507" w:type="pct"/>
            <w:vAlign w:val="bottom"/>
          </w:tcPr>
          <w:p w:rsidR="00ED0B8F" w:rsidRPr="00C22C4F" w:rsidRDefault="00ED0B8F" w:rsidP="00AB38B4">
            <w:pPr>
              <w:pStyle w:val="TableBodyText"/>
              <w:rPr>
                <w:sz w:val="18"/>
                <w:szCs w:val="18"/>
              </w:rPr>
            </w:pPr>
            <w:r>
              <w:rPr>
                <w:sz w:val="18"/>
                <w:szCs w:val="18"/>
              </w:rPr>
              <w:t>&lt;</w:t>
            </w:r>
            <w:r w:rsidRPr="00C22C4F">
              <w:rPr>
                <w:sz w:val="18"/>
                <w:szCs w:val="18"/>
              </w:rPr>
              <w:t>0.</w:t>
            </w:r>
            <w:r>
              <w:rPr>
                <w:sz w:val="18"/>
                <w:szCs w:val="18"/>
              </w:rPr>
              <w:t>1</w:t>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r>
      <w:tr w:rsidR="00ED0B8F" w:rsidRPr="00AC5A12" w:rsidTr="00AB38B4">
        <w:tc>
          <w:tcPr>
            <w:tcW w:w="1959" w:type="pct"/>
            <w:vAlign w:val="bottom"/>
          </w:tcPr>
          <w:p w:rsidR="00ED0B8F" w:rsidRPr="00267504" w:rsidRDefault="00ED0B8F" w:rsidP="00AB38B4">
            <w:pPr>
              <w:pStyle w:val="TableBodyText"/>
              <w:jc w:val="left"/>
              <w:rPr>
                <w:sz w:val="18"/>
                <w:szCs w:val="18"/>
              </w:rPr>
            </w:pPr>
            <w:r w:rsidRPr="00267504">
              <w:rPr>
                <w:sz w:val="18"/>
                <w:szCs w:val="18"/>
              </w:rPr>
              <w:t>Transport, postal and warehousing</w:t>
            </w:r>
          </w:p>
        </w:tc>
        <w:tc>
          <w:tcPr>
            <w:tcW w:w="507" w:type="pct"/>
            <w:vAlign w:val="bottom"/>
          </w:tcPr>
          <w:p w:rsidR="00ED0B8F" w:rsidRPr="00C22C4F" w:rsidRDefault="00ED0B8F" w:rsidP="00AB38B4">
            <w:pPr>
              <w:pStyle w:val="TableBodyText"/>
              <w:rPr>
                <w:sz w:val="18"/>
                <w:szCs w:val="18"/>
              </w:rPr>
            </w:pPr>
            <w:r w:rsidRPr="00C22C4F">
              <w:rPr>
                <w:sz w:val="18"/>
                <w:szCs w:val="18"/>
              </w:rPr>
              <w:t>0.5</w:t>
            </w:r>
          </w:p>
        </w:tc>
        <w:tc>
          <w:tcPr>
            <w:tcW w:w="507" w:type="pct"/>
            <w:vAlign w:val="bottom"/>
          </w:tcPr>
          <w:p w:rsidR="00ED0B8F" w:rsidRPr="00C22C4F" w:rsidRDefault="00ED0B8F" w:rsidP="00AB38B4">
            <w:pPr>
              <w:pStyle w:val="TableBodyText"/>
              <w:rPr>
                <w:sz w:val="18"/>
                <w:szCs w:val="18"/>
              </w:rPr>
            </w:pPr>
            <w:r>
              <w:rPr>
                <w:sz w:val="18"/>
                <w:szCs w:val="18"/>
              </w:rPr>
              <w:t>&lt;</w:t>
            </w:r>
            <w:r w:rsidRPr="00C22C4F">
              <w:rPr>
                <w:sz w:val="18"/>
                <w:szCs w:val="18"/>
              </w:rPr>
              <w:t>0.</w:t>
            </w:r>
            <w:r>
              <w:rPr>
                <w:sz w:val="18"/>
                <w:szCs w:val="18"/>
              </w:rPr>
              <w:t>1</w:t>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r>
      <w:tr w:rsidR="00ED0B8F" w:rsidRPr="00AC5A12" w:rsidTr="00AB38B4">
        <w:tc>
          <w:tcPr>
            <w:tcW w:w="1959" w:type="pct"/>
            <w:vAlign w:val="bottom"/>
          </w:tcPr>
          <w:p w:rsidR="00ED0B8F" w:rsidRPr="00267504" w:rsidRDefault="00ED0B8F" w:rsidP="00AB38B4">
            <w:pPr>
              <w:pStyle w:val="TableBodyText"/>
              <w:jc w:val="left"/>
              <w:rPr>
                <w:sz w:val="18"/>
                <w:szCs w:val="18"/>
              </w:rPr>
            </w:pPr>
            <w:r w:rsidRPr="00267504">
              <w:rPr>
                <w:sz w:val="18"/>
                <w:szCs w:val="18"/>
              </w:rPr>
              <w:t>Information, media and telecommunications</w:t>
            </w:r>
          </w:p>
        </w:tc>
        <w:tc>
          <w:tcPr>
            <w:tcW w:w="507" w:type="pct"/>
            <w:vAlign w:val="bottom"/>
          </w:tcPr>
          <w:p w:rsidR="00ED0B8F" w:rsidRPr="00C22C4F" w:rsidRDefault="00ED0B8F" w:rsidP="00AB38B4">
            <w:pPr>
              <w:pStyle w:val="TableBodyText"/>
              <w:rPr>
                <w:sz w:val="18"/>
                <w:szCs w:val="18"/>
              </w:rPr>
            </w:pPr>
            <w:r w:rsidRPr="00C22C4F">
              <w:rPr>
                <w:sz w:val="18"/>
                <w:szCs w:val="18"/>
              </w:rPr>
              <w:t>0.5</w:t>
            </w:r>
          </w:p>
        </w:tc>
        <w:tc>
          <w:tcPr>
            <w:tcW w:w="507" w:type="pct"/>
            <w:vAlign w:val="bottom"/>
          </w:tcPr>
          <w:p w:rsidR="00ED0B8F" w:rsidRPr="00C22C4F" w:rsidRDefault="00ED0B8F" w:rsidP="00AB38B4">
            <w:pPr>
              <w:pStyle w:val="TableBodyText"/>
              <w:rPr>
                <w:sz w:val="18"/>
                <w:szCs w:val="18"/>
              </w:rPr>
            </w:pPr>
            <w:r>
              <w:rPr>
                <w:sz w:val="18"/>
                <w:szCs w:val="18"/>
              </w:rPr>
              <w:t>&lt;</w:t>
            </w:r>
            <w:r w:rsidRPr="00C22C4F">
              <w:rPr>
                <w:sz w:val="18"/>
                <w:szCs w:val="18"/>
              </w:rPr>
              <w:t>0.</w:t>
            </w:r>
            <w:r>
              <w:rPr>
                <w:sz w:val="18"/>
                <w:szCs w:val="18"/>
              </w:rPr>
              <w:t>1</w:t>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r>
      <w:tr w:rsidR="00ED0B8F" w:rsidRPr="00AC5A12" w:rsidTr="00AB38B4">
        <w:tc>
          <w:tcPr>
            <w:tcW w:w="1959" w:type="pct"/>
            <w:vAlign w:val="bottom"/>
          </w:tcPr>
          <w:p w:rsidR="00ED0B8F" w:rsidRPr="00267504" w:rsidRDefault="00ED0B8F" w:rsidP="00AB38B4">
            <w:pPr>
              <w:pStyle w:val="TableBodyText"/>
              <w:jc w:val="left"/>
              <w:rPr>
                <w:sz w:val="18"/>
                <w:szCs w:val="18"/>
              </w:rPr>
            </w:pPr>
            <w:r w:rsidRPr="00267504">
              <w:rPr>
                <w:sz w:val="18"/>
                <w:szCs w:val="18"/>
              </w:rPr>
              <w:t>Financial and insurance services</w:t>
            </w:r>
          </w:p>
        </w:tc>
        <w:tc>
          <w:tcPr>
            <w:tcW w:w="507" w:type="pct"/>
            <w:vAlign w:val="bottom"/>
          </w:tcPr>
          <w:p w:rsidR="00ED0B8F" w:rsidRPr="00C22C4F" w:rsidRDefault="00ED0B8F" w:rsidP="00AB38B4">
            <w:pPr>
              <w:pStyle w:val="TableBodyText"/>
              <w:rPr>
                <w:sz w:val="18"/>
                <w:szCs w:val="18"/>
              </w:rPr>
            </w:pPr>
            <w:r>
              <w:rPr>
                <w:sz w:val="18"/>
                <w:szCs w:val="18"/>
              </w:rPr>
              <w:t>&lt;</w:t>
            </w:r>
            <w:r w:rsidRPr="00C22C4F">
              <w:rPr>
                <w:sz w:val="18"/>
                <w:szCs w:val="18"/>
              </w:rPr>
              <w:t>0.</w:t>
            </w:r>
            <w:r>
              <w:rPr>
                <w:sz w:val="18"/>
                <w:szCs w:val="18"/>
              </w:rPr>
              <w:t>1</w:t>
            </w:r>
          </w:p>
        </w:tc>
        <w:tc>
          <w:tcPr>
            <w:tcW w:w="507" w:type="pct"/>
            <w:vAlign w:val="bottom"/>
          </w:tcPr>
          <w:p w:rsidR="00ED0B8F" w:rsidRPr="00C22C4F" w:rsidRDefault="00ED0B8F" w:rsidP="00AB38B4">
            <w:pPr>
              <w:pStyle w:val="TableBodyText"/>
              <w:rPr>
                <w:sz w:val="18"/>
                <w:szCs w:val="18"/>
              </w:rPr>
            </w:pPr>
            <w:r>
              <w:rPr>
                <w:sz w:val="18"/>
                <w:szCs w:val="18"/>
              </w:rPr>
              <w:t>&lt;</w:t>
            </w:r>
            <w:r w:rsidRPr="00C22C4F">
              <w:rPr>
                <w:sz w:val="18"/>
                <w:szCs w:val="18"/>
              </w:rPr>
              <w:t>0.</w:t>
            </w:r>
            <w:r>
              <w:rPr>
                <w:sz w:val="18"/>
                <w:szCs w:val="18"/>
              </w:rPr>
              <w:t>1</w:t>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r>
      <w:tr w:rsidR="00ED0B8F" w:rsidRPr="00AC5A12" w:rsidTr="00AB38B4">
        <w:tc>
          <w:tcPr>
            <w:tcW w:w="1959" w:type="pct"/>
            <w:vAlign w:val="bottom"/>
          </w:tcPr>
          <w:p w:rsidR="00ED0B8F" w:rsidRPr="00267504" w:rsidRDefault="00ED0B8F" w:rsidP="00AB38B4">
            <w:pPr>
              <w:pStyle w:val="TableBodyText"/>
              <w:jc w:val="left"/>
              <w:rPr>
                <w:sz w:val="18"/>
                <w:szCs w:val="18"/>
              </w:rPr>
            </w:pPr>
            <w:r w:rsidRPr="00267504">
              <w:rPr>
                <w:sz w:val="18"/>
                <w:szCs w:val="18"/>
              </w:rPr>
              <w:t>Property, professional and administrative services</w:t>
            </w:r>
          </w:p>
        </w:tc>
        <w:tc>
          <w:tcPr>
            <w:tcW w:w="507" w:type="pct"/>
            <w:vAlign w:val="bottom"/>
          </w:tcPr>
          <w:p w:rsidR="00ED0B8F" w:rsidRPr="00C22C4F" w:rsidRDefault="00ED0B8F" w:rsidP="00AB38B4">
            <w:pPr>
              <w:pStyle w:val="TableBodyText"/>
              <w:rPr>
                <w:sz w:val="18"/>
                <w:szCs w:val="18"/>
              </w:rPr>
            </w:pPr>
            <w:r>
              <w:rPr>
                <w:sz w:val="18"/>
                <w:szCs w:val="18"/>
              </w:rPr>
              <w:t>&lt;</w:t>
            </w:r>
            <w:r w:rsidRPr="00C22C4F">
              <w:rPr>
                <w:sz w:val="18"/>
                <w:szCs w:val="18"/>
              </w:rPr>
              <w:t>0.1</w:t>
            </w:r>
          </w:p>
        </w:tc>
        <w:tc>
          <w:tcPr>
            <w:tcW w:w="507" w:type="pct"/>
            <w:vAlign w:val="bottom"/>
          </w:tcPr>
          <w:p w:rsidR="00ED0B8F" w:rsidRPr="00C22C4F" w:rsidRDefault="00ED0B8F" w:rsidP="00AB38B4">
            <w:pPr>
              <w:pStyle w:val="TableBodyText"/>
              <w:rPr>
                <w:sz w:val="18"/>
                <w:szCs w:val="18"/>
              </w:rPr>
            </w:pPr>
            <w:r>
              <w:rPr>
                <w:sz w:val="18"/>
                <w:szCs w:val="18"/>
              </w:rPr>
              <w:t>&lt;</w:t>
            </w:r>
            <w:r w:rsidRPr="00C22C4F">
              <w:rPr>
                <w:sz w:val="18"/>
                <w:szCs w:val="18"/>
              </w:rPr>
              <w:t>0.</w:t>
            </w:r>
            <w:r>
              <w:rPr>
                <w:sz w:val="18"/>
                <w:szCs w:val="18"/>
              </w:rPr>
              <w:t>1</w:t>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r>
      <w:tr w:rsidR="00ED0B8F" w:rsidRPr="00AC5A12" w:rsidTr="00AB38B4">
        <w:tc>
          <w:tcPr>
            <w:tcW w:w="1959" w:type="pct"/>
            <w:vAlign w:val="bottom"/>
          </w:tcPr>
          <w:p w:rsidR="00ED0B8F" w:rsidRPr="00267504" w:rsidRDefault="00ED0B8F" w:rsidP="00AB38B4">
            <w:pPr>
              <w:pStyle w:val="TableBodyText"/>
              <w:jc w:val="left"/>
              <w:rPr>
                <w:sz w:val="18"/>
                <w:szCs w:val="18"/>
              </w:rPr>
            </w:pPr>
            <w:r w:rsidRPr="00267504">
              <w:rPr>
                <w:sz w:val="18"/>
                <w:szCs w:val="18"/>
              </w:rPr>
              <w:t>Education and training</w:t>
            </w:r>
          </w:p>
        </w:tc>
        <w:tc>
          <w:tcPr>
            <w:tcW w:w="507" w:type="pct"/>
            <w:vAlign w:val="bottom"/>
          </w:tcPr>
          <w:p w:rsidR="00ED0B8F" w:rsidRPr="00C22C4F" w:rsidRDefault="00ED0B8F" w:rsidP="00AB38B4">
            <w:pPr>
              <w:pStyle w:val="TableBodyText"/>
              <w:rPr>
                <w:sz w:val="18"/>
                <w:szCs w:val="18"/>
              </w:rPr>
            </w:pPr>
            <w:r>
              <w:rPr>
                <w:sz w:val="18"/>
                <w:szCs w:val="18"/>
              </w:rPr>
              <w:t>&lt;</w:t>
            </w:r>
            <w:r w:rsidRPr="00C22C4F">
              <w:rPr>
                <w:sz w:val="18"/>
                <w:szCs w:val="18"/>
              </w:rPr>
              <w:t>0.</w:t>
            </w:r>
            <w:r>
              <w:rPr>
                <w:sz w:val="18"/>
                <w:szCs w:val="18"/>
              </w:rPr>
              <w:t>1</w:t>
            </w:r>
          </w:p>
        </w:tc>
        <w:tc>
          <w:tcPr>
            <w:tcW w:w="507" w:type="pct"/>
            <w:vAlign w:val="bottom"/>
          </w:tcPr>
          <w:p w:rsidR="00ED0B8F" w:rsidRPr="00C22C4F" w:rsidRDefault="00ED0B8F" w:rsidP="00AB38B4">
            <w:pPr>
              <w:pStyle w:val="TableBodyText"/>
              <w:rPr>
                <w:sz w:val="18"/>
                <w:szCs w:val="18"/>
              </w:rPr>
            </w:pPr>
            <w:r>
              <w:rPr>
                <w:sz w:val="18"/>
                <w:szCs w:val="18"/>
              </w:rPr>
              <w:t>&lt;</w:t>
            </w:r>
            <w:r w:rsidRPr="00C22C4F">
              <w:rPr>
                <w:sz w:val="18"/>
                <w:szCs w:val="18"/>
              </w:rPr>
              <w:t>0.</w:t>
            </w:r>
            <w:r>
              <w:rPr>
                <w:sz w:val="18"/>
                <w:szCs w:val="18"/>
              </w:rPr>
              <w:t>1</w:t>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r>
      <w:tr w:rsidR="00ED0B8F" w:rsidRPr="00AC5A12" w:rsidTr="00AB38B4">
        <w:tc>
          <w:tcPr>
            <w:tcW w:w="1959" w:type="pct"/>
            <w:vAlign w:val="bottom"/>
          </w:tcPr>
          <w:p w:rsidR="00ED0B8F" w:rsidRPr="00267504" w:rsidRDefault="00ED0B8F" w:rsidP="00AB38B4">
            <w:pPr>
              <w:pStyle w:val="TableBodyText"/>
              <w:jc w:val="left"/>
              <w:rPr>
                <w:sz w:val="18"/>
                <w:szCs w:val="18"/>
              </w:rPr>
            </w:pPr>
            <w:r w:rsidRPr="00267504">
              <w:rPr>
                <w:sz w:val="18"/>
                <w:szCs w:val="18"/>
              </w:rPr>
              <w:t>Health care and social assistance</w:t>
            </w:r>
          </w:p>
        </w:tc>
        <w:tc>
          <w:tcPr>
            <w:tcW w:w="507" w:type="pct"/>
            <w:vAlign w:val="bottom"/>
          </w:tcPr>
          <w:p w:rsidR="00ED0B8F" w:rsidRPr="00C22C4F" w:rsidRDefault="00ED0B8F" w:rsidP="00AB38B4">
            <w:pPr>
              <w:pStyle w:val="TableBodyText"/>
              <w:rPr>
                <w:sz w:val="18"/>
                <w:szCs w:val="18"/>
              </w:rPr>
            </w:pPr>
            <w:r>
              <w:rPr>
                <w:sz w:val="18"/>
                <w:szCs w:val="18"/>
              </w:rPr>
              <w:t>&lt;</w:t>
            </w:r>
            <w:r w:rsidRPr="00C22C4F">
              <w:rPr>
                <w:sz w:val="18"/>
                <w:szCs w:val="18"/>
              </w:rPr>
              <w:t>0.</w:t>
            </w:r>
            <w:r>
              <w:rPr>
                <w:sz w:val="18"/>
                <w:szCs w:val="18"/>
              </w:rPr>
              <w:t>1</w:t>
            </w:r>
          </w:p>
        </w:tc>
        <w:tc>
          <w:tcPr>
            <w:tcW w:w="507" w:type="pct"/>
            <w:vAlign w:val="bottom"/>
          </w:tcPr>
          <w:p w:rsidR="00ED0B8F" w:rsidRPr="00C22C4F" w:rsidRDefault="00ED0B8F" w:rsidP="00AB38B4">
            <w:pPr>
              <w:pStyle w:val="TableBodyText"/>
              <w:rPr>
                <w:sz w:val="18"/>
                <w:szCs w:val="18"/>
              </w:rPr>
            </w:pPr>
            <w:r>
              <w:rPr>
                <w:sz w:val="18"/>
                <w:szCs w:val="18"/>
              </w:rPr>
              <w:t>&lt;</w:t>
            </w:r>
            <w:r w:rsidRPr="00C22C4F">
              <w:rPr>
                <w:sz w:val="18"/>
                <w:szCs w:val="18"/>
              </w:rPr>
              <w:t>0.</w:t>
            </w:r>
            <w:r>
              <w:rPr>
                <w:sz w:val="18"/>
                <w:szCs w:val="18"/>
              </w:rPr>
              <w:t>1</w:t>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r>
      <w:tr w:rsidR="00ED0B8F" w:rsidRPr="00AC5A12" w:rsidTr="00AB38B4">
        <w:tc>
          <w:tcPr>
            <w:tcW w:w="1959" w:type="pct"/>
            <w:vAlign w:val="bottom"/>
          </w:tcPr>
          <w:p w:rsidR="00ED0B8F" w:rsidRPr="00267504" w:rsidRDefault="00ED0B8F" w:rsidP="00AB38B4">
            <w:pPr>
              <w:pStyle w:val="TableBodyText"/>
              <w:jc w:val="left"/>
              <w:rPr>
                <w:sz w:val="18"/>
                <w:szCs w:val="18"/>
              </w:rPr>
            </w:pPr>
            <w:r w:rsidRPr="00267504">
              <w:rPr>
                <w:sz w:val="18"/>
                <w:szCs w:val="18"/>
              </w:rPr>
              <w:t>Arts and recreation services</w:t>
            </w:r>
          </w:p>
        </w:tc>
        <w:tc>
          <w:tcPr>
            <w:tcW w:w="507" w:type="pct"/>
            <w:vAlign w:val="bottom"/>
          </w:tcPr>
          <w:p w:rsidR="00ED0B8F" w:rsidRPr="00C22C4F" w:rsidRDefault="00ED0B8F" w:rsidP="00AB38B4">
            <w:pPr>
              <w:pStyle w:val="TableBodyText"/>
              <w:rPr>
                <w:sz w:val="18"/>
                <w:szCs w:val="18"/>
              </w:rPr>
            </w:pPr>
            <w:r>
              <w:rPr>
                <w:sz w:val="18"/>
                <w:szCs w:val="18"/>
              </w:rPr>
              <w:t>&lt;</w:t>
            </w:r>
            <w:r w:rsidRPr="00C22C4F">
              <w:rPr>
                <w:sz w:val="18"/>
                <w:szCs w:val="18"/>
              </w:rPr>
              <w:t>0.</w:t>
            </w:r>
            <w:r>
              <w:rPr>
                <w:sz w:val="18"/>
                <w:szCs w:val="18"/>
              </w:rPr>
              <w:t>1</w:t>
            </w:r>
          </w:p>
        </w:tc>
        <w:tc>
          <w:tcPr>
            <w:tcW w:w="507" w:type="pct"/>
            <w:vAlign w:val="bottom"/>
          </w:tcPr>
          <w:p w:rsidR="00ED0B8F" w:rsidRPr="00C22C4F" w:rsidRDefault="00ED0B8F" w:rsidP="00AB38B4">
            <w:pPr>
              <w:pStyle w:val="TableBodyText"/>
              <w:rPr>
                <w:sz w:val="18"/>
                <w:szCs w:val="18"/>
              </w:rPr>
            </w:pPr>
            <w:r>
              <w:rPr>
                <w:sz w:val="18"/>
                <w:szCs w:val="18"/>
              </w:rPr>
              <w:t>&lt;</w:t>
            </w:r>
            <w:r w:rsidRPr="00C22C4F">
              <w:rPr>
                <w:sz w:val="18"/>
                <w:szCs w:val="18"/>
              </w:rPr>
              <w:t>0.</w:t>
            </w:r>
            <w:r>
              <w:rPr>
                <w:sz w:val="18"/>
                <w:szCs w:val="18"/>
              </w:rPr>
              <w:t>1</w:t>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r>
      <w:tr w:rsidR="00ED0B8F" w:rsidRPr="00AC5A12" w:rsidTr="00AB38B4">
        <w:tc>
          <w:tcPr>
            <w:tcW w:w="1959" w:type="pct"/>
            <w:vAlign w:val="bottom"/>
          </w:tcPr>
          <w:p w:rsidR="00ED0B8F" w:rsidRPr="00267504" w:rsidRDefault="00ED0B8F" w:rsidP="00AB38B4">
            <w:pPr>
              <w:pStyle w:val="TableBodyText"/>
              <w:jc w:val="left"/>
              <w:rPr>
                <w:sz w:val="18"/>
                <w:szCs w:val="18"/>
              </w:rPr>
            </w:pPr>
            <w:r w:rsidRPr="00267504">
              <w:rPr>
                <w:sz w:val="18"/>
                <w:szCs w:val="18"/>
              </w:rPr>
              <w:t>Unallocated other</w:t>
            </w:r>
            <w:r w:rsidRPr="00682BD4">
              <w:rPr>
                <w:rStyle w:val="NoteLabel"/>
                <w:szCs w:val="18"/>
              </w:rPr>
              <w:t>a</w:t>
            </w:r>
          </w:p>
        </w:tc>
        <w:tc>
          <w:tcPr>
            <w:tcW w:w="507" w:type="pct"/>
            <w:vAlign w:val="bottom"/>
          </w:tcPr>
          <w:p w:rsidR="00ED0B8F" w:rsidRPr="00C22C4F" w:rsidRDefault="00ED0B8F" w:rsidP="00AB38B4">
            <w:pPr>
              <w:pStyle w:val="TableBodyText"/>
              <w:rPr>
                <w:sz w:val="18"/>
                <w:szCs w:val="18"/>
              </w:rPr>
            </w:pPr>
            <w:r w:rsidRPr="00C22C4F">
              <w:rPr>
                <w:sz w:val="18"/>
                <w:szCs w:val="18"/>
              </w:rPr>
              <w:t>2.2</w:t>
            </w:r>
          </w:p>
        </w:tc>
        <w:tc>
          <w:tcPr>
            <w:tcW w:w="507" w:type="pct"/>
            <w:vAlign w:val="bottom"/>
          </w:tcPr>
          <w:p w:rsidR="00ED0B8F" w:rsidRPr="00C22C4F" w:rsidRDefault="00ED0B8F" w:rsidP="00AB38B4">
            <w:pPr>
              <w:pStyle w:val="TableBodyText"/>
              <w:rPr>
                <w:sz w:val="18"/>
                <w:szCs w:val="18"/>
              </w:rPr>
            </w:pPr>
            <w:r w:rsidRPr="00C22C4F">
              <w:rPr>
                <w:sz w:val="18"/>
                <w:szCs w:val="18"/>
              </w:rPr>
              <w:t>0.1</w:t>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c>
          <w:tcPr>
            <w:tcW w:w="507" w:type="pct"/>
            <w:shd w:val="clear" w:color="auto" w:fill="auto"/>
            <w:vAlign w:val="bottom"/>
          </w:tcPr>
          <w:p w:rsidR="00ED0B8F" w:rsidRPr="00F04AD1" w:rsidRDefault="00ED0B8F" w:rsidP="00AB38B4">
            <w:pPr>
              <w:pStyle w:val="TableBodyText"/>
              <w:rPr>
                <w:sz w:val="18"/>
                <w:szCs w:val="18"/>
              </w:rPr>
            </w:pPr>
            <w:r>
              <w:rPr>
                <w:sz w:val="18"/>
                <w:szCs w:val="18"/>
              </w:rPr>
              <w:noBreakHyphen/>
            </w:r>
          </w:p>
        </w:tc>
      </w:tr>
      <w:tr w:rsidR="00ED0B8F" w:rsidRPr="00AC5A12" w:rsidTr="00AB38B4">
        <w:tc>
          <w:tcPr>
            <w:tcW w:w="1959" w:type="pct"/>
            <w:tcBorders>
              <w:bottom w:val="single" w:sz="4" w:space="0" w:color="auto"/>
            </w:tcBorders>
            <w:vAlign w:val="bottom"/>
          </w:tcPr>
          <w:p w:rsidR="00ED0B8F" w:rsidRPr="00F04AD1" w:rsidRDefault="00ED0B8F" w:rsidP="00AB38B4">
            <w:pPr>
              <w:pStyle w:val="TableBodyText"/>
              <w:jc w:val="left"/>
              <w:rPr>
                <w:b/>
              </w:rPr>
            </w:pPr>
            <w:r w:rsidRPr="00F04AD1">
              <w:rPr>
                <w:b/>
              </w:rPr>
              <w:t>Total</w:t>
            </w:r>
          </w:p>
        </w:tc>
        <w:tc>
          <w:tcPr>
            <w:tcW w:w="507" w:type="pct"/>
            <w:tcBorders>
              <w:bottom w:val="single" w:sz="4" w:space="0" w:color="auto"/>
            </w:tcBorders>
            <w:vAlign w:val="bottom"/>
          </w:tcPr>
          <w:p w:rsidR="00ED0B8F" w:rsidRPr="000E6799" w:rsidRDefault="00ED0B8F" w:rsidP="00AB38B4">
            <w:pPr>
              <w:pStyle w:val="TableBodyText"/>
              <w:rPr>
                <w:b/>
                <w:sz w:val="18"/>
                <w:szCs w:val="18"/>
              </w:rPr>
            </w:pPr>
            <w:r w:rsidRPr="000E6799">
              <w:rPr>
                <w:b/>
                <w:sz w:val="18"/>
                <w:szCs w:val="18"/>
              </w:rPr>
              <w:t>10.0</w:t>
            </w:r>
          </w:p>
        </w:tc>
        <w:tc>
          <w:tcPr>
            <w:tcW w:w="507" w:type="pct"/>
            <w:tcBorders>
              <w:bottom w:val="single" w:sz="4" w:space="0" w:color="auto"/>
            </w:tcBorders>
            <w:vAlign w:val="bottom"/>
          </w:tcPr>
          <w:p w:rsidR="00ED0B8F" w:rsidRPr="000E6799" w:rsidRDefault="00ED0B8F" w:rsidP="00AB38B4">
            <w:pPr>
              <w:pStyle w:val="TableBodyText"/>
              <w:rPr>
                <w:b/>
                <w:sz w:val="18"/>
                <w:szCs w:val="18"/>
              </w:rPr>
            </w:pPr>
            <w:r w:rsidRPr="000E6799">
              <w:rPr>
                <w:b/>
                <w:sz w:val="18"/>
                <w:szCs w:val="18"/>
              </w:rPr>
              <w:t>0.5</w:t>
            </w:r>
          </w:p>
        </w:tc>
        <w:tc>
          <w:tcPr>
            <w:tcW w:w="507" w:type="pct"/>
            <w:tcBorders>
              <w:bottom w:val="single" w:sz="4" w:space="0" w:color="auto"/>
            </w:tcBorders>
            <w:vAlign w:val="bottom"/>
          </w:tcPr>
          <w:p w:rsidR="00ED0B8F" w:rsidRPr="006035DA" w:rsidRDefault="00ED0B8F" w:rsidP="00AB38B4">
            <w:pPr>
              <w:pStyle w:val="TableBodyText"/>
              <w:rPr>
                <w:b/>
                <w:sz w:val="18"/>
                <w:szCs w:val="18"/>
              </w:rPr>
            </w:pPr>
            <w:r w:rsidRPr="006035DA">
              <w:rPr>
                <w:b/>
                <w:sz w:val="18"/>
                <w:szCs w:val="18"/>
              </w:rPr>
              <w:noBreakHyphen/>
            </w:r>
          </w:p>
        </w:tc>
        <w:tc>
          <w:tcPr>
            <w:tcW w:w="507" w:type="pct"/>
            <w:tcBorders>
              <w:bottom w:val="single" w:sz="4" w:space="0" w:color="auto"/>
            </w:tcBorders>
            <w:vAlign w:val="bottom"/>
          </w:tcPr>
          <w:p w:rsidR="00ED0B8F" w:rsidRPr="006035DA" w:rsidRDefault="00ED0B8F" w:rsidP="00AB38B4">
            <w:pPr>
              <w:pStyle w:val="TableBodyText"/>
              <w:rPr>
                <w:b/>
                <w:sz w:val="18"/>
                <w:szCs w:val="18"/>
              </w:rPr>
            </w:pPr>
            <w:r w:rsidRPr="006035DA">
              <w:rPr>
                <w:b/>
                <w:sz w:val="18"/>
                <w:szCs w:val="18"/>
              </w:rPr>
              <w:noBreakHyphen/>
            </w:r>
          </w:p>
        </w:tc>
        <w:tc>
          <w:tcPr>
            <w:tcW w:w="507" w:type="pct"/>
            <w:tcBorders>
              <w:bottom w:val="single" w:sz="4" w:space="0" w:color="auto"/>
            </w:tcBorders>
            <w:shd w:val="clear" w:color="auto" w:fill="auto"/>
            <w:vAlign w:val="bottom"/>
          </w:tcPr>
          <w:p w:rsidR="00ED0B8F" w:rsidRPr="006035DA" w:rsidRDefault="00ED0B8F" w:rsidP="00AB38B4">
            <w:pPr>
              <w:pStyle w:val="TableBodyText"/>
              <w:rPr>
                <w:b/>
                <w:sz w:val="18"/>
                <w:szCs w:val="18"/>
              </w:rPr>
            </w:pPr>
            <w:r w:rsidRPr="006035DA">
              <w:rPr>
                <w:b/>
                <w:sz w:val="18"/>
                <w:szCs w:val="18"/>
              </w:rPr>
              <w:noBreakHyphen/>
            </w:r>
          </w:p>
        </w:tc>
        <w:tc>
          <w:tcPr>
            <w:tcW w:w="507" w:type="pct"/>
            <w:tcBorders>
              <w:bottom w:val="single" w:sz="4" w:space="0" w:color="auto"/>
            </w:tcBorders>
            <w:shd w:val="clear" w:color="auto" w:fill="auto"/>
            <w:vAlign w:val="bottom"/>
          </w:tcPr>
          <w:p w:rsidR="00ED0B8F" w:rsidRPr="006035DA" w:rsidRDefault="00ED0B8F" w:rsidP="00AB38B4">
            <w:pPr>
              <w:pStyle w:val="TableBodyText"/>
              <w:rPr>
                <w:b/>
                <w:sz w:val="18"/>
                <w:szCs w:val="18"/>
              </w:rPr>
            </w:pPr>
            <w:r w:rsidRPr="006035DA">
              <w:rPr>
                <w:b/>
                <w:sz w:val="18"/>
                <w:szCs w:val="18"/>
              </w:rPr>
              <w:noBreakHyphen/>
            </w:r>
          </w:p>
        </w:tc>
      </w:tr>
    </w:tbl>
    <w:p w:rsidR="00ED0B8F" w:rsidRDefault="00ED0B8F" w:rsidP="00ED0B8F">
      <w:pPr>
        <w:pStyle w:val="Note"/>
      </w:pPr>
      <w:r w:rsidRPr="00A2379F">
        <w:noBreakHyphen/>
        <w:t xml:space="preserve"> Nil</w:t>
      </w:r>
      <w:r>
        <w:t xml:space="preserve">. </w:t>
      </w:r>
      <w:r w:rsidRPr="008E77FE">
        <w:rPr>
          <w:rStyle w:val="NoteLabel"/>
        </w:rPr>
        <w:t>a</w:t>
      </w:r>
      <w:r>
        <w:t xml:space="preserve"> </w:t>
      </w:r>
      <w:r w:rsidRPr="009B56F1">
        <w:t>Unallocated includes general programs where detai</w:t>
      </w:r>
      <w:r>
        <w:t>ls of beneficiaries are unknown.</w:t>
      </w:r>
    </w:p>
    <w:p w:rsidR="00ED0B8F" w:rsidRPr="008E77FE" w:rsidRDefault="00ED0B8F" w:rsidP="00ED0B8F">
      <w:pPr>
        <w:pStyle w:val="Source"/>
      </w:pPr>
      <w:r>
        <w:rPr>
          <w:i/>
        </w:rPr>
        <w:t>Sources</w:t>
      </w:r>
      <w:r>
        <w:t>: Commission estimates based on Tax Expenditure Statement 2010, Australian Government 2011, p</w:t>
      </w:r>
      <w:r w:rsidR="008E121B">
        <w:t>. </w:t>
      </w:r>
      <w:r>
        <w:t>106, item B93; and detailed ATO data by ANZSIC industry.</w:t>
      </w:r>
    </w:p>
    <w:p w:rsidR="00ED0B8F" w:rsidRDefault="00FA09C3" w:rsidP="00ED0B8F">
      <w:pPr>
        <w:pStyle w:val="Heading2"/>
      </w:pPr>
      <w:r>
        <w:t>A.</w:t>
      </w:r>
      <w:r>
        <w:rPr>
          <w:noProof/>
        </w:rPr>
        <w:t>213</w:t>
      </w:r>
      <w:r w:rsidR="00ED0B8F">
        <w:tab/>
        <w:t>Stockman’s Hall of Fame</w:t>
      </w:r>
    </w:p>
    <w:p w:rsidR="00ED0B8F" w:rsidRDefault="00ED0B8F" w:rsidP="00ED0B8F">
      <w:pPr>
        <w:pStyle w:val="BodyText"/>
      </w:pPr>
      <w:r w:rsidRPr="001E463A">
        <w:t>From 200</w:t>
      </w:r>
      <w:r>
        <w:t>1</w:t>
      </w:r>
      <w:r w:rsidRPr="001E463A">
        <w:t>-0</w:t>
      </w:r>
      <w:r>
        <w:t>2</w:t>
      </w:r>
      <w:r w:rsidRPr="001E463A">
        <w:t xml:space="preserve"> to 200</w:t>
      </w:r>
      <w:r>
        <w:t>7</w:t>
      </w:r>
      <w:r w:rsidRPr="001E463A">
        <w:t>-0</w:t>
      </w:r>
      <w:r>
        <w:t>8</w:t>
      </w:r>
      <w:r w:rsidRPr="001E463A">
        <w:t>, the Australian Government provided around $</w:t>
      </w:r>
      <w:r>
        <w:t xml:space="preserve">5 million in assistance </w:t>
      </w:r>
      <w:r w:rsidRPr="001E463A">
        <w:t xml:space="preserve">to help fund the </w:t>
      </w:r>
      <w:r>
        <w:t>Stockman’s Hall of Fame</w:t>
      </w:r>
      <w:r w:rsidRPr="001E463A">
        <w:t xml:space="preserve"> project </w:t>
      </w:r>
      <w:r w:rsidRPr="005F2672">
        <w:t>(</w:t>
      </w:r>
      <w:r w:rsidRPr="00E80A54">
        <w:t>DITR 2006</w:t>
      </w:r>
      <w:r w:rsidRPr="005F2672">
        <w:t>)</w:t>
      </w:r>
      <w:r w:rsidRPr="001E463A">
        <w:t xml:space="preserve">. The project aimed to develop and harness the </w:t>
      </w:r>
      <w:r>
        <w:t>Australian Stockman’s Hall of Fame and Outback Heritage Centre</w:t>
      </w:r>
      <w:r w:rsidRPr="001E463A">
        <w:t xml:space="preserve"> </w:t>
      </w:r>
      <w:r>
        <w:t>in Queensland’s central western town of Longreach</w:t>
      </w:r>
      <w:r w:rsidRPr="001E463A">
        <w:t xml:space="preserve"> as an appealing tourist destination </w:t>
      </w:r>
      <w:r w:rsidRPr="005F2672">
        <w:t>(</w:t>
      </w:r>
      <w:r w:rsidRPr="00E80A54">
        <w:t>Outback Heritage 2013</w:t>
      </w:r>
      <w:r w:rsidRPr="001E463A">
        <w:t>).</w:t>
      </w:r>
    </w:p>
    <w:p w:rsidR="00ED0B8F" w:rsidRDefault="00ED0B8F" w:rsidP="00324570">
      <w:pPr>
        <w:pStyle w:val="BodyText"/>
      </w:pPr>
      <w:r>
        <w:t xml:space="preserve">Funding for the project </w:t>
      </w:r>
      <w:r w:rsidRPr="00741843">
        <w:t xml:space="preserve">predominantly benefited services industries. However, information on the specific industry incidence of the program has not been readily available. Accordingly, the budget outlay has been classified to the </w:t>
      </w:r>
      <w:r w:rsidRPr="00741843">
        <w:rPr>
          <w:i/>
        </w:rPr>
        <w:t>Unallocated services</w:t>
      </w:r>
      <w:r w:rsidRPr="00741843">
        <w:t xml:space="preserve"> industry grouping in the Commission’s ANZSIC-based classification (table A.213).</w:t>
      </w:r>
    </w:p>
    <w:p w:rsidR="00ED0B8F" w:rsidRDefault="00ED0B8F" w:rsidP="00ED0B8F">
      <w:pPr>
        <w:pStyle w:val="TableTitle"/>
      </w:pPr>
      <w:r>
        <w:rPr>
          <w:b w:val="0"/>
        </w:rPr>
        <w:t xml:space="preserve">Table </w:t>
      </w:r>
      <w:r w:rsidR="00FA09C3">
        <w:rPr>
          <w:b w:val="0"/>
        </w:rPr>
        <w:t>A.</w:t>
      </w:r>
      <w:r w:rsidR="00FA09C3">
        <w:rPr>
          <w:b w:val="0"/>
          <w:noProof/>
        </w:rPr>
        <w:t>213</w:t>
      </w:r>
      <w:r>
        <w:tab/>
        <w:t>Allocation of Stockman’s Hall of Fame</w:t>
      </w:r>
      <w:r w:rsidR="00571E36" w:rsidRPr="00571E36">
        <w:t xml:space="preserve"> to industry</w:t>
      </w:r>
      <w:r>
        <w:t>, 2006</w:t>
      </w:r>
      <w:r>
        <w:noBreakHyphen/>
        <w:t>07 to 2011</w:t>
      </w:r>
      <w:r>
        <w:noBreakHyphen/>
        <w:t>12</w:t>
      </w:r>
    </w:p>
    <w:p w:rsidR="00ED0B8F" w:rsidRDefault="00ED0B8F" w:rsidP="00ED0B8F">
      <w:pPr>
        <w:pStyle w:val="Subtitle"/>
      </w:pPr>
      <w:r>
        <w:t>$</w:t>
      </w:r>
      <w:r w:rsidR="008E121B">
        <w:t xml:space="preserve"> </w:t>
      </w:r>
      <w:r>
        <w:t xml:space="preserve">million (nominal) </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ED0B8F" w:rsidRPr="00AF699A" w:rsidTr="00F443A8">
        <w:trPr>
          <w:trHeight w:val="340"/>
        </w:trPr>
        <w:tc>
          <w:tcPr>
            <w:tcW w:w="1958" w:type="pct"/>
            <w:tcBorders>
              <w:top w:val="single" w:sz="6" w:space="0" w:color="auto"/>
              <w:bottom w:val="single" w:sz="6" w:space="0" w:color="auto"/>
            </w:tcBorders>
          </w:tcPr>
          <w:p w:rsidR="00ED0B8F" w:rsidRPr="00AF699A" w:rsidRDefault="00ED0B8F" w:rsidP="00AB38B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ED0B8F" w:rsidRPr="00AF699A" w:rsidRDefault="00ED0B8F"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ED0B8F" w:rsidRPr="00AF699A" w:rsidRDefault="00ED0B8F" w:rsidP="00AB38B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ED0B8F" w:rsidRPr="00AF699A" w:rsidRDefault="00ED0B8F" w:rsidP="00AB38B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ED0B8F" w:rsidRPr="00AF699A" w:rsidRDefault="00ED0B8F" w:rsidP="00AB38B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ED0B8F" w:rsidRPr="00AF699A" w:rsidRDefault="00ED0B8F" w:rsidP="00AB38B4">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ED0B8F" w:rsidRPr="00AF699A" w:rsidRDefault="00ED0B8F" w:rsidP="00AB38B4">
            <w:pPr>
              <w:pStyle w:val="TableColumnHeading"/>
              <w:ind w:right="28"/>
              <w:rPr>
                <w:rFonts w:cs="Arial"/>
                <w:sz w:val="18"/>
                <w:szCs w:val="18"/>
              </w:rPr>
            </w:pPr>
            <w:r w:rsidRPr="00AF699A">
              <w:rPr>
                <w:rFonts w:cs="Arial"/>
                <w:sz w:val="18"/>
                <w:szCs w:val="18"/>
              </w:rPr>
              <w:t>2011-12</w:t>
            </w:r>
          </w:p>
        </w:tc>
      </w:tr>
      <w:tr w:rsidR="00ED0B8F" w:rsidRPr="00CC39F4" w:rsidTr="00AB38B4">
        <w:tc>
          <w:tcPr>
            <w:tcW w:w="1958" w:type="pct"/>
            <w:tcBorders>
              <w:bottom w:val="single" w:sz="4" w:space="0" w:color="auto"/>
            </w:tcBorders>
            <w:vAlign w:val="bottom"/>
          </w:tcPr>
          <w:p w:rsidR="00ED0B8F" w:rsidRPr="00CC39F4" w:rsidRDefault="00ED0B8F" w:rsidP="00AB38B4">
            <w:pPr>
              <w:pStyle w:val="TableBodyText"/>
              <w:jc w:val="left"/>
            </w:pPr>
            <w:r w:rsidRPr="00CC39F4">
              <w:t>Unallocated services</w:t>
            </w:r>
            <w:r w:rsidRPr="00F443A8">
              <w:rPr>
                <w:rStyle w:val="NoteLabel"/>
                <w:szCs w:val="18"/>
              </w:rPr>
              <w:t>a</w:t>
            </w:r>
          </w:p>
        </w:tc>
        <w:tc>
          <w:tcPr>
            <w:tcW w:w="507" w:type="pct"/>
            <w:tcBorders>
              <w:bottom w:val="single" w:sz="4" w:space="0" w:color="auto"/>
            </w:tcBorders>
            <w:vAlign w:val="bottom"/>
          </w:tcPr>
          <w:p w:rsidR="00ED0B8F" w:rsidRPr="00CC39F4" w:rsidRDefault="00ED0B8F" w:rsidP="00AB38B4">
            <w:pPr>
              <w:pStyle w:val="TableBodyText"/>
            </w:pPr>
            <w:r w:rsidRPr="00CC39F4">
              <w:t>0.5</w:t>
            </w:r>
          </w:p>
        </w:tc>
        <w:tc>
          <w:tcPr>
            <w:tcW w:w="507" w:type="pct"/>
            <w:tcBorders>
              <w:bottom w:val="single" w:sz="4" w:space="0" w:color="auto"/>
            </w:tcBorders>
            <w:vAlign w:val="bottom"/>
          </w:tcPr>
          <w:p w:rsidR="00ED0B8F" w:rsidRPr="00CC39F4" w:rsidRDefault="00ED0B8F" w:rsidP="00AB38B4">
            <w:pPr>
              <w:pStyle w:val="TableBodyText"/>
            </w:pPr>
            <w:r w:rsidRPr="00CC39F4">
              <w:t>0.4</w:t>
            </w:r>
          </w:p>
        </w:tc>
        <w:tc>
          <w:tcPr>
            <w:tcW w:w="507" w:type="pct"/>
            <w:tcBorders>
              <w:bottom w:val="single" w:sz="4" w:space="0" w:color="auto"/>
            </w:tcBorders>
            <w:vAlign w:val="bottom"/>
          </w:tcPr>
          <w:p w:rsidR="00ED0B8F" w:rsidRPr="00CC39F4" w:rsidRDefault="00ED0B8F" w:rsidP="00AB38B4">
            <w:pPr>
              <w:pStyle w:val="TableBodyText"/>
            </w:pPr>
            <w:r>
              <w:noBreakHyphen/>
            </w:r>
          </w:p>
        </w:tc>
        <w:tc>
          <w:tcPr>
            <w:tcW w:w="507" w:type="pct"/>
            <w:tcBorders>
              <w:bottom w:val="single" w:sz="4" w:space="0" w:color="auto"/>
            </w:tcBorders>
            <w:vAlign w:val="bottom"/>
          </w:tcPr>
          <w:p w:rsidR="00ED0B8F" w:rsidRPr="00CC39F4" w:rsidRDefault="00ED0B8F" w:rsidP="00AB38B4">
            <w:pPr>
              <w:pStyle w:val="TableBodyText"/>
            </w:pPr>
            <w:r>
              <w:noBreakHyphen/>
            </w:r>
          </w:p>
        </w:tc>
        <w:tc>
          <w:tcPr>
            <w:tcW w:w="507" w:type="pct"/>
            <w:tcBorders>
              <w:bottom w:val="single" w:sz="4" w:space="0" w:color="auto"/>
            </w:tcBorders>
            <w:shd w:val="clear" w:color="auto" w:fill="auto"/>
            <w:vAlign w:val="bottom"/>
          </w:tcPr>
          <w:p w:rsidR="00ED0B8F" w:rsidRPr="00CC39F4" w:rsidRDefault="00ED0B8F" w:rsidP="00AB38B4">
            <w:pPr>
              <w:pStyle w:val="TableBodyText"/>
            </w:pPr>
            <w:r>
              <w:noBreakHyphen/>
            </w:r>
          </w:p>
        </w:tc>
        <w:tc>
          <w:tcPr>
            <w:tcW w:w="507" w:type="pct"/>
            <w:tcBorders>
              <w:bottom w:val="single" w:sz="4" w:space="0" w:color="auto"/>
            </w:tcBorders>
            <w:shd w:val="clear" w:color="auto" w:fill="auto"/>
            <w:vAlign w:val="bottom"/>
          </w:tcPr>
          <w:p w:rsidR="00ED0B8F" w:rsidRPr="00CC39F4" w:rsidRDefault="00ED0B8F" w:rsidP="00AB38B4">
            <w:pPr>
              <w:pStyle w:val="TableBodyText"/>
            </w:pPr>
            <w:r>
              <w:noBreakHyphen/>
            </w:r>
          </w:p>
        </w:tc>
      </w:tr>
    </w:tbl>
    <w:p w:rsidR="00ED0B8F" w:rsidRDefault="00ED0B8F" w:rsidP="00ED0B8F">
      <w:pPr>
        <w:pStyle w:val="Note"/>
      </w:pPr>
      <w:r w:rsidRPr="00A2379F">
        <w:noBreakHyphen/>
        <w:t xml:space="preserve"> Nil</w:t>
      </w:r>
      <w:r>
        <w:t>.</w:t>
      </w:r>
      <w:r w:rsidRPr="008E77FE">
        <w:rPr>
          <w:rStyle w:val="NoteLabel"/>
        </w:rPr>
        <w:t xml:space="preserve"> a</w:t>
      </w:r>
      <w:r>
        <w:t xml:space="preserve"> </w:t>
      </w:r>
      <w:r w:rsidRPr="009B56F1">
        <w:t>Unallocated includes general programs where detai</w:t>
      </w:r>
      <w:r>
        <w:t>ls of beneficiaries are unknown.</w:t>
      </w:r>
    </w:p>
    <w:p w:rsidR="00ED0B8F" w:rsidRPr="008E77FE" w:rsidRDefault="00ED0B8F" w:rsidP="00ED0B8F">
      <w:pPr>
        <w:pStyle w:val="Source"/>
      </w:pPr>
      <w:r>
        <w:rPr>
          <w:i/>
        </w:rPr>
        <w:t>Source</w:t>
      </w:r>
      <w:r>
        <w:t>: Commission estimates based on Department of Industry, Tourism and Resources Annual Report 2006-07.</w:t>
      </w:r>
    </w:p>
    <w:p w:rsidR="00ED0B8F" w:rsidRDefault="00FA09C3" w:rsidP="00ED0B8F">
      <w:pPr>
        <w:pStyle w:val="Heading2"/>
      </w:pPr>
      <w:r>
        <w:t>A.</w:t>
      </w:r>
      <w:r>
        <w:rPr>
          <w:noProof/>
        </w:rPr>
        <w:t>214</w:t>
      </w:r>
      <w:r w:rsidR="00ED0B8F">
        <w:tab/>
      </w:r>
      <w:r w:rsidR="00CE6438">
        <w:t>Home-</w:t>
      </w:r>
      <w:r w:rsidR="00ED0B8F">
        <w:t>Based Business Seminars</w:t>
      </w:r>
    </w:p>
    <w:p w:rsidR="00ED0B8F" w:rsidRDefault="00ED0B8F" w:rsidP="00ED0B8F">
      <w:pPr>
        <w:pStyle w:val="BodyText"/>
      </w:pPr>
      <w:r>
        <w:t xml:space="preserve">The </w:t>
      </w:r>
      <w:r w:rsidR="00CE6438">
        <w:t>Home-</w:t>
      </w:r>
      <w:r>
        <w:t>Based Business Seminars program aimed to increase</w:t>
      </w:r>
      <w:r w:rsidRPr="00FF5E8E">
        <w:t xml:space="preserve"> the skills and knowledge of </w:t>
      </w:r>
      <w:r w:rsidR="00CE6438">
        <w:t>home-based business</w:t>
      </w:r>
      <w:r w:rsidR="00CE6438" w:rsidRPr="00FF5E8E">
        <w:t xml:space="preserve"> </w:t>
      </w:r>
      <w:r w:rsidRPr="00FF5E8E">
        <w:t xml:space="preserve">operators </w:t>
      </w:r>
      <w:r>
        <w:t>(</w:t>
      </w:r>
      <w:r w:rsidRPr="00E80A54">
        <w:t>DIISR 2008</w:t>
      </w:r>
      <w:r>
        <w:t>)</w:t>
      </w:r>
      <w:r w:rsidRPr="00FF5E8E">
        <w:t>.</w:t>
      </w:r>
      <w:r>
        <w:t xml:space="preserve"> The initiative ended in 2007</w:t>
      </w:r>
      <w:r>
        <w:noBreakHyphen/>
        <w:t>08.</w:t>
      </w:r>
    </w:p>
    <w:p w:rsidR="00ED0B8F" w:rsidRDefault="00ED0B8F" w:rsidP="00ED0B8F">
      <w:pPr>
        <w:pStyle w:val="BodyText"/>
      </w:pPr>
      <w:r>
        <w:t>Information on t</w:t>
      </w:r>
      <w:r w:rsidRPr="00FF5E8E">
        <w:t xml:space="preserve">he industry incidence of the program </w:t>
      </w:r>
      <w:r>
        <w:t xml:space="preserve">has not been readily available. Accordingly, the budget outlay </w:t>
      </w:r>
      <w:r w:rsidRPr="00FF5E8E">
        <w:t xml:space="preserve">has been </w:t>
      </w:r>
      <w:r>
        <w:t>classifi</w:t>
      </w:r>
      <w:r w:rsidRPr="00FF5E8E">
        <w:t xml:space="preserve">ed to the </w:t>
      </w:r>
      <w:r w:rsidRPr="00FF5E8E">
        <w:rPr>
          <w:i/>
        </w:rPr>
        <w:t>Unallocated other</w:t>
      </w:r>
      <w:r w:rsidRPr="00FF5E8E">
        <w:t xml:space="preserve"> </w:t>
      </w:r>
      <w:r>
        <w:t xml:space="preserve">industry </w:t>
      </w:r>
      <w:r w:rsidRPr="00FF5E8E">
        <w:t>grouping in the Commission’s ANZSIC-based industry classification</w:t>
      </w:r>
      <w:r>
        <w:t xml:space="preserve"> (table A.214)</w:t>
      </w:r>
      <w:r w:rsidRPr="00FF5E8E">
        <w:t>.</w:t>
      </w:r>
    </w:p>
    <w:p w:rsidR="00ED0B8F" w:rsidRDefault="00ED0B8F" w:rsidP="00ED0B8F">
      <w:pPr>
        <w:pStyle w:val="TableTitle"/>
      </w:pPr>
      <w:r>
        <w:rPr>
          <w:b w:val="0"/>
        </w:rPr>
        <w:t xml:space="preserve">Table </w:t>
      </w:r>
      <w:r w:rsidR="00FA09C3">
        <w:rPr>
          <w:b w:val="0"/>
        </w:rPr>
        <w:t>A.</w:t>
      </w:r>
      <w:r w:rsidR="00FA09C3">
        <w:rPr>
          <w:b w:val="0"/>
          <w:noProof/>
        </w:rPr>
        <w:t>214</w:t>
      </w:r>
      <w:r>
        <w:tab/>
        <w:t>Allocation of Home Based Business Seminars</w:t>
      </w:r>
      <w:r w:rsidR="00571E36" w:rsidRPr="00571E36">
        <w:t xml:space="preserve"> to industry</w:t>
      </w:r>
      <w:r>
        <w:t>, 2006</w:t>
      </w:r>
      <w:r>
        <w:noBreakHyphen/>
        <w:t>07 to 2011</w:t>
      </w:r>
      <w:r>
        <w:noBreakHyphen/>
        <w:t>12</w:t>
      </w:r>
    </w:p>
    <w:p w:rsidR="00ED0B8F" w:rsidRDefault="000E1A26" w:rsidP="00ED0B8F">
      <w:pPr>
        <w:pStyle w:val="Subtitle"/>
      </w:pPr>
      <w:r>
        <w:t>$ m</w:t>
      </w:r>
      <w:r w:rsidR="00ED0B8F">
        <w:t xml:space="preserve">illion (nominal) </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ED0B8F" w:rsidRPr="00AF699A" w:rsidTr="00F443A8">
        <w:trPr>
          <w:trHeight w:val="340"/>
        </w:trPr>
        <w:tc>
          <w:tcPr>
            <w:tcW w:w="1958" w:type="pct"/>
            <w:tcBorders>
              <w:top w:val="single" w:sz="6" w:space="0" w:color="auto"/>
              <w:bottom w:val="single" w:sz="6" w:space="0" w:color="auto"/>
            </w:tcBorders>
          </w:tcPr>
          <w:p w:rsidR="00ED0B8F" w:rsidRPr="00AF699A" w:rsidRDefault="00ED0B8F" w:rsidP="00AB38B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ED0B8F" w:rsidRPr="00AF699A" w:rsidRDefault="00ED0B8F"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ED0B8F" w:rsidRPr="00AF699A" w:rsidRDefault="00ED0B8F" w:rsidP="00AB38B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ED0B8F" w:rsidRPr="00AF699A" w:rsidRDefault="00ED0B8F" w:rsidP="00AB38B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ED0B8F" w:rsidRPr="00AF699A" w:rsidRDefault="00ED0B8F" w:rsidP="00AB38B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ED0B8F" w:rsidRPr="00AF699A" w:rsidRDefault="00ED0B8F" w:rsidP="00AB38B4">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ED0B8F" w:rsidRPr="00AF699A" w:rsidRDefault="00ED0B8F" w:rsidP="00AB38B4">
            <w:pPr>
              <w:pStyle w:val="TableColumnHeading"/>
              <w:ind w:right="28"/>
              <w:rPr>
                <w:rFonts w:cs="Arial"/>
                <w:sz w:val="18"/>
                <w:szCs w:val="18"/>
              </w:rPr>
            </w:pPr>
            <w:r w:rsidRPr="00AF699A">
              <w:rPr>
                <w:rFonts w:cs="Arial"/>
                <w:sz w:val="18"/>
                <w:szCs w:val="18"/>
              </w:rPr>
              <w:t>2011-12</w:t>
            </w:r>
          </w:p>
        </w:tc>
      </w:tr>
      <w:tr w:rsidR="00ED0B8F" w:rsidRPr="00D40DC2" w:rsidTr="00AB38B4">
        <w:tc>
          <w:tcPr>
            <w:tcW w:w="1958" w:type="pct"/>
            <w:tcBorders>
              <w:bottom w:val="single" w:sz="4" w:space="0" w:color="auto"/>
            </w:tcBorders>
            <w:vAlign w:val="bottom"/>
          </w:tcPr>
          <w:p w:rsidR="00ED0B8F" w:rsidRPr="00EB3B53" w:rsidRDefault="00ED0B8F" w:rsidP="00AB38B4">
            <w:pPr>
              <w:pStyle w:val="TableBodyText"/>
              <w:jc w:val="left"/>
            </w:pPr>
            <w:r w:rsidRPr="00EB3B53">
              <w:t>Unallocated other</w:t>
            </w:r>
            <w:r w:rsidRPr="00F443A8">
              <w:rPr>
                <w:rStyle w:val="NoteLabel"/>
                <w:szCs w:val="18"/>
              </w:rPr>
              <w:t>a</w:t>
            </w:r>
          </w:p>
        </w:tc>
        <w:tc>
          <w:tcPr>
            <w:tcW w:w="507" w:type="pct"/>
            <w:tcBorders>
              <w:bottom w:val="single" w:sz="4" w:space="0" w:color="auto"/>
            </w:tcBorders>
            <w:vAlign w:val="bottom"/>
          </w:tcPr>
          <w:p w:rsidR="00ED0B8F" w:rsidRPr="00EB3B53" w:rsidRDefault="00ED0B8F" w:rsidP="00AB38B4">
            <w:pPr>
              <w:pStyle w:val="TableBodyText"/>
            </w:pPr>
            <w:r w:rsidRPr="00EB3B53">
              <w:t>0.4</w:t>
            </w:r>
          </w:p>
        </w:tc>
        <w:tc>
          <w:tcPr>
            <w:tcW w:w="507" w:type="pct"/>
            <w:tcBorders>
              <w:bottom w:val="single" w:sz="4" w:space="0" w:color="auto"/>
            </w:tcBorders>
            <w:vAlign w:val="bottom"/>
          </w:tcPr>
          <w:p w:rsidR="00ED0B8F" w:rsidRPr="00EB3B53" w:rsidRDefault="00ED0B8F" w:rsidP="00AB38B4">
            <w:pPr>
              <w:pStyle w:val="TableBodyText"/>
            </w:pPr>
            <w:r w:rsidRPr="00EB3B53">
              <w:t>0.3</w:t>
            </w:r>
          </w:p>
        </w:tc>
        <w:tc>
          <w:tcPr>
            <w:tcW w:w="507" w:type="pct"/>
            <w:tcBorders>
              <w:bottom w:val="single" w:sz="4" w:space="0" w:color="auto"/>
            </w:tcBorders>
            <w:vAlign w:val="bottom"/>
          </w:tcPr>
          <w:p w:rsidR="00ED0B8F" w:rsidRPr="00EB3B53" w:rsidRDefault="00ED0B8F" w:rsidP="00AB38B4">
            <w:pPr>
              <w:pStyle w:val="TableBodyText"/>
            </w:pPr>
            <w:r>
              <w:noBreakHyphen/>
            </w:r>
          </w:p>
        </w:tc>
        <w:tc>
          <w:tcPr>
            <w:tcW w:w="507" w:type="pct"/>
            <w:tcBorders>
              <w:bottom w:val="single" w:sz="4" w:space="0" w:color="auto"/>
            </w:tcBorders>
            <w:vAlign w:val="bottom"/>
          </w:tcPr>
          <w:p w:rsidR="00ED0B8F" w:rsidRPr="00EB3B53" w:rsidRDefault="00ED0B8F" w:rsidP="00AB38B4">
            <w:pPr>
              <w:pStyle w:val="TableBodyText"/>
            </w:pPr>
            <w:r>
              <w:noBreakHyphen/>
            </w:r>
          </w:p>
        </w:tc>
        <w:tc>
          <w:tcPr>
            <w:tcW w:w="507" w:type="pct"/>
            <w:tcBorders>
              <w:bottom w:val="single" w:sz="4" w:space="0" w:color="auto"/>
            </w:tcBorders>
            <w:shd w:val="clear" w:color="auto" w:fill="auto"/>
            <w:vAlign w:val="bottom"/>
          </w:tcPr>
          <w:p w:rsidR="00ED0B8F" w:rsidRPr="00EB3B53" w:rsidRDefault="00ED0B8F" w:rsidP="00AB38B4">
            <w:pPr>
              <w:pStyle w:val="TableBodyText"/>
            </w:pPr>
            <w:r>
              <w:noBreakHyphen/>
            </w:r>
          </w:p>
        </w:tc>
        <w:tc>
          <w:tcPr>
            <w:tcW w:w="507" w:type="pct"/>
            <w:tcBorders>
              <w:bottom w:val="single" w:sz="4" w:space="0" w:color="auto"/>
            </w:tcBorders>
            <w:shd w:val="clear" w:color="auto" w:fill="auto"/>
            <w:vAlign w:val="bottom"/>
          </w:tcPr>
          <w:p w:rsidR="00ED0B8F" w:rsidRPr="00EB3B53" w:rsidRDefault="00ED0B8F" w:rsidP="00AB38B4">
            <w:pPr>
              <w:pStyle w:val="TableBodyText"/>
            </w:pPr>
            <w:r>
              <w:noBreakHyphen/>
            </w:r>
          </w:p>
        </w:tc>
      </w:tr>
    </w:tbl>
    <w:p w:rsidR="00ED0B8F" w:rsidRDefault="00ED0B8F" w:rsidP="00ED0B8F">
      <w:pPr>
        <w:pStyle w:val="Note"/>
      </w:pPr>
      <w:r w:rsidRPr="00A2379F">
        <w:noBreakHyphen/>
        <w:t xml:space="preserve"> Nil</w:t>
      </w:r>
      <w:r>
        <w:t>.</w:t>
      </w:r>
      <w:r w:rsidRPr="008E77FE">
        <w:rPr>
          <w:rStyle w:val="NoteLabel"/>
        </w:rPr>
        <w:t xml:space="preserve"> a</w:t>
      </w:r>
      <w:r>
        <w:t xml:space="preserve"> </w:t>
      </w:r>
      <w:r w:rsidRPr="009B56F1">
        <w:t>Unallocated includes general programs where detai</w:t>
      </w:r>
      <w:r>
        <w:t>ls of beneficiaries are unknown.</w:t>
      </w:r>
    </w:p>
    <w:p w:rsidR="00ED0B8F" w:rsidRPr="008E77FE" w:rsidRDefault="00ED0B8F" w:rsidP="00ED0B8F">
      <w:pPr>
        <w:pStyle w:val="Source"/>
      </w:pPr>
      <w:r>
        <w:rPr>
          <w:i/>
        </w:rPr>
        <w:t>Sources</w:t>
      </w:r>
      <w:r>
        <w:t>: Commission estimates based on DIISR Annual Report 2007</w:t>
      </w:r>
      <w:r>
        <w:noBreakHyphen/>
        <w:t>08; and Department of Industry, Tourism and Resources Annual Report 2006</w:t>
      </w:r>
      <w:r>
        <w:noBreakHyphen/>
        <w:t>07.</w:t>
      </w:r>
    </w:p>
    <w:p w:rsidR="006F5827" w:rsidRDefault="00FA09C3" w:rsidP="006F5827">
      <w:pPr>
        <w:pStyle w:val="Heading2"/>
      </w:pPr>
      <w:r>
        <w:t>A.</w:t>
      </w:r>
      <w:r>
        <w:rPr>
          <w:noProof/>
        </w:rPr>
        <w:t>215</w:t>
      </w:r>
      <w:r w:rsidR="006F5827">
        <w:tab/>
        <w:t>Regional Assistance Program</w:t>
      </w:r>
    </w:p>
    <w:p w:rsidR="006F5827" w:rsidRDefault="006F5827" w:rsidP="006F5827">
      <w:pPr>
        <w:pStyle w:val="BodyText"/>
      </w:pPr>
      <w:r>
        <w:t xml:space="preserve">Jointly funded by the New South Wales and Australian governments, the Regional Assistance Program was a structural adjustment program that </w:t>
      </w:r>
      <w:r w:rsidRPr="00896C6F">
        <w:t>aim</w:t>
      </w:r>
      <w:r>
        <w:t>ed</w:t>
      </w:r>
      <w:r w:rsidRPr="00896C6F">
        <w:t xml:space="preserve"> to help </w:t>
      </w:r>
      <w:r>
        <w:t xml:space="preserve">Western Division landholders </w:t>
      </w:r>
      <w:r w:rsidRPr="00896C6F">
        <w:t>improve their business and management skills, develop alternative industries and better manage the natural resource base</w:t>
      </w:r>
      <w:r>
        <w:t xml:space="preserve"> (</w:t>
      </w:r>
      <w:r w:rsidRPr="00E80A54">
        <w:t>DAFF 2008</w:t>
      </w:r>
      <w:r>
        <w:t>)</w:t>
      </w:r>
      <w:r w:rsidRPr="00896C6F">
        <w:t>.</w:t>
      </w:r>
      <w:r>
        <w:t xml:space="preserve"> In doing so, it aimed to enhance the long-term viability and sustainability of regional farming communities. </w:t>
      </w:r>
      <w:r w:rsidRPr="00B478EF">
        <w:t xml:space="preserve">As part of the Program, </w:t>
      </w:r>
      <w:r>
        <w:t xml:space="preserve">an </w:t>
      </w:r>
      <w:r w:rsidRPr="00B478EF">
        <w:t xml:space="preserve">enterprise-based conservation </w:t>
      </w:r>
      <w:r>
        <w:t>program</w:t>
      </w:r>
      <w:r w:rsidRPr="00B478EF">
        <w:t xml:space="preserve"> </w:t>
      </w:r>
      <w:r>
        <w:t>provided financial support</w:t>
      </w:r>
      <w:r w:rsidRPr="00B478EF">
        <w:t xml:space="preserve"> to landholders to improve their management of the natural resource base.</w:t>
      </w:r>
      <w:r>
        <w:t xml:space="preserve"> </w:t>
      </w:r>
      <w:r w:rsidRPr="00B478EF">
        <w:t>Grants were also provided for property build-up, which allow</w:t>
      </w:r>
      <w:r>
        <w:t>ed</w:t>
      </w:r>
      <w:r w:rsidRPr="00B478EF">
        <w:t xml:space="preserve"> adjustments for landholders who </w:t>
      </w:r>
      <w:r>
        <w:t>were</w:t>
      </w:r>
      <w:r w:rsidRPr="00B478EF">
        <w:t xml:space="preserve"> able to leave the industry and for those who </w:t>
      </w:r>
      <w:r>
        <w:t xml:space="preserve">had </w:t>
      </w:r>
      <w:r w:rsidRPr="00B478EF">
        <w:t>used program funds to expand their farm business enterprise.</w:t>
      </w:r>
    </w:p>
    <w:p w:rsidR="006F5827" w:rsidRDefault="006F5827" w:rsidP="006F5827">
      <w:pPr>
        <w:pStyle w:val="BodyText"/>
      </w:pPr>
      <w:r>
        <w:t>The Regional Assistance Program ended in June 2008.</w:t>
      </w:r>
    </w:p>
    <w:p w:rsidR="006F5827" w:rsidRDefault="006F5827" w:rsidP="006F5827">
      <w:pPr>
        <w:pStyle w:val="BodyText"/>
      </w:pPr>
      <w:r w:rsidRPr="000F392E">
        <w:t xml:space="preserve">The </w:t>
      </w:r>
      <w:r>
        <w:t>program</w:t>
      </w:r>
      <w:r w:rsidRPr="000F392E">
        <w:t xml:space="preserve"> targeted </w:t>
      </w:r>
      <w:r>
        <w:t>landholders</w:t>
      </w:r>
      <w:r w:rsidRPr="000F392E">
        <w:t xml:space="preserve"> in the primary production sector. </w:t>
      </w:r>
      <w:r>
        <w:t>However, information on the specific industry incidence of the program has not been readily available. Accordingly</w:t>
      </w:r>
      <w:r w:rsidRPr="000F392E">
        <w:t xml:space="preserve">, the </w:t>
      </w:r>
      <w:r>
        <w:t>budget outlay</w:t>
      </w:r>
      <w:r w:rsidRPr="000F392E">
        <w:t xml:space="preserve"> has been </w:t>
      </w:r>
      <w:r>
        <w:t>classifi</w:t>
      </w:r>
      <w:r w:rsidRPr="000F392E">
        <w:t>ed to</w:t>
      </w:r>
      <w:r>
        <w:t xml:space="preserve"> the</w:t>
      </w:r>
      <w:r w:rsidRPr="000F392E">
        <w:t xml:space="preserve"> </w:t>
      </w:r>
      <w:r w:rsidRPr="000F392E">
        <w:rPr>
          <w:i/>
        </w:rPr>
        <w:t>Unallocated primary production</w:t>
      </w:r>
      <w:r w:rsidRPr="000F392E">
        <w:t xml:space="preserve"> </w:t>
      </w:r>
      <w:r>
        <w:t xml:space="preserve">industry grouping in the Commission’s ANZSIC-based classification </w:t>
      </w:r>
      <w:r w:rsidRPr="000F392E">
        <w:t>(ta</w:t>
      </w:r>
      <w:r>
        <w:t>ble A.215</w:t>
      </w:r>
      <w:r w:rsidRPr="000F392E">
        <w:t>)</w:t>
      </w:r>
      <w:r>
        <w:t>.</w:t>
      </w:r>
    </w:p>
    <w:p w:rsidR="006F5827" w:rsidRDefault="006F5827" w:rsidP="006F5827">
      <w:pPr>
        <w:pStyle w:val="TableTitle"/>
      </w:pPr>
      <w:r>
        <w:rPr>
          <w:b w:val="0"/>
        </w:rPr>
        <w:t xml:space="preserve">Table </w:t>
      </w:r>
      <w:r w:rsidR="00FA09C3">
        <w:rPr>
          <w:b w:val="0"/>
        </w:rPr>
        <w:t>A.</w:t>
      </w:r>
      <w:r w:rsidR="00FA09C3">
        <w:rPr>
          <w:b w:val="0"/>
          <w:noProof/>
        </w:rPr>
        <w:t>215</w:t>
      </w:r>
      <w:r>
        <w:tab/>
        <w:t>Allocation of Regional Assistance Program</w:t>
      </w:r>
      <w:r w:rsidR="00571E36" w:rsidRPr="00571E36">
        <w:t xml:space="preserve"> to industry</w:t>
      </w:r>
      <w:r>
        <w:t>, 2006</w:t>
      </w:r>
      <w:r>
        <w:noBreakHyphen/>
        <w:t>07 to 2011</w:t>
      </w:r>
      <w:r>
        <w:noBreakHyphen/>
        <w:t>12</w:t>
      </w:r>
    </w:p>
    <w:p w:rsidR="006F5827" w:rsidRDefault="006F5827" w:rsidP="006F5827">
      <w:pPr>
        <w:pStyle w:val="Subtitle"/>
      </w:pPr>
      <w:r>
        <w:t>$</w:t>
      </w:r>
      <w:r w:rsidR="00ED2EFD">
        <w:t xml:space="preserve"> </w:t>
      </w:r>
      <w:r>
        <w:t xml:space="preserve">million (nominal) </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C7788D" w:rsidRPr="00AF699A" w:rsidTr="00F443A8">
        <w:trPr>
          <w:trHeight w:val="340"/>
        </w:trPr>
        <w:tc>
          <w:tcPr>
            <w:tcW w:w="1958" w:type="pct"/>
            <w:tcBorders>
              <w:top w:val="single" w:sz="6" w:space="0" w:color="auto"/>
              <w:bottom w:val="single" w:sz="6" w:space="0" w:color="auto"/>
            </w:tcBorders>
          </w:tcPr>
          <w:p w:rsidR="00C7788D" w:rsidRPr="00AF699A" w:rsidRDefault="00C7788D" w:rsidP="00AB38B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C7788D" w:rsidRPr="00AF699A" w:rsidRDefault="00C7788D"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C7788D" w:rsidRPr="00AF699A" w:rsidRDefault="00C7788D" w:rsidP="00AB38B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C7788D" w:rsidRPr="00AF699A" w:rsidRDefault="00C7788D" w:rsidP="00AB38B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C7788D" w:rsidRPr="00AF699A" w:rsidRDefault="00C7788D" w:rsidP="00AB38B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C7788D" w:rsidRPr="00AF699A" w:rsidRDefault="00C7788D" w:rsidP="00AB38B4">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C7788D" w:rsidRPr="00AF699A" w:rsidRDefault="00C7788D" w:rsidP="00AB38B4">
            <w:pPr>
              <w:pStyle w:val="TableColumnHeading"/>
              <w:ind w:right="28"/>
              <w:rPr>
                <w:rFonts w:cs="Arial"/>
                <w:sz w:val="18"/>
                <w:szCs w:val="18"/>
              </w:rPr>
            </w:pPr>
            <w:r w:rsidRPr="00AF699A">
              <w:rPr>
                <w:rFonts w:cs="Arial"/>
                <w:sz w:val="18"/>
                <w:szCs w:val="18"/>
              </w:rPr>
              <w:t>2011-12</w:t>
            </w:r>
          </w:p>
        </w:tc>
      </w:tr>
      <w:tr w:rsidR="00C7788D" w:rsidRPr="00306D3A" w:rsidTr="00E80A54">
        <w:tc>
          <w:tcPr>
            <w:tcW w:w="1958" w:type="pct"/>
            <w:tcBorders>
              <w:bottom w:val="single" w:sz="4" w:space="0" w:color="auto"/>
            </w:tcBorders>
            <w:vAlign w:val="bottom"/>
          </w:tcPr>
          <w:p w:rsidR="00C7788D" w:rsidRPr="00306D3A" w:rsidRDefault="00C7788D" w:rsidP="00AB38B4">
            <w:pPr>
              <w:pStyle w:val="TableBodyText"/>
              <w:jc w:val="left"/>
            </w:pPr>
            <w:r w:rsidRPr="00006D87">
              <w:t>Unallocated primary production</w:t>
            </w:r>
            <w:r w:rsidRPr="00F443A8">
              <w:rPr>
                <w:rStyle w:val="NoteLabel"/>
                <w:szCs w:val="18"/>
              </w:rPr>
              <w:t>a</w:t>
            </w:r>
          </w:p>
        </w:tc>
        <w:tc>
          <w:tcPr>
            <w:tcW w:w="507" w:type="pct"/>
            <w:tcBorders>
              <w:bottom w:val="single" w:sz="4" w:space="0" w:color="auto"/>
            </w:tcBorders>
            <w:vAlign w:val="bottom"/>
          </w:tcPr>
          <w:p w:rsidR="00C7788D" w:rsidRPr="00006D87" w:rsidRDefault="00C7788D" w:rsidP="00AB38B4">
            <w:pPr>
              <w:pStyle w:val="TableBodyText"/>
            </w:pPr>
            <w:r w:rsidRPr="00006D87">
              <w:t>0.5</w:t>
            </w:r>
          </w:p>
        </w:tc>
        <w:tc>
          <w:tcPr>
            <w:tcW w:w="507" w:type="pct"/>
            <w:tcBorders>
              <w:bottom w:val="single" w:sz="4" w:space="0" w:color="auto"/>
            </w:tcBorders>
            <w:vAlign w:val="bottom"/>
          </w:tcPr>
          <w:p w:rsidR="00C7788D" w:rsidRPr="00006D87" w:rsidRDefault="00C7788D" w:rsidP="00AB38B4">
            <w:pPr>
              <w:pStyle w:val="TableBodyText"/>
            </w:pPr>
            <w:r w:rsidRPr="00006D87">
              <w:t>0.1</w:t>
            </w:r>
          </w:p>
        </w:tc>
        <w:tc>
          <w:tcPr>
            <w:tcW w:w="507" w:type="pct"/>
            <w:tcBorders>
              <w:bottom w:val="single" w:sz="4" w:space="0" w:color="auto"/>
            </w:tcBorders>
            <w:vAlign w:val="bottom"/>
          </w:tcPr>
          <w:p w:rsidR="00C7788D" w:rsidRPr="00006D87" w:rsidRDefault="00C7788D" w:rsidP="00AB38B4">
            <w:pPr>
              <w:pStyle w:val="TableBodyText"/>
            </w:pPr>
            <w:r w:rsidRPr="00006D87">
              <w:noBreakHyphen/>
            </w:r>
          </w:p>
        </w:tc>
        <w:tc>
          <w:tcPr>
            <w:tcW w:w="507" w:type="pct"/>
            <w:tcBorders>
              <w:bottom w:val="single" w:sz="4" w:space="0" w:color="auto"/>
            </w:tcBorders>
            <w:vAlign w:val="bottom"/>
          </w:tcPr>
          <w:p w:rsidR="00C7788D" w:rsidRPr="00006D87" w:rsidRDefault="00C7788D" w:rsidP="00AB38B4">
            <w:pPr>
              <w:pStyle w:val="TableBodyText"/>
            </w:pPr>
            <w:r w:rsidRPr="00006D87">
              <w:noBreakHyphen/>
            </w:r>
          </w:p>
        </w:tc>
        <w:tc>
          <w:tcPr>
            <w:tcW w:w="507" w:type="pct"/>
            <w:tcBorders>
              <w:bottom w:val="single" w:sz="4" w:space="0" w:color="auto"/>
            </w:tcBorders>
            <w:shd w:val="clear" w:color="auto" w:fill="auto"/>
            <w:vAlign w:val="bottom"/>
          </w:tcPr>
          <w:p w:rsidR="00C7788D" w:rsidRPr="00006D87" w:rsidRDefault="00C7788D" w:rsidP="00AB38B4">
            <w:pPr>
              <w:pStyle w:val="TableBodyText"/>
            </w:pPr>
            <w:r w:rsidRPr="00006D87">
              <w:noBreakHyphen/>
            </w:r>
          </w:p>
        </w:tc>
        <w:tc>
          <w:tcPr>
            <w:tcW w:w="507" w:type="pct"/>
            <w:tcBorders>
              <w:bottom w:val="single" w:sz="4" w:space="0" w:color="auto"/>
            </w:tcBorders>
            <w:shd w:val="clear" w:color="auto" w:fill="auto"/>
            <w:vAlign w:val="bottom"/>
          </w:tcPr>
          <w:p w:rsidR="00C7788D" w:rsidRPr="00006D87" w:rsidRDefault="00C7788D" w:rsidP="00AB38B4">
            <w:pPr>
              <w:pStyle w:val="TableBodyText"/>
            </w:pPr>
            <w:r w:rsidRPr="00006D87">
              <w:noBreakHyphen/>
            </w:r>
          </w:p>
        </w:tc>
      </w:tr>
    </w:tbl>
    <w:p w:rsidR="006F5827" w:rsidRDefault="006F5827" w:rsidP="006F5827">
      <w:pPr>
        <w:pStyle w:val="Note"/>
      </w:pPr>
      <w:r w:rsidRPr="00A2379F">
        <w:noBreakHyphen/>
        <w:t xml:space="preserve"> </w:t>
      </w:r>
      <w:r>
        <w:t>Nil</w:t>
      </w:r>
      <w:r w:rsidRPr="00A2379F">
        <w:t>.</w:t>
      </w:r>
      <w:r>
        <w:t xml:space="preserve"> </w:t>
      </w:r>
      <w:r w:rsidRPr="008E77FE">
        <w:rPr>
          <w:rStyle w:val="NoteLabel"/>
        </w:rPr>
        <w:t>a</w:t>
      </w:r>
      <w:r>
        <w:t xml:space="preserve"> </w:t>
      </w:r>
      <w:r w:rsidRPr="009B56F1">
        <w:t>Unallocated includes general programs where detai</w:t>
      </w:r>
      <w:r>
        <w:t>ls of beneficiaries are unknown.</w:t>
      </w:r>
    </w:p>
    <w:p w:rsidR="006F5827" w:rsidRDefault="006F5827" w:rsidP="006F5827">
      <w:pPr>
        <w:pStyle w:val="Source"/>
      </w:pPr>
      <w:r>
        <w:rPr>
          <w:i/>
        </w:rPr>
        <w:t>Sources</w:t>
      </w:r>
      <w:r>
        <w:t>: Commission estimates based on DAFF Annual Report 2007</w:t>
      </w:r>
      <w:r>
        <w:noBreakHyphen/>
        <w:t>08; and DAFF Portfolio Budget Statements 2007</w:t>
      </w:r>
      <w:r>
        <w:noBreakHyphen/>
        <w:t>08 (and earlier years).</w:t>
      </w:r>
    </w:p>
    <w:p w:rsidR="0090286E" w:rsidRDefault="00FA09C3" w:rsidP="0090286E">
      <w:pPr>
        <w:pStyle w:val="Heading2"/>
      </w:pPr>
      <w:r>
        <w:t>A.</w:t>
      </w:r>
      <w:r>
        <w:rPr>
          <w:noProof/>
        </w:rPr>
        <w:t>216</w:t>
      </w:r>
      <w:r w:rsidR="0090286E">
        <w:tab/>
        <w:t>United Medical Protection Support</w:t>
      </w:r>
    </w:p>
    <w:p w:rsidR="0090286E" w:rsidRDefault="0090286E" w:rsidP="0090286E">
      <w:pPr>
        <w:pStyle w:val="BodyText"/>
      </w:pPr>
      <w:r>
        <w:t xml:space="preserve">The United Medical Protection Support scheme was introduced by the Australian Government in 2002 when the </w:t>
      </w:r>
      <w:r w:rsidR="00DD0EB4">
        <w:t xml:space="preserve">medical defence organisation </w:t>
      </w:r>
      <w:r>
        <w:t>United Medical Protection (now known as Avant Insurance Limited) entered provisional financial liquidation (</w:t>
      </w:r>
      <w:r w:rsidRPr="00E80A54">
        <w:t>Medicare Australia 2009</w:t>
      </w:r>
      <w:r>
        <w:t xml:space="preserve">). The payment </w:t>
      </w:r>
      <w:r w:rsidR="00DD0EB4">
        <w:t xml:space="preserve">provided </w:t>
      </w:r>
      <w:r>
        <w:t>ongoing assurance, in the form of indemnity for past incidents, to medical professionals who were members of United Medical Protection on 30 June 2000.</w:t>
      </w:r>
    </w:p>
    <w:p w:rsidR="0090286E" w:rsidRDefault="0090286E" w:rsidP="0090286E">
      <w:pPr>
        <w:pStyle w:val="BodyText"/>
      </w:pPr>
      <w:r>
        <w:t>In order to provide this assurance, the Australian Government agreed to fund the majority of these claims through the support payments (formerly Incurred-But-Not-Reported Levy), with members of United Medical Protection funding around one third of the arrangement over a period of six years</w:t>
      </w:r>
      <w:r w:rsidR="00FF36DD">
        <w:t xml:space="preserve"> (</w:t>
      </w:r>
      <w:r>
        <w:t>subsequently reduced to four years</w:t>
      </w:r>
      <w:r w:rsidR="00FF36DD">
        <w:t>)</w:t>
      </w:r>
      <w:r>
        <w:t>. The 2008</w:t>
      </w:r>
      <w:r>
        <w:noBreakHyphen/>
        <w:t>09 financial year was the final year that the United Medical Protection Support Payment operated. At the end of 2008</w:t>
      </w:r>
      <w:r>
        <w:noBreakHyphen/>
        <w:t>09, outstanding debts of approximately $10 000 remained and were the subject of debt recovery action.</w:t>
      </w:r>
    </w:p>
    <w:p w:rsidR="0090286E" w:rsidRPr="00E00B7D" w:rsidRDefault="0090286E" w:rsidP="0090286E">
      <w:pPr>
        <w:pStyle w:val="BodyText"/>
      </w:pPr>
      <w:r w:rsidRPr="002A6F5F">
        <w:t xml:space="preserve">The Program </w:t>
      </w:r>
      <w:r>
        <w:t xml:space="preserve">initially </w:t>
      </w:r>
      <w:r w:rsidRPr="002A6F5F">
        <w:t xml:space="preserve">benefited the </w:t>
      </w:r>
      <w:r>
        <w:t>insurance</w:t>
      </w:r>
      <w:r w:rsidRPr="002A6F5F">
        <w:t xml:space="preserve"> industry and has </w:t>
      </w:r>
      <w:r>
        <w:t xml:space="preserve">therefore </w:t>
      </w:r>
      <w:r w:rsidRPr="002A6F5F">
        <w:t xml:space="preserve">been allocated to the </w:t>
      </w:r>
      <w:r w:rsidRPr="002A6F5F">
        <w:rPr>
          <w:i/>
        </w:rPr>
        <w:t>Financial and insurance services</w:t>
      </w:r>
      <w:r w:rsidRPr="002A6F5F">
        <w:t xml:space="preserve"> industry grouping in the Commission’s ANZSIC-based classification (table</w:t>
      </w:r>
      <w:r>
        <w:t> </w:t>
      </w:r>
      <w:r w:rsidRPr="002A6F5F">
        <w:t>A.</w:t>
      </w:r>
      <w:r>
        <w:t>216</w:t>
      </w:r>
      <w:r w:rsidRPr="002A6F5F">
        <w:t>).</w:t>
      </w:r>
    </w:p>
    <w:p w:rsidR="0090286E" w:rsidRDefault="0090286E" w:rsidP="0090286E">
      <w:pPr>
        <w:pStyle w:val="TableTitle"/>
      </w:pPr>
      <w:r>
        <w:rPr>
          <w:b w:val="0"/>
        </w:rPr>
        <w:t xml:space="preserve">Table </w:t>
      </w:r>
      <w:r w:rsidR="00FA09C3">
        <w:rPr>
          <w:b w:val="0"/>
        </w:rPr>
        <w:t>A.</w:t>
      </w:r>
      <w:r w:rsidR="00FA09C3">
        <w:rPr>
          <w:b w:val="0"/>
          <w:noProof/>
        </w:rPr>
        <w:t>216</w:t>
      </w:r>
      <w:r>
        <w:tab/>
        <w:t>Allocatio</w:t>
      </w:r>
      <w:r w:rsidR="00571E36">
        <w:t>n of United Medical Protection S</w:t>
      </w:r>
      <w:r>
        <w:t>upport</w:t>
      </w:r>
      <w:r w:rsidR="00571E36" w:rsidRPr="00571E36">
        <w:t xml:space="preserve"> to industry</w:t>
      </w:r>
      <w:r>
        <w:t>, 2006</w:t>
      </w:r>
      <w:r>
        <w:noBreakHyphen/>
        <w:t>07 to 2011</w:t>
      </w:r>
      <w:r>
        <w:noBreakHyphen/>
        <w:t>12</w:t>
      </w:r>
    </w:p>
    <w:p w:rsidR="0090286E" w:rsidRDefault="0090286E" w:rsidP="0090286E">
      <w:pPr>
        <w:pStyle w:val="Subtitle"/>
      </w:pPr>
      <w:r>
        <w:t>$</w:t>
      </w:r>
      <w:r w:rsidR="00FF36DD">
        <w:t xml:space="preserve"> </w:t>
      </w:r>
      <w:r>
        <w:t xml:space="preserve">million (nominal) </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90286E" w:rsidRPr="00AF699A" w:rsidTr="00F443A8">
        <w:trPr>
          <w:trHeight w:val="340"/>
        </w:trPr>
        <w:tc>
          <w:tcPr>
            <w:tcW w:w="1958" w:type="pct"/>
            <w:tcBorders>
              <w:top w:val="single" w:sz="6" w:space="0" w:color="auto"/>
              <w:bottom w:val="single" w:sz="6" w:space="0" w:color="auto"/>
            </w:tcBorders>
          </w:tcPr>
          <w:p w:rsidR="0090286E" w:rsidRPr="00AF699A" w:rsidRDefault="0090286E" w:rsidP="00AB38B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90286E" w:rsidRPr="00AF699A" w:rsidRDefault="0090286E"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90286E" w:rsidRPr="00AF699A" w:rsidRDefault="0090286E" w:rsidP="00AB38B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90286E" w:rsidRPr="00AF699A" w:rsidRDefault="0090286E" w:rsidP="00AB38B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90286E" w:rsidRPr="00AF699A" w:rsidRDefault="0090286E" w:rsidP="00AB38B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90286E" w:rsidRPr="00AF699A" w:rsidRDefault="0090286E" w:rsidP="00AB38B4">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90286E" w:rsidRPr="00AF699A" w:rsidRDefault="0090286E" w:rsidP="00AB38B4">
            <w:pPr>
              <w:pStyle w:val="TableColumnHeading"/>
              <w:ind w:right="28"/>
              <w:rPr>
                <w:rFonts w:cs="Arial"/>
                <w:sz w:val="18"/>
                <w:szCs w:val="18"/>
              </w:rPr>
            </w:pPr>
            <w:r w:rsidRPr="00AF699A">
              <w:rPr>
                <w:rFonts w:cs="Arial"/>
                <w:sz w:val="18"/>
                <w:szCs w:val="18"/>
              </w:rPr>
              <w:t>2011-12</w:t>
            </w:r>
          </w:p>
        </w:tc>
      </w:tr>
      <w:tr w:rsidR="0090286E" w:rsidRPr="003E46CD" w:rsidTr="00AB38B4">
        <w:tc>
          <w:tcPr>
            <w:tcW w:w="1958" w:type="pct"/>
            <w:tcBorders>
              <w:bottom w:val="single" w:sz="4" w:space="0" w:color="auto"/>
            </w:tcBorders>
            <w:vAlign w:val="bottom"/>
          </w:tcPr>
          <w:p w:rsidR="0090286E" w:rsidRPr="00937877" w:rsidRDefault="0090286E" w:rsidP="00AB38B4">
            <w:pPr>
              <w:pStyle w:val="TableBodyText"/>
              <w:jc w:val="left"/>
            </w:pPr>
            <w:r w:rsidRPr="00937877">
              <w:t>Financial and insurance services</w:t>
            </w:r>
          </w:p>
        </w:tc>
        <w:tc>
          <w:tcPr>
            <w:tcW w:w="507" w:type="pct"/>
            <w:tcBorders>
              <w:bottom w:val="single" w:sz="4" w:space="0" w:color="auto"/>
            </w:tcBorders>
            <w:vAlign w:val="bottom"/>
          </w:tcPr>
          <w:p w:rsidR="0090286E" w:rsidRPr="00937877" w:rsidRDefault="0090286E" w:rsidP="00AB38B4">
            <w:pPr>
              <w:pStyle w:val="TableBodyText"/>
            </w:pPr>
            <w:r w:rsidRPr="00937877">
              <w:t>13.2</w:t>
            </w:r>
          </w:p>
        </w:tc>
        <w:tc>
          <w:tcPr>
            <w:tcW w:w="507" w:type="pct"/>
            <w:tcBorders>
              <w:bottom w:val="single" w:sz="4" w:space="0" w:color="auto"/>
            </w:tcBorders>
            <w:vAlign w:val="bottom"/>
          </w:tcPr>
          <w:p w:rsidR="0090286E" w:rsidRPr="00937877" w:rsidRDefault="0090286E" w:rsidP="00AB38B4">
            <w:pPr>
              <w:pStyle w:val="TableBodyText"/>
            </w:pPr>
            <w:r w:rsidRPr="00937877">
              <w:t>0.1</w:t>
            </w:r>
          </w:p>
        </w:tc>
        <w:tc>
          <w:tcPr>
            <w:tcW w:w="507" w:type="pct"/>
            <w:tcBorders>
              <w:bottom w:val="single" w:sz="4" w:space="0" w:color="auto"/>
            </w:tcBorders>
            <w:vAlign w:val="bottom"/>
          </w:tcPr>
          <w:p w:rsidR="0090286E" w:rsidRPr="00937877" w:rsidRDefault="0090286E" w:rsidP="00AB38B4">
            <w:pPr>
              <w:pStyle w:val="TableBodyText"/>
            </w:pPr>
            <w:r>
              <w:noBreakHyphen/>
            </w:r>
          </w:p>
        </w:tc>
        <w:tc>
          <w:tcPr>
            <w:tcW w:w="507" w:type="pct"/>
            <w:tcBorders>
              <w:bottom w:val="single" w:sz="4" w:space="0" w:color="auto"/>
            </w:tcBorders>
            <w:vAlign w:val="bottom"/>
          </w:tcPr>
          <w:p w:rsidR="0090286E" w:rsidRPr="00937877" w:rsidRDefault="0090286E" w:rsidP="00AB38B4">
            <w:pPr>
              <w:pStyle w:val="TableBodyText"/>
            </w:pPr>
            <w:r>
              <w:noBreakHyphen/>
            </w:r>
          </w:p>
        </w:tc>
        <w:tc>
          <w:tcPr>
            <w:tcW w:w="507" w:type="pct"/>
            <w:tcBorders>
              <w:bottom w:val="single" w:sz="4" w:space="0" w:color="auto"/>
            </w:tcBorders>
            <w:shd w:val="clear" w:color="auto" w:fill="auto"/>
            <w:vAlign w:val="bottom"/>
          </w:tcPr>
          <w:p w:rsidR="0090286E" w:rsidRPr="00937877" w:rsidRDefault="0090286E" w:rsidP="00AB38B4">
            <w:pPr>
              <w:pStyle w:val="TableBodyText"/>
            </w:pPr>
            <w:r>
              <w:noBreakHyphen/>
            </w:r>
          </w:p>
        </w:tc>
        <w:tc>
          <w:tcPr>
            <w:tcW w:w="507" w:type="pct"/>
            <w:tcBorders>
              <w:bottom w:val="single" w:sz="4" w:space="0" w:color="auto"/>
            </w:tcBorders>
            <w:shd w:val="clear" w:color="auto" w:fill="auto"/>
            <w:vAlign w:val="bottom"/>
          </w:tcPr>
          <w:p w:rsidR="0090286E" w:rsidRPr="00937877" w:rsidRDefault="0090286E" w:rsidP="00AB38B4">
            <w:pPr>
              <w:pStyle w:val="TableBodyText"/>
            </w:pPr>
            <w:r>
              <w:noBreakHyphen/>
            </w:r>
          </w:p>
        </w:tc>
      </w:tr>
    </w:tbl>
    <w:p w:rsidR="0090286E" w:rsidRDefault="0090286E" w:rsidP="0090286E">
      <w:pPr>
        <w:pStyle w:val="Note"/>
      </w:pPr>
      <w:r w:rsidRPr="00A2379F">
        <w:noBreakHyphen/>
        <w:t xml:space="preserve"> </w:t>
      </w:r>
      <w:r>
        <w:t>Nil.</w:t>
      </w:r>
    </w:p>
    <w:p w:rsidR="0090286E" w:rsidRPr="008E77FE" w:rsidRDefault="0090286E" w:rsidP="0090286E">
      <w:pPr>
        <w:pStyle w:val="Source"/>
      </w:pPr>
      <w:r>
        <w:rPr>
          <w:i/>
        </w:rPr>
        <w:t>Source</w:t>
      </w:r>
      <w:r>
        <w:t>: Commission estimates based on Medicare Annual Report 2007</w:t>
      </w:r>
      <w:r>
        <w:noBreakHyphen/>
        <w:t>08.</w:t>
      </w:r>
    </w:p>
    <w:p w:rsidR="0090286E" w:rsidRDefault="00FA09C3" w:rsidP="0090286E">
      <w:pPr>
        <w:pStyle w:val="Heading2"/>
      </w:pPr>
      <w:r>
        <w:t>A.</w:t>
      </w:r>
      <w:r>
        <w:rPr>
          <w:noProof/>
        </w:rPr>
        <w:t>217</w:t>
      </w:r>
      <w:r w:rsidR="0090286E">
        <w:tab/>
        <w:t>Australian Seafood Industry Council</w:t>
      </w:r>
    </w:p>
    <w:p w:rsidR="0090286E" w:rsidRDefault="0090286E" w:rsidP="0090286E">
      <w:pPr>
        <w:pStyle w:val="BodyText"/>
      </w:pPr>
      <w:r>
        <w:t xml:space="preserve">The Australian Government invested $50 000 in a joint project with the </w:t>
      </w:r>
      <w:r w:rsidRPr="00DC1C22">
        <w:t xml:space="preserve">Fisheries Research and Development Corporation </w:t>
      </w:r>
      <w:r>
        <w:t xml:space="preserve">(FRDC) </w:t>
      </w:r>
      <w:r w:rsidRPr="00DC1C22">
        <w:t>to develop a business case for a new peak body for the seafood industry</w:t>
      </w:r>
      <w:r>
        <w:t xml:space="preserve"> (</w:t>
      </w:r>
      <w:r w:rsidRPr="00E80A54">
        <w:t>DAFF 2008</w:t>
      </w:r>
      <w:r>
        <w:t>)</w:t>
      </w:r>
      <w:r w:rsidRPr="00DC1C22">
        <w:t>.</w:t>
      </w:r>
      <w:r>
        <w:t xml:space="preserve"> The project had a steering committee formed from the industry. </w:t>
      </w:r>
      <w:r w:rsidRPr="00240412">
        <w:t xml:space="preserve">A review of possible strategies to develop the new body </w:t>
      </w:r>
      <w:r>
        <w:t>was</w:t>
      </w:r>
      <w:r w:rsidRPr="00240412">
        <w:t xml:space="preserve"> completed and incorporated into the business case</w:t>
      </w:r>
      <w:r>
        <w:t xml:space="preserve"> which was finalised by early 2008</w:t>
      </w:r>
      <w:r>
        <w:noBreakHyphen/>
        <w:t>09.</w:t>
      </w:r>
    </w:p>
    <w:p w:rsidR="0090286E" w:rsidRDefault="0090286E" w:rsidP="0090286E">
      <w:pPr>
        <w:pStyle w:val="BodyText"/>
      </w:pPr>
      <w:r>
        <w:t xml:space="preserve">Information on the industry incidence of the program has not been readily available. Accordingly, the budget outlay has been classified to the </w:t>
      </w:r>
      <w:r w:rsidRPr="00297054">
        <w:rPr>
          <w:i/>
        </w:rPr>
        <w:t>Unallocated other</w:t>
      </w:r>
      <w:r w:rsidRPr="00297054">
        <w:t xml:space="preserve"> industry grouping </w:t>
      </w:r>
      <w:r>
        <w:t xml:space="preserve">in the Commission’s ANZSIC-based classification </w:t>
      </w:r>
      <w:r w:rsidRPr="00297054">
        <w:t>(table</w:t>
      </w:r>
      <w:r>
        <w:t> </w:t>
      </w:r>
      <w:r w:rsidRPr="00297054">
        <w:t>A.</w:t>
      </w:r>
      <w:r>
        <w:t>217</w:t>
      </w:r>
      <w:r w:rsidRPr="00297054">
        <w:t>)</w:t>
      </w:r>
      <w:r>
        <w:t>.</w:t>
      </w:r>
    </w:p>
    <w:p w:rsidR="0090286E" w:rsidRDefault="0090286E" w:rsidP="0090286E">
      <w:pPr>
        <w:pStyle w:val="TableTitle"/>
      </w:pPr>
      <w:r>
        <w:rPr>
          <w:b w:val="0"/>
        </w:rPr>
        <w:t xml:space="preserve">Table </w:t>
      </w:r>
      <w:r w:rsidR="00FA09C3">
        <w:rPr>
          <w:b w:val="0"/>
        </w:rPr>
        <w:t>A.</w:t>
      </w:r>
      <w:r w:rsidR="00FA09C3">
        <w:rPr>
          <w:b w:val="0"/>
          <w:noProof/>
        </w:rPr>
        <w:t>217</w:t>
      </w:r>
      <w:r>
        <w:tab/>
        <w:t>Allocation of Australian Seafood Industry Council</w:t>
      </w:r>
      <w:r w:rsidR="00571E36" w:rsidRPr="00571E36">
        <w:t xml:space="preserve"> to industry</w:t>
      </w:r>
      <w:r>
        <w:t>, 2006</w:t>
      </w:r>
      <w:r>
        <w:noBreakHyphen/>
        <w:t>07 to 2011</w:t>
      </w:r>
      <w:r>
        <w:noBreakHyphen/>
        <w:t>12</w:t>
      </w:r>
    </w:p>
    <w:p w:rsidR="0090286E" w:rsidRDefault="0090286E" w:rsidP="0090286E">
      <w:pPr>
        <w:pStyle w:val="Subtitle"/>
      </w:pPr>
      <w:r>
        <w:t>$</w:t>
      </w:r>
      <w:r w:rsidR="002C7122">
        <w:t xml:space="preserve"> </w:t>
      </w:r>
      <w:r>
        <w:t xml:space="preserve">million (nominal) </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90286E" w:rsidRPr="00AF699A" w:rsidTr="00F443A8">
        <w:trPr>
          <w:trHeight w:val="340"/>
        </w:trPr>
        <w:tc>
          <w:tcPr>
            <w:tcW w:w="1958" w:type="pct"/>
            <w:tcBorders>
              <w:top w:val="single" w:sz="6" w:space="0" w:color="auto"/>
              <w:bottom w:val="single" w:sz="6" w:space="0" w:color="auto"/>
            </w:tcBorders>
          </w:tcPr>
          <w:p w:rsidR="0090286E" w:rsidRPr="00AF699A" w:rsidRDefault="0090286E" w:rsidP="00AB38B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90286E" w:rsidRPr="00AF699A" w:rsidRDefault="0090286E"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90286E" w:rsidRPr="00AF699A" w:rsidRDefault="0090286E" w:rsidP="00AB38B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90286E" w:rsidRPr="00AF699A" w:rsidRDefault="0090286E" w:rsidP="00AB38B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90286E" w:rsidRPr="00AF699A" w:rsidRDefault="0090286E" w:rsidP="00AB38B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90286E" w:rsidRPr="00AF699A" w:rsidRDefault="0090286E" w:rsidP="00AB38B4">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90286E" w:rsidRPr="00AF699A" w:rsidRDefault="0090286E" w:rsidP="00AB38B4">
            <w:pPr>
              <w:pStyle w:val="TableColumnHeading"/>
              <w:ind w:right="28"/>
              <w:rPr>
                <w:rFonts w:cs="Arial"/>
                <w:sz w:val="18"/>
                <w:szCs w:val="18"/>
              </w:rPr>
            </w:pPr>
            <w:r w:rsidRPr="00AF699A">
              <w:rPr>
                <w:rFonts w:cs="Arial"/>
                <w:sz w:val="18"/>
                <w:szCs w:val="18"/>
              </w:rPr>
              <w:t>2011-12</w:t>
            </w:r>
          </w:p>
        </w:tc>
      </w:tr>
      <w:tr w:rsidR="0090286E" w:rsidRPr="00D07CF3" w:rsidTr="00AB38B4">
        <w:tc>
          <w:tcPr>
            <w:tcW w:w="1958" w:type="pct"/>
            <w:tcBorders>
              <w:bottom w:val="single" w:sz="4" w:space="0" w:color="auto"/>
            </w:tcBorders>
            <w:vAlign w:val="bottom"/>
          </w:tcPr>
          <w:p w:rsidR="0090286E" w:rsidRPr="00D07CF3" w:rsidRDefault="0090286E" w:rsidP="00AB38B4">
            <w:pPr>
              <w:pStyle w:val="TableBodyText"/>
              <w:jc w:val="left"/>
            </w:pPr>
            <w:r w:rsidRPr="00D07CF3">
              <w:t xml:space="preserve">Unallocated </w:t>
            </w:r>
            <w:r>
              <w:t>other</w:t>
            </w:r>
            <w:r w:rsidRPr="008E77FE">
              <w:rPr>
                <w:rStyle w:val="NoteLabel"/>
              </w:rPr>
              <w:t>a</w:t>
            </w:r>
          </w:p>
        </w:tc>
        <w:tc>
          <w:tcPr>
            <w:tcW w:w="507" w:type="pct"/>
            <w:tcBorders>
              <w:bottom w:val="single" w:sz="4" w:space="0" w:color="auto"/>
            </w:tcBorders>
            <w:vAlign w:val="bottom"/>
          </w:tcPr>
          <w:p w:rsidR="0090286E" w:rsidRPr="00D07CF3" w:rsidRDefault="0090286E" w:rsidP="00AB38B4">
            <w:pPr>
              <w:pStyle w:val="TableBodyText"/>
            </w:pPr>
            <w:r>
              <w:noBreakHyphen/>
            </w:r>
          </w:p>
        </w:tc>
        <w:tc>
          <w:tcPr>
            <w:tcW w:w="507" w:type="pct"/>
            <w:tcBorders>
              <w:bottom w:val="single" w:sz="4" w:space="0" w:color="auto"/>
            </w:tcBorders>
            <w:vAlign w:val="bottom"/>
          </w:tcPr>
          <w:p w:rsidR="0090286E" w:rsidRPr="00D07CF3" w:rsidRDefault="0090286E" w:rsidP="00AB38B4">
            <w:pPr>
              <w:pStyle w:val="TableBodyText"/>
            </w:pPr>
            <w:r>
              <w:t>&lt;0.1</w:t>
            </w:r>
          </w:p>
        </w:tc>
        <w:tc>
          <w:tcPr>
            <w:tcW w:w="507" w:type="pct"/>
            <w:tcBorders>
              <w:bottom w:val="single" w:sz="4" w:space="0" w:color="auto"/>
            </w:tcBorders>
            <w:vAlign w:val="bottom"/>
          </w:tcPr>
          <w:p w:rsidR="0090286E" w:rsidRPr="00D07CF3" w:rsidRDefault="0090286E" w:rsidP="00AB38B4">
            <w:pPr>
              <w:pStyle w:val="TableBodyText"/>
            </w:pPr>
            <w:r>
              <w:noBreakHyphen/>
            </w:r>
          </w:p>
        </w:tc>
        <w:tc>
          <w:tcPr>
            <w:tcW w:w="507" w:type="pct"/>
            <w:tcBorders>
              <w:bottom w:val="single" w:sz="4" w:space="0" w:color="auto"/>
            </w:tcBorders>
            <w:vAlign w:val="bottom"/>
          </w:tcPr>
          <w:p w:rsidR="0090286E" w:rsidRPr="00D07CF3" w:rsidRDefault="0090286E" w:rsidP="00AB38B4">
            <w:pPr>
              <w:pStyle w:val="TableBodyText"/>
            </w:pPr>
            <w:r>
              <w:noBreakHyphen/>
            </w:r>
          </w:p>
        </w:tc>
        <w:tc>
          <w:tcPr>
            <w:tcW w:w="507" w:type="pct"/>
            <w:tcBorders>
              <w:bottom w:val="single" w:sz="4" w:space="0" w:color="auto"/>
            </w:tcBorders>
            <w:shd w:val="clear" w:color="auto" w:fill="auto"/>
            <w:vAlign w:val="bottom"/>
          </w:tcPr>
          <w:p w:rsidR="0090286E" w:rsidRPr="00D07CF3" w:rsidRDefault="0090286E" w:rsidP="00AB38B4">
            <w:pPr>
              <w:pStyle w:val="TableBodyText"/>
            </w:pPr>
            <w:r>
              <w:noBreakHyphen/>
            </w:r>
          </w:p>
        </w:tc>
        <w:tc>
          <w:tcPr>
            <w:tcW w:w="507" w:type="pct"/>
            <w:tcBorders>
              <w:bottom w:val="single" w:sz="4" w:space="0" w:color="auto"/>
            </w:tcBorders>
            <w:shd w:val="clear" w:color="auto" w:fill="auto"/>
            <w:vAlign w:val="bottom"/>
          </w:tcPr>
          <w:p w:rsidR="0090286E" w:rsidRPr="00D07CF3" w:rsidRDefault="0090286E" w:rsidP="00AB38B4">
            <w:pPr>
              <w:pStyle w:val="TableBodyText"/>
            </w:pPr>
            <w:r>
              <w:noBreakHyphen/>
            </w:r>
          </w:p>
        </w:tc>
      </w:tr>
    </w:tbl>
    <w:p w:rsidR="0090286E" w:rsidRDefault="0090286E" w:rsidP="0090286E">
      <w:pPr>
        <w:pStyle w:val="Note"/>
      </w:pPr>
      <w:r w:rsidRPr="00A2379F">
        <w:noBreakHyphen/>
        <w:t xml:space="preserve"> </w:t>
      </w:r>
      <w:r>
        <w:t>Nil</w:t>
      </w:r>
      <w:r w:rsidRPr="00A2379F">
        <w:t>.</w:t>
      </w:r>
      <w:r w:rsidRPr="00B1392F">
        <w:t xml:space="preserve"> </w:t>
      </w:r>
      <w:r w:rsidRPr="008E77FE">
        <w:rPr>
          <w:rStyle w:val="NoteLabel"/>
        </w:rPr>
        <w:t>a</w:t>
      </w:r>
      <w:r>
        <w:t xml:space="preserve"> </w:t>
      </w:r>
      <w:r w:rsidRPr="009B56F1">
        <w:t>Unallocated includes general programs where detai</w:t>
      </w:r>
      <w:r>
        <w:t>ls of beneficiaries are unknown.</w:t>
      </w:r>
    </w:p>
    <w:p w:rsidR="0090286E" w:rsidRPr="008E77FE" w:rsidRDefault="0090286E" w:rsidP="0090286E">
      <w:pPr>
        <w:pStyle w:val="Source"/>
      </w:pPr>
      <w:r>
        <w:rPr>
          <w:i/>
        </w:rPr>
        <w:t>Source</w:t>
      </w:r>
      <w:r>
        <w:t>: Commission estimates based on DAFF Annual Report 2007</w:t>
      </w:r>
      <w:r>
        <w:noBreakHyphen/>
        <w:t>08.</w:t>
      </w:r>
    </w:p>
    <w:p w:rsidR="0090286E" w:rsidRDefault="00FA09C3" w:rsidP="0090286E">
      <w:pPr>
        <w:pStyle w:val="Heading2"/>
      </w:pPr>
      <w:r>
        <w:t>A.</w:t>
      </w:r>
      <w:r>
        <w:rPr>
          <w:noProof/>
        </w:rPr>
        <w:t>218</w:t>
      </w:r>
      <w:r w:rsidR="0090286E">
        <w:tab/>
        <w:t>Biotechnology Innovation Fund</w:t>
      </w:r>
    </w:p>
    <w:p w:rsidR="0090286E" w:rsidRDefault="0090286E" w:rsidP="0090286E">
      <w:pPr>
        <w:pStyle w:val="BodyText"/>
      </w:pPr>
      <w:r>
        <w:t>The Biotechnology Innovation Fund was a merit</w:t>
      </w:r>
      <w:r>
        <w:noBreakHyphen/>
        <w:t xml:space="preserve">based competitive grants program that </w:t>
      </w:r>
      <w:r w:rsidRPr="00C92886">
        <w:t>provided assistance to companies to demonstrate proof-of-concept between the initial research stage of a biotechnology project and the early stage of its commercialisation</w:t>
      </w:r>
      <w:r>
        <w:t xml:space="preserve"> (</w:t>
      </w:r>
      <w:r w:rsidRPr="00E80A54">
        <w:t>AusIndustry 2002</w:t>
      </w:r>
      <w:r>
        <w:t xml:space="preserve">). </w:t>
      </w:r>
      <w:r w:rsidR="00D43AD3">
        <w:t>I</w:t>
      </w:r>
      <w:r>
        <w:t xml:space="preserve">t aimed to increase the rate of commercialisation of promising biotechnology developed in Australia. The Fund formed part of the $3 billion Innovation Statement </w:t>
      </w:r>
      <w:r>
        <w:noBreakHyphen/>
        <w:t xml:space="preserve"> </w:t>
      </w:r>
      <w:r w:rsidRPr="001C58DC">
        <w:rPr>
          <w:i/>
        </w:rPr>
        <w:t>Backing Australia’s Ability</w:t>
      </w:r>
      <w:r>
        <w:t xml:space="preserve"> </w:t>
      </w:r>
      <w:r>
        <w:noBreakHyphen/>
        <w:t xml:space="preserve"> which represented the Australian Government’s commitment to innovation.</w:t>
      </w:r>
    </w:p>
    <w:p w:rsidR="0090286E" w:rsidRDefault="0090286E" w:rsidP="0090286E">
      <w:pPr>
        <w:pStyle w:val="BodyText"/>
      </w:pPr>
      <w:r w:rsidRPr="001B2107">
        <w:t xml:space="preserve">The Commission has obtained information from the Department of Innovation, Industry, Science and Research detailing program funding according to ANZSIC industry. This information has been used to allocate the Department’s estimate of total program expenditure, as published in </w:t>
      </w:r>
      <w:r w:rsidR="00D43AD3">
        <w:t>its</w:t>
      </w:r>
      <w:r w:rsidR="00D43AD3" w:rsidRPr="001B2107">
        <w:t xml:space="preserve"> </w:t>
      </w:r>
      <w:r w:rsidRPr="001B2107">
        <w:t>annual report, to the Commission’s ANZSIC-based industry groupings</w:t>
      </w:r>
      <w:r w:rsidR="00D43AD3">
        <w:t xml:space="preserve"> </w:t>
      </w:r>
      <w:r w:rsidRPr="000B6757">
        <w:t>(table</w:t>
      </w:r>
      <w:r w:rsidR="00E420FD">
        <w:t> </w:t>
      </w:r>
      <w:r w:rsidRPr="000B6757">
        <w:t>A.</w:t>
      </w:r>
      <w:r>
        <w:t>218</w:t>
      </w:r>
      <w:r w:rsidRPr="000B6757">
        <w:t>).</w:t>
      </w:r>
    </w:p>
    <w:p w:rsidR="0090286E" w:rsidRDefault="0090286E" w:rsidP="0090286E">
      <w:pPr>
        <w:pStyle w:val="TableTitle"/>
      </w:pPr>
      <w:r>
        <w:rPr>
          <w:b w:val="0"/>
        </w:rPr>
        <w:t xml:space="preserve">Table </w:t>
      </w:r>
      <w:r w:rsidR="00FA09C3">
        <w:rPr>
          <w:b w:val="0"/>
        </w:rPr>
        <w:t>A.</w:t>
      </w:r>
      <w:r w:rsidR="00FA09C3">
        <w:rPr>
          <w:b w:val="0"/>
          <w:noProof/>
        </w:rPr>
        <w:t>218</w:t>
      </w:r>
      <w:r>
        <w:tab/>
        <w:t xml:space="preserve">Allocation of Biotechnology Innovation Fund </w:t>
      </w:r>
      <w:r w:rsidR="00571E36" w:rsidRPr="00571E36">
        <w:t>to industry</w:t>
      </w:r>
      <w:r>
        <w:t>, 2006</w:t>
      </w:r>
      <w:r>
        <w:noBreakHyphen/>
        <w:t>07 to 2011</w:t>
      </w:r>
      <w:r>
        <w:noBreakHyphen/>
        <w:t>12</w:t>
      </w:r>
    </w:p>
    <w:p w:rsidR="0090286E" w:rsidRDefault="0090286E" w:rsidP="0090286E">
      <w:pPr>
        <w:pStyle w:val="Subtitle"/>
      </w:pPr>
      <w:r>
        <w:t>$</w:t>
      </w:r>
      <w:r w:rsidR="00D43AD3">
        <w:t xml:space="preserve"> </w:t>
      </w:r>
      <w:r>
        <w:t>million (nominal)</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90286E" w:rsidRPr="00AF699A" w:rsidTr="00F443A8">
        <w:trPr>
          <w:trHeight w:val="340"/>
        </w:trPr>
        <w:tc>
          <w:tcPr>
            <w:tcW w:w="1960" w:type="pct"/>
            <w:tcBorders>
              <w:top w:val="single" w:sz="6" w:space="0" w:color="auto"/>
              <w:bottom w:val="single" w:sz="6" w:space="0" w:color="auto"/>
            </w:tcBorders>
          </w:tcPr>
          <w:p w:rsidR="0090286E" w:rsidRPr="00AF699A" w:rsidRDefault="0090286E" w:rsidP="00AB38B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90286E" w:rsidRPr="00AF699A" w:rsidRDefault="0090286E"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90286E" w:rsidRPr="00AF699A" w:rsidRDefault="0090286E" w:rsidP="00AB38B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90286E" w:rsidRPr="00AF699A" w:rsidRDefault="0090286E" w:rsidP="00AB38B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90286E" w:rsidRPr="00AF699A" w:rsidRDefault="0090286E" w:rsidP="00AB38B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90286E" w:rsidRPr="00AF699A" w:rsidRDefault="0090286E" w:rsidP="00AB38B4">
            <w:pPr>
              <w:pStyle w:val="TableColumnHeading"/>
              <w:ind w:right="28"/>
              <w:rPr>
                <w:rFonts w:cs="Arial"/>
                <w:sz w:val="18"/>
                <w:szCs w:val="18"/>
              </w:rPr>
            </w:pPr>
            <w:r w:rsidRPr="00AF699A">
              <w:rPr>
                <w:rFonts w:cs="Arial"/>
                <w:sz w:val="18"/>
                <w:szCs w:val="18"/>
              </w:rPr>
              <w:t>2010-11</w:t>
            </w:r>
          </w:p>
        </w:tc>
        <w:tc>
          <w:tcPr>
            <w:tcW w:w="505" w:type="pct"/>
            <w:tcBorders>
              <w:top w:val="single" w:sz="6" w:space="0" w:color="auto"/>
              <w:bottom w:val="single" w:sz="6" w:space="0" w:color="auto"/>
            </w:tcBorders>
            <w:shd w:val="clear" w:color="auto" w:fill="auto"/>
          </w:tcPr>
          <w:p w:rsidR="0090286E" w:rsidRPr="00AF699A" w:rsidRDefault="0090286E" w:rsidP="00AB38B4">
            <w:pPr>
              <w:pStyle w:val="TableColumnHeading"/>
              <w:ind w:right="28"/>
              <w:rPr>
                <w:rFonts w:cs="Arial"/>
                <w:sz w:val="18"/>
                <w:szCs w:val="18"/>
              </w:rPr>
            </w:pPr>
            <w:r w:rsidRPr="00AF699A">
              <w:rPr>
                <w:rFonts w:cs="Arial"/>
                <w:sz w:val="18"/>
                <w:szCs w:val="18"/>
              </w:rPr>
              <w:t>2011-12</w:t>
            </w:r>
          </w:p>
        </w:tc>
      </w:tr>
      <w:tr w:rsidR="0090286E" w:rsidRPr="00A21884" w:rsidTr="00AB38B4">
        <w:tc>
          <w:tcPr>
            <w:tcW w:w="1960" w:type="pct"/>
            <w:vAlign w:val="bottom"/>
          </w:tcPr>
          <w:p w:rsidR="0090286E" w:rsidRPr="00D04898" w:rsidRDefault="0090286E" w:rsidP="00AB38B4">
            <w:pPr>
              <w:pStyle w:val="TableBodyText"/>
              <w:jc w:val="left"/>
              <w:rPr>
                <w:b/>
                <w:sz w:val="18"/>
                <w:szCs w:val="18"/>
              </w:rPr>
            </w:pPr>
            <w:r w:rsidRPr="00D04898">
              <w:rPr>
                <w:b/>
                <w:sz w:val="18"/>
                <w:szCs w:val="18"/>
              </w:rPr>
              <w:t>Primary production</w:t>
            </w:r>
          </w:p>
        </w:tc>
        <w:tc>
          <w:tcPr>
            <w:tcW w:w="507" w:type="pct"/>
            <w:vAlign w:val="bottom"/>
          </w:tcPr>
          <w:p w:rsidR="0090286E" w:rsidRPr="00D04898" w:rsidRDefault="0090286E" w:rsidP="00AB38B4">
            <w:pPr>
              <w:pStyle w:val="TableBodyText"/>
              <w:rPr>
                <w:b/>
                <w:sz w:val="18"/>
                <w:szCs w:val="18"/>
              </w:rPr>
            </w:pPr>
            <w:r w:rsidRPr="00D04898">
              <w:rPr>
                <w:b/>
                <w:sz w:val="18"/>
                <w:szCs w:val="18"/>
              </w:rPr>
              <w:t>&lt;0.1</w:t>
            </w:r>
          </w:p>
        </w:tc>
        <w:tc>
          <w:tcPr>
            <w:tcW w:w="507" w:type="pct"/>
            <w:vAlign w:val="bottom"/>
          </w:tcPr>
          <w:p w:rsidR="0090286E" w:rsidRPr="00D04898" w:rsidRDefault="0090286E" w:rsidP="00AB38B4">
            <w:pPr>
              <w:pStyle w:val="TableBodyText"/>
              <w:rPr>
                <w:b/>
                <w:sz w:val="18"/>
                <w:szCs w:val="18"/>
              </w:rPr>
            </w:pPr>
            <w:r w:rsidRPr="00D04898">
              <w:rPr>
                <w:b/>
                <w:sz w:val="18"/>
                <w:szCs w:val="18"/>
              </w:rPr>
              <w:noBreakHyphen/>
            </w:r>
          </w:p>
        </w:tc>
        <w:tc>
          <w:tcPr>
            <w:tcW w:w="507" w:type="pct"/>
            <w:vAlign w:val="bottom"/>
          </w:tcPr>
          <w:p w:rsidR="0090286E" w:rsidRPr="00D04898" w:rsidRDefault="0090286E" w:rsidP="00AB38B4">
            <w:pPr>
              <w:pStyle w:val="TableBodyText"/>
              <w:rPr>
                <w:b/>
                <w:sz w:val="18"/>
                <w:szCs w:val="18"/>
              </w:rPr>
            </w:pPr>
            <w:r w:rsidRPr="00D04898">
              <w:rPr>
                <w:b/>
                <w:sz w:val="18"/>
                <w:szCs w:val="18"/>
              </w:rPr>
              <w:noBreakHyphen/>
            </w:r>
          </w:p>
        </w:tc>
        <w:tc>
          <w:tcPr>
            <w:tcW w:w="507" w:type="pct"/>
            <w:vAlign w:val="bottom"/>
          </w:tcPr>
          <w:p w:rsidR="0090286E" w:rsidRPr="00D04898" w:rsidRDefault="0090286E" w:rsidP="00AB38B4">
            <w:pPr>
              <w:pStyle w:val="TableBodyText"/>
              <w:rPr>
                <w:b/>
                <w:sz w:val="18"/>
                <w:szCs w:val="18"/>
              </w:rPr>
            </w:pPr>
            <w:r w:rsidRPr="00D04898">
              <w:rPr>
                <w:b/>
                <w:sz w:val="18"/>
                <w:szCs w:val="18"/>
              </w:rPr>
              <w:noBreakHyphen/>
            </w:r>
          </w:p>
        </w:tc>
        <w:tc>
          <w:tcPr>
            <w:tcW w:w="507" w:type="pct"/>
            <w:shd w:val="clear" w:color="auto" w:fill="auto"/>
            <w:vAlign w:val="bottom"/>
          </w:tcPr>
          <w:p w:rsidR="0090286E" w:rsidRPr="00D04898" w:rsidRDefault="0090286E" w:rsidP="00AB38B4">
            <w:pPr>
              <w:pStyle w:val="TableBodyText"/>
              <w:rPr>
                <w:b/>
                <w:sz w:val="18"/>
                <w:szCs w:val="18"/>
              </w:rPr>
            </w:pPr>
            <w:r w:rsidRPr="00D04898">
              <w:rPr>
                <w:b/>
                <w:sz w:val="18"/>
                <w:szCs w:val="18"/>
              </w:rPr>
              <w:noBreakHyphen/>
            </w:r>
          </w:p>
        </w:tc>
        <w:tc>
          <w:tcPr>
            <w:tcW w:w="505" w:type="pct"/>
            <w:shd w:val="clear" w:color="auto" w:fill="auto"/>
            <w:vAlign w:val="bottom"/>
          </w:tcPr>
          <w:p w:rsidR="0090286E" w:rsidRPr="00D04898" w:rsidRDefault="0090286E" w:rsidP="00AB38B4">
            <w:pPr>
              <w:pStyle w:val="TableBodyText"/>
              <w:rPr>
                <w:b/>
                <w:sz w:val="18"/>
                <w:szCs w:val="18"/>
              </w:rPr>
            </w:pPr>
            <w:r w:rsidRPr="00D04898">
              <w:rPr>
                <w:b/>
                <w:sz w:val="18"/>
                <w:szCs w:val="18"/>
              </w:rPr>
              <w:noBreakHyphen/>
            </w:r>
          </w:p>
        </w:tc>
      </w:tr>
      <w:tr w:rsidR="0090286E" w:rsidRPr="00A21884" w:rsidTr="00AB38B4">
        <w:tc>
          <w:tcPr>
            <w:tcW w:w="1960" w:type="pct"/>
            <w:vAlign w:val="bottom"/>
          </w:tcPr>
          <w:p w:rsidR="0090286E" w:rsidRPr="00D04898" w:rsidRDefault="0090286E" w:rsidP="00AB38B4">
            <w:pPr>
              <w:pStyle w:val="TableBodyText"/>
              <w:jc w:val="left"/>
              <w:rPr>
                <w:sz w:val="18"/>
                <w:szCs w:val="18"/>
              </w:rPr>
            </w:pPr>
            <w:r w:rsidRPr="00D04898">
              <w:rPr>
                <w:sz w:val="18"/>
                <w:szCs w:val="18"/>
              </w:rPr>
              <w:t>Horticulture and fruit growing</w:t>
            </w:r>
          </w:p>
        </w:tc>
        <w:tc>
          <w:tcPr>
            <w:tcW w:w="507" w:type="pct"/>
            <w:vAlign w:val="bottom"/>
          </w:tcPr>
          <w:p w:rsidR="0090286E" w:rsidRPr="00D04898" w:rsidRDefault="0090286E" w:rsidP="00AB38B4">
            <w:pPr>
              <w:pStyle w:val="TableBodyText"/>
              <w:rPr>
                <w:sz w:val="18"/>
                <w:szCs w:val="18"/>
              </w:rPr>
            </w:pPr>
            <w:r w:rsidRPr="00D04898">
              <w:rPr>
                <w:sz w:val="18"/>
                <w:szCs w:val="18"/>
              </w:rPr>
              <w:t>&lt;0.1</w:t>
            </w:r>
          </w:p>
        </w:tc>
        <w:tc>
          <w:tcPr>
            <w:tcW w:w="507" w:type="pct"/>
            <w:vAlign w:val="bottom"/>
          </w:tcPr>
          <w:p w:rsidR="0090286E" w:rsidRPr="00D04898" w:rsidRDefault="0090286E" w:rsidP="00AB38B4">
            <w:pPr>
              <w:pStyle w:val="TableBodyText"/>
              <w:rPr>
                <w:sz w:val="18"/>
                <w:szCs w:val="18"/>
              </w:rPr>
            </w:pPr>
            <w:r w:rsidRPr="00D04898">
              <w:rPr>
                <w:sz w:val="18"/>
                <w:szCs w:val="18"/>
              </w:rPr>
              <w:noBreakHyphen/>
            </w:r>
          </w:p>
        </w:tc>
        <w:tc>
          <w:tcPr>
            <w:tcW w:w="507" w:type="pct"/>
            <w:vAlign w:val="bottom"/>
          </w:tcPr>
          <w:p w:rsidR="0090286E" w:rsidRPr="00D04898" w:rsidRDefault="0090286E" w:rsidP="00AB38B4">
            <w:pPr>
              <w:pStyle w:val="TableBodyText"/>
              <w:rPr>
                <w:sz w:val="18"/>
                <w:szCs w:val="18"/>
              </w:rPr>
            </w:pPr>
            <w:r w:rsidRPr="00D04898">
              <w:rPr>
                <w:sz w:val="18"/>
                <w:szCs w:val="18"/>
              </w:rPr>
              <w:noBreakHyphen/>
            </w:r>
          </w:p>
        </w:tc>
        <w:tc>
          <w:tcPr>
            <w:tcW w:w="507" w:type="pct"/>
            <w:vAlign w:val="bottom"/>
          </w:tcPr>
          <w:p w:rsidR="0090286E" w:rsidRPr="00D04898" w:rsidRDefault="0090286E" w:rsidP="00AB38B4">
            <w:pPr>
              <w:pStyle w:val="TableBodyText"/>
              <w:rPr>
                <w:sz w:val="18"/>
                <w:szCs w:val="18"/>
              </w:rPr>
            </w:pPr>
            <w:r w:rsidRPr="00D04898">
              <w:rPr>
                <w:sz w:val="18"/>
                <w:szCs w:val="18"/>
              </w:rPr>
              <w:noBreakHyphen/>
            </w:r>
          </w:p>
        </w:tc>
        <w:tc>
          <w:tcPr>
            <w:tcW w:w="507" w:type="pct"/>
            <w:shd w:val="clear" w:color="auto" w:fill="auto"/>
            <w:vAlign w:val="bottom"/>
          </w:tcPr>
          <w:p w:rsidR="0090286E" w:rsidRPr="00D04898" w:rsidRDefault="0090286E" w:rsidP="00AB38B4">
            <w:pPr>
              <w:pStyle w:val="TableBodyText"/>
              <w:rPr>
                <w:sz w:val="18"/>
                <w:szCs w:val="18"/>
              </w:rPr>
            </w:pPr>
            <w:r w:rsidRPr="00D04898">
              <w:rPr>
                <w:sz w:val="18"/>
                <w:szCs w:val="18"/>
              </w:rPr>
              <w:noBreakHyphen/>
            </w:r>
          </w:p>
        </w:tc>
        <w:tc>
          <w:tcPr>
            <w:tcW w:w="505" w:type="pct"/>
            <w:shd w:val="clear" w:color="auto" w:fill="auto"/>
            <w:vAlign w:val="bottom"/>
          </w:tcPr>
          <w:p w:rsidR="0090286E" w:rsidRPr="00D04898" w:rsidRDefault="0090286E" w:rsidP="00AB38B4">
            <w:pPr>
              <w:pStyle w:val="TableBodyText"/>
              <w:rPr>
                <w:sz w:val="18"/>
                <w:szCs w:val="18"/>
              </w:rPr>
            </w:pPr>
            <w:r w:rsidRPr="00D04898">
              <w:rPr>
                <w:sz w:val="18"/>
                <w:szCs w:val="18"/>
              </w:rPr>
              <w:noBreakHyphen/>
            </w:r>
          </w:p>
        </w:tc>
      </w:tr>
      <w:tr w:rsidR="0090286E" w:rsidRPr="00A21884" w:rsidTr="00AB38B4">
        <w:tc>
          <w:tcPr>
            <w:tcW w:w="1960" w:type="pct"/>
            <w:vAlign w:val="bottom"/>
          </w:tcPr>
          <w:p w:rsidR="0090286E" w:rsidRPr="00D04898" w:rsidRDefault="0090286E" w:rsidP="00AB38B4">
            <w:pPr>
              <w:pStyle w:val="TableBodyText"/>
              <w:jc w:val="left"/>
              <w:rPr>
                <w:sz w:val="18"/>
                <w:szCs w:val="18"/>
              </w:rPr>
            </w:pPr>
            <w:r w:rsidRPr="00D04898">
              <w:rPr>
                <w:sz w:val="18"/>
                <w:szCs w:val="18"/>
              </w:rPr>
              <w:t>Primary production support services</w:t>
            </w:r>
          </w:p>
        </w:tc>
        <w:tc>
          <w:tcPr>
            <w:tcW w:w="507" w:type="pct"/>
            <w:vAlign w:val="bottom"/>
          </w:tcPr>
          <w:p w:rsidR="0090286E" w:rsidRPr="00D04898" w:rsidRDefault="0090286E" w:rsidP="00AB38B4">
            <w:pPr>
              <w:pStyle w:val="TableBodyText"/>
              <w:rPr>
                <w:sz w:val="18"/>
                <w:szCs w:val="18"/>
              </w:rPr>
            </w:pPr>
            <w:r w:rsidRPr="00D04898">
              <w:rPr>
                <w:sz w:val="18"/>
                <w:szCs w:val="18"/>
              </w:rPr>
              <w:t>&lt;0.1</w:t>
            </w:r>
          </w:p>
        </w:tc>
        <w:tc>
          <w:tcPr>
            <w:tcW w:w="507" w:type="pct"/>
            <w:vAlign w:val="bottom"/>
          </w:tcPr>
          <w:p w:rsidR="0090286E" w:rsidRPr="00D04898" w:rsidRDefault="0090286E" w:rsidP="00AB38B4">
            <w:pPr>
              <w:pStyle w:val="TableBodyText"/>
              <w:rPr>
                <w:sz w:val="18"/>
                <w:szCs w:val="18"/>
              </w:rPr>
            </w:pPr>
            <w:r w:rsidRPr="00D04898">
              <w:rPr>
                <w:sz w:val="18"/>
                <w:szCs w:val="18"/>
              </w:rPr>
              <w:noBreakHyphen/>
            </w:r>
          </w:p>
        </w:tc>
        <w:tc>
          <w:tcPr>
            <w:tcW w:w="507" w:type="pct"/>
            <w:vAlign w:val="bottom"/>
          </w:tcPr>
          <w:p w:rsidR="0090286E" w:rsidRPr="00D04898" w:rsidRDefault="0090286E" w:rsidP="00AB38B4">
            <w:pPr>
              <w:pStyle w:val="TableBodyText"/>
              <w:rPr>
                <w:sz w:val="18"/>
                <w:szCs w:val="18"/>
              </w:rPr>
            </w:pPr>
            <w:r w:rsidRPr="00D04898">
              <w:rPr>
                <w:sz w:val="18"/>
                <w:szCs w:val="18"/>
              </w:rPr>
              <w:noBreakHyphen/>
            </w:r>
          </w:p>
        </w:tc>
        <w:tc>
          <w:tcPr>
            <w:tcW w:w="507" w:type="pct"/>
            <w:vAlign w:val="bottom"/>
          </w:tcPr>
          <w:p w:rsidR="0090286E" w:rsidRPr="00D04898" w:rsidRDefault="0090286E" w:rsidP="00AB38B4">
            <w:pPr>
              <w:pStyle w:val="TableBodyText"/>
              <w:rPr>
                <w:sz w:val="18"/>
                <w:szCs w:val="18"/>
              </w:rPr>
            </w:pPr>
            <w:r w:rsidRPr="00D04898">
              <w:rPr>
                <w:sz w:val="18"/>
                <w:szCs w:val="18"/>
              </w:rPr>
              <w:noBreakHyphen/>
            </w:r>
          </w:p>
        </w:tc>
        <w:tc>
          <w:tcPr>
            <w:tcW w:w="507" w:type="pct"/>
            <w:shd w:val="clear" w:color="auto" w:fill="auto"/>
            <w:vAlign w:val="bottom"/>
          </w:tcPr>
          <w:p w:rsidR="0090286E" w:rsidRPr="00D04898" w:rsidRDefault="0090286E" w:rsidP="00AB38B4">
            <w:pPr>
              <w:pStyle w:val="TableBodyText"/>
              <w:rPr>
                <w:sz w:val="18"/>
                <w:szCs w:val="18"/>
              </w:rPr>
            </w:pPr>
            <w:r w:rsidRPr="00D04898">
              <w:rPr>
                <w:sz w:val="18"/>
                <w:szCs w:val="18"/>
              </w:rPr>
              <w:noBreakHyphen/>
            </w:r>
          </w:p>
        </w:tc>
        <w:tc>
          <w:tcPr>
            <w:tcW w:w="505" w:type="pct"/>
            <w:shd w:val="clear" w:color="auto" w:fill="auto"/>
            <w:vAlign w:val="bottom"/>
          </w:tcPr>
          <w:p w:rsidR="0090286E" w:rsidRPr="00D04898" w:rsidRDefault="0090286E" w:rsidP="00AB38B4">
            <w:pPr>
              <w:pStyle w:val="TableBodyText"/>
              <w:rPr>
                <w:sz w:val="18"/>
                <w:szCs w:val="18"/>
              </w:rPr>
            </w:pPr>
            <w:r w:rsidRPr="00D04898">
              <w:rPr>
                <w:sz w:val="18"/>
                <w:szCs w:val="18"/>
              </w:rPr>
              <w:noBreakHyphen/>
            </w:r>
          </w:p>
        </w:tc>
      </w:tr>
      <w:tr w:rsidR="0090286E" w:rsidRPr="00A21884" w:rsidTr="00AB38B4">
        <w:tc>
          <w:tcPr>
            <w:tcW w:w="1960" w:type="pct"/>
            <w:vAlign w:val="bottom"/>
          </w:tcPr>
          <w:p w:rsidR="0090286E" w:rsidRPr="00D04898" w:rsidRDefault="0090286E" w:rsidP="00AB38B4">
            <w:pPr>
              <w:pStyle w:val="TableBodyText"/>
              <w:jc w:val="left"/>
              <w:rPr>
                <w:b/>
                <w:sz w:val="18"/>
                <w:szCs w:val="18"/>
              </w:rPr>
            </w:pPr>
            <w:r w:rsidRPr="00D04898">
              <w:rPr>
                <w:b/>
                <w:sz w:val="18"/>
                <w:szCs w:val="18"/>
              </w:rPr>
              <w:t>Manufacturing</w:t>
            </w:r>
          </w:p>
        </w:tc>
        <w:tc>
          <w:tcPr>
            <w:tcW w:w="507" w:type="pct"/>
            <w:vAlign w:val="bottom"/>
          </w:tcPr>
          <w:p w:rsidR="0090286E" w:rsidRPr="00D04898" w:rsidRDefault="0090286E" w:rsidP="00AB38B4">
            <w:pPr>
              <w:pStyle w:val="TableBodyText"/>
              <w:rPr>
                <w:b/>
                <w:sz w:val="18"/>
                <w:szCs w:val="18"/>
              </w:rPr>
            </w:pPr>
            <w:r w:rsidRPr="00D04898">
              <w:rPr>
                <w:b/>
                <w:sz w:val="18"/>
                <w:szCs w:val="18"/>
              </w:rPr>
              <w:t>0.2</w:t>
            </w:r>
          </w:p>
        </w:tc>
        <w:tc>
          <w:tcPr>
            <w:tcW w:w="507" w:type="pct"/>
            <w:vAlign w:val="bottom"/>
          </w:tcPr>
          <w:p w:rsidR="0090286E" w:rsidRPr="00D04898" w:rsidRDefault="0090286E" w:rsidP="00AB38B4">
            <w:pPr>
              <w:pStyle w:val="TableBodyText"/>
              <w:rPr>
                <w:b/>
                <w:sz w:val="18"/>
                <w:szCs w:val="18"/>
              </w:rPr>
            </w:pPr>
            <w:r w:rsidRPr="00D04898">
              <w:rPr>
                <w:b/>
                <w:sz w:val="18"/>
                <w:szCs w:val="18"/>
              </w:rPr>
              <w:noBreakHyphen/>
            </w:r>
          </w:p>
        </w:tc>
        <w:tc>
          <w:tcPr>
            <w:tcW w:w="507" w:type="pct"/>
            <w:vAlign w:val="bottom"/>
          </w:tcPr>
          <w:p w:rsidR="0090286E" w:rsidRPr="00D04898" w:rsidRDefault="0090286E" w:rsidP="00AB38B4">
            <w:pPr>
              <w:pStyle w:val="TableBodyText"/>
              <w:rPr>
                <w:b/>
                <w:sz w:val="18"/>
                <w:szCs w:val="18"/>
              </w:rPr>
            </w:pPr>
            <w:r w:rsidRPr="00D04898">
              <w:rPr>
                <w:b/>
                <w:sz w:val="18"/>
                <w:szCs w:val="18"/>
              </w:rPr>
              <w:noBreakHyphen/>
            </w:r>
          </w:p>
        </w:tc>
        <w:tc>
          <w:tcPr>
            <w:tcW w:w="507" w:type="pct"/>
            <w:vAlign w:val="bottom"/>
          </w:tcPr>
          <w:p w:rsidR="0090286E" w:rsidRPr="00D04898" w:rsidRDefault="0090286E" w:rsidP="00AB38B4">
            <w:pPr>
              <w:pStyle w:val="TableBodyText"/>
              <w:rPr>
                <w:b/>
                <w:sz w:val="18"/>
                <w:szCs w:val="18"/>
              </w:rPr>
            </w:pPr>
            <w:r w:rsidRPr="00D04898">
              <w:rPr>
                <w:b/>
                <w:sz w:val="18"/>
                <w:szCs w:val="18"/>
              </w:rPr>
              <w:noBreakHyphen/>
            </w:r>
          </w:p>
        </w:tc>
        <w:tc>
          <w:tcPr>
            <w:tcW w:w="507" w:type="pct"/>
            <w:shd w:val="clear" w:color="auto" w:fill="auto"/>
            <w:vAlign w:val="bottom"/>
          </w:tcPr>
          <w:p w:rsidR="0090286E" w:rsidRPr="00D04898" w:rsidRDefault="0090286E" w:rsidP="00AB38B4">
            <w:pPr>
              <w:pStyle w:val="TableBodyText"/>
              <w:rPr>
                <w:b/>
                <w:sz w:val="18"/>
                <w:szCs w:val="18"/>
              </w:rPr>
            </w:pPr>
            <w:r w:rsidRPr="00D04898">
              <w:rPr>
                <w:b/>
                <w:sz w:val="18"/>
                <w:szCs w:val="18"/>
              </w:rPr>
              <w:noBreakHyphen/>
            </w:r>
          </w:p>
        </w:tc>
        <w:tc>
          <w:tcPr>
            <w:tcW w:w="505" w:type="pct"/>
            <w:shd w:val="clear" w:color="auto" w:fill="auto"/>
            <w:vAlign w:val="bottom"/>
          </w:tcPr>
          <w:p w:rsidR="0090286E" w:rsidRPr="00D04898" w:rsidRDefault="0090286E" w:rsidP="00AB38B4">
            <w:pPr>
              <w:pStyle w:val="TableBodyText"/>
              <w:rPr>
                <w:b/>
                <w:sz w:val="18"/>
                <w:szCs w:val="18"/>
              </w:rPr>
            </w:pPr>
            <w:r w:rsidRPr="00D04898">
              <w:rPr>
                <w:b/>
                <w:sz w:val="18"/>
                <w:szCs w:val="18"/>
              </w:rPr>
              <w:noBreakHyphen/>
            </w:r>
          </w:p>
        </w:tc>
      </w:tr>
      <w:tr w:rsidR="0090286E" w:rsidRPr="00A21884" w:rsidTr="00AB38B4">
        <w:tc>
          <w:tcPr>
            <w:tcW w:w="1960" w:type="pct"/>
            <w:vAlign w:val="bottom"/>
          </w:tcPr>
          <w:p w:rsidR="0090286E" w:rsidRPr="00D04898" w:rsidRDefault="0090286E" w:rsidP="00AB38B4">
            <w:pPr>
              <w:pStyle w:val="TableBodyText"/>
              <w:jc w:val="left"/>
              <w:rPr>
                <w:sz w:val="18"/>
                <w:szCs w:val="18"/>
              </w:rPr>
            </w:pPr>
            <w:r w:rsidRPr="00D04898">
              <w:rPr>
                <w:sz w:val="18"/>
                <w:szCs w:val="18"/>
              </w:rPr>
              <w:t>Petroleum, coal, chemical and rubber products</w:t>
            </w:r>
          </w:p>
        </w:tc>
        <w:tc>
          <w:tcPr>
            <w:tcW w:w="507" w:type="pct"/>
            <w:vAlign w:val="bottom"/>
          </w:tcPr>
          <w:p w:rsidR="0090286E" w:rsidRPr="00D04898" w:rsidRDefault="0090286E" w:rsidP="00AB38B4">
            <w:pPr>
              <w:pStyle w:val="TableBodyText"/>
              <w:rPr>
                <w:sz w:val="18"/>
                <w:szCs w:val="18"/>
              </w:rPr>
            </w:pPr>
            <w:r w:rsidRPr="00D04898">
              <w:rPr>
                <w:sz w:val="18"/>
                <w:szCs w:val="18"/>
              </w:rPr>
              <w:t>0.1</w:t>
            </w:r>
          </w:p>
        </w:tc>
        <w:tc>
          <w:tcPr>
            <w:tcW w:w="507" w:type="pct"/>
            <w:vAlign w:val="bottom"/>
          </w:tcPr>
          <w:p w:rsidR="0090286E" w:rsidRPr="00D04898" w:rsidRDefault="0090286E" w:rsidP="00AB38B4">
            <w:pPr>
              <w:pStyle w:val="TableBodyText"/>
              <w:rPr>
                <w:sz w:val="18"/>
                <w:szCs w:val="18"/>
              </w:rPr>
            </w:pPr>
            <w:r w:rsidRPr="00D04898">
              <w:rPr>
                <w:sz w:val="18"/>
                <w:szCs w:val="18"/>
              </w:rPr>
              <w:noBreakHyphen/>
            </w:r>
          </w:p>
        </w:tc>
        <w:tc>
          <w:tcPr>
            <w:tcW w:w="507" w:type="pct"/>
            <w:vAlign w:val="bottom"/>
          </w:tcPr>
          <w:p w:rsidR="0090286E" w:rsidRPr="00D04898" w:rsidRDefault="0090286E" w:rsidP="00AB38B4">
            <w:pPr>
              <w:pStyle w:val="TableBodyText"/>
              <w:rPr>
                <w:sz w:val="18"/>
                <w:szCs w:val="18"/>
              </w:rPr>
            </w:pPr>
            <w:r w:rsidRPr="00D04898">
              <w:rPr>
                <w:sz w:val="18"/>
                <w:szCs w:val="18"/>
              </w:rPr>
              <w:noBreakHyphen/>
            </w:r>
          </w:p>
        </w:tc>
        <w:tc>
          <w:tcPr>
            <w:tcW w:w="507" w:type="pct"/>
            <w:vAlign w:val="bottom"/>
          </w:tcPr>
          <w:p w:rsidR="0090286E" w:rsidRPr="00D04898" w:rsidRDefault="0090286E" w:rsidP="00AB38B4">
            <w:pPr>
              <w:pStyle w:val="TableBodyText"/>
              <w:rPr>
                <w:sz w:val="18"/>
                <w:szCs w:val="18"/>
              </w:rPr>
            </w:pPr>
            <w:r w:rsidRPr="00D04898">
              <w:rPr>
                <w:sz w:val="18"/>
                <w:szCs w:val="18"/>
              </w:rPr>
              <w:noBreakHyphen/>
            </w:r>
          </w:p>
        </w:tc>
        <w:tc>
          <w:tcPr>
            <w:tcW w:w="507" w:type="pct"/>
            <w:shd w:val="clear" w:color="auto" w:fill="auto"/>
            <w:vAlign w:val="bottom"/>
          </w:tcPr>
          <w:p w:rsidR="0090286E" w:rsidRPr="00D04898" w:rsidRDefault="0090286E" w:rsidP="00AB38B4">
            <w:pPr>
              <w:pStyle w:val="TableBodyText"/>
              <w:rPr>
                <w:sz w:val="18"/>
                <w:szCs w:val="18"/>
              </w:rPr>
            </w:pPr>
            <w:r w:rsidRPr="00D04898">
              <w:rPr>
                <w:sz w:val="18"/>
                <w:szCs w:val="18"/>
              </w:rPr>
              <w:noBreakHyphen/>
            </w:r>
          </w:p>
        </w:tc>
        <w:tc>
          <w:tcPr>
            <w:tcW w:w="505" w:type="pct"/>
            <w:shd w:val="clear" w:color="auto" w:fill="auto"/>
            <w:vAlign w:val="bottom"/>
          </w:tcPr>
          <w:p w:rsidR="0090286E" w:rsidRPr="00D04898" w:rsidRDefault="0090286E" w:rsidP="00AB38B4">
            <w:pPr>
              <w:pStyle w:val="TableBodyText"/>
              <w:rPr>
                <w:sz w:val="18"/>
                <w:szCs w:val="18"/>
              </w:rPr>
            </w:pPr>
            <w:r w:rsidRPr="00D04898">
              <w:rPr>
                <w:sz w:val="18"/>
                <w:szCs w:val="18"/>
              </w:rPr>
              <w:noBreakHyphen/>
            </w:r>
          </w:p>
        </w:tc>
      </w:tr>
      <w:tr w:rsidR="0090286E" w:rsidRPr="00A21884" w:rsidTr="00AB38B4">
        <w:tc>
          <w:tcPr>
            <w:tcW w:w="1960" w:type="pct"/>
            <w:vAlign w:val="bottom"/>
          </w:tcPr>
          <w:p w:rsidR="0090286E" w:rsidRPr="00D04898" w:rsidRDefault="0090286E" w:rsidP="00AB38B4">
            <w:pPr>
              <w:pStyle w:val="TableBodyText"/>
              <w:jc w:val="left"/>
              <w:rPr>
                <w:sz w:val="18"/>
                <w:szCs w:val="18"/>
              </w:rPr>
            </w:pPr>
            <w:r w:rsidRPr="00D04898">
              <w:rPr>
                <w:sz w:val="18"/>
                <w:szCs w:val="18"/>
              </w:rPr>
              <w:t>Machinery and equipment manufacturing</w:t>
            </w:r>
          </w:p>
        </w:tc>
        <w:tc>
          <w:tcPr>
            <w:tcW w:w="507" w:type="pct"/>
            <w:vAlign w:val="bottom"/>
          </w:tcPr>
          <w:p w:rsidR="0090286E" w:rsidRPr="00D04898" w:rsidRDefault="0090286E" w:rsidP="00AB38B4">
            <w:pPr>
              <w:pStyle w:val="TableBodyText"/>
              <w:rPr>
                <w:sz w:val="18"/>
                <w:szCs w:val="18"/>
              </w:rPr>
            </w:pPr>
            <w:r w:rsidRPr="00D04898">
              <w:rPr>
                <w:sz w:val="18"/>
                <w:szCs w:val="18"/>
              </w:rPr>
              <w:t>&lt;0.1</w:t>
            </w:r>
          </w:p>
        </w:tc>
        <w:tc>
          <w:tcPr>
            <w:tcW w:w="507" w:type="pct"/>
            <w:vAlign w:val="bottom"/>
          </w:tcPr>
          <w:p w:rsidR="0090286E" w:rsidRPr="00D04898" w:rsidRDefault="0090286E" w:rsidP="00AB38B4">
            <w:pPr>
              <w:pStyle w:val="TableBodyText"/>
              <w:rPr>
                <w:sz w:val="18"/>
                <w:szCs w:val="18"/>
              </w:rPr>
            </w:pPr>
            <w:r w:rsidRPr="00D04898">
              <w:rPr>
                <w:sz w:val="18"/>
                <w:szCs w:val="18"/>
              </w:rPr>
              <w:noBreakHyphen/>
            </w:r>
          </w:p>
        </w:tc>
        <w:tc>
          <w:tcPr>
            <w:tcW w:w="507" w:type="pct"/>
            <w:vAlign w:val="bottom"/>
          </w:tcPr>
          <w:p w:rsidR="0090286E" w:rsidRPr="00D04898" w:rsidRDefault="0090286E" w:rsidP="00AB38B4">
            <w:pPr>
              <w:pStyle w:val="TableBodyText"/>
              <w:rPr>
                <w:sz w:val="18"/>
                <w:szCs w:val="18"/>
              </w:rPr>
            </w:pPr>
            <w:r w:rsidRPr="00D04898">
              <w:rPr>
                <w:sz w:val="18"/>
                <w:szCs w:val="18"/>
              </w:rPr>
              <w:noBreakHyphen/>
            </w:r>
          </w:p>
        </w:tc>
        <w:tc>
          <w:tcPr>
            <w:tcW w:w="507" w:type="pct"/>
            <w:vAlign w:val="bottom"/>
          </w:tcPr>
          <w:p w:rsidR="0090286E" w:rsidRPr="00D04898" w:rsidRDefault="0090286E" w:rsidP="00AB38B4">
            <w:pPr>
              <w:pStyle w:val="TableBodyText"/>
              <w:rPr>
                <w:sz w:val="18"/>
                <w:szCs w:val="18"/>
              </w:rPr>
            </w:pPr>
            <w:r w:rsidRPr="00D04898">
              <w:rPr>
                <w:sz w:val="18"/>
                <w:szCs w:val="18"/>
              </w:rPr>
              <w:noBreakHyphen/>
            </w:r>
          </w:p>
        </w:tc>
        <w:tc>
          <w:tcPr>
            <w:tcW w:w="507" w:type="pct"/>
            <w:shd w:val="clear" w:color="auto" w:fill="auto"/>
            <w:vAlign w:val="bottom"/>
          </w:tcPr>
          <w:p w:rsidR="0090286E" w:rsidRPr="00D04898" w:rsidRDefault="0090286E" w:rsidP="00AB38B4">
            <w:pPr>
              <w:pStyle w:val="TableBodyText"/>
              <w:rPr>
                <w:sz w:val="18"/>
                <w:szCs w:val="18"/>
              </w:rPr>
            </w:pPr>
            <w:r w:rsidRPr="00D04898">
              <w:rPr>
                <w:sz w:val="18"/>
                <w:szCs w:val="18"/>
              </w:rPr>
              <w:noBreakHyphen/>
            </w:r>
          </w:p>
        </w:tc>
        <w:tc>
          <w:tcPr>
            <w:tcW w:w="505" w:type="pct"/>
            <w:shd w:val="clear" w:color="auto" w:fill="auto"/>
            <w:vAlign w:val="bottom"/>
          </w:tcPr>
          <w:p w:rsidR="0090286E" w:rsidRPr="00D04898" w:rsidRDefault="0090286E" w:rsidP="00AB38B4">
            <w:pPr>
              <w:pStyle w:val="TableBodyText"/>
              <w:rPr>
                <w:sz w:val="18"/>
                <w:szCs w:val="18"/>
              </w:rPr>
            </w:pPr>
            <w:r w:rsidRPr="00D04898">
              <w:rPr>
                <w:sz w:val="18"/>
                <w:szCs w:val="18"/>
              </w:rPr>
              <w:noBreakHyphen/>
            </w:r>
          </w:p>
        </w:tc>
      </w:tr>
      <w:tr w:rsidR="0090286E" w:rsidRPr="00A21884" w:rsidTr="00AB38B4">
        <w:tc>
          <w:tcPr>
            <w:tcW w:w="1960" w:type="pct"/>
            <w:vAlign w:val="bottom"/>
          </w:tcPr>
          <w:p w:rsidR="0090286E" w:rsidRPr="00D04898" w:rsidRDefault="0090286E" w:rsidP="00AB38B4">
            <w:pPr>
              <w:pStyle w:val="TableBodyText"/>
              <w:jc w:val="left"/>
              <w:rPr>
                <w:sz w:val="18"/>
                <w:szCs w:val="18"/>
              </w:rPr>
            </w:pPr>
            <w:r w:rsidRPr="00D04898">
              <w:rPr>
                <w:sz w:val="18"/>
                <w:szCs w:val="18"/>
              </w:rPr>
              <w:t>Furniture and other manufacturing</w:t>
            </w:r>
          </w:p>
        </w:tc>
        <w:tc>
          <w:tcPr>
            <w:tcW w:w="507" w:type="pct"/>
            <w:vAlign w:val="bottom"/>
          </w:tcPr>
          <w:p w:rsidR="0090286E" w:rsidRPr="00D04898" w:rsidRDefault="0090286E" w:rsidP="00AB38B4">
            <w:pPr>
              <w:pStyle w:val="TableBodyText"/>
              <w:rPr>
                <w:sz w:val="18"/>
                <w:szCs w:val="18"/>
              </w:rPr>
            </w:pPr>
            <w:r w:rsidRPr="00D04898">
              <w:rPr>
                <w:sz w:val="18"/>
                <w:szCs w:val="18"/>
              </w:rPr>
              <w:t>&lt;0.1</w:t>
            </w:r>
          </w:p>
        </w:tc>
        <w:tc>
          <w:tcPr>
            <w:tcW w:w="507" w:type="pct"/>
            <w:vAlign w:val="bottom"/>
          </w:tcPr>
          <w:p w:rsidR="0090286E" w:rsidRPr="00D04898" w:rsidRDefault="0090286E" w:rsidP="00AB38B4">
            <w:pPr>
              <w:pStyle w:val="TableBodyText"/>
              <w:rPr>
                <w:sz w:val="18"/>
                <w:szCs w:val="18"/>
              </w:rPr>
            </w:pPr>
            <w:r w:rsidRPr="00D04898">
              <w:rPr>
                <w:sz w:val="18"/>
                <w:szCs w:val="18"/>
              </w:rPr>
              <w:noBreakHyphen/>
            </w:r>
          </w:p>
        </w:tc>
        <w:tc>
          <w:tcPr>
            <w:tcW w:w="507" w:type="pct"/>
            <w:vAlign w:val="bottom"/>
          </w:tcPr>
          <w:p w:rsidR="0090286E" w:rsidRPr="00D04898" w:rsidRDefault="0090286E" w:rsidP="00AB38B4">
            <w:pPr>
              <w:pStyle w:val="TableBodyText"/>
              <w:rPr>
                <w:sz w:val="18"/>
                <w:szCs w:val="18"/>
              </w:rPr>
            </w:pPr>
            <w:r w:rsidRPr="00D04898">
              <w:rPr>
                <w:sz w:val="18"/>
                <w:szCs w:val="18"/>
              </w:rPr>
              <w:noBreakHyphen/>
            </w:r>
          </w:p>
        </w:tc>
        <w:tc>
          <w:tcPr>
            <w:tcW w:w="507" w:type="pct"/>
            <w:vAlign w:val="bottom"/>
          </w:tcPr>
          <w:p w:rsidR="0090286E" w:rsidRPr="00D04898" w:rsidRDefault="0090286E" w:rsidP="00AB38B4">
            <w:pPr>
              <w:pStyle w:val="TableBodyText"/>
              <w:rPr>
                <w:sz w:val="18"/>
                <w:szCs w:val="18"/>
              </w:rPr>
            </w:pPr>
            <w:r w:rsidRPr="00D04898">
              <w:rPr>
                <w:sz w:val="18"/>
                <w:szCs w:val="18"/>
              </w:rPr>
              <w:noBreakHyphen/>
            </w:r>
          </w:p>
        </w:tc>
        <w:tc>
          <w:tcPr>
            <w:tcW w:w="507" w:type="pct"/>
            <w:shd w:val="clear" w:color="auto" w:fill="auto"/>
            <w:vAlign w:val="bottom"/>
          </w:tcPr>
          <w:p w:rsidR="0090286E" w:rsidRPr="00D04898" w:rsidRDefault="0090286E" w:rsidP="00AB38B4">
            <w:pPr>
              <w:pStyle w:val="TableBodyText"/>
              <w:rPr>
                <w:sz w:val="18"/>
                <w:szCs w:val="18"/>
              </w:rPr>
            </w:pPr>
            <w:r w:rsidRPr="00D04898">
              <w:rPr>
                <w:sz w:val="18"/>
                <w:szCs w:val="18"/>
              </w:rPr>
              <w:noBreakHyphen/>
            </w:r>
          </w:p>
        </w:tc>
        <w:tc>
          <w:tcPr>
            <w:tcW w:w="505" w:type="pct"/>
            <w:shd w:val="clear" w:color="auto" w:fill="auto"/>
            <w:vAlign w:val="bottom"/>
          </w:tcPr>
          <w:p w:rsidR="0090286E" w:rsidRPr="00D04898" w:rsidRDefault="0090286E" w:rsidP="00AB38B4">
            <w:pPr>
              <w:pStyle w:val="TableBodyText"/>
              <w:rPr>
                <w:sz w:val="18"/>
                <w:szCs w:val="18"/>
              </w:rPr>
            </w:pPr>
            <w:r w:rsidRPr="00D04898">
              <w:rPr>
                <w:sz w:val="18"/>
                <w:szCs w:val="18"/>
              </w:rPr>
              <w:noBreakHyphen/>
            </w:r>
          </w:p>
        </w:tc>
      </w:tr>
      <w:tr w:rsidR="0090286E" w:rsidRPr="00A21884" w:rsidTr="00AB38B4">
        <w:tc>
          <w:tcPr>
            <w:tcW w:w="1960" w:type="pct"/>
            <w:vAlign w:val="bottom"/>
          </w:tcPr>
          <w:p w:rsidR="0090286E" w:rsidRPr="00D04898" w:rsidRDefault="0090286E" w:rsidP="00AB38B4">
            <w:pPr>
              <w:pStyle w:val="TableBodyText"/>
              <w:jc w:val="left"/>
              <w:rPr>
                <w:b/>
                <w:sz w:val="18"/>
                <w:szCs w:val="18"/>
              </w:rPr>
            </w:pPr>
            <w:r w:rsidRPr="00D04898">
              <w:rPr>
                <w:b/>
                <w:sz w:val="18"/>
                <w:szCs w:val="18"/>
              </w:rPr>
              <w:t>Services</w:t>
            </w:r>
          </w:p>
        </w:tc>
        <w:tc>
          <w:tcPr>
            <w:tcW w:w="507" w:type="pct"/>
            <w:vAlign w:val="bottom"/>
          </w:tcPr>
          <w:p w:rsidR="0090286E" w:rsidRPr="00D04898" w:rsidRDefault="0090286E" w:rsidP="00AB38B4">
            <w:pPr>
              <w:pStyle w:val="TableBodyText"/>
              <w:rPr>
                <w:b/>
                <w:sz w:val="18"/>
                <w:szCs w:val="18"/>
              </w:rPr>
            </w:pPr>
            <w:r w:rsidRPr="00D04898">
              <w:rPr>
                <w:b/>
                <w:sz w:val="18"/>
                <w:szCs w:val="18"/>
              </w:rPr>
              <w:t>0.2</w:t>
            </w:r>
          </w:p>
        </w:tc>
        <w:tc>
          <w:tcPr>
            <w:tcW w:w="507" w:type="pct"/>
            <w:vAlign w:val="bottom"/>
          </w:tcPr>
          <w:p w:rsidR="0090286E" w:rsidRPr="00D04898" w:rsidRDefault="0090286E" w:rsidP="00AB38B4">
            <w:pPr>
              <w:pStyle w:val="TableBodyText"/>
              <w:rPr>
                <w:b/>
                <w:sz w:val="18"/>
                <w:szCs w:val="18"/>
              </w:rPr>
            </w:pPr>
            <w:r w:rsidRPr="00D04898">
              <w:rPr>
                <w:b/>
                <w:sz w:val="18"/>
                <w:szCs w:val="18"/>
              </w:rPr>
              <w:noBreakHyphen/>
            </w:r>
          </w:p>
        </w:tc>
        <w:tc>
          <w:tcPr>
            <w:tcW w:w="507" w:type="pct"/>
            <w:vAlign w:val="bottom"/>
          </w:tcPr>
          <w:p w:rsidR="0090286E" w:rsidRPr="00D04898" w:rsidRDefault="0090286E" w:rsidP="00AB38B4">
            <w:pPr>
              <w:pStyle w:val="TableBodyText"/>
              <w:rPr>
                <w:b/>
                <w:sz w:val="18"/>
                <w:szCs w:val="18"/>
              </w:rPr>
            </w:pPr>
            <w:r w:rsidRPr="00D04898">
              <w:rPr>
                <w:b/>
                <w:sz w:val="18"/>
                <w:szCs w:val="18"/>
              </w:rPr>
              <w:noBreakHyphen/>
            </w:r>
          </w:p>
        </w:tc>
        <w:tc>
          <w:tcPr>
            <w:tcW w:w="507" w:type="pct"/>
            <w:vAlign w:val="bottom"/>
          </w:tcPr>
          <w:p w:rsidR="0090286E" w:rsidRPr="00D04898" w:rsidRDefault="0090286E" w:rsidP="00AB38B4">
            <w:pPr>
              <w:pStyle w:val="TableBodyText"/>
              <w:rPr>
                <w:b/>
                <w:sz w:val="18"/>
                <w:szCs w:val="18"/>
              </w:rPr>
            </w:pPr>
            <w:r w:rsidRPr="00D04898">
              <w:rPr>
                <w:b/>
                <w:sz w:val="18"/>
                <w:szCs w:val="18"/>
              </w:rPr>
              <w:noBreakHyphen/>
            </w:r>
          </w:p>
        </w:tc>
        <w:tc>
          <w:tcPr>
            <w:tcW w:w="507" w:type="pct"/>
            <w:shd w:val="clear" w:color="auto" w:fill="auto"/>
            <w:vAlign w:val="bottom"/>
          </w:tcPr>
          <w:p w:rsidR="0090286E" w:rsidRPr="00D04898" w:rsidRDefault="0090286E" w:rsidP="00AB38B4">
            <w:pPr>
              <w:pStyle w:val="TableBodyText"/>
              <w:rPr>
                <w:b/>
                <w:sz w:val="18"/>
                <w:szCs w:val="18"/>
              </w:rPr>
            </w:pPr>
            <w:r w:rsidRPr="00D04898">
              <w:rPr>
                <w:b/>
                <w:sz w:val="18"/>
                <w:szCs w:val="18"/>
              </w:rPr>
              <w:noBreakHyphen/>
            </w:r>
          </w:p>
        </w:tc>
        <w:tc>
          <w:tcPr>
            <w:tcW w:w="505" w:type="pct"/>
            <w:shd w:val="clear" w:color="auto" w:fill="auto"/>
            <w:vAlign w:val="bottom"/>
          </w:tcPr>
          <w:p w:rsidR="0090286E" w:rsidRPr="00D04898" w:rsidRDefault="0090286E" w:rsidP="00AB38B4">
            <w:pPr>
              <w:pStyle w:val="TableBodyText"/>
              <w:rPr>
                <w:b/>
                <w:sz w:val="18"/>
                <w:szCs w:val="18"/>
              </w:rPr>
            </w:pPr>
            <w:r w:rsidRPr="00D04898">
              <w:rPr>
                <w:b/>
                <w:sz w:val="18"/>
                <w:szCs w:val="18"/>
              </w:rPr>
              <w:noBreakHyphen/>
            </w:r>
          </w:p>
        </w:tc>
      </w:tr>
      <w:tr w:rsidR="0090286E" w:rsidRPr="00A21884" w:rsidTr="00AB38B4">
        <w:tc>
          <w:tcPr>
            <w:tcW w:w="1960" w:type="pct"/>
            <w:vAlign w:val="bottom"/>
          </w:tcPr>
          <w:p w:rsidR="0090286E" w:rsidRPr="00D04898" w:rsidRDefault="0090286E" w:rsidP="00AB38B4">
            <w:pPr>
              <w:pStyle w:val="TableBodyText"/>
              <w:jc w:val="left"/>
              <w:rPr>
                <w:sz w:val="18"/>
                <w:szCs w:val="18"/>
              </w:rPr>
            </w:pPr>
            <w:r w:rsidRPr="00D04898">
              <w:rPr>
                <w:sz w:val="18"/>
                <w:szCs w:val="18"/>
              </w:rPr>
              <w:t>Property, professional and administrative services</w:t>
            </w:r>
          </w:p>
        </w:tc>
        <w:tc>
          <w:tcPr>
            <w:tcW w:w="507" w:type="pct"/>
            <w:vAlign w:val="bottom"/>
          </w:tcPr>
          <w:p w:rsidR="0090286E" w:rsidRPr="00D04898" w:rsidRDefault="0090286E" w:rsidP="00AB38B4">
            <w:pPr>
              <w:pStyle w:val="TableBodyText"/>
              <w:rPr>
                <w:sz w:val="18"/>
                <w:szCs w:val="18"/>
              </w:rPr>
            </w:pPr>
            <w:r w:rsidRPr="00D04898">
              <w:rPr>
                <w:sz w:val="18"/>
                <w:szCs w:val="18"/>
              </w:rPr>
              <w:t>0.2</w:t>
            </w:r>
          </w:p>
        </w:tc>
        <w:tc>
          <w:tcPr>
            <w:tcW w:w="507" w:type="pct"/>
            <w:vAlign w:val="bottom"/>
          </w:tcPr>
          <w:p w:rsidR="0090286E" w:rsidRPr="00D04898" w:rsidRDefault="0090286E" w:rsidP="00AB38B4">
            <w:pPr>
              <w:pStyle w:val="TableBodyText"/>
              <w:rPr>
                <w:sz w:val="18"/>
                <w:szCs w:val="18"/>
              </w:rPr>
            </w:pPr>
            <w:r w:rsidRPr="00D04898">
              <w:rPr>
                <w:sz w:val="18"/>
                <w:szCs w:val="18"/>
              </w:rPr>
              <w:t>&lt;0.1</w:t>
            </w:r>
          </w:p>
        </w:tc>
        <w:tc>
          <w:tcPr>
            <w:tcW w:w="507" w:type="pct"/>
            <w:vAlign w:val="bottom"/>
          </w:tcPr>
          <w:p w:rsidR="0090286E" w:rsidRPr="00D04898" w:rsidRDefault="0090286E" w:rsidP="00AB38B4">
            <w:pPr>
              <w:pStyle w:val="TableBodyText"/>
              <w:rPr>
                <w:sz w:val="18"/>
                <w:szCs w:val="18"/>
              </w:rPr>
            </w:pPr>
            <w:r w:rsidRPr="00D04898">
              <w:rPr>
                <w:sz w:val="18"/>
                <w:szCs w:val="18"/>
              </w:rPr>
              <w:noBreakHyphen/>
            </w:r>
          </w:p>
        </w:tc>
        <w:tc>
          <w:tcPr>
            <w:tcW w:w="507" w:type="pct"/>
            <w:vAlign w:val="bottom"/>
          </w:tcPr>
          <w:p w:rsidR="0090286E" w:rsidRPr="00D04898" w:rsidRDefault="0090286E" w:rsidP="00AB38B4">
            <w:pPr>
              <w:pStyle w:val="TableBodyText"/>
              <w:rPr>
                <w:sz w:val="18"/>
                <w:szCs w:val="18"/>
              </w:rPr>
            </w:pPr>
            <w:r w:rsidRPr="00D04898">
              <w:rPr>
                <w:sz w:val="18"/>
                <w:szCs w:val="18"/>
              </w:rPr>
              <w:noBreakHyphen/>
            </w:r>
          </w:p>
        </w:tc>
        <w:tc>
          <w:tcPr>
            <w:tcW w:w="507" w:type="pct"/>
            <w:shd w:val="clear" w:color="auto" w:fill="auto"/>
            <w:vAlign w:val="bottom"/>
          </w:tcPr>
          <w:p w:rsidR="0090286E" w:rsidRPr="00D04898" w:rsidRDefault="0090286E" w:rsidP="00AB38B4">
            <w:pPr>
              <w:pStyle w:val="TableBodyText"/>
              <w:rPr>
                <w:sz w:val="18"/>
                <w:szCs w:val="18"/>
              </w:rPr>
            </w:pPr>
            <w:r w:rsidRPr="00D04898">
              <w:rPr>
                <w:sz w:val="18"/>
                <w:szCs w:val="18"/>
              </w:rPr>
              <w:noBreakHyphen/>
            </w:r>
          </w:p>
        </w:tc>
        <w:tc>
          <w:tcPr>
            <w:tcW w:w="505" w:type="pct"/>
            <w:shd w:val="clear" w:color="auto" w:fill="auto"/>
            <w:vAlign w:val="bottom"/>
          </w:tcPr>
          <w:p w:rsidR="0090286E" w:rsidRPr="00D04898" w:rsidRDefault="0090286E" w:rsidP="00AB38B4">
            <w:pPr>
              <w:pStyle w:val="TableBodyText"/>
              <w:rPr>
                <w:sz w:val="18"/>
                <w:szCs w:val="18"/>
              </w:rPr>
            </w:pPr>
            <w:r w:rsidRPr="00D04898">
              <w:rPr>
                <w:sz w:val="18"/>
                <w:szCs w:val="18"/>
              </w:rPr>
              <w:noBreakHyphen/>
            </w:r>
          </w:p>
        </w:tc>
      </w:tr>
      <w:tr w:rsidR="0090286E" w:rsidRPr="00A21884" w:rsidTr="00AB38B4">
        <w:tc>
          <w:tcPr>
            <w:tcW w:w="1960" w:type="pct"/>
            <w:vAlign w:val="bottom"/>
          </w:tcPr>
          <w:p w:rsidR="0090286E" w:rsidRPr="00D04898" w:rsidRDefault="0090286E" w:rsidP="00AB38B4">
            <w:pPr>
              <w:pStyle w:val="TableBodyText"/>
              <w:jc w:val="left"/>
              <w:rPr>
                <w:sz w:val="18"/>
                <w:szCs w:val="18"/>
              </w:rPr>
            </w:pPr>
            <w:r w:rsidRPr="00D04898">
              <w:rPr>
                <w:sz w:val="18"/>
                <w:szCs w:val="18"/>
              </w:rPr>
              <w:t>Health care and social assistance</w:t>
            </w:r>
          </w:p>
        </w:tc>
        <w:tc>
          <w:tcPr>
            <w:tcW w:w="507" w:type="pct"/>
            <w:vAlign w:val="bottom"/>
          </w:tcPr>
          <w:p w:rsidR="0090286E" w:rsidRPr="00D04898" w:rsidRDefault="0090286E" w:rsidP="00AB38B4">
            <w:pPr>
              <w:pStyle w:val="TableBodyText"/>
              <w:rPr>
                <w:sz w:val="18"/>
                <w:szCs w:val="18"/>
              </w:rPr>
            </w:pPr>
            <w:r w:rsidRPr="00D04898">
              <w:rPr>
                <w:sz w:val="18"/>
                <w:szCs w:val="18"/>
              </w:rPr>
              <w:t>&lt;0.1</w:t>
            </w:r>
          </w:p>
        </w:tc>
        <w:tc>
          <w:tcPr>
            <w:tcW w:w="507" w:type="pct"/>
            <w:vAlign w:val="bottom"/>
          </w:tcPr>
          <w:p w:rsidR="0090286E" w:rsidRPr="00D04898" w:rsidRDefault="0090286E" w:rsidP="00AB38B4">
            <w:pPr>
              <w:pStyle w:val="TableBodyText"/>
              <w:rPr>
                <w:sz w:val="18"/>
                <w:szCs w:val="18"/>
              </w:rPr>
            </w:pPr>
            <w:r w:rsidRPr="00D04898">
              <w:rPr>
                <w:sz w:val="18"/>
                <w:szCs w:val="18"/>
              </w:rPr>
              <w:noBreakHyphen/>
            </w:r>
          </w:p>
        </w:tc>
        <w:tc>
          <w:tcPr>
            <w:tcW w:w="507" w:type="pct"/>
            <w:vAlign w:val="bottom"/>
          </w:tcPr>
          <w:p w:rsidR="0090286E" w:rsidRPr="00D04898" w:rsidRDefault="0090286E" w:rsidP="00AB38B4">
            <w:pPr>
              <w:pStyle w:val="TableBodyText"/>
              <w:rPr>
                <w:sz w:val="18"/>
                <w:szCs w:val="18"/>
              </w:rPr>
            </w:pPr>
            <w:r w:rsidRPr="00D04898">
              <w:rPr>
                <w:sz w:val="18"/>
                <w:szCs w:val="18"/>
              </w:rPr>
              <w:noBreakHyphen/>
            </w:r>
          </w:p>
        </w:tc>
        <w:tc>
          <w:tcPr>
            <w:tcW w:w="507" w:type="pct"/>
            <w:vAlign w:val="bottom"/>
          </w:tcPr>
          <w:p w:rsidR="0090286E" w:rsidRPr="00D04898" w:rsidRDefault="0090286E" w:rsidP="00AB38B4">
            <w:pPr>
              <w:pStyle w:val="TableBodyText"/>
              <w:rPr>
                <w:sz w:val="18"/>
                <w:szCs w:val="18"/>
              </w:rPr>
            </w:pPr>
            <w:r w:rsidRPr="00D04898">
              <w:rPr>
                <w:sz w:val="18"/>
                <w:szCs w:val="18"/>
              </w:rPr>
              <w:noBreakHyphen/>
            </w:r>
          </w:p>
        </w:tc>
        <w:tc>
          <w:tcPr>
            <w:tcW w:w="507" w:type="pct"/>
            <w:shd w:val="clear" w:color="auto" w:fill="auto"/>
            <w:vAlign w:val="bottom"/>
          </w:tcPr>
          <w:p w:rsidR="0090286E" w:rsidRPr="00D04898" w:rsidRDefault="0090286E" w:rsidP="00AB38B4">
            <w:pPr>
              <w:pStyle w:val="TableBodyText"/>
              <w:rPr>
                <w:sz w:val="18"/>
                <w:szCs w:val="18"/>
              </w:rPr>
            </w:pPr>
            <w:r w:rsidRPr="00D04898">
              <w:rPr>
                <w:sz w:val="18"/>
                <w:szCs w:val="18"/>
              </w:rPr>
              <w:noBreakHyphen/>
            </w:r>
          </w:p>
        </w:tc>
        <w:tc>
          <w:tcPr>
            <w:tcW w:w="505" w:type="pct"/>
            <w:shd w:val="clear" w:color="auto" w:fill="auto"/>
            <w:vAlign w:val="bottom"/>
          </w:tcPr>
          <w:p w:rsidR="0090286E" w:rsidRPr="00D04898" w:rsidRDefault="0090286E" w:rsidP="00AB38B4">
            <w:pPr>
              <w:pStyle w:val="TableBodyText"/>
              <w:rPr>
                <w:sz w:val="18"/>
                <w:szCs w:val="18"/>
              </w:rPr>
            </w:pPr>
            <w:r w:rsidRPr="00D04898">
              <w:rPr>
                <w:sz w:val="18"/>
                <w:szCs w:val="18"/>
              </w:rPr>
              <w:noBreakHyphen/>
            </w:r>
          </w:p>
        </w:tc>
      </w:tr>
      <w:tr w:rsidR="0090286E" w:rsidRPr="00A21884" w:rsidTr="00AB38B4">
        <w:tc>
          <w:tcPr>
            <w:tcW w:w="1960" w:type="pct"/>
            <w:vAlign w:val="bottom"/>
          </w:tcPr>
          <w:p w:rsidR="0090286E" w:rsidRPr="00D04898" w:rsidRDefault="0090286E" w:rsidP="00AB38B4">
            <w:pPr>
              <w:pStyle w:val="TableBodyText"/>
              <w:jc w:val="left"/>
              <w:rPr>
                <w:sz w:val="18"/>
                <w:szCs w:val="18"/>
              </w:rPr>
            </w:pPr>
            <w:r w:rsidRPr="00D04898">
              <w:rPr>
                <w:sz w:val="18"/>
                <w:szCs w:val="18"/>
              </w:rPr>
              <w:t>Unallocated other</w:t>
            </w:r>
            <w:r w:rsidRPr="00D04898">
              <w:rPr>
                <w:rStyle w:val="NoteLabel"/>
                <w:szCs w:val="18"/>
              </w:rPr>
              <w:t>a</w:t>
            </w:r>
          </w:p>
        </w:tc>
        <w:tc>
          <w:tcPr>
            <w:tcW w:w="507" w:type="pct"/>
            <w:vAlign w:val="bottom"/>
          </w:tcPr>
          <w:p w:rsidR="0090286E" w:rsidRPr="00D04898" w:rsidRDefault="0090286E" w:rsidP="00AB38B4">
            <w:pPr>
              <w:pStyle w:val="TableBodyText"/>
              <w:rPr>
                <w:sz w:val="18"/>
                <w:szCs w:val="18"/>
              </w:rPr>
            </w:pPr>
            <w:r w:rsidRPr="00D04898">
              <w:rPr>
                <w:sz w:val="18"/>
                <w:szCs w:val="18"/>
              </w:rPr>
              <w:t>&lt;0.1</w:t>
            </w:r>
          </w:p>
        </w:tc>
        <w:tc>
          <w:tcPr>
            <w:tcW w:w="507" w:type="pct"/>
            <w:vAlign w:val="bottom"/>
          </w:tcPr>
          <w:p w:rsidR="0090286E" w:rsidRPr="00D04898" w:rsidRDefault="0090286E" w:rsidP="00AB38B4">
            <w:pPr>
              <w:pStyle w:val="TableBodyText"/>
              <w:rPr>
                <w:sz w:val="18"/>
                <w:szCs w:val="18"/>
              </w:rPr>
            </w:pPr>
            <w:r w:rsidRPr="00D04898">
              <w:rPr>
                <w:sz w:val="18"/>
                <w:szCs w:val="18"/>
              </w:rPr>
              <w:noBreakHyphen/>
            </w:r>
          </w:p>
        </w:tc>
        <w:tc>
          <w:tcPr>
            <w:tcW w:w="507" w:type="pct"/>
            <w:vAlign w:val="bottom"/>
          </w:tcPr>
          <w:p w:rsidR="0090286E" w:rsidRPr="00D04898" w:rsidRDefault="0090286E" w:rsidP="00AB38B4">
            <w:pPr>
              <w:pStyle w:val="TableBodyText"/>
              <w:rPr>
                <w:sz w:val="18"/>
                <w:szCs w:val="18"/>
              </w:rPr>
            </w:pPr>
            <w:r w:rsidRPr="00D04898">
              <w:rPr>
                <w:sz w:val="18"/>
                <w:szCs w:val="18"/>
              </w:rPr>
              <w:noBreakHyphen/>
            </w:r>
          </w:p>
        </w:tc>
        <w:tc>
          <w:tcPr>
            <w:tcW w:w="507" w:type="pct"/>
            <w:vAlign w:val="bottom"/>
          </w:tcPr>
          <w:p w:rsidR="0090286E" w:rsidRPr="00D04898" w:rsidRDefault="0090286E" w:rsidP="00AB38B4">
            <w:pPr>
              <w:pStyle w:val="TableBodyText"/>
              <w:rPr>
                <w:sz w:val="18"/>
                <w:szCs w:val="18"/>
              </w:rPr>
            </w:pPr>
            <w:r w:rsidRPr="00D04898">
              <w:rPr>
                <w:sz w:val="18"/>
                <w:szCs w:val="18"/>
              </w:rPr>
              <w:noBreakHyphen/>
            </w:r>
          </w:p>
        </w:tc>
        <w:tc>
          <w:tcPr>
            <w:tcW w:w="507" w:type="pct"/>
            <w:shd w:val="clear" w:color="auto" w:fill="auto"/>
            <w:vAlign w:val="bottom"/>
          </w:tcPr>
          <w:p w:rsidR="0090286E" w:rsidRPr="00D04898" w:rsidRDefault="0090286E" w:rsidP="00AB38B4">
            <w:pPr>
              <w:pStyle w:val="TableBodyText"/>
              <w:rPr>
                <w:sz w:val="18"/>
                <w:szCs w:val="18"/>
              </w:rPr>
            </w:pPr>
            <w:r w:rsidRPr="00D04898">
              <w:rPr>
                <w:sz w:val="18"/>
                <w:szCs w:val="18"/>
              </w:rPr>
              <w:noBreakHyphen/>
            </w:r>
          </w:p>
        </w:tc>
        <w:tc>
          <w:tcPr>
            <w:tcW w:w="505" w:type="pct"/>
            <w:shd w:val="clear" w:color="auto" w:fill="auto"/>
            <w:vAlign w:val="bottom"/>
          </w:tcPr>
          <w:p w:rsidR="0090286E" w:rsidRPr="00D04898" w:rsidRDefault="0090286E" w:rsidP="00AB38B4">
            <w:pPr>
              <w:pStyle w:val="TableBodyText"/>
              <w:rPr>
                <w:sz w:val="18"/>
                <w:szCs w:val="18"/>
              </w:rPr>
            </w:pPr>
            <w:r w:rsidRPr="00D04898">
              <w:rPr>
                <w:sz w:val="18"/>
                <w:szCs w:val="18"/>
              </w:rPr>
              <w:noBreakHyphen/>
            </w:r>
          </w:p>
        </w:tc>
      </w:tr>
      <w:tr w:rsidR="0090286E" w:rsidRPr="00A21884" w:rsidTr="00AB38B4">
        <w:tc>
          <w:tcPr>
            <w:tcW w:w="1960" w:type="pct"/>
            <w:tcBorders>
              <w:bottom w:val="single" w:sz="4" w:space="0" w:color="auto"/>
            </w:tcBorders>
            <w:vAlign w:val="bottom"/>
          </w:tcPr>
          <w:p w:rsidR="0090286E" w:rsidRPr="00D04898" w:rsidRDefault="0090286E" w:rsidP="00AB38B4">
            <w:pPr>
              <w:pStyle w:val="TableBodyText"/>
              <w:jc w:val="left"/>
              <w:rPr>
                <w:b/>
                <w:bCs/>
                <w:sz w:val="18"/>
                <w:szCs w:val="18"/>
              </w:rPr>
            </w:pPr>
            <w:r w:rsidRPr="00D04898">
              <w:rPr>
                <w:b/>
                <w:bCs/>
                <w:sz w:val="18"/>
                <w:szCs w:val="18"/>
              </w:rPr>
              <w:t>Total</w:t>
            </w:r>
          </w:p>
        </w:tc>
        <w:tc>
          <w:tcPr>
            <w:tcW w:w="507" w:type="pct"/>
            <w:tcBorders>
              <w:bottom w:val="single" w:sz="4" w:space="0" w:color="auto"/>
            </w:tcBorders>
            <w:vAlign w:val="bottom"/>
          </w:tcPr>
          <w:p w:rsidR="0090286E" w:rsidRPr="00D04898" w:rsidRDefault="0090286E" w:rsidP="00AB38B4">
            <w:pPr>
              <w:pStyle w:val="TableBodyText"/>
              <w:rPr>
                <w:b/>
                <w:sz w:val="18"/>
                <w:szCs w:val="18"/>
              </w:rPr>
            </w:pPr>
            <w:r w:rsidRPr="00D04898">
              <w:rPr>
                <w:b/>
                <w:sz w:val="18"/>
                <w:szCs w:val="18"/>
              </w:rPr>
              <w:t>0.5</w:t>
            </w:r>
          </w:p>
        </w:tc>
        <w:tc>
          <w:tcPr>
            <w:tcW w:w="507" w:type="pct"/>
            <w:tcBorders>
              <w:bottom w:val="single" w:sz="4" w:space="0" w:color="auto"/>
            </w:tcBorders>
            <w:vAlign w:val="bottom"/>
          </w:tcPr>
          <w:p w:rsidR="0090286E" w:rsidRPr="00D04898" w:rsidRDefault="0090286E" w:rsidP="00AB38B4">
            <w:pPr>
              <w:pStyle w:val="TableBodyText"/>
              <w:rPr>
                <w:b/>
                <w:sz w:val="18"/>
                <w:szCs w:val="18"/>
              </w:rPr>
            </w:pPr>
            <w:r w:rsidRPr="00D04898">
              <w:rPr>
                <w:b/>
                <w:sz w:val="18"/>
                <w:szCs w:val="18"/>
              </w:rPr>
              <w:t>&lt;0.1</w:t>
            </w:r>
          </w:p>
        </w:tc>
        <w:tc>
          <w:tcPr>
            <w:tcW w:w="507" w:type="pct"/>
            <w:tcBorders>
              <w:bottom w:val="single" w:sz="4" w:space="0" w:color="auto"/>
            </w:tcBorders>
            <w:vAlign w:val="bottom"/>
          </w:tcPr>
          <w:p w:rsidR="0090286E" w:rsidRPr="00D04898" w:rsidRDefault="0090286E" w:rsidP="00AB38B4">
            <w:pPr>
              <w:pStyle w:val="TableBodyText"/>
              <w:rPr>
                <w:b/>
                <w:sz w:val="18"/>
                <w:szCs w:val="18"/>
              </w:rPr>
            </w:pPr>
            <w:r w:rsidRPr="00D04898">
              <w:rPr>
                <w:b/>
                <w:sz w:val="18"/>
                <w:szCs w:val="18"/>
              </w:rPr>
              <w:noBreakHyphen/>
            </w:r>
          </w:p>
        </w:tc>
        <w:tc>
          <w:tcPr>
            <w:tcW w:w="507" w:type="pct"/>
            <w:tcBorders>
              <w:bottom w:val="single" w:sz="4" w:space="0" w:color="auto"/>
            </w:tcBorders>
            <w:vAlign w:val="bottom"/>
          </w:tcPr>
          <w:p w:rsidR="0090286E" w:rsidRPr="00D04898" w:rsidRDefault="0090286E" w:rsidP="00AB38B4">
            <w:pPr>
              <w:pStyle w:val="TableBodyText"/>
              <w:rPr>
                <w:b/>
                <w:sz w:val="18"/>
                <w:szCs w:val="18"/>
              </w:rPr>
            </w:pPr>
            <w:r w:rsidRPr="00D04898">
              <w:rPr>
                <w:b/>
                <w:sz w:val="18"/>
                <w:szCs w:val="18"/>
              </w:rPr>
              <w:noBreakHyphen/>
            </w:r>
          </w:p>
        </w:tc>
        <w:tc>
          <w:tcPr>
            <w:tcW w:w="507" w:type="pct"/>
            <w:tcBorders>
              <w:bottom w:val="single" w:sz="4" w:space="0" w:color="auto"/>
            </w:tcBorders>
            <w:shd w:val="clear" w:color="auto" w:fill="auto"/>
            <w:vAlign w:val="bottom"/>
          </w:tcPr>
          <w:p w:rsidR="0090286E" w:rsidRPr="00D04898" w:rsidRDefault="0090286E" w:rsidP="00AB38B4">
            <w:pPr>
              <w:pStyle w:val="TableBodyText"/>
              <w:rPr>
                <w:b/>
                <w:sz w:val="18"/>
                <w:szCs w:val="18"/>
              </w:rPr>
            </w:pPr>
            <w:r w:rsidRPr="00D04898">
              <w:rPr>
                <w:b/>
                <w:sz w:val="18"/>
                <w:szCs w:val="18"/>
              </w:rPr>
              <w:noBreakHyphen/>
            </w:r>
          </w:p>
        </w:tc>
        <w:tc>
          <w:tcPr>
            <w:tcW w:w="505" w:type="pct"/>
            <w:tcBorders>
              <w:bottom w:val="single" w:sz="4" w:space="0" w:color="auto"/>
            </w:tcBorders>
            <w:shd w:val="clear" w:color="auto" w:fill="auto"/>
            <w:vAlign w:val="bottom"/>
          </w:tcPr>
          <w:p w:rsidR="0090286E" w:rsidRPr="00D04898" w:rsidRDefault="0090286E" w:rsidP="00AB38B4">
            <w:pPr>
              <w:pStyle w:val="TableBodyText"/>
              <w:rPr>
                <w:b/>
                <w:sz w:val="18"/>
                <w:szCs w:val="18"/>
              </w:rPr>
            </w:pPr>
            <w:r w:rsidRPr="00D04898">
              <w:rPr>
                <w:b/>
                <w:sz w:val="18"/>
                <w:szCs w:val="18"/>
              </w:rPr>
              <w:noBreakHyphen/>
            </w:r>
          </w:p>
        </w:tc>
      </w:tr>
    </w:tbl>
    <w:p w:rsidR="0090286E" w:rsidRDefault="0090286E" w:rsidP="0090286E">
      <w:pPr>
        <w:pStyle w:val="Note"/>
      </w:pPr>
      <w:r w:rsidRPr="00A2379F">
        <w:noBreakHyphen/>
        <w:t xml:space="preserve"> Nil</w:t>
      </w:r>
      <w:r>
        <w:t>.</w:t>
      </w:r>
      <w:r w:rsidRPr="008E77FE">
        <w:rPr>
          <w:rStyle w:val="NoteLabel"/>
        </w:rPr>
        <w:t xml:space="preserve"> a</w:t>
      </w:r>
      <w:r>
        <w:t xml:space="preserve"> </w:t>
      </w:r>
      <w:r w:rsidRPr="009B56F1">
        <w:t>Unallocated includes general programs where detai</w:t>
      </w:r>
      <w:r>
        <w:t>ls of beneficiaries are unknown.</w:t>
      </w:r>
    </w:p>
    <w:p w:rsidR="0090286E" w:rsidRPr="008E77FE" w:rsidRDefault="0090286E" w:rsidP="0090286E">
      <w:pPr>
        <w:pStyle w:val="Source"/>
      </w:pPr>
      <w:r>
        <w:rPr>
          <w:i/>
        </w:rPr>
        <w:t>Source</w:t>
      </w:r>
      <w:r>
        <w:t>: Commission estimates based on detailed Department of Industry, Tourism and Resources data by ANZSIC industry.</w:t>
      </w:r>
    </w:p>
    <w:p w:rsidR="0090286E" w:rsidRDefault="00FA09C3" w:rsidP="0090286E">
      <w:pPr>
        <w:pStyle w:val="Heading2"/>
      </w:pPr>
      <w:r>
        <w:t>A.</w:t>
      </w:r>
      <w:r>
        <w:rPr>
          <w:noProof/>
        </w:rPr>
        <w:t>219</w:t>
      </w:r>
      <w:r w:rsidR="0090286E">
        <w:tab/>
        <w:t>Forest Industry Structural Adjustment Program</w:t>
      </w:r>
    </w:p>
    <w:p w:rsidR="0090286E" w:rsidRPr="00C17F3C" w:rsidRDefault="0090286E" w:rsidP="0090286E">
      <w:pPr>
        <w:pStyle w:val="BodyText"/>
      </w:pPr>
      <w:r w:rsidRPr="009475E6">
        <w:t xml:space="preserve">Jointly funded by the New South Wales Government and the Australian Government, the Forest Industry Structural Adjustment Program (FISAP) provided re-training for workers and redevelopment for businesses in an effort to create a more value-added, efficient, competitive, technologically advanced and economically sustainable sawlog-driven timber industry </w:t>
      </w:r>
      <w:r w:rsidRPr="008A226F">
        <w:t>(</w:t>
      </w:r>
      <w:r w:rsidRPr="00E80A54">
        <w:t>New South Wales Government 2013</w:t>
      </w:r>
      <w:r w:rsidRPr="008A226F">
        <w:t>)</w:t>
      </w:r>
      <w:r>
        <w:t>.</w:t>
      </w:r>
    </w:p>
    <w:p w:rsidR="0090286E" w:rsidRPr="009475E6" w:rsidRDefault="0090286E" w:rsidP="0090286E">
      <w:pPr>
        <w:pStyle w:val="BodyText"/>
      </w:pPr>
      <w:r w:rsidRPr="009475E6">
        <w:t>The three key elements of FISAP were:</w:t>
      </w:r>
    </w:p>
    <w:p w:rsidR="0090286E" w:rsidRPr="009475E6" w:rsidRDefault="0090286E" w:rsidP="0090286E">
      <w:pPr>
        <w:pStyle w:val="ListBullet"/>
      </w:pPr>
      <w:r w:rsidRPr="009475E6">
        <w:t>Workers Assistance, which included new training for workers both currently and formerly employed in the timber industry, relocation costs, and income support;</w:t>
      </w:r>
    </w:p>
    <w:p w:rsidR="0090286E" w:rsidRPr="009475E6" w:rsidRDefault="0090286E" w:rsidP="0090286E">
      <w:pPr>
        <w:pStyle w:val="ListBullet"/>
      </w:pPr>
      <w:r w:rsidRPr="009475E6">
        <w:t>Industry Assistance, for businesses needing help to upgrade and value-add; and</w:t>
      </w:r>
    </w:p>
    <w:p w:rsidR="0090286E" w:rsidRDefault="0090286E" w:rsidP="0090286E">
      <w:pPr>
        <w:pStyle w:val="ListBullet"/>
      </w:pPr>
      <w:r w:rsidRPr="009475E6">
        <w:t>Business Exit Assistance, for contractors and saw-millers who wished to leave the industry because of the structural changes it had undergone.</w:t>
      </w:r>
    </w:p>
    <w:p w:rsidR="0090286E" w:rsidRDefault="0090286E" w:rsidP="0090286E">
      <w:pPr>
        <w:pStyle w:val="BodyText"/>
      </w:pPr>
      <w:r>
        <w:t>The Forest Industry Structural Adjustment Program ended on 30 June 2007.</w:t>
      </w:r>
    </w:p>
    <w:p w:rsidR="0090286E" w:rsidRDefault="0090286E" w:rsidP="0090286E">
      <w:pPr>
        <w:pStyle w:val="BodyText"/>
      </w:pPr>
      <w:r w:rsidRPr="009475E6">
        <w:t xml:space="preserve">The Program selectively benefited businesses in the </w:t>
      </w:r>
      <w:r>
        <w:t xml:space="preserve">timber industry </w:t>
      </w:r>
      <w:r w:rsidRPr="009475E6">
        <w:t xml:space="preserve">and has been allocated </w:t>
      </w:r>
      <w:r>
        <w:t xml:space="preserve">to the </w:t>
      </w:r>
      <w:r w:rsidRPr="009475E6">
        <w:rPr>
          <w:i/>
        </w:rPr>
        <w:t>Forestry &amp; logging</w:t>
      </w:r>
      <w:r w:rsidRPr="009475E6">
        <w:t xml:space="preserve"> industry grouping </w:t>
      </w:r>
      <w:r>
        <w:t>in</w:t>
      </w:r>
      <w:r w:rsidRPr="009475E6">
        <w:t xml:space="preserve"> the Commission’s ANZSIC-based classification (table</w:t>
      </w:r>
      <w:r>
        <w:t> </w:t>
      </w:r>
      <w:r w:rsidRPr="009475E6">
        <w:t>A.</w:t>
      </w:r>
      <w:r>
        <w:t>219</w:t>
      </w:r>
      <w:r w:rsidRPr="009475E6">
        <w:t>).</w:t>
      </w:r>
    </w:p>
    <w:p w:rsidR="0090286E" w:rsidRDefault="0090286E" w:rsidP="0090286E">
      <w:pPr>
        <w:pStyle w:val="TableTitle"/>
      </w:pPr>
      <w:r>
        <w:rPr>
          <w:b w:val="0"/>
        </w:rPr>
        <w:t xml:space="preserve">Table </w:t>
      </w:r>
      <w:r w:rsidR="00FA09C3">
        <w:rPr>
          <w:b w:val="0"/>
        </w:rPr>
        <w:t>A.</w:t>
      </w:r>
      <w:r w:rsidR="00FA09C3">
        <w:rPr>
          <w:b w:val="0"/>
          <w:noProof/>
        </w:rPr>
        <w:t>219</w:t>
      </w:r>
      <w:r>
        <w:tab/>
        <w:t>Allocation of Forest Industry Structural Adjustment</w:t>
      </w:r>
      <w:r w:rsidR="00571E36">
        <w:t xml:space="preserve"> Program </w:t>
      </w:r>
      <w:r w:rsidR="00571E36" w:rsidRPr="00571E36">
        <w:t>to industry</w:t>
      </w:r>
      <w:r>
        <w:t>, 2006</w:t>
      </w:r>
      <w:r>
        <w:noBreakHyphen/>
        <w:t>07 to 2011</w:t>
      </w:r>
      <w:r>
        <w:noBreakHyphen/>
        <w:t>12</w:t>
      </w:r>
    </w:p>
    <w:p w:rsidR="0090286E" w:rsidRDefault="0090286E" w:rsidP="0090286E">
      <w:pPr>
        <w:pStyle w:val="Subtitle"/>
      </w:pPr>
      <w:r>
        <w:t>$</w:t>
      </w:r>
      <w:r w:rsidR="00D43AD3">
        <w:t xml:space="preserve"> </w:t>
      </w:r>
      <w:r>
        <w:t xml:space="preserve">million (nominal) </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8B2C7F" w:rsidRPr="00AF699A" w:rsidTr="00F443A8">
        <w:trPr>
          <w:trHeight w:val="340"/>
        </w:trPr>
        <w:tc>
          <w:tcPr>
            <w:tcW w:w="1960" w:type="pct"/>
            <w:tcBorders>
              <w:top w:val="single" w:sz="6" w:space="0" w:color="auto"/>
              <w:bottom w:val="single" w:sz="6" w:space="0" w:color="auto"/>
            </w:tcBorders>
          </w:tcPr>
          <w:p w:rsidR="008B2C7F" w:rsidRPr="00AF699A" w:rsidRDefault="008B2C7F" w:rsidP="004131AC">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8B2C7F" w:rsidRPr="00AF699A" w:rsidRDefault="008B2C7F" w:rsidP="004131AC">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8B2C7F" w:rsidRPr="00AF699A" w:rsidRDefault="008B2C7F" w:rsidP="004131AC">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8B2C7F" w:rsidRPr="00AF699A" w:rsidRDefault="008B2C7F" w:rsidP="004131AC">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8B2C7F" w:rsidRPr="00AF699A" w:rsidRDefault="008B2C7F" w:rsidP="004131AC">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8B2C7F" w:rsidRPr="00AF699A" w:rsidRDefault="008B2C7F" w:rsidP="004131AC">
            <w:pPr>
              <w:pStyle w:val="TableColumnHeading"/>
              <w:ind w:right="28"/>
              <w:rPr>
                <w:rFonts w:cs="Arial"/>
                <w:sz w:val="18"/>
                <w:szCs w:val="18"/>
              </w:rPr>
            </w:pPr>
            <w:r w:rsidRPr="00AF699A">
              <w:rPr>
                <w:rFonts w:cs="Arial"/>
                <w:sz w:val="18"/>
                <w:szCs w:val="18"/>
              </w:rPr>
              <w:t>2010-11</w:t>
            </w:r>
          </w:p>
        </w:tc>
        <w:tc>
          <w:tcPr>
            <w:tcW w:w="506" w:type="pct"/>
            <w:tcBorders>
              <w:top w:val="single" w:sz="6" w:space="0" w:color="auto"/>
              <w:bottom w:val="single" w:sz="6" w:space="0" w:color="auto"/>
            </w:tcBorders>
            <w:shd w:val="clear" w:color="auto" w:fill="auto"/>
          </w:tcPr>
          <w:p w:rsidR="008B2C7F" w:rsidRPr="00AF699A" w:rsidRDefault="008B2C7F" w:rsidP="004131AC">
            <w:pPr>
              <w:pStyle w:val="TableColumnHeading"/>
              <w:ind w:right="28"/>
              <w:rPr>
                <w:rFonts w:cs="Arial"/>
                <w:sz w:val="18"/>
                <w:szCs w:val="18"/>
              </w:rPr>
            </w:pPr>
            <w:r w:rsidRPr="00AF699A">
              <w:rPr>
                <w:rFonts w:cs="Arial"/>
                <w:sz w:val="18"/>
                <w:szCs w:val="18"/>
              </w:rPr>
              <w:t>2011-12</w:t>
            </w:r>
          </w:p>
        </w:tc>
      </w:tr>
      <w:tr w:rsidR="008B2C7F" w:rsidRPr="00D07CF3" w:rsidTr="008B2C7F">
        <w:tc>
          <w:tcPr>
            <w:tcW w:w="1960" w:type="pct"/>
            <w:tcBorders>
              <w:bottom w:val="single" w:sz="4" w:space="0" w:color="auto"/>
            </w:tcBorders>
            <w:vAlign w:val="bottom"/>
          </w:tcPr>
          <w:p w:rsidR="008B2C7F" w:rsidRPr="00D07CF3" w:rsidRDefault="008B2C7F" w:rsidP="004131AC">
            <w:pPr>
              <w:pStyle w:val="TableBodyText"/>
              <w:jc w:val="left"/>
            </w:pPr>
            <w:r>
              <w:t>Forestry and logging</w:t>
            </w:r>
          </w:p>
        </w:tc>
        <w:tc>
          <w:tcPr>
            <w:tcW w:w="507" w:type="pct"/>
            <w:tcBorders>
              <w:bottom w:val="single" w:sz="4" w:space="0" w:color="auto"/>
            </w:tcBorders>
            <w:vAlign w:val="bottom"/>
          </w:tcPr>
          <w:p w:rsidR="008B2C7F" w:rsidRPr="00D07CF3" w:rsidRDefault="008B2C7F" w:rsidP="004131AC">
            <w:pPr>
              <w:pStyle w:val="TableBodyText"/>
            </w:pPr>
            <w:r>
              <w:t>30.6</w:t>
            </w:r>
          </w:p>
        </w:tc>
        <w:tc>
          <w:tcPr>
            <w:tcW w:w="507" w:type="pct"/>
            <w:tcBorders>
              <w:bottom w:val="single" w:sz="4" w:space="0" w:color="auto"/>
            </w:tcBorders>
            <w:vAlign w:val="bottom"/>
          </w:tcPr>
          <w:p w:rsidR="008B2C7F" w:rsidRPr="00D07CF3" w:rsidRDefault="008B2C7F" w:rsidP="004131AC">
            <w:pPr>
              <w:pStyle w:val="TableBodyText"/>
            </w:pPr>
            <w:r>
              <w:noBreakHyphen/>
            </w:r>
          </w:p>
        </w:tc>
        <w:tc>
          <w:tcPr>
            <w:tcW w:w="507" w:type="pct"/>
            <w:tcBorders>
              <w:bottom w:val="single" w:sz="4" w:space="0" w:color="auto"/>
            </w:tcBorders>
            <w:vAlign w:val="bottom"/>
          </w:tcPr>
          <w:p w:rsidR="008B2C7F" w:rsidRPr="00D07CF3" w:rsidRDefault="008B2C7F" w:rsidP="004131AC">
            <w:pPr>
              <w:pStyle w:val="TableBodyText"/>
            </w:pPr>
            <w:r>
              <w:noBreakHyphen/>
            </w:r>
          </w:p>
        </w:tc>
        <w:tc>
          <w:tcPr>
            <w:tcW w:w="507" w:type="pct"/>
            <w:tcBorders>
              <w:bottom w:val="single" w:sz="4" w:space="0" w:color="auto"/>
            </w:tcBorders>
            <w:vAlign w:val="bottom"/>
          </w:tcPr>
          <w:p w:rsidR="008B2C7F" w:rsidRPr="00D07CF3" w:rsidRDefault="008B2C7F" w:rsidP="004131AC">
            <w:pPr>
              <w:pStyle w:val="TableBodyText"/>
            </w:pPr>
            <w:r>
              <w:noBreakHyphen/>
            </w:r>
          </w:p>
        </w:tc>
        <w:tc>
          <w:tcPr>
            <w:tcW w:w="507" w:type="pct"/>
            <w:tcBorders>
              <w:bottom w:val="single" w:sz="4" w:space="0" w:color="auto"/>
            </w:tcBorders>
            <w:shd w:val="clear" w:color="auto" w:fill="auto"/>
            <w:vAlign w:val="bottom"/>
          </w:tcPr>
          <w:p w:rsidR="008B2C7F" w:rsidRPr="00D07CF3" w:rsidRDefault="008B2C7F" w:rsidP="004131AC">
            <w:pPr>
              <w:pStyle w:val="TableBodyText"/>
            </w:pPr>
            <w:r>
              <w:noBreakHyphen/>
            </w:r>
          </w:p>
        </w:tc>
        <w:tc>
          <w:tcPr>
            <w:tcW w:w="506" w:type="pct"/>
            <w:tcBorders>
              <w:bottom w:val="single" w:sz="4" w:space="0" w:color="auto"/>
            </w:tcBorders>
            <w:shd w:val="clear" w:color="auto" w:fill="auto"/>
            <w:vAlign w:val="bottom"/>
          </w:tcPr>
          <w:p w:rsidR="008B2C7F" w:rsidRPr="00D07CF3" w:rsidRDefault="008B2C7F" w:rsidP="004131AC">
            <w:pPr>
              <w:pStyle w:val="TableBodyText"/>
            </w:pPr>
            <w:r>
              <w:noBreakHyphen/>
            </w:r>
          </w:p>
        </w:tc>
      </w:tr>
    </w:tbl>
    <w:p w:rsidR="0090286E" w:rsidRDefault="0090286E" w:rsidP="0090286E">
      <w:pPr>
        <w:pStyle w:val="Note"/>
      </w:pPr>
      <w:r w:rsidRPr="00A2379F">
        <w:noBreakHyphen/>
        <w:t xml:space="preserve"> </w:t>
      </w:r>
      <w:r>
        <w:t>Nil</w:t>
      </w:r>
      <w:r w:rsidRPr="00A2379F">
        <w:t>.</w:t>
      </w:r>
    </w:p>
    <w:p w:rsidR="0090286E" w:rsidRPr="008E77FE" w:rsidRDefault="0090286E" w:rsidP="0090286E">
      <w:pPr>
        <w:pStyle w:val="Source"/>
      </w:pPr>
      <w:r>
        <w:rPr>
          <w:i/>
        </w:rPr>
        <w:t>Source</w:t>
      </w:r>
      <w:r>
        <w:t>: Commission estimates based on DAFF Portfolio Budget Statements 2007</w:t>
      </w:r>
      <w:r>
        <w:noBreakHyphen/>
        <w:t>08.</w:t>
      </w:r>
    </w:p>
    <w:p w:rsidR="0090398A" w:rsidRDefault="00FA09C3" w:rsidP="0090398A">
      <w:pPr>
        <w:pStyle w:val="Heading2"/>
      </w:pPr>
      <w:r>
        <w:t>A.</w:t>
      </w:r>
      <w:r>
        <w:rPr>
          <w:noProof/>
        </w:rPr>
        <w:t>220</w:t>
      </w:r>
      <w:r w:rsidR="0090398A">
        <w:tab/>
        <w:t>Invest Australia</w:t>
      </w:r>
    </w:p>
    <w:p w:rsidR="0090398A" w:rsidRDefault="0090398A" w:rsidP="0090398A">
      <w:pPr>
        <w:pStyle w:val="BodyText"/>
      </w:pPr>
      <w:r w:rsidRPr="00C179EE">
        <w:t>Invest Australia is the Australian Government’s inward investment agency, and is responsible for attracting productive foreign investment into Australia to support industry growth and development</w:t>
      </w:r>
      <w:r>
        <w:t xml:space="preserve"> </w:t>
      </w:r>
      <w:r w:rsidRPr="002F5C9C">
        <w:t>(</w:t>
      </w:r>
      <w:r w:rsidRPr="00E80A54">
        <w:t>DIISR 2007</w:t>
      </w:r>
      <w:r w:rsidRPr="002F5C9C">
        <w:t>)</w:t>
      </w:r>
      <w:r w:rsidRPr="00C179EE">
        <w:t>. Invest Australia aims to promote Australia’s competitive advantages as an investment destination and provides services to assist foreign investors establish or expand operations in Australia. It includes Axiss Australia, which is responsible for promoting Australia as a global financial services centre. Investment attraction programs include the Major Project Facilitation Scheme, which assists proponents of strategic projects to obtain decisions on necessary Australian Government approvals</w:t>
      </w:r>
      <w:r w:rsidR="00612740">
        <w:t>,</w:t>
      </w:r>
      <w:r w:rsidR="00612740" w:rsidRPr="00C179EE">
        <w:t xml:space="preserve"> </w:t>
      </w:r>
      <w:r w:rsidRPr="00C179EE">
        <w:t>and the Supported Skills Program, which encourages firms to choose Australia as an investment location by providing streamlined immigration</w:t>
      </w:r>
      <w:r>
        <w:t xml:space="preserve"> arrangements for key employees.</w:t>
      </w:r>
    </w:p>
    <w:p w:rsidR="0090398A" w:rsidRDefault="0090398A" w:rsidP="0090398A">
      <w:pPr>
        <w:pStyle w:val="BodyText"/>
      </w:pPr>
      <w:r>
        <w:t>Information on</w:t>
      </w:r>
      <w:r w:rsidRPr="00FB1A9E">
        <w:t xml:space="preserve"> the industry incidence of </w:t>
      </w:r>
      <w:r>
        <w:t>the program</w:t>
      </w:r>
      <w:r w:rsidRPr="00FB1A9E">
        <w:t xml:space="preserve"> </w:t>
      </w:r>
      <w:r>
        <w:t xml:space="preserve">has not been readily available. Accordingly, the budget outlay </w:t>
      </w:r>
      <w:r w:rsidRPr="00FB1A9E">
        <w:t xml:space="preserve">has been </w:t>
      </w:r>
      <w:r>
        <w:t>classifi</w:t>
      </w:r>
      <w:r w:rsidRPr="00FB1A9E">
        <w:t xml:space="preserve">ed to the </w:t>
      </w:r>
      <w:r w:rsidRPr="00FB1A9E">
        <w:rPr>
          <w:i/>
        </w:rPr>
        <w:t>Unallocated other</w:t>
      </w:r>
      <w:r w:rsidRPr="00FB1A9E">
        <w:t xml:space="preserve"> industry grouping in the Commission’s ANZSIC-based classification (table</w:t>
      </w:r>
      <w:r>
        <w:t> </w:t>
      </w:r>
      <w:r w:rsidRPr="00FB1A9E">
        <w:t>A.</w:t>
      </w:r>
      <w:r>
        <w:t>220</w:t>
      </w:r>
      <w:r w:rsidRPr="00FB1A9E">
        <w:t>).</w:t>
      </w:r>
    </w:p>
    <w:p w:rsidR="0090398A" w:rsidRDefault="0090398A" w:rsidP="0090398A">
      <w:pPr>
        <w:pStyle w:val="TableTitle"/>
      </w:pPr>
      <w:r>
        <w:rPr>
          <w:b w:val="0"/>
        </w:rPr>
        <w:t xml:space="preserve">Table </w:t>
      </w:r>
      <w:r w:rsidR="00FA09C3">
        <w:rPr>
          <w:b w:val="0"/>
        </w:rPr>
        <w:t>A.</w:t>
      </w:r>
      <w:r w:rsidR="00FA09C3">
        <w:rPr>
          <w:b w:val="0"/>
          <w:noProof/>
        </w:rPr>
        <w:t>220</w:t>
      </w:r>
      <w:r>
        <w:tab/>
        <w:t>Allocation of Invest Australia</w:t>
      </w:r>
      <w:r w:rsidR="00571E36" w:rsidRPr="00571E36">
        <w:t xml:space="preserve"> to industry</w:t>
      </w:r>
      <w:r>
        <w:t>, 2006</w:t>
      </w:r>
      <w:r>
        <w:noBreakHyphen/>
        <w:t>07 to 2011</w:t>
      </w:r>
      <w:r>
        <w:noBreakHyphen/>
        <w:t>12</w:t>
      </w:r>
    </w:p>
    <w:p w:rsidR="0090398A" w:rsidRDefault="0090398A" w:rsidP="0090398A">
      <w:pPr>
        <w:pStyle w:val="Subtitle"/>
      </w:pPr>
      <w:r>
        <w:t>$</w:t>
      </w:r>
      <w:r w:rsidR="00A715DB">
        <w:t xml:space="preserve"> </w:t>
      </w:r>
      <w:r>
        <w:t>million (nominal)</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90398A" w:rsidRPr="00AF699A" w:rsidTr="00F443A8">
        <w:trPr>
          <w:trHeight w:val="340"/>
        </w:trPr>
        <w:tc>
          <w:tcPr>
            <w:tcW w:w="1958" w:type="pct"/>
            <w:tcBorders>
              <w:top w:val="single" w:sz="6" w:space="0" w:color="auto"/>
              <w:bottom w:val="single" w:sz="6" w:space="0" w:color="auto"/>
            </w:tcBorders>
          </w:tcPr>
          <w:p w:rsidR="0090398A" w:rsidRPr="00AF699A" w:rsidRDefault="0090398A" w:rsidP="00AB38B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90398A" w:rsidRPr="00AF699A" w:rsidRDefault="0090398A"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90398A" w:rsidRPr="00AF699A" w:rsidRDefault="0090398A" w:rsidP="00AB38B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90398A" w:rsidRPr="00AF699A" w:rsidRDefault="0090398A" w:rsidP="00AB38B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90398A" w:rsidRPr="00AF699A" w:rsidRDefault="0090398A" w:rsidP="00AB38B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90398A" w:rsidRPr="00AF699A" w:rsidRDefault="0090398A" w:rsidP="00AB38B4">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90398A" w:rsidRPr="00AF699A" w:rsidRDefault="0090398A" w:rsidP="00AB38B4">
            <w:pPr>
              <w:pStyle w:val="TableColumnHeading"/>
              <w:ind w:right="28"/>
              <w:rPr>
                <w:rFonts w:cs="Arial"/>
                <w:sz w:val="18"/>
                <w:szCs w:val="18"/>
              </w:rPr>
            </w:pPr>
            <w:r w:rsidRPr="00AF699A">
              <w:rPr>
                <w:rFonts w:cs="Arial"/>
                <w:sz w:val="18"/>
                <w:szCs w:val="18"/>
              </w:rPr>
              <w:t>2011-12</w:t>
            </w:r>
          </w:p>
        </w:tc>
      </w:tr>
      <w:tr w:rsidR="0090398A" w:rsidRPr="00F238EC" w:rsidTr="00AB38B4">
        <w:tc>
          <w:tcPr>
            <w:tcW w:w="1958" w:type="pct"/>
            <w:tcBorders>
              <w:bottom w:val="single" w:sz="4" w:space="0" w:color="auto"/>
            </w:tcBorders>
            <w:vAlign w:val="bottom"/>
          </w:tcPr>
          <w:p w:rsidR="0090398A" w:rsidRPr="00F238EC" w:rsidRDefault="0090398A" w:rsidP="00AB38B4">
            <w:pPr>
              <w:pStyle w:val="TableBodyText"/>
              <w:jc w:val="left"/>
            </w:pPr>
            <w:r w:rsidRPr="00F238EC">
              <w:t>Unallocated other</w:t>
            </w:r>
            <w:r w:rsidRPr="00F443A8">
              <w:rPr>
                <w:rStyle w:val="NoteLabel"/>
                <w:szCs w:val="18"/>
              </w:rPr>
              <w:t>a</w:t>
            </w:r>
          </w:p>
        </w:tc>
        <w:tc>
          <w:tcPr>
            <w:tcW w:w="507" w:type="pct"/>
            <w:tcBorders>
              <w:bottom w:val="single" w:sz="4" w:space="0" w:color="auto"/>
            </w:tcBorders>
            <w:vAlign w:val="bottom"/>
          </w:tcPr>
          <w:p w:rsidR="0090398A" w:rsidRPr="00F238EC" w:rsidRDefault="0090398A" w:rsidP="00AB38B4">
            <w:pPr>
              <w:pStyle w:val="TableBodyText"/>
            </w:pPr>
            <w:r w:rsidRPr="00F238EC">
              <w:t>24.0</w:t>
            </w:r>
          </w:p>
        </w:tc>
        <w:tc>
          <w:tcPr>
            <w:tcW w:w="507" w:type="pct"/>
            <w:tcBorders>
              <w:bottom w:val="single" w:sz="4" w:space="0" w:color="auto"/>
            </w:tcBorders>
            <w:vAlign w:val="bottom"/>
          </w:tcPr>
          <w:p w:rsidR="0090398A" w:rsidRPr="00F238EC" w:rsidRDefault="0090398A" w:rsidP="00AB38B4">
            <w:pPr>
              <w:pStyle w:val="TableBodyText"/>
            </w:pPr>
            <w:r>
              <w:noBreakHyphen/>
            </w:r>
          </w:p>
        </w:tc>
        <w:tc>
          <w:tcPr>
            <w:tcW w:w="507" w:type="pct"/>
            <w:tcBorders>
              <w:bottom w:val="single" w:sz="4" w:space="0" w:color="auto"/>
            </w:tcBorders>
            <w:vAlign w:val="bottom"/>
          </w:tcPr>
          <w:p w:rsidR="0090398A" w:rsidRPr="00F238EC" w:rsidRDefault="0090398A" w:rsidP="00AB38B4">
            <w:pPr>
              <w:pStyle w:val="TableBodyText"/>
            </w:pPr>
            <w:r>
              <w:noBreakHyphen/>
            </w:r>
          </w:p>
        </w:tc>
        <w:tc>
          <w:tcPr>
            <w:tcW w:w="507" w:type="pct"/>
            <w:tcBorders>
              <w:bottom w:val="single" w:sz="4" w:space="0" w:color="auto"/>
            </w:tcBorders>
            <w:vAlign w:val="bottom"/>
          </w:tcPr>
          <w:p w:rsidR="0090398A" w:rsidRPr="00F238EC" w:rsidRDefault="0090398A" w:rsidP="00AB38B4">
            <w:pPr>
              <w:pStyle w:val="TableBodyText"/>
            </w:pPr>
            <w:r>
              <w:noBreakHyphen/>
            </w:r>
          </w:p>
        </w:tc>
        <w:tc>
          <w:tcPr>
            <w:tcW w:w="507" w:type="pct"/>
            <w:tcBorders>
              <w:bottom w:val="single" w:sz="4" w:space="0" w:color="auto"/>
            </w:tcBorders>
            <w:shd w:val="clear" w:color="auto" w:fill="auto"/>
            <w:vAlign w:val="bottom"/>
          </w:tcPr>
          <w:p w:rsidR="0090398A" w:rsidRPr="00F238EC" w:rsidRDefault="0090398A" w:rsidP="00AB38B4">
            <w:pPr>
              <w:pStyle w:val="TableBodyText"/>
            </w:pPr>
            <w:r>
              <w:noBreakHyphen/>
            </w:r>
          </w:p>
        </w:tc>
        <w:tc>
          <w:tcPr>
            <w:tcW w:w="507" w:type="pct"/>
            <w:tcBorders>
              <w:bottom w:val="single" w:sz="4" w:space="0" w:color="auto"/>
            </w:tcBorders>
            <w:shd w:val="clear" w:color="auto" w:fill="auto"/>
            <w:vAlign w:val="bottom"/>
          </w:tcPr>
          <w:p w:rsidR="0090398A" w:rsidRPr="00F238EC" w:rsidRDefault="0090398A" w:rsidP="00AB38B4">
            <w:pPr>
              <w:pStyle w:val="TableBodyText"/>
            </w:pPr>
            <w:r>
              <w:noBreakHyphen/>
            </w:r>
          </w:p>
        </w:tc>
      </w:tr>
    </w:tbl>
    <w:p w:rsidR="0090398A" w:rsidRDefault="0090398A" w:rsidP="0090398A">
      <w:pPr>
        <w:pStyle w:val="Note"/>
      </w:pPr>
      <w:r w:rsidRPr="00A2379F">
        <w:noBreakHyphen/>
        <w:t xml:space="preserve"> Nil</w:t>
      </w:r>
      <w:r>
        <w:t>.</w:t>
      </w:r>
      <w:r w:rsidRPr="008E77FE">
        <w:rPr>
          <w:rStyle w:val="NoteLabel"/>
        </w:rPr>
        <w:t xml:space="preserve"> a</w:t>
      </w:r>
      <w:r>
        <w:t xml:space="preserve"> </w:t>
      </w:r>
      <w:r w:rsidRPr="009B56F1">
        <w:t>Unallocated includes general programs where detai</w:t>
      </w:r>
      <w:r>
        <w:t>ls of beneficiaries are unknown.</w:t>
      </w:r>
    </w:p>
    <w:p w:rsidR="0090398A" w:rsidRPr="008E77FE" w:rsidRDefault="0090398A" w:rsidP="0090398A">
      <w:pPr>
        <w:pStyle w:val="Source"/>
      </w:pPr>
      <w:r>
        <w:rPr>
          <w:i/>
        </w:rPr>
        <w:t>Source</w:t>
      </w:r>
      <w:r>
        <w:t>: Commission estimates based on Department of Industry, Tourism and Resources Annual Report 2006</w:t>
      </w:r>
      <w:r>
        <w:noBreakHyphen/>
        <w:t>07.</w:t>
      </w:r>
    </w:p>
    <w:p w:rsidR="00FB3EC4" w:rsidRDefault="00FA09C3" w:rsidP="00FB3EC4">
      <w:pPr>
        <w:pStyle w:val="Heading2"/>
      </w:pPr>
      <w:r>
        <w:t>A.</w:t>
      </w:r>
      <w:r>
        <w:rPr>
          <w:noProof/>
        </w:rPr>
        <w:t>221</w:t>
      </w:r>
      <w:r w:rsidR="00FB3EC4">
        <w:tab/>
        <w:t>Australian Wool Innovation Grant</w:t>
      </w:r>
    </w:p>
    <w:p w:rsidR="00FB3EC4" w:rsidRDefault="00FB3EC4" w:rsidP="00FB3EC4">
      <w:pPr>
        <w:pStyle w:val="BodyText"/>
      </w:pPr>
      <w:r>
        <w:t>In 2006, Australian Wool Innovation Limited (AWI) signed a Memorandum of Understanding to integrate with Australian Wool Services Limited (AWS) (</w:t>
      </w:r>
      <w:r w:rsidRPr="00E80A54">
        <w:t>AWI 2006</w:t>
      </w:r>
      <w:r>
        <w:t>). Both companies agreed that a United Kingdom (UK) pension fund liability, held by AWS, would need to be resolved before integration. The Australian Government commissioned a report to establish the facts about the liability (</w:t>
      </w:r>
      <w:r w:rsidRPr="00E80A54">
        <w:t>DAFF 2007</w:t>
      </w:r>
      <w:r>
        <w:t>). The final report, prepared by Mercer Human Resource Consulting, was provided on 14 July 2006.</w:t>
      </w:r>
    </w:p>
    <w:p w:rsidR="00FB3EC4" w:rsidRDefault="00FB3EC4" w:rsidP="00FB3EC4">
      <w:pPr>
        <w:pStyle w:val="BodyText"/>
      </w:pPr>
      <w:r>
        <w:t>The report found the pension fund’s deterioration between 2000 and 2003 was a result of the economic climate in the UK, and that most UK pension funds experienced similar declines at the time. The consultant expected that the fund would remain in deficit over the next few years and that the fund's financial position would improve as equity markets recovered in the UK. AWS secured an agreement with the pension fund trustees on how to manage the fund into the future and was able to begin rationalising its activities and assets.</w:t>
      </w:r>
    </w:p>
    <w:p w:rsidR="00FB3EC4" w:rsidRDefault="00FB3EC4" w:rsidP="00FB3EC4">
      <w:pPr>
        <w:pStyle w:val="BodyText"/>
      </w:pPr>
      <w:r>
        <w:t>As a result, in April 2007, the Australian Government responded to an AWI-AWS proposal by providing a $15 million grant to AWI to enable it to purchase key wool assets from AWS, including The Woolmark Company, wool product technologies and a range of wool marketing and development businesses.</w:t>
      </w:r>
    </w:p>
    <w:p w:rsidR="00FB3EC4" w:rsidRDefault="00FB3EC4" w:rsidP="00FB3EC4">
      <w:pPr>
        <w:pStyle w:val="BodyText"/>
      </w:pPr>
      <w:r>
        <w:t xml:space="preserve">The grant </w:t>
      </w:r>
      <w:r w:rsidRPr="00841DF1">
        <w:t xml:space="preserve">selectively benefited </w:t>
      </w:r>
      <w:r>
        <w:t>AWI</w:t>
      </w:r>
      <w:r w:rsidRPr="00841DF1">
        <w:t xml:space="preserve"> and has been allocated to the </w:t>
      </w:r>
      <w:r w:rsidRPr="00841DF1">
        <w:rPr>
          <w:i/>
        </w:rPr>
        <w:t>Sheep, beef cattle and grain farming</w:t>
      </w:r>
      <w:r w:rsidRPr="00841DF1">
        <w:t xml:space="preserve"> industry grouping in the Commission’s ANZSIC-based classification (table</w:t>
      </w:r>
      <w:r>
        <w:t> </w:t>
      </w:r>
      <w:r w:rsidRPr="00841DF1">
        <w:t>A.</w:t>
      </w:r>
      <w:r>
        <w:t>221</w:t>
      </w:r>
      <w:r w:rsidRPr="00841DF1">
        <w:t>).</w:t>
      </w:r>
    </w:p>
    <w:p w:rsidR="00EA6777" w:rsidRDefault="00EA6777">
      <w:pPr>
        <w:rPr>
          <w:rFonts w:ascii="Arial" w:hAnsi="Arial"/>
          <w:sz w:val="24"/>
        </w:rPr>
      </w:pPr>
      <w:r>
        <w:rPr>
          <w:b/>
        </w:rPr>
        <w:br w:type="page"/>
      </w:r>
    </w:p>
    <w:p w:rsidR="00FB3EC4" w:rsidRDefault="00FB3EC4" w:rsidP="00FB3EC4">
      <w:pPr>
        <w:pStyle w:val="TableTitle"/>
      </w:pPr>
      <w:r>
        <w:rPr>
          <w:b w:val="0"/>
        </w:rPr>
        <w:t xml:space="preserve">Table </w:t>
      </w:r>
      <w:r w:rsidR="00FA09C3">
        <w:rPr>
          <w:b w:val="0"/>
        </w:rPr>
        <w:t>A.</w:t>
      </w:r>
      <w:r w:rsidR="00FA09C3">
        <w:rPr>
          <w:b w:val="0"/>
          <w:noProof/>
        </w:rPr>
        <w:t>221</w:t>
      </w:r>
      <w:r>
        <w:tab/>
        <w:t>Allocation</w:t>
      </w:r>
      <w:r w:rsidR="00571E36">
        <w:t xml:space="preserve"> of Australian Wool Innovation G</w:t>
      </w:r>
      <w:r>
        <w:t>rant</w:t>
      </w:r>
      <w:r w:rsidR="00571E36" w:rsidRPr="00571E36">
        <w:t xml:space="preserve"> to industry</w:t>
      </w:r>
      <w:r>
        <w:t>, 2006</w:t>
      </w:r>
      <w:r>
        <w:noBreakHyphen/>
        <w:t>07 to 2011</w:t>
      </w:r>
      <w:r>
        <w:noBreakHyphen/>
        <w:t>12</w:t>
      </w:r>
    </w:p>
    <w:p w:rsidR="00FB3EC4" w:rsidRDefault="00FB3EC4" w:rsidP="00FB3EC4">
      <w:pPr>
        <w:pStyle w:val="Subtitle"/>
      </w:pPr>
      <w:r>
        <w:t>$</w:t>
      </w:r>
      <w:r w:rsidR="00A715DB">
        <w:t xml:space="preserve"> </w:t>
      </w:r>
      <w:r>
        <w:t xml:space="preserve">million (nominal) </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C7788D" w:rsidRPr="00AF699A" w:rsidTr="00F443A8">
        <w:trPr>
          <w:trHeight w:val="340"/>
        </w:trPr>
        <w:tc>
          <w:tcPr>
            <w:tcW w:w="1958" w:type="pct"/>
            <w:tcBorders>
              <w:top w:val="single" w:sz="6" w:space="0" w:color="auto"/>
              <w:bottom w:val="single" w:sz="6" w:space="0" w:color="auto"/>
            </w:tcBorders>
          </w:tcPr>
          <w:p w:rsidR="00C7788D" w:rsidRPr="00AF699A" w:rsidRDefault="00C7788D" w:rsidP="00AB38B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C7788D" w:rsidRPr="00AF699A" w:rsidRDefault="00C7788D"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C7788D" w:rsidRPr="00AF699A" w:rsidRDefault="00C7788D" w:rsidP="00AB38B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C7788D" w:rsidRPr="00AF699A" w:rsidRDefault="00C7788D" w:rsidP="00AB38B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C7788D" w:rsidRPr="00AF699A" w:rsidRDefault="00C7788D" w:rsidP="00AB38B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C7788D" w:rsidRPr="00AF699A" w:rsidRDefault="00C7788D" w:rsidP="00AB38B4">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C7788D" w:rsidRPr="00AF699A" w:rsidRDefault="00C7788D" w:rsidP="00AB38B4">
            <w:pPr>
              <w:pStyle w:val="TableColumnHeading"/>
              <w:ind w:right="28"/>
              <w:rPr>
                <w:rFonts w:cs="Arial"/>
                <w:sz w:val="18"/>
                <w:szCs w:val="18"/>
              </w:rPr>
            </w:pPr>
            <w:r w:rsidRPr="00AF699A">
              <w:rPr>
                <w:rFonts w:cs="Arial"/>
                <w:sz w:val="18"/>
                <w:szCs w:val="18"/>
              </w:rPr>
              <w:t>2011-12</w:t>
            </w:r>
          </w:p>
        </w:tc>
      </w:tr>
      <w:tr w:rsidR="00C7788D" w:rsidRPr="000A6741" w:rsidTr="00E80A54">
        <w:tc>
          <w:tcPr>
            <w:tcW w:w="1958" w:type="pct"/>
            <w:tcBorders>
              <w:bottom w:val="single" w:sz="4" w:space="0" w:color="auto"/>
            </w:tcBorders>
            <w:vAlign w:val="bottom"/>
          </w:tcPr>
          <w:p w:rsidR="00C7788D" w:rsidRPr="00C17C75" w:rsidRDefault="00C7788D" w:rsidP="00AB38B4">
            <w:pPr>
              <w:pStyle w:val="TableBodyText"/>
              <w:jc w:val="left"/>
            </w:pPr>
            <w:r w:rsidRPr="00C17C75">
              <w:t>Sheep, beef cattle and grain farming</w:t>
            </w:r>
          </w:p>
        </w:tc>
        <w:tc>
          <w:tcPr>
            <w:tcW w:w="507" w:type="pct"/>
            <w:tcBorders>
              <w:bottom w:val="single" w:sz="4" w:space="0" w:color="auto"/>
            </w:tcBorders>
            <w:vAlign w:val="bottom"/>
          </w:tcPr>
          <w:p w:rsidR="00C7788D" w:rsidRPr="00C17C75" w:rsidRDefault="00C7788D" w:rsidP="00AB38B4">
            <w:pPr>
              <w:pStyle w:val="TableBodyText"/>
            </w:pPr>
            <w:r w:rsidRPr="00C17C75">
              <w:t>15.0</w:t>
            </w:r>
          </w:p>
        </w:tc>
        <w:tc>
          <w:tcPr>
            <w:tcW w:w="507" w:type="pct"/>
            <w:tcBorders>
              <w:bottom w:val="single" w:sz="4" w:space="0" w:color="auto"/>
            </w:tcBorders>
            <w:vAlign w:val="bottom"/>
          </w:tcPr>
          <w:p w:rsidR="00C7788D" w:rsidRPr="00C17C75" w:rsidRDefault="00C7788D" w:rsidP="00AB38B4">
            <w:pPr>
              <w:pStyle w:val="TableBodyText"/>
            </w:pPr>
            <w:r>
              <w:noBreakHyphen/>
            </w:r>
          </w:p>
        </w:tc>
        <w:tc>
          <w:tcPr>
            <w:tcW w:w="507" w:type="pct"/>
            <w:tcBorders>
              <w:bottom w:val="single" w:sz="4" w:space="0" w:color="auto"/>
            </w:tcBorders>
            <w:vAlign w:val="bottom"/>
          </w:tcPr>
          <w:p w:rsidR="00C7788D" w:rsidRPr="00C17C75" w:rsidRDefault="00C7788D" w:rsidP="00AB38B4">
            <w:pPr>
              <w:pStyle w:val="TableBodyText"/>
            </w:pPr>
            <w:r>
              <w:noBreakHyphen/>
            </w:r>
          </w:p>
        </w:tc>
        <w:tc>
          <w:tcPr>
            <w:tcW w:w="507" w:type="pct"/>
            <w:tcBorders>
              <w:bottom w:val="single" w:sz="4" w:space="0" w:color="auto"/>
            </w:tcBorders>
            <w:vAlign w:val="bottom"/>
          </w:tcPr>
          <w:p w:rsidR="00C7788D" w:rsidRPr="00C17C75" w:rsidRDefault="00C7788D" w:rsidP="00AB38B4">
            <w:pPr>
              <w:pStyle w:val="TableBodyText"/>
            </w:pPr>
            <w:r>
              <w:noBreakHyphen/>
            </w:r>
          </w:p>
        </w:tc>
        <w:tc>
          <w:tcPr>
            <w:tcW w:w="507" w:type="pct"/>
            <w:tcBorders>
              <w:bottom w:val="single" w:sz="4" w:space="0" w:color="auto"/>
            </w:tcBorders>
            <w:shd w:val="clear" w:color="auto" w:fill="auto"/>
            <w:vAlign w:val="bottom"/>
          </w:tcPr>
          <w:p w:rsidR="00C7788D" w:rsidRPr="00C17C75" w:rsidRDefault="00C7788D" w:rsidP="00AB38B4">
            <w:pPr>
              <w:pStyle w:val="TableBodyText"/>
            </w:pPr>
            <w:r>
              <w:noBreakHyphen/>
            </w:r>
          </w:p>
        </w:tc>
        <w:tc>
          <w:tcPr>
            <w:tcW w:w="507" w:type="pct"/>
            <w:tcBorders>
              <w:bottom w:val="single" w:sz="4" w:space="0" w:color="auto"/>
            </w:tcBorders>
            <w:shd w:val="clear" w:color="auto" w:fill="auto"/>
            <w:vAlign w:val="bottom"/>
          </w:tcPr>
          <w:p w:rsidR="00C7788D" w:rsidRPr="00C17C75" w:rsidRDefault="00C7788D" w:rsidP="00AB38B4">
            <w:pPr>
              <w:pStyle w:val="TableBodyText"/>
            </w:pPr>
            <w:r>
              <w:noBreakHyphen/>
            </w:r>
          </w:p>
        </w:tc>
      </w:tr>
    </w:tbl>
    <w:p w:rsidR="00FB3EC4" w:rsidRDefault="00FB3EC4" w:rsidP="00FB3EC4">
      <w:pPr>
        <w:pStyle w:val="Note"/>
      </w:pPr>
      <w:r w:rsidRPr="00A2379F">
        <w:noBreakHyphen/>
        <w:t xml:space="preserve"> </w:t>
      </w:r>
      <w:r>
        <w:t>Nil</w:t>
      </w:r>
      <w:r w:rsidRPr="00A2379F">
        <w:t>.</w:t>
      </w:r>
    </w:p>
    <w:p w:rsidR="00FB3EC4" w:rsidRPr="008E77FE" w:rsidRDefault="00FB3EC4" w:rsidP="00FB3EC4">
      <w:pPr>
        <w:pStyle w:val="Source"/>
      </w:pPr>
      <w:r>
        <w:rPr>
          <w:i/>
        </w:rPr>
        <w:t>Source</w:t>
      </w:r>
      <w:r>
        <w:t>: Commission estimates based on DAFF Portfolio Budget Statements 2007</w:t>
      </w:r>
      <w:r>
        <w:noBreakHyphen/>
        <w:t>08.</w:t>
      </w:r>
    </w:p>
    <w:p w:rsidR="00C9463D" w:rsidRDefault="00FA09C3" w:rsidP="00C9463D">
      <w:pPr>
        <w:pStyle w:val="Heading2"/>
      </w:pPr>
      <w:r>
        <w:t>A.</w:t>
      </w:r>
      <w:r>
        <w:rPr>
          <w:noProof/>
        </w:rPr>
        <w:t>222</w:t>
      </w:r>
      <w:r w:rsidR="00C9463D">
        <w:tab/>
        <w:t>Advanced Networks Program</w:t>
      </w:r>
    </w:p>
    <w:p w:rsidR="00C9463D" w:rsidRDefault="00C9463D" w:rsidP="00C9463D">
      <w:pPr>
        <w:pStyle w:val="BodyText"/>
      </w:pPr>
      <w:r w:rsidRPr="002505D6">
        <w:t>Announced during 2000-01 as part of the Building IT Strengths Program (see item </w:t>
      </w:r>
      <w:r w:rsidR="0092242E">
        <w:t>A.224</w:t>
      </w:r>
      <w:r w:rsidRPr="002505D6">
        <w:t xml:space="preserve">), the Advanced Networks Program aimed to contribute to the development of advanced network infrastructure that would deliver long-term economic benefits. It supported the development, </w:t>
      </w:r>
      <w:r w:rsidR="00C057BD" w:rsidRPr="002505D6">
        <w:t>tr</w:t>
      </w:r>
      <w:r w:rsidR="00C057BD">
        <w:t>ia</w:t>
      </w:r>
      <w:r w:rsidR="00C057BD" w:rsidRPr="002505D6">
        <w:t>lling</w:t>
      </w:r>
      <w:r w:rsidR="009E5573" w:rsidRPr="002505D6">
        <w:t xml:space="preserve"> </w:t>
      </w:r>
      <w:r w:rsidRPr="002505D6">
        <w:t>and demonstration of advanced networks, experimental networks and testbeds</w:t>
      </w:r>
      <w:r>
        <w:t xml:space="preserve"> (</w:t>
      </w:r>
      <w:r w:rsidRPr="00E80A54">
        <w:t>DCITA 2007</w:t>
      </w:r>
      <w:r>
        <w:t>)</w:t>
      </w:r>
      <w:r w:rsidRPr="002505D6">
        <w:t>.</w:t>
      </w:r>
    </w:p>
    <w:p w:rsidR="00C9463D" w:rsidRPr="002505D6" w:rsidRDefault="00C9463D" w:rsidP="00C9463D">
      <w:pPr>
        <w:pStyle w:val="BodyText"/>
      </w:pPr>
      <w:r>
        <w:t>The Advanced Networks Program ended in 2006-07.</w:t>
      </w:r>
    </w:p>
    <w:p w:rsidR="00C9463D" w:rsidRDefault="00C9463D" w:rsidP="00C9463D">
      <w:pPr>
        <w:pStyle w:val="BodyText"/>
      </w:pPr>
      <w:r w:rsidRPr="0053110B">
        <w:t xml:space="preserve">The </w:t>
      </w:r>
      <w:r>
        <w:t>Program</w:t>
      </w:r>
      <w:r w:rsidRPr="0053110B">
        <w:t xml:space="preserve"> </w:t>
      </w:r>
      <w:r>
        <w:t>predomina</w:t>
      </w:r>
      <w:r w:rsidR="009E5573">
        <w:t>n</w:t>
      </w:r>
      <w:r>
        <w:t>tly</w:t>
      </w:r>
      <w:r w:rsidRPr="0053110B">
        <w:t xml:space="preserve"> benefited the </w:t>
      </w:r>
      <w:r>
        <w:t>information technology</w:t>
      </w:r>
      <w:r w:rsidRPr="0053110B">
        <w:t xml:space="preserve"> industry and has been allocated to the </w:t>
      </w:r>
      <w:r w:rsidRPr="0053110B">
        <w:rPr>
          <w:i/>
        </w:rPr>
        <w:t>Information media and telecommunications</w:t>
      </w:r>
      <w:r w:rsidRPr="0053110B">
        <w:t xml:space="preserve"> industry grouping in the Commission’s ANZSIC-based classification (table</w:t>
      </w:r>
      <w:r>
        <w:t> </w:t>
      </w:r>
      <w:r w:rsidRPr="0053110B">
        <w:t>A.</w:t>
      </w:r>
      <w:r>
        <w:t>222</w:t>
      </w:r>
      <w:r w:rsidRPr="0053110B">
        <w:t>).</w:t>
      </w:r>
    </w:p>
    <w:p w:rsidR="00C9463D" w:rsidRDefault="00C9463D" w:rsidP="00C9463D">
      <w:pPr>
        <w:pStyle w:val="TableTitle"/>
      </w:pPr>
      <w:r>
        <w:rPr>
          <w:b w:val="0"/>
        </w:rPr>
        <w:t xml:space="preserve">Table </w:t>
      </w:r>
      <w:r w:rsidR="00FA09C3">
        <w:rPr>
          <w:b w:val="0"/>
        </w:rPr>
        <w:t>A.</w:t>
      </w:r>
      <w:r w:rsidR="00FA09C3">
        <w:rPr>
          <w:b w:val="0"/>
          <w:noProof/>
        </w:rPr>
        <w:t>222</w:t>
      </w:r>
      <w:r>
        <w:tab/>
        <w:t>Allocation of Advanced Networks Program</w:t>
      </w:r>
      <w:r w:rsidR="00571E36" w:rsidRPr="00571E36">
        <w:t xml:space="preserve"> to industry</w:t>
      </w:r>
      <w:r>
        <w:t>, 2006</w:t>
      </w:r>
      <w:r>
        <w:noBreakHyphen/>
        <w:t>07 to 2011</w:t>
      </w:r>
      <w:r>
        <w:noBreakHyphen/>
        <w:t>12</w:t>
      </w:r>
    </w:p>
    <w:p w:rsidR="00C9463D" w:rsidRDefault="00C9463D" w:rsidP="00C9463D">
      <w:pPr>
        <w:pStyle w:val="Subtitle"/>
      </w:pPr>
      <w:r>
        <w:t>$</w:t>
      </w:r>
      <w:r w:rsidR="009E5573">
        <w:t xml:space="preserve"> </w:t>
      </w:r>
      <w:r>
        <w:t xml:space="preserve">million (nominal) </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C9463D" w:rsidRPr="00AF699A" w:rsidTr="00F443A8">
        <w:trPr>
          <w:trHeight w:val="340"/>
        </w:trPr>
        <w:tc>
          <w:tcPr>
            <w:tcW w:w="1958" w:type="pct"/>
            <w:tcBorders>
              <w:top w:val="single" w:sz="6" w:space="0" w:color="auto"/>
              <w:bottom w:val="single" w:sz="6" w:space="0" w:color="auto"/>
            </w:tcBorders>
          </w:tcPr>
          <w:p w:rsidR="00C9463D" w:rsidRPr="00AF699A" w:rsidRDefault="00C9463D" w:rsidP="00AB38B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C9463D" w:rsidRPr="00AF699A" w:rsidRDefault="00C9463D"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C9463D" w:rsidRPr="00AF699A" w:rsidRDefault="00C9463D" w:rsidP="00AB38B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C9463D" w:rsidRPr="00AF699A" w:rsidRDefault="00C9463D" w:rsidP="00AB38B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C9463D" w:rsidRPr="00AF699A" w:rsidRDefault="00C9463D" w:rsidP="00AB38B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C9463D" w:rsidRPr="00AF699A" w:rsidRDefault="00C9463D" w:rsidP="00AB38B4">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C9463D" w:rsidRPr="00AF699A" w:rsidRDefault="00C9463D" w:rsidP="00AB38B4">
            <w:pPr>
              <w:pStyle w:val="TableColumnHeading"/>
              <w:ind w:right="28"/>
              <w:rPr>
                <w:rFonts w:cs="Arial"/>
                <w:sz w:val="18"/>
                <w:szCs w:val="18"/>
              </w:rPr>
            </w:pPr>
            <w:r w:rsidRPr="00AF699A">
              <w:rPr>
                <w:rFonts w:cs="Arial"/>
                <w:sz w:val="18"/>
                <w:szCs w:val="18"/>
              </w:rPr>
              <w:t>2011-12</w:t>
            </w:r>
          </w:p>
        </w:tc>
      </w:tr>
      <w:tr w:rsidR="00C9463D" w:rsidRPr="003E46CD" w:rsidTr="00AB38B4">
        <w:tc>
          <w:tcPr>
            <w:tcW w:w="1958" w:type="pct"/>
            <w:tcBorders>
              <w:bottom w:val="single" w:sz="4" w:space="0" w:color="auto"/>
            </w:tcBorders>
            <w:vAlign w:val="bottom"/>
          </w:tcPr>
          <w:p w:rsidR="00C9463D" w:rsidRPr="004A4F30" w:rsidRDefault="00C9463D" w:rsidP="00AB38B4">
            <w:pPr>
              <w:pStyle w:val="TableBodyText"/>
              <w:jc w:val="left"/>
            </w:pPr>
            <w:r w:rsidRPr="004A4F30">
              <w:t>Information, media and telecommunications</w:t>
            </w:r>
          </w:p>
        </w:tc>
        <w:tc>
          <w:tcPr>
            <w:tcW w:w="507" w:type="pct"/>
            <w:tcBorders>
              <w:bottom w:val="single" w:sz="4" w:space="0" w:color="auto"/>
            </w:tcBorders>
            <w:vAlign w:val="bottom"/>
          </w:tcPr>
          <w:p w:rsidR="00C9463D" w:rsidRPr="004A4F30" w:rsidRDefault="00C9463D" w:rsidP="00AB38B4">
            <w:pPr>
              <w:pStyle w:val="TableBodyText"/>
            </w:pPr>
            <w:r w:rsidRPr="004A4F30">
              <w:t>12.5</w:t>
            </w:r>
          </w:p>
        </w:tc>
        <w:tc>
          <w:tcPr>
            <w:tcW w:w="507" w:type="pct"/>
            <w:tcBorders>
              <w:bottom w:val="single" w:sz="4" w:space="0" w:color="auto"/>
            </w:tcBorders>
            <w:vAlign w:val="bottom"/>
          </w:tcPr>
          <w:p w:rsidR="00C9463D" w:rsidRPr="004A4F30" w:rsidRDefault="00C9463D" w:rsidP="00AB38B4">
            <w:pPr>
              <w:pStyle w:val="TableBodyText"/>
            </w:pPr>
            <w:r>
              <w:noBreakHyphen/>
            </w:r>
          </w:p>
        </w:tc>
        <w:tc>
          <w:tcPr>
            <w:tcW w:w="507" w:type="pct"/>
            <w:tcBorders>
              <w:bottom w:val="single" w:sz="4" w:space="0" w:color="auto"/>
            </w:tcBorders>
            <w:vAlign w:val="bottom"/>
          </w:tcPr>
          <w:p w:rsidR="00C9463D" w:rsidRPr="004A4F30" w:rsidRDefault="00C9463D" w:rsidP="00AB38B4">
            <w:pPr>
              <w:pStyle w:val="TableBodyText"/>
            </w:pPr>
            <w:r>
              <w:noBreakHyphen/>
            </w:r>
          </w:p>
        </w:tc>
        <w:tc>
          <w:tcPr>
            <w:tcW w:w="507" w:type="pct"/>
            <w:tcBorders>
              <w:bottom w:val="single" w:sz="4" w:space="0" w:color="auto"/>
            </w:tcBorders>
            <w:vAlign w:val="bottom"/>
          </w:tcPr>
          <w:p w:rsidR="00C9463D" w:rsidRPr="004A4F30" w:rsidRDefault="00C9463D" w:rsidP="00AB38B4">
            <w:pPr>
              <w:pStyle w:val="TableBodyText"/>
            </w:pPr>
            <w:r>
              <w:noBreakHyphen/>
            </w:r>
          </w:p>
        </w:tc>
        <w:tc>
          <w:tcPr>
            <w:tcW w:w="507" w:type="pct"/>
            <w:tcBorders>
              <w:bottom w:val="single" w:sz="4" w:space="0" w:color="auto"/>
            </w:tcBorders>
            <w:shd w:val="clear" w:color="auto" w:fill="auto"/>
            <w:vAlign w:val="bottom"/>
          </w:tcPr>
          <w:p w:rsidR="00C9463D" w:rsidRPr="004A4F30" w:rsidRDefault="00C9463D" w:rsidP="00AB38B4">
            <w:pPr>
              <w:pStyle w:val="TableBodyText"/>
            </w:pPr>
            <w:r>
              <w:noBreakHyphen/>
            </w:r>
          </w:p>
        </w:tc>
        <w:tc>
          <w:tcPr>
            <w:tcW w:w="507" w:type="pct"/>
            <w:tcBorders>
              <w:bottom w:val="single" w:sz="4" w:space="0" w:color="auto"/>
            </w:tcBorders>
            <w:shd w:val="clear" w:color="auto" w:fill="auto"/>
            <w:vAlign w:val="bottom"/>
          </w:tcPr>
          <w:p w:rsidR="00C9463D" w:rsidRPr="004A4F30" w:rsidRDefault="00C9463D" w:rsidP="00AB38B4">
            <w:pPr>
              <w:pStyle w:val="TableBodyText"/>
            </w:pPr>
            <w:r>
              <w:noBreakHyphen/>
            </w:r>
          </w:p>
        </w:tc>
      </w:tr>
    </w:tbl>
    <w:p w:rsidR="00C9463D" w:rsidRDefault="00C9463D" w:rsidP="00C9463D">
      <w:pPr>
        <w:pStyle w:val="Note"/>
      </w:pPr>
      <w:r w:rsidRPr="00A2379F">
        <w:noBreakHyphen/>
        <w:t xml:space="preserve"> </w:t>
      </w:r>
      <w:r>
        <w:t>Nil</w:t>
      </w:r>
      <w:r w:rsidRPr="00A2379F">
        <w:t>.</w:t>
      </w:r>
    </w:p>
    <w:p w:rsidR="00C9463D" w:rsidRPr="008E77FE" w:rsidRDefault="00C9463D" w:rsidP="00C9463D">
      <w:pPr>
        <w:pStyle w:val="Source"/>
      </w:pPr>
      <w:r>
        <w:rPr>
          <w:i/>
        </w:rPr>
        <w:t>Source</w:t>
      </w:r>
      <w:r>
        <w:t>: Commission estimates based on Department of Communications, Information Technology and the Arts Portfolio Budget Statements 2007</w:t>
      </w:r>
      <w:r>
        <w:noBreakHyphen/>
        <w:t>08.</w:t>
      </w:r>
    </w:p>
    <w:p w:rsidR="00FF2EA6" w:rsidRDefault="00FA09C3" w:rsidP="00FF2EA6">
      <w:pPr>
        <w:pStyle w:val="Heading2"/>
      </w:pPr>
      <w:r>
        <w:t>A.</w:t>
      </w:r>
      <w:r>
        <w:rPr>
          <w:noProof/>
        </w:rPr>
        <w:t>223</w:t>
      </w:r>
      <w:r w:rsidR="00FF2EA6">
        <w:tab/>
        <w:t>Tropical Cyclone Larry and Monica Business Assistance Fund</w:t>
      </w:r>
    </w:p>
    <w:p w:rsidR="00FF2EA6" w:rsidRPr="00FD4D5B" w:rsidRDefault="00FF2EA6" w:rsidP="00FF2EA6">
      <w:pPr>
        <w:pStyle w:val="BodyText"/>
      </w:pPr>
      <w:r>
        <w:t xml:space="preserve">In 2006, Queensland was affected by two cyclones: Cyclone Larry in March; </w:t>
      </w:r>
      <w:r w:rsidR="001E1CDF">
        <w:t>and</w:t>
      </w:r>
      <w:r>
        <w:t xml:space="preserve"> Cyclone Monica in April. </w:t>
      </w:r>
      <w:r w:rsidRPr="00FD4D5B">
        <w:t xml:space="preserve">To assist with recovery, the Australian Government established the Cyclones Monica and Larry Business Assistance Fund for eligible businesses adversely affected by the cyclones to help defray the costs of restocking, replanting, re-establishment and clean-up, and to ensure business </w:t>
      </w:r>
      <w:r w:rsidRPr="0071168B">
        <w:t>continuity (</w:t>
      </w:r>
      <w:r w:rsidRPr="00E80A54">
        <w:t>DITR 2007a</w:t>
      </w:r>
      <w:r w:rsidRPr="0071168B">
        <w:t>)</w:t>
      </w:r>
      <w:r w:rsidRPr="00FD4D5B">
        <w:t>.</w:t>
      </w:r>
    </w:p>
    <w:p w:rsidR="00FF2EA6" w:rsidRDefault="00FF2EA6" w:rsidP="00FF2EA6">
      <w:pPr>
        <w:pStyle w:val="BodyText"/>
      </w:pPr>
      <w:r>
        <w:t>I</w:t>
      </w:r>
      <w:r w:rsidRPr="00762B42">
        <w:t>nformation on the industry incidence of th</w:t>
      </w:r>
      <w:r>
        <w:t>e</w:t>
      </w:r>
      <w:r w:rsidRPr="00762B42">
        <w:t xml:space="preserve"> </w:t>
      </w:r>
      <w:r>
        <w:t>program</w:t>
      </w:r>
      <w:r w:rsidRPr="00762B42">
        <w:t xml:space="preserve"> </w:t>
      </w:r>
      <w:r>
        <w:t>has not been readily available. Accordingly, the budget outlay has been classifi</w:t>
      </w:r>
      <w:r w:rsidRPr="00762B42">
        <w:t xml:space="preserve">ed to the </w:t>
      </w:r>
      <w:r w:rsidRPr="00762B42">
        <w:rPr>
          <w:i/>
        </w:rPr>
        <w:t>Unallocated other</w:t>
      </w:r>
      <w:r w:rsidRPr="00762B42">
        <w:t xml:space="preserve"> industry grouping </w:t>
      </w:r>
      <w:r>
        <w:t xml:space="preserve">in the Commission’s ANZSIC-based classification </w:t>
      </w:r>
      <w:r w:rsidRPr="00762B42">
        <w:t>(table</w:t>
      </w:r>
      <w:r>
        <w:t> </w:t>
      </w:r>
      <w:r w:rsidRPr="00762B42">
        <w:t>A.</w:t>
      </w:r>
      <w:r>
        <w:t>223</w:t>
      </w:r>
      <w:r w:rsidRPr="00762B42">
        <w:t>).</w:t>
      </w:r>
    </w:p>
    <w:p w:rsidR="00FF2EA6" w:rsidRDefault="00FF2EA6" w:rsidP="00FF2EA6">
      <w:pPr>
        <w:pStyle w:val="TableTitle"/>
      </w:pPr>
      <w:r>
        <w:rPr>
          <w:b w:val="0"/>
        </w:rPr>
        <w:t xml:space="preserve">Table </w:t>
      </w:r>
      <w:r w:rsidR="00FA09C3">
        <w:rPr>
          <w:b w:val="0"/>
        </w:rPr>
        <w:t>A.</w:t>
      </w:r>
      <w:r w:rsidR="00FA09C3">
        <w:rPr>
          <w:b w:val="0"/>
          <w:noProof/>
        </w:rPr>
        <w:t>223</w:t>
      </w:r>
      <w:r>
        <w:tab/>
        <w:t>Allocation of Tropical Cyclone Larry and Monica Business Assistance Fund</w:t>
      </w:r>
      <w:r w:rsidR="00571E36" w:rsidRPr="00571E36">
        <w:t xml:space="preserve"> to industry</w:t>
      </w:r>
      <w:r>
        <w:t>, 2006</w:t>
      </w:r>
      <w:r>
        <w:noBreakHyphen/>
        <w:t>07 to 2011</w:t>
      </w:r>
      <w:r>
        <w:noBreakHyphen/>
        <w:t>12</w:t>
      </w:r>
    </w:p>
    <w:p w:rsidR="00FF2EA6" w:rsidRDefault="00FF2EA6" w:rsidP="00FF2EA6">
      <w:pPr>
        <w:pStyle w:val="Subtitle"/>
      </w:pPr>
      <w:r>
        <w:t>$</w:t>
      </w:r>
      <w:r w:rsidR="001E1CDF">
        <w:t xml:space="preserve"> </w:t>
      </w:r>
      <w:r>
        <w:t>million (nominal)</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FF2EA6" w:rsidRPr="00AF699A" w:rsidTr="00F443A8">
        <w:trPr>
          <w:trHeight w:val="340"/>
        </w:trPr>
        <w:tc>
          <w:tcPr>
            <w:tcW w:w="1958" w:type="pct"/>
            <w:tcBorders>
              <w:top w:val="single" w:sz="6" w:space="0" w:color="auto"/>
              <w:bottom w:val="single" w:sz="6" w:space="0" w:color="auto"/>
            </w:tcBorders>
          </w:tcPr>
          <w:p w:rsidR="00FF2EA6" w:rsidRPr="00AF699A" w:rsidRDefault="00FF2EA6" w:rsidP="00AB38B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FF2EA6" w:rsidRPr="00AF699A" w:rsidRDefault="00FF2EA6"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FF2EA6" w:rsidRPr="00AF699A" w:rsidRDefault="00FF2EA6" w:rsidP="00AB38B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FF2EA6" w:rsidRPr="00AF699A" w:rsidRDefault="00FF2EA6" w:rsidP="00AB38B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FF2EA6" w:rsidRPr="00AF699A" w:rsidRDefault="00FF2EA6" w:rsidP="00AB38B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FF2EA6" w:rsidRPr="00AF699A" w:rsidRDefault="00FF2EA6" w:rsidP="00AB38B4">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FF2EA6" w:rsidRPr="00AF699A" w:rsidRDefault="00FF2EA6" w:rsidP="00AB38B4">
            <w:pPr>
              <w:pStyle w:val="TableColumnHeading"/>
              <w:ind w:right="28"/>
              <w:rPr>
                <w:rFonts w:cs="Arial"/>
                <w:sz w:val="18"/>
                <w:szCs w:val="18"/>
              </w:rPr>
            </w:pPr>
            <w:r w:rsidRPr="00AF699A">
              <w:rPr>
                <w:rFonts w:cs="Arial"/>
                <w:sz w:val="18"/>
                <w:szCs w:val="18"/>
              </w:rPr>
              <w:t>2011-12</w:t>
            </w:r>
          </w:p>
        </w:tc>
      </w:tr>
      <w:tr w:rsidR="00FF2EA6" w:rsidRPr="00BF0233" w:rsidTr="00AB38B4">
        <w:tc>
          <w:tcPr>
            <w:tcW w:w="1958" w:type="pct"/>
            <w:tcBorders>
              <w:bottom w:val="single" w:sz="4" w:space="0" w:color="auto"/>
            </w:tcBorders>
            <w:vAlign w:val="bottom"/>
          </w:tcPr>
          <w:p w:rsidR="00FF2EA6" w:rsidRPr="00BF0233" w:rsidRDefault="00FF2EA6" w:rsidP="00AB38B4">
            <w:pPr>
              <w:pStyle w:val="TableBodyText"/>
              <w:jc w:val="left"/>
            </w:pPr>
            <w:r w:rsidRPr="00BF0233">
              <w:t>Unallocated other</w:t>
            </w:r>
            <w:r w:rsidRPr="00F443A8">
              <w:rPr>
                <w:rStyle w:val="NoteLabel"/>
                <w:szCs w:val="18"/>
              </w:rPr>
              <w:t>a</w:t>
            </w:r>
          </w:p>
        </w:tc>
        <w:tc>
          <w:tcPr>
            <w:tcW w:w="507" w:type="pct"/>
            <w:tcBorders>
              <w:bottom w:val="single" w:sz="4" w:space="0" w:color="auto"/>
            </w:tcBorders>
            <w:vAlign w:val="bottom"/>
          </w:tcPr>
          <w:p w:rsidR="00FF2EA6" w:rsidRPr="00BF0233" w:rsidRDefault="00FF2EA6" w:rsidP="00AB38B4">
            <w:pPr>
              <w:pStyle w:val="TableBodyText"/>
            </w:pPr>
            <w:r w:rsidRPr="00BF0233">
              <w:t>11.8</w:t>
            </w:r>
          </w:p>
        </w:tc>
        <w:tc>
          <w:tcPr>
            <w:tcW w:w="507" w:type="pct"/>
            <w:tcBorders>
              <w:bottom w:val="single" w:sz="4" w:space="0" w:color="auto"/>
            </w:tcBorders>
            <w:vAlign w:val="bottom"/>
          </w:tcPr>
          <w:p w:rsidR="00FF2EA6" w:rsidRPr="00BF0233" w:rsidRDefault="00FF2EA6" w:rsidP="00AB38B4">
            <w:pPr>
              <w:pStyle w:val="TableBodyText"/>
            </w:pPr>
            <w:r>
              <w:noBreakHyphen/>
            </w:r>
          </w:p>
        </w:tc>
        <w:tc>
          <w:tcPr>
            <w:tcW w:w="507" w:type="pct"/>
            <w:tcBorders>
              <w:bottom w:val="single" w:sz="4" w:space="0" w:color="auto"/>
            </w:tcBorders>
            <w:vAlign w:val="bottom"/>
          </w:tcPr>
          <w:p w:rsidR="00FF2EA6" w:rsidRPr="00BF0233" w:rsidRDefault="00FF2EA6" w:rsidP="00AB38B4">
            <w:pPr>
              <w:pStyle w:val="TableBodyText"/>
            </w:pPr>
            <w:r>
              <w:noBreakHyphen/>
            </w:r>
          </w:p>
        </w:tc>
        <w:tc>
          <w:tcPr>
            <w:tcW w:w="507" w:type="pct"/>
            <w:tcBorders>
              <w:bottom w:val="single" w:sz="4" w:space="0" w:color="auto"/>
            </w:tcBorders>
            <w:vAlign w:val="bottom"/>
          </w:tcPr>
          <w:p w:rsidR="00FF2EA6" w:rsidRPr="00BF0233" w:rsidRDefault="00FF2EA6" w:rsidP="00AB38B4">
            <w:pPr>
              <w:pStyle w:val="TableBodyText"/>
            </w:pPr>
            <w:r>
              <w:noBreakHyphen/>
            </w:r>
          </w:p>
        </w:tc>
        <w:tc>
          <w:tcPr>
            <w:tcW w:w="507" w:type="pct"/>
            <w:tcBorders>
              <w:bottom w:val="single" w:sz="4" w:space="0" w:color="auto"/>
            </w:tcBorders>
            <w:shd w:val="clear" w:color="auto" w:fill="auto"/>
            <w:vAlign w:val="bottom"/>
          </w:tcPr>
          <w:p w:rsidR="00FF2EA6" w:rsidRPr="00BF0233" w:rsidRDefault="00FF2EA6" w:rsidP="00AB38B4">
            <w:pPr>
              <w:pStyle w:val="TableBodyText"/>
            </w:pPr>
            <w:r>
              <w:noBreakHyphen/>
            </w:r>
          </w:p>
        </w:tc>
        <w:tc>
          <w:tcPr>
            <w:tcW w:w="507" w:type="pct"/>
            <w:tcBorders>
              <w:bottom w:val="single" w:sz="4" w:space="0" w:color="auto"/>
            </w:tcBorders>
            <w:shd w:val="clear" w:color="auto" w:fill="auto"/>
            <w:vAlign w:val="bottom"/>
          </w:tcPr>
          <w:p w:rsidR="00FF2EA6" w:rsidRPr="00BF0233" w:rsidRDefault="00FF2EA6" w:rsidP="00AB38B4">
            <w:pPr>
              <w:pStyle w:val="TableBodyText"/>
            </w:pPr>
            <w:r>
              <w:noBreakHyphen/>
            </w:r>
          </w:p>
        </w:tc>
      </w:tr>
    </w:tbl>
    <w:p w:rsidR="00FF2EA6" w:rsidRPr="00F60026" w:rsidRDefault="00FF2EA6" w:rsidP="00FF2EA6">
      <w:pPr>
        <w:pStyle w:val="Source"/>
        <w:spacing w:after="0"/>
        <w:rPr>
          <w:i/>
        </w:rPr>
      </w:pPr>
      <w:r w:rsidRPr="00A2379F">
        <w:noBreakHyphen/>
        <w:t xml:space="preserve"> Nil.</w:t>
      </w:r>
      <w:r>
        <w:t xml:space="preserve"> </w:t>
      </w:r>
      <w:r w:rsidRPr="008E77FE">
        <w:rPr>
          <w:rStyle w:val="NoteLabel"/>
        </w:rPr>
        <w:t>a</w:t>
      </w:r>
      <w:r>
        <w:t xml:space="preserve"> </w:t>
      </w:r>
      <w:r w:rsidRPr="009B56F1">
        <w:t>Unallocated includes general programs where detai</w:t>
      </w:r>
      <w:r>
        <w:t>ls of beneficiaries are unknown.</w:t>
      </w:r>
    </w:p>
    <w:p w:rsidR="00FF2EA6" w:rsidRDefault="00FF2EA6" w:rsidP="00FF2EA6">
      <w:pPr>
        <w:pStyle w:val="Source"/>
      </w:pPr>
      <w:r>
        <w:rPr>
          <w:i/>
        </w:rPr>
        <w:t>Source</w:t>
      </w:r>
      <w:r>
        <w:t>: Commission estimates based on Department of Industry, Tourism and Resources Annual Report 2006</w:t>
      </w:r>
      <w:r>
        <w:noBreakHyphen/>
        <w:t>07.</w:t>
      </w:r>
    </w:p>
    <w:p w:rsidR="00B17337" w:rsidRDefault="00FA09C3" w:rsidP="00B17337">
      <w:pPr>
        <w:pStyle w:val="Heading2"/>
      </w:pPr>
      <w:r>
        <w:t>A.</w:t>
      </w:r>
      <w:r>
        <w:rPr>
          <w:noProof/>
        </w:rPr>
        <w:t>224</w:t>
      </w:r>
      <w:r w:rsidR="00B17337">
        <w:tab/>
        <w:t>Building IT Strengths Program</w:t>
      </w:r>
    </w:p>
    <w:p w:rsidR="00B17337" w:rsidRDefault="00B17337" w:rsidP="00B17337">
      <w:pPr>
        <w:pStyle w:val="BodyText"/>
      </w:pPr>
      <w:r>
        <w:t>On 20 June 1999, the Australian Government announced that $158 million from the partial sale of Telstra would be allocated to the Building IT Strengths Program over five years (</w:t>
      </w:r>
      <w:r w:rsidRPr="00E80A54">
        <w:t>DCITA 2005</w:t>
      </w:r>
      <w:r>
        <w:t>). The Program aimed to encourage the creation and growth of new, high-technology firms to promote innovation and commercial success in the information industries.</w:t>
      </w:r>
    </w:p>
    <w:p w:rsidR="00B17337" w:rsidRPr="00FE1299" w:rsidRDefault="00B17337" w:rsidP="00B17337">
      <w:pPr>
        <w:pStyle w:val="BodyText"/>
      </w:pPr>
      <w:r>
        <w:t xml:space="preserve">The Building IT Strengths Program is likely to </w:t>
      </w:r>
      <w:r w:rsidR="00D05810">
        <w:t xml:space="preserve">have </w:t>
      </w:r>
      <w:r>
        <w:t>primarily benefit</w:t>
      </w:r>
      <w:r w:rsidR="00D05810">
        <w:t>ed</w:t>
      </w:r>
      <w:r>
        <w:t xml:space="preserve"> services industries. However, information on the specific industry incidence of the program has not been readily available. Accordingly, the budget outlay has been classified to the </w:t>
      </w:r>
      <w:r w:rsidRPr="00BC200F">
        <w:rPr>
          <w:i/>
        </w:rPr>
        <w:t>Unallocated services</w:t>
      </w:r>
      <w:r>
        <w:t xml:space="preserve"> industry grouping in the Commission’s ANZSIC-based classification (table A.224).</w:t>
      </w:r>
    </w:p>
    <w:p w:rsidR="00B17337" w:rsidRDefault="00B17337" w:rsidP="00B17337">
      <w:pPr>
        <w:pStyle w:val="TableTitle"/>
      </w:pPr>
      <w:r>
        <w:rPr>
          <w:b w:val="0"/>
        </w:rPr>
        <w:t xml:space="preserve">Table </w:t>
      </w:r>
      <w:r w:rsidR="00FA09C3">
        <w:rPr>
          <w:b w:val="0"/>
        </w:rPr>
        <w:t>A.</w:t>
      </w:r>
      <w:r w:rsidR="00FA09C3">
        <w:rPr>
          <w:b w:val="0"/>
          <w:noProof/>
        </w:rPr>
        <w:t>224</w:t>
      </w:r>
      <w:r>
        <w:tab/>
        <w:t xml:space="preserve">Allocation of Building IT strengths </w:t>
      </w:r>
      <w:r w:rsidR="000D583B">
        <w:t>p</w:t>
      </w:r>
      <w:r>
        <w:t>rogram</w:t>
      </w:r>
      <w:r w:rsidR="00571E36" w:rsidRPr="00571E36">
        <w:t xml:space="preserve"> to industry</w:t>
      </w:r>
      <w:r>
        <w:t>, 2006</w:t>
      </w:r>
      <w:r>
        <w:noBreakHyphen/>
        <w:t>07 to 2011</w:t>
      </w:r>
      <w:r>
        <w:noBreakHyphen/>
        <w:t>12</w:t>
      </w:r>
    </w:p>
    <w:p w:rsidR="00B17337" w:rsidRDefault="00B17337" w:rsidP="00B17337">
      <w:pPr>
        <w:pStyle w:val="Subtitle"/>
      </w:pPr>
      <w:r>
        <w:t>$</w:t>
      </w:r>
      <w:r w:rsidR="00D05810">
        <w:t xml:space="preserve"> </w:t>
      </w:r>
      <w:r>
        <w:t xml:space="preserve">million (nominal) </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B17337" w:rsidRPr="00AF699A" w:rsidTr="00F443A8">
        <w:trPr>
          <w:trHeight w:val="340"/>
        </w:trPr>
        <w:tc>
          <w:tcPr>
            <w:tcW w:w="1958" w:type="pct"/>
            <w:tcBorders>
              <w:top w:val="single" w:sz="6" w:space="0" w:color="auto"/>
              <w:bottom w:val="single" w:sz="6" w:space="0" w:color="auto"/>
            </w:tcBorders>
          </w:tcPr>
          <w:p w:rsidR="00B17337" w:rsidRPr="00AF699A" w:rsidRDefault="00B17337" w:rsidP="00AB38B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B17337" w:rsidRPr="00AF699A" w:rsidRDefault="00B17337"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B17337" w:rsidRPr="00AF699A" w:rsidRDefault="00B17337" w:rsidP="00AB38B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B17337" w:rsidRPr="00AF699A" w:rsidRDefault="00B17337" w:rsidP="00AB38B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B17337" w:rsidRPr="00AF699A" w:rsidRDefault="00B17337" w:rsidP="00AB38B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B17337" w:rsidRPr="00AF699A" w:rsidRDefault="00B17337" w:rsidP="00AB38B4">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B17337" w:rsidRPr="00AF699A" w:rsidRDefault="00B17337" w:rsidP="00AB38B4">
            <w:pPr>
              <w:pStyle w:val="TableColumnHeading"/>
              <w:ind w:right="28"/>
              <w:rPr>
                <w:rFonts w:cs="Arial"/>
                <w:sz w:val="18"/>
                <w:szCs w:val="18"/>
              </w:rPr>
            </w:pPr>
            <w:r w:rsidRPr="00AF699A">
              <w:rPr>
                <w:rFonts w:cs="Arial"/>
                <w:sz w:val="18"/>
                <w:szCs w:val="18"/>
              </w:rPr>
              <w:t>2011-12</w:t>
            </w:r>
          </w:p>
        </w:tc>
      </w:tr>
      <w:tr w:rsidR="00B17337" w:rsidRPr="002E598C" w:rsidTr="00AB38B4">
        <w:tc>
          <w:tcPr>
            <w:tcW w:w="1958" w:type="pct"/>
            <w:tcBorders>
              <w:bottom w:val="single" w:sz="4" w:space="0" w:color="auto"/>
            </w:tcBorders>
            <w:vAlign w:val="bottom"/>
          </w:tcPr>
          <w:p w:rsidR="00B17337" w:rsidRPr="00192902" w:rsidRDefault="00B17337" w:rsidP="00AB38B4">
            <w:pPr>
              <w:pStyle w:val="TableBodyText"/>
              <w:jc w:val="left"/>
            </w:pPr>
            <w:r w:rsidRPr="00192902">
              <w:t>Unallocated services</w:t>
            </w:r>
            <w:r w:rsidRPr="00F443A8">
              <w:rPr>
                <w:rStyle w:val="NoteLabel"/>
                <w:szCs w:val="18"/>
              </w:rPr>
              <w:t>a</w:t>
            </w:r>
          </w:p>
        </w:tc>
        <w:tc>
          <w:tcPr>
            <w:tcW w:w="507" w:type="pct"/>
            <w:tcBorders>
              <w:bottom w:val="single" w:sz="4" w:space="0" w:color="auto"/>
            </w:tcBorders>
            <w:vAlign w:val="bottom"/>
          </w:tcPr>
          <w:p w:rsidR="00B17337" w:rsidRPr="00192902" w:rsidRDefault="00B17337" w:rsidP="00AB38B4">
            <w:pPr>
              <w:pStyle w:val="TableBodyText"/>
            </w:pPr>
            <w:r w:rsidRPr="00192902">
              <w:t>7.5</w:t>
            </w:r>
          </w:p>
        </w:tc>
        <w:tc>
          <w:tcPr>
            <w:tcW w:w="507" w:type="pct"/>
            <w:tcBorders>
              <w:bottom w:val="single" w:sz="4" w:space="0" w:color="auto"/>
            </w:tcBorders>
            <w:vAlign w:val="bottom"/>
          </w:tcPr>
          <w:p w:rsidR="00B17337" w:rsidRPr="00192902" w:rsidRDefault="00B17337" w:rsidP="00AB38B4">
            <w:pPr>
              <w:pStyle w:val="TableBodyText"/>
            </w:pPr>
            <w:r>
              <w:noBreakHyphen/>
            </w:r>
          </w:p>
        </w:tc>
        <w:tc>
          <w:tcPr>
            <w:tcW w:w="507" w:type="pct"/>
            <w:tcBorders>
              <w:bottom w:val="single" w:sz="4" w:space="0" w:color="auto"/>
            </w:tcBorders>
            <w:vAlign w:val="bottom"/>
          </w:tcPr>
          <w:p w:rsidR="00B17337" w:rsidRPr="00192902" w:rsidRDefault="00B17337" w:rsidP="00AB38B4">
            <w:pPr>
              <w:pStyle w:val="TableBodyText"/>
            </w:pPr>
            <w:r>
              <w:noBreakHyphen/>
            </w:r>
          </w:p>
        </w:tc>
        <w:tc>
          <w:tcPr>
            <w:tcW w:w="507" w:type="pct"/>
            <w:tcBorders>
              <w:bottom w:val="single" w:sz="4" w:space="0" w:color="auto"/>
            </w:tcBorders>
            <w:vAlign w:val="bottom"/>
          </w:tcPr>
          <w:p w:rsidR="00B17337" w:rsidRPr="00192902" w:rsidRDefault="00B17337" w:rsidP="00AB38B4">
            <w:pPr>
              <w:pStyle w:val="TableBodyText"/>
            </w:pPr>
            <w:r>
              <w:noBreakHyphen/>
            </w:r>
          </w:p>
        </w:tc>
        <w:tc>
          <w:tcPr>
            <w:tcW w:w="507" w:type="pct"/>
            <w:tcBorders>
              <w:bottom w:val="single" w:sz="4" w:space="0" w:color="auto"/>
            </w:tcBorders>
            <w:shd w:val="clear" w:color="auto" w:fill="auto"/>
            <w:vAlign w:val="bottom"/>
          </w:tcPr>
          <w:p w:rsidR="00B17337" w:rsidRPr="00192902" w:rsidRDefault="00B17337" w:rsidP="00AB38B4">
            <w:pPr>
              <w:pStyle w:val="TableBodyText"/>
            </w:pPr>
            <w:r>
              <w:noBreakHyphen/>
            </w:r>
          </w:p>
        </w:tc>
        <w:tc>
          <w:tcPr>
            <w:tcW w:w="507" w:type="pct"/>
            <w:tcBorders>
              <w:bottom w:val="single" w:sz="4" w:space="0" w:color="auto"/>
            </w:tcBorders>
            <w:shd w:val="clear" w:color="auto" w:fill="auto"/>
            <w:vAlign w:val="bottom"/>
          </w:tcPr>
          <w:p w:rsidR="00B17337" w:rsidRPr="00192902" w:rsidRDefault="00B17337" w:rsidP="00AB38B4">
            <w:pPr>
              <w:pStyle w:val="TableBodyText"/>
            </w:pPr>
            <w:r>
              <w:noBreakHyphen/>
            </w:r>
          </w:p>
        </w:tc>
      </w:tr>
    </w:tbl>
    <w:p w:rsidR="00B17337" w:rsidRDefault="00B17337" w:rsidP="00B17337">
      <w:pPr>
        <w:pStyle w:val="Note"/>
      </w:pPr>
      <w:r w:rsidRPr="00A2379F">
        <w:noBreakHyphen/>
        <w:t xml:space="preserve"> </w:t>
      </w:r>
      <w:r>
        <w:t>Nil</w:t>
      </w:r>
      <w:r w:rsidRPr="00A2379F">
        <w:t>.</w:t>
      </w:r>
      <w:r>
        <w:t xml:space="preserve"> </w:t>
      </w:r>
      <w:r w:rsidRPr="008E77FE">
        <w:rPr>
          <w:rStyle w:val="NoteLabel"/>
        </w:rPr>
        <w:t>a</w:t>
      </w:r>
      <w:r>
        <w:t xml:space="preserve"> </w:t>
      </w:r>
      <w:r w:rsidRPr="009B56F1">
        <w:t>Unallocated includes general programs where detai</w:t>
      </w:r>
      <w:r>
        <w:t>ls of beneficiaries are unknown.</w:t>
      </w:r>
    </w:p>
    <w:p w:rsidR="00B17337" w:rsidRDefault="00B17337" w:rsidP="00B17337">
      <w:pPr>
        <w:pStyle w:val="Source"/>
      </w:pPr>
      <w:r>
        <w:rPr>
          <w:i/>
        </w:rPr>
        <w:t>Source</w:t>
      </w:r>
      <w:r>
        <w:t>: Commission estimates based on Department of Communications, Information Technology and the Arts Annual Report 2006</w:t>
      </w:r>
      <w:r>
        <w:noBreakHyphen/>
        <w:t>07.</w:t>
      </w:r>
    </w:p>
    <w:p w:rsidR="004E1899" w:rsidRPr="004E1899" w:rsidRDefault="004E1899" w:rsidP="004E1899">
      <w:r>
        <w:br w:type="page"/>
      </w:r>
    </w:p>
    <w:p w:rsidR="00A20341" w:rsidRDefault="00FA09C3" w:rsidP="00A20341">
      <w:pPr>
        <w:pStyle w:val="Heading2"/>
      </w:pPr>
      <w:r>
        <w:t>A.</w:t>
      </w:r>
      <w:r>
        <w:rPr>
          <w:noProof/>
        </w:rPr>
        <w:t>225</w:t>
      </w:r>
      <w:r w:rsidR="00A20341">
        <w:tab/>
        <w:t xml:space="preserve">Product Stewardship for Oil Program </w:t>
      </w:r>
    </w:p>
    <w:p w:rsidR="00A20341" w:rsidRDefault="00A20341" w:rsidP="00A20341">
      <w:pPr>
        <w:pStyle w:val="BodyText"/>
      </w:pPr>
      <w:r>
        <w:t>Operating from 2000</w:t>
      </w:r>
      <w:r>
        <w:noBreakHyphen/>
        <w:t>01 to 2006</w:t>
      </w:r>
      <w:r>
        <w:noBreakHyphen/>
        <w:t>07, the Product Stewardship for Oil Program provided incentives to increase used oil recycling (</w:t>
      </w:r>
      <w:r w:rsidRPr="00E80A54">
        <w:t>DEWR 2007</w:t>
      </w:r>
      <w:r>
        <w:t xml:space="preserve">). </w:t>
      </w:r>
    </w:p>
    <w:p w:rsidR="00A20341" w:rsidRDefault="00A20341" w:rsidP="00A20341">
      <w:pPr>
        <w:pStyle w:val="BodyText"/>
      </w:pPr>
      <w:r>
        <w:t xml:space="preserve">Funding for the Program has been allocated to the </w:t>
      </w:r>
      <w:r w:rsidRPr="00BF1BB7">
        <w:rPr>
          <w:i/>
        </w:rPr>
        <w:t>Petroleum, coal, chemical and rubber products</w:t>
      </w:r>
      <w:r w:rsidRPr="00BF1BB7">
        <w:t xml:space="preserve"> industry in the Commission’s ANZSIC-based industry groupings (table</w:t>
      </w:r>
      <w:r>
        <w:t> </w:t>
      </w:r>
      <w:r w:rsidRPr="00BF1BB7">
        <w:t>A.</w:t>
      </w:r>
      <w:r>
        <w:t>225</w:t>
      </w:r>
      <w:r w:rsidRPr="00BF1BB7">
        <w:t>).</w:t>
      </w:r>
    </w:p>
    <w:p w:rsidR="00A20341" w:rsidRDefault="00A20341" w:rsidP="00A20341">
      <w:pPr>
        <w:pStyle w:val="TableTitle"/>
      </w:pPr>
      <w:r>
        <w:rPr>
          <w:b w:val="0"/>
        </w:rPr>
        <w:t xml:space="preserve">Table </w:t>
      </w:r>
      <w:r w:rsidR="00FA09C3">
        <w:rPr>
          <w:b w:val="0"/>
        </w:rPr>
        <w:t>A.</w:t>
      </w:r>
      <w:r w:rsidR="00FA09C3">
        <w:rPr>
          <w:b w:val="0"/>
          <w:noProof/>
        </w:rPr>
        <w:t>225</w:t>
      </w:r>
      <w:r>
        <w:tab/>
        <w:t>Allocation of Product Stewardship</w:t>
      </w:r>
      <w:r w:rsidR="00571E36">
        <w:t xml:space="preserve"> </w:t>
      </w:r>
      <w:r w:rsidR="000D583B">
        <w:t xml:space="preserve">for </w:t>
      </w:r>
      <w:r w:rsidR="00571E36">
        <w:t>Oil</w:t>
      </w:r>
      <w:r>
        <w:t xml:space="preserve"> Program</w:t>
      </w:r>
      <w:r w:rsidR="00571E36" w:rsidRPr="00571E36">
        <w:t xml:space="preserve"> to industry</w:t>
      </w:r>
      <w:r>
        <w:t>, 2006</w:t>
      </w:r>
      <w:r>
        <w:noBreakHyphen/>
        <w:t>07 to 2011</w:t>
      </w:r>
      <w:r>
        <w:noBreakHyphen/>
        <w:t>12</w:t>
      </w:r>
    </w:p>
    <w:p w:rsidR="00A20341" w:rsidRDefault="00A20341" w:rsidP="00A20341">
      <w:pPr>
        <w:pStyle w:val="Subtitle"/>
      </w:pPr>
      <w:r>
        <w:t>$</w:t>
      </w:r>
      <w:r w:rsidR="00D05810">
        <w:t xml:space="preserve"> </w:t>
      </w:r>
      <w:r>
        <w:t xml:space="preserve">million (nominal) </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A20341" w:rsidRPr="00AF699A" w:rsidTr="00F443A8">
        <w:trPr>
          <w:trHeight w:val="340"/>
        </w:trPr>
        <w:tc>
          <w:tcPr>
            <w:tcW w:w="1958" w:type="pct"/>
            <w:tcBorders>
              <w:top w:val="single" w:sz="6" w:space="0" w:color="auto"/>
              <w:bottom w:val="single" w:sz="6" w:space="0" w:color="auto"/>
            </w:tcBorders>
          </w:tcPr>
          <w:p w:rsidR="00A20341" w:rsidRPr="00AF699A" w:rsidRDefault="00A20341" w:rsidP="00AB38B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A20341" w:rsidRPr="00AF699A" w:rsidRDefault="00A20341"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A20341" w:rsidRPr="00AF699A" w:rsidRDefault="00A20341" w:rsidP="00AB38B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A20341" w:rsidRPr="00AF699A" w:rsidRDefault="00A20341" w:rsidP="00AB38B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A20341" w:rsidRPr="00AF699A" w:rsidRDefault="00A20341" w:rsidP="00AB38B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A20341" w:rsidRPr="00AF699A" w:rsidRDefault="00A20341" w:rsidP="00AB38B4">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A20341" w:rsidRPr="00AF699A" w:rsidRDefault="00A20341" w:rsidP="00AB38B4">
            <w:pPr>
              <w:pStyle w:val="TableColumnHeading"/>
              <w:ind w:right="28"/>
              <w:rPr>
                <w:rFonts w:cs="Arial"/>
                <w:sz w:val="18"/>
                <w:szCs w:val="18"/>
              </w:rPr>
            </w:pPr>
            <w:r w:rsidRPr="00AF699A">
              <w:rPr>
                <w:rFonts w:cs="Arial"/>
                <w:sz w:val="18"/>
                <w:szCs w:val="18"/>
              </w:rPr>
              <w:t>2011-12</w:t>
            </w:r>
          </w:p>
        </w:tc>
      </w:tr>
      <w:tr w:rsidR="00A20341" w:rsidRPr="001E2B09" w:rsidTr="00AB38B4">
        <w:tc>
          <w:tcPr>
            <w:tcW w:w="1958" w:type="pct"/>
            <w:tcBorders>
              <w:bottom w:val="single" w:sz="4" w:space="0" w:color="auto"/>
            </w:tcBorders>
            <w:vAlign w:val="bottom"/>
          </w:tcPr>
          <w:p w:rsidR="00A20341" w:rsidRPr="001E2B09" w:rsidRDefault="00A20341" w:rsidP="00AB38B4">
            <w:pPr>
              <w:pStyle w:val="TableBodyText"/>
              <w:jc w:val="left"/>
            </w:pPr>
            <w:r w:rsidRPr="001E2B09">
              <w:t>Petroleum, coal, chemical and rubber products</w:t>
            </w:r>
          </w:p>
        </w:tc>
        <w:tc>
          <w:tcPr>
            <w:tcW w:w="507" w:type="pct"/>
            <w:tcBorders>
              <w:bottom w:val="single" w:sz="4" w:space="0" w:color="auto"/>
            </w:tcBorders>
            <w:vAlign w:val="bottom"/>
          </w:tcPr>
          <w:p w:rsidR="00A20341" w:rsidRPr="001E2B09" w:rsidRDefault="00A20341" w:rsidP="00AB38B4">
            <w:pPr>
              <w:pStyle w:val="TableBodyText"/>
            </w:pPr>
            <w:r w:rsidRPr="001E2B09">
              <w:t>4.4</w:t>
            </w:r>
          </w:p>
        </w:tc>
        <w:tc>
          <w:tcPr>
            <w:tcW w:w="507" w:type="pct"/>
            <w:tcBorders>
              <w:bottom w:val="single" w:sz="4" w:space="0" w:color="auto"/>
            </w:tcBorders>
            <w:vAlign w:val="bottom"/>
          </w:tcPr>
          <w:p w:rsidR="00A20341" w:rsidRPr="001E2B09" w:rsidRDefault="00A20341" w:rsidP="00AB38B4">
            <w:pPr>
              <w:pStyle w:val="TableBodyText"/>
            </w:pPr>
            <w:r>
              <w:noBreakHyphen/>
            </w:r>
          </w:p>
        </w:tc>
        <w:tc>
          <w:tcPr>
            <w:tcW w:w="507" w:type="pct"/>
            <w:tcBorders>
              <w:bottom w:val="single" w:sz="4" w:space="0" w:color="auto"/>
            </w:tcBorders>
            <w:vAlign w:val="bottom"/>
          </w:tcPr>
          <w:p w:rsidR="00A20341" w:rsidRPr="001E2B09" w:rsidRDefault="00A20341" w:rsidP="00AB38B4">
            <w:pPr>
              <w:pStyle w:val="TableBodyText"/>
            </w:pPr>
            <w:r>
              <w:noBreakHyphen/>
            </w:r>
          </w:p>
        </w:tc>
        <w:tc>
          <w:tcPr>
            <w:tcW w:w="507" w:type="pct"/>
            <w:tcBorders>
              <w:bottom w:val="single" w:sz="4" w:space="0" w:color="auto"/>
            </w:tcBorders>
            <w:vAlign w:val="bottom"/>
          </w:tcPr>
          <w:p w:rsidR="00A20341" w:rsidRPr="001E2B09" w:rsidRDefault="00A20341" w:rsidP="00AB38B4">
            <w:pPr>
              <w:pStyle w:val="TableBodyText"/>
            </w:pPr>
            <w:r>
              <w:noBreakHyphen/>
            </w:r>
          </w:p>
        </w:tc>
        <w:tc>
          <w:tcPr>
            <w:tcW w:w="507" w:type="pct"/>
            <w:tcBorders>
              <w:bottom w:val="single" w:sz="4" w:space="0" w:color="auto"/>
            </w:tcBorders>
            <w:shd w:val="clear" w:color="auto" w:fill="auto"/>
            <w:vAlign w:val="bottom"/>
          </w:tcPr>
          <w:p w:rsidR="00A20341" w:rsidRPr="001E2B09" w:rsidRDefault="00A20341" w:rsidP="00AB38B4">
            <w:pPr>
              <w:pStyle w:val="TableBodyText"/>
            </w:pPr>
            <w:r>
              <w:noBreakHyphen/>
            </w:r>
          </w:p>
        </w:tc>
        <w:tc>
          <w:tcPr>
            <w:tcW w:w="507" w:type="pct"/>
            <w:tcBorders>
              <w:bottom w:val="single" w:sz="4" w:space="0" w:color="auto"/>
            </w:tcBorders>
            <w:shd w:val="clear" w:color="auto" w:fill="auto"/>
            <w:vAlign w:val="bottom"/>
          </w:tcPr>
          <w:p w:rsidR="00A20341" w:rsidRPr="001E2B09" w:rsidRDefault="00A20341" w:rsidP="00AB38B4">
            <w:pPr>
              <w:pStyle w:val="TableBodyText"/>
            </w:pPr>
            <w:r>
              <w:noBreakHyphen/>
            </w:r>
          </w:p>
        </w:tc>
      </w:tr>
    </w:tbl>
    <w:p w:rsidR="00A20341" w:rsidRDefault="00A20341" w:rsidP="00A20341">
      <w:pPr>
        <w:pStyle w:val="Note"/>
      </w:pPr>
      <w:r w:rsidRPr="00A2379F">
        <w:noBreakHyphen/>
        <w:t xml:space="preserve"> Nil</w:t>
      </w:r>
      <w:r>
        <w:t>.</w:t>
      </w:r>
    </w:p>
    <w:p w:rsidR="00A20341" w:rsidRPr="008E77FE" w:rsidRDefault="00A20341" w:rsidP="00A20341">
      <w:pPr>
        <w:pStyle w:val="Source"/>
      </w:pPr>
      <w:r>
        <w:rPr>
          <w:i/>
        </w:rPr>
        <w:t>Source</w:t>
      </w:r>
      <w:r>
        <w:t>: Commission estimates based on Department of the Environment and Heritage Annual Report 2005</w:t>
      </w:r>
      <w:r>
        <w:noBreakHyphen/>
        <w:t>06.</w:t>
      </w:r>
    </w:p>
    <w:p w:rsidR="0016686F" w:rsidRDefault="00FA09C3" w:rsidP="00A20341">
      <w:pPr>
        <w:pStyle w:val="Heading2"/>
      </w:pPr>
      <w:r>
        <w:t>A.</w:t>
      </w:r>
      <w:r>
        <w:rPr>
          <w:noProof/>
        </w:rPr>
        <w:t>226</w:t>
      </w:r>
      <w:r w:rsidR="00A20341">
        <w:tab/>
        <w:t>Biotechnology Australia</w:t>
      </w:r>
    </w:p>
    <w:p w:rsidR="002950C1" w:rsidRPr="002950C1" w:rsidRDefault="00A20341" w:rsidP="002950C1">
      <w:pPr>
        <w:pStyle w:val="BodyText"/>
      </w:pPr>
      <w:r w:rsidRPr="00A20341">
        <w:t>In August</w:t>
      </w:r>
      <w:r>
        <w:t> </w:t>
      </w:r>
      <w:r w:rsidRPr="00A20341">
        <w:t>2006</w:t>
      </w:r>
      <w:r>
        <w:t>,</w:t>
      </w:r>
      <w:r w:rsidRPr="00A20341">
        <w:t xml:space="preserve"> the Biotechnology</w:t>
      </w:r>
      <w:r>
        <w:t xml:space="preserve"> Ministerial </w:t>
      </w:r>
      <w:r w:rsidRPr="00A20341">
        <w:t>Council dire</w:t>
      </w:r>
      <w:r>
        <w:t xml:space="preserve">cted Biotechnology Australia to </w:t>
      </w:r>
      <w:r w:rsidRPr="00A20341">
        <w:t>focus on key ch</w:t>
      </w:r>
      <w:r>
        <w:t xml:space="preserve">allenges including agribiotech, </w:t>
      </w:r>
      <w:r w:rsidRPr="00A20341">
        <w:t>regulation, sta</w:t>
      </w:r>
      <w:r>
        <w:t xml:space="preserve">tistics and public awareness in </w:t>
      </w:r>
      <w:r w:rsidRPr="00A20341">
        <w:t>the final two yea</w:t>
      </w:r>
      <w:r>
        <w:t xml:space="preserve">rs of funding for the </w:t>
      </w:r>
      <w:r w:rsidRPr="00A20341">
        <w:t>National Biotechnology Strategy</w:t>
      </w:r>
      <w:r>
        <w:t xml:space="preserve"> (DITR 2007a)</w:t>
      </w:r>
      <w:r w:rsidRPr="00A20341">
        <w:t>.</w:t>
      </w:r>
      <w:r w:rsidR="002950C1">
        <w:t xml:space="preserve"> T</w:t>
      </w:r>
      <w:r w:rsidR="002950C1" w:rsidRPr="002950C1">
        <w:t xml:space="preserve">he </w:t>
      </w:r>
      <w:r w:rsidR="002950C1">
        <w:t xml:space="preserve">Strategy was intended to </w:t>
      </w:r>
      <w:r w:rsidR="002950C1" w:rsidRPr="002950C1">
        <w:t>provide a frame</w:t>
      </w:r>
      <w:r w:rsidR="002950C1">
        <w:t xml:space="preserve">work for capturing the benefits </w:t>
      </w:r>
      <w:r w:rsidR="002950C1" w:rsidRPr="002950C1">
        <w:t>of biotechnology development for Australia.</w:t>
      </w:r>
    </w:p>
    <w:p w:rsidR="00C27C7D" w:rsidRPr="00A20341" w:rsidRDefault="00C27C7D" w:rsidP="00A20341">
      <w:pPr>
        <w:pStyle w:val="BodyText"/>
      </w:pPr>
      <w:r>
        <w:t xml:space="preserve">Funding to Biotechnology Australia has been allocated to the </w:t>
      </w:r>
      <w:r w:rsidRPr="005B6563">
        <w:rPr>
          <w:i/>
        </w:rPr>
        <w:t>Petroleum, chemical and rubber products</w:t>
      </w:r>
      <w:r>
        <w:t xml:space="preserve"> industry grouping in the Commission’s ANZSIC-based classification (table A.226).</w:t>
      </w:r>
    </w:p>
    <w:p w:rsidR="00A20341" w:rsidRDefault="00A20341" w:rsidP="00A20341">
      <w:pPr>
        <w:pStyle w:val="TableTitle"/>
      </w:pPr>
      <w:r>
        <w:rPr>
          <w:b w:val="0"/>
        </w:rPr>
        <w:t xml:space="preserve">Table </w:t>
      </w:r>
      <w:r w:rsidR="00FA09C3">
        <w:rPr>
          <w:b w:val="0"/>
        </w:rPr>
        <w:t>A.</w:t>
      </w:r>
      <w:r w:rsidR="00FA09C3">
        <w:rPr>
          <w:b w:val="0"/>
          <w:noProof/>
        </w:rPr>
        <w:t>226</w:t>
      </w:r>
      <w:r>
        <w:tab/>
        <w:t>Allocation of Biotechnology Australia</w:t>
      </w:r>
      <w:r w:rsidR="00571E36" w:rsidRPr="00571E36">
        <w:t xml:space="preserve"> </w:t>
      </w:r>
      <w:r w:rsidR="00A51326">
        <w:t xml:space="preserve">funding </w:t>
      </w:r>
      <w:r w:rsidR="00571E36" w:rsidRPr="00571E36">
        <w:t>to industry</w:t>
      </w:r>
      <w:r>
        <w:t>, 2006</w:t>
      </w:r>
      <w:r>
        <w:noBreakHyphen/>
        <w:t>07 to 2011</w:t>
      </w:r>
      <w:r>
        <w:noBreakHyphen/>
        <w:t>12</w:t>
      </w:r>
    </w:p>
    <w:p w:rsidR="00A20341" w:rsidRDefault="00A20341" w:rsidP="00A20341">
      <w:pPr>
        <w:pStyle w:val="Subtitle"/>
      </w:pPr>
      <w:r>
        <w:t>$</w:t>
      </w:r>
      <w:r w:rsidR="00D05810">
        <w:t xml:space="preserve"> </w:t>
      </w:r>
      <w:r>
        <w:t xml:space="preserve">million (nominal) </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A20341" w:rsidRPr="00AF699A" w:rsidTr="00F443A8">
        <w:trPr>
          <w:trHeight w:val="340"/>
        </w:trPr>
        <w:tc>
          <w:tcPr>
            <w:tcW w:w="1958" w:type="pct"/>
            <w:tcBorders>
              <w:top w:val="single" w:sz="6" w:space="0" w:color="auto"/>
              <w:bottom w:val="single" w:sz="6" w:space="0" w:color="auto"/>
            </w:tcBorders>
          </w:tcPr>
          <w:p w:rsidR="00A20341" w:rsidRPr="00AF699A" w:rsidRDefault="00A20341" w:rsidP="00AB38B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A20341" w:rsidRPr="00AF699A" w:rsidRDefault="00A20341"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A20341" w:rsidRPr="00AF699A" w:rsidRDefault="00A20341" w:rsidP="00AB38B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A20341" w:rsidRPr="00AF699A" w:rsidRDefault="00A20341" w:rsidP="00AB38B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A20341" w:rsidRPr="00AF699A" w:rsidRDefault="00A20341" w:rsidP="00AB38B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A20341" w:rsidRPr="00AF699A" w:rsidRDefault="00A20341" w:rsidP="00AB38B4">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A20341" w:rsidRPr="00AF699A" w:rsidRDefault="00A20341" w:rsidP="00AB38B4">
            <w:pPr>
              <w:pStyle w:val="TableColumnHeading"/>
              <w:ind w:right="28"/>
              <w:rPr>
                <w:rFonts w:cs="Arial"/>
                <w:sz w:val="18"/>
                <w:szCs w:val="18"/>
              </w:rPr>
            </w:pPr>
            <w:r w:rsidRPr="00AF699A">
              <w:rPr>
                <w:rFonts w:cs="Arial"/>
                <w:sz w:val="18"/>
                <w:szCs w:val="18"/>
              </w:rPr>
              <w:t>2011-12</w:t>
            </w:r>
          </w:p>
        </w:tc>
      </w:tr>
      <w:tr w:rsidR="00A20341" w:rsidRPr="001E2B09" w:rsidTr="00AB38B4">
        <w:tc>
          <w:tcPr>
            <w:tcW w:w="1958" w:type="pct"/>
            <w:tcBorders>
              <w:bottom w:val="single" w:sz="4" w:space="0" w:color="auto"/>
            </w:tcBorders>
            <w:vAlign w:val="bottom"/>
          </w:tcPr>
          <w:p w:rsidR="00A20341" w:rsidRPr="001E2B09" w:rsidRDefault="00A20341" w:rsidP="00AB38B4">
            <w:pPr>
              <w:pStyle w:val="TableBodyText"/>
              <w:jc w:val="left"/>
            </w:pPr>
            <w:r w:rsidRPr="001E2B09">
              <w:t>Petroleum, coal, chemical and rubber products</w:t>
            </w:r>
          </w:p>
        </w:tc>
        <w:tc>
          <w:tcPr>
            <w:tcW w:w="507" w:type="pct"/>
            <w:tcBorders>
              <w:bottom w:val="single" w:sz="4" w:space="0" w:color="auto"/>
            </w:tcBorders>
            <w:vAlign w:val="bottom"/>
          </w:tcPr>
          <w:p w:rsidR="00A20341" w:rsidRPr="001E2B09" w:rsidRDefault="00A20341" w:rsidP="00A20341">
            <w:pPr>
              <w:pStyle w:val="TableBodyText"/>
            </w:pPr>
            <w:r>
              <w:t>3</w:t>
            </w:r>
            <w:r w:rsidRPr="001E2B09">
              <w:t>.</w:t>
            </w:r>
            <w:r>
              <w:t>0</w:t>
            </w:r>
          </w:p>
        </w:tc>
        <w:tc>
          <w:tcPr>
            <w:tcW w:w="507" w:type="pct"/>
            <w:tcBorders>
              <w:bottom w:val="single" w:sz="4" w:space="0" w:color="auto"/>
            </w:tcBorders>
            <w:vAlign w:val="bottom"/>
          </w:tcPr>
          <w:p w:rsidR="00A20341" w:rsidRPr="001E2B09" w:rsidRDefault="00A20341" w:rsidP="00AB38B4">
            <w:pPr>
              <w:pStyle w:val="TableBodyText"/>
            </w:pPr>
            <w:r>
              <w:noBreakHyphen/>
            </w:r>
          </w:p>
        </w:tc>
        <w:tc>
          <w:tcPr>
            <w:tcW w:w="507" w:type="pct"/>
            <w:tcBorders>
              <w:bottom w:val="single" w:sz="4" w:space="0" w:color="auto"/>
            </w:tcBorders>
            <w:vAlign w:val="bottom"/>
          </w:tcPr>
          <w:p w:rsidR="00A20341" w:rsidRPr="001E2B09" w:rsidRDefault="00A20341" w:rsidP="00AB38B4">
            <w:pPr>
              <w:pStyle w:val="TableBodyText"/>
            </w:pPr>
            <w:r>
              <w:noBreakHyphen/>
            </w:r>
          </w:p>
        </w:tc>
        <w:tc>
          <w:tcPr>
            <w:tcW w:w="507" w:type="pct"/>
            <w:tcBorders>
              <w:bottom w:val="single" w:sz="4" w:space="0" w:color="auto"/>
            </w:tcBorders>
            <w:vAlign w:val="bottom"/>
          </w:tcPr>
          <w:p w:rsidR="00A20341" w:rsidRPr="001E2B09" w:rsidRDefault="00A20341" w:rsidP="00AB38B4">
            <w:pPr>
              <w:pStyle w:val="TableBodyText"/>
            </w:pPr>
            <w:r>
              <w:noBreakHyphen/>
            </w:r>
          </w:p>
        </w:tc>
        <w:tc>
          <w:tcPr>
            <w:tcW w:w="507" w:type="pct"/>
            <w:tcBorders>
              <w:bottom w:val="single" w:sz="4" w:space="0" w:color="auto"/>
            </w:tcBorders>
            <w:shd w:val="clear" w:color="auto" w:fill="auto"/>
            <w:vAlign w:val="bottom"/>
          </w:tcPr>
          <w:p w:rsidR="00A20341" w:rsidRPr="001E2B09" w:rsidRDefault="00A20341" w:rsidP="00AB38B4">
            <w:pPr>
              <w:pStyle w:val="TableBodyText"/>
            </w:pPr>
            <w:r>
              <w:noBreakHyphen/>
            </w:r>
          </w:p>
        </w:tc>
        <w:tc>
          <w:tcPr>
            <w:tcW w:w="507" w:type="pct"/>
            <w:tcBorders>
              <w:bottom w:val="single" w:sz="4" w:space="0" w:color="auto"/>
            </w:tcBorders>
            <w:shd w:val="clear" w:color="auto" w:fill="auto"/>
            <w:vAlign w:val="bottom"/>
          </w:tcPr>
          <w:p w:rsidR="00A20341" w:rsidRPr="001E2B09" w:rsidRDefault="00A20341" w:rsidP="00AB38B4">
            <w:pPr>
              <w:pStyle w:val="TableBodyText"/>
            </w:pPr>
            <w:r>
              <w:noBreakHyphen/>
            </w:r>
          </w:p>
        </w:tc>
      </w:tr>
    </w:tbl>
    <w:p w:rsidR="00A20341" w:rsidRDefault="00A20341" w:rsidP="00A20341">
      <w:pPr>
        <w:pStyle w:val="Note"/>
      </w:pPr>
      <w:r w:rsidRPr="00A2379F">
        <w:noBreakHyphen/>
        <w:t xml:space="preserve"> Nil</w:t>
      </w:r>
      <w:r>
        <w:t>.</w:t>
      </w:r>
    </w:p>
    <w:p w:rsidR="00A20341" w:rsidRPr="008E77FE" w:rsidRDefault="00A20341" w:rsidP="00A20341">
      <w:pPr>
        <w:pStyle w:val="Source"/>
      </w:pPr>
      <w:r>
        <w:rPr>
          <w:i/>
        </w:rPr>
        <w:t>Source</w:t>
      </w:r>
      <w:r>
        <w:t>: Commission estimates based on Department of Industry, Tourism and Resources Annual Report 200</w:t>
      </w:r>
      <w:r w:rsidR="005B6563">
        <w:t>6</w:t>
      </w:r>
      <w:r>
        <w:noBreakHyphen/>
        <w:t>0</w:t>
      </w:r>
      <w:r w:rsidR="005B6563">
        <w:t>7</w:t>
      </w:r>
      <w:r>
        <w:t>.</w:t>
      </w:r>
    </w:p>
    <w:p w:rsidR="004A13B1" w:rsidRDefault="00FA09C3" w:rsidP="004A13B1">
      <w:pPr>
        <w:pStyle w:val="Heading2"/>
      </w:pPr>
      <w:r>
        <w:t>A.</w:t>
      </w:r>
      <w:r>
        <w:rPr>
          <w:noProof/>
        </w:rPr>
        <w:t>227</w:t>
      </w:r>
      <w:r w:rsidR="004A13B1">
        <w:tab/>
        <w:t>Aerospace incentives – Hawker de Havilland</w:t>
      </w:r>
    </w:p>
    <w:p w:rsidR="004A13B1" w:rsidRPr="00E22471" w:rsidRDefault="004A13B1" w:rsidP="004A13B1">
      <w:pPr>
        <w:pStyle w:val="BodyText"/>
      </w:pPr>
      <w:r>
        <w:t>In 2005</w:t>
      </w:r>
      <w:r>
        <w:noBreakHyphen/>
        <w:t>06, a</w:t>
      </w:r>
      <w:r w:rsidRPr="00E22471">
        <w:t xml:space="preserve"> Hawker de Havilland strategic investment incentive contract, which</w:t>
      </w:r>
      <w:r>
        <w:t xml:space="preserve"> aimed to</w:t>
      </w:r>
      <w:r w:rsidRPr="00E22471">
        <w:t xml:space="preserve"> ensure the commercialisation of research conducted at the Cooperative Research Centre for Advanced Compo</w:t>
      </w:r>
      <w:r>
        <w:t>sites</w:t>
      </w:r>
      <w:r w:rsidR="00D05810">
        <w:t>,</w:t>
      </w:r>
      <w:r w:rsidRPr="00E22471">
        <w:t xml:space="preserve"> was negotiated</w:t>
      </w:r>
      <w:r>
        <w:t xml:space="preserve"> </w:t>
      </w:r>
      <w:r w:rsidRPr="00E22471">
        <w:t xml:space="preserve">and the first milestone payment to Hawker de Havilland was made at the launch of the Australian Aerospace Industry Forum. </w:t>
      </w:r>
      <w:r>
        <w:t>In providing a</w:t>
      </w:r>
      <w:r w:rsidRPr="00E22471">
        <w:t>ccess to this research and technology</w:t>
      </w:r>
      <w:r>
        <w:t xml:space="preserve">, the Aerospace incentives </w:t>
      </w:r>
      <w:r>
        <w:noBreakHyphen/>
        <w:t xml:space="preserve"> Hawker de Havilland funding</w:t>
      </w:r>
      <w:r w:rsidRPr="00E22471">
        <w:t xml:space="preserve"> assisted the company to become a Tier</w:t>
      </w:r>
      <w:r>
        <w:t> </w:t>
      </w:r>
      <w:r w:rsidRPr="00E22471">
        <w:t>1 supplier to the Boeing 787 Dreamliner project</w:t>
      </w:r>
      <w:r>
        <w:t xml:space="preserve"> (</w:t>
      </w:r>
      <w:r w:rsidRPr="00E80A54">
        <w:t>DITR 2006</w:t>
      </w:r>
      <w:r>
        <w:t>).</w:t>
      </w:r>
    </w:p>
    <w:p w:rsidR="004A13B1" w:rsidRPr="007529B5" w:rsidRDefault="004A13B1" w:rsidP="004A13B1">
      <w:pPr>
        <w:pStyle w:val="BodyText"/>
      </w:pPr>
      <w:r>
        <w:t>Program funding</w:t>
      </w:r>
      <w:r w:rsidRPr="006C7C43">
        <w:t xml:space="preserve"> has been classified to the </w:t>
      </w:r>
      <w:r w:rsidRPr="006C7C43">
        <w:rPr>
          <w:i/>
        </w:rPr>
        <w:t>Other transport equipment</w:t>
      </w:r>
      <w:r w:rsidRPr="006C7C43">
        <w:t xml:space="preserve"> industry grouping in the Commission’s ANZSIC-based classification (table</w:t>
      </w:r>
      <w:r>
        <w:t> </w:t>
      </w:r>
      <w:r w:rsidRPr="006C7C43">
        <w:t>A.</w:t>
      </w:r>
      <w:r>
        <w:t>227</w:t>
      </w:r>
      <w:r w:rsidRPr="006C7C43">
        <w:t>).</w:t>
      </w:r>
    </w:p>
    <w:p w:rsidR="004A13B1" w:rsidRDefault="004A13B1" w:rsidP="004A13B1">
      <w:pPr>
        <w:pStyle w:val="TableTitle"/>
      </w:pPr>
      <w:r>
        <w:rPr>
          <w:b w:val="0"/>
        </w:rPr>
        <w:t xml:space="preserve">Table </w:t>
      </w:r>
      <w:r w:rsidR="00FA09C3">
        <w:rPr>
          <w:b w:val="0"/>
        </w:rPr>
        <w:t>A.</w:t>
      </w:r>
      <w:r w:rsidR="00FA09C3">
        <w:rPr>
          <w:b w:val="0"/>
          <w:noProof/>
        </w:rPr>
        <w:t>227</w:t>
      </w:r>
      <w:r>
        <w:tab/>
        <w:t>Allocation of Aerospace incentives – Hawker de Havilland</w:t>
      </w:r>
      <w:r w:rsidR="00571E36" w:rsidRPr="00571E36">
        <w:t xml:space="preserve"> to industry</w:t>
      </w:r>
      <w:r>
        <w:t>, 2006</w:t>
      </w:r>
      <w:r>
        <w:noBreakHyphen/>
        <w:t>07 to 2011</w:t>
      </w:r>
      <w:r>
        <w:noBreakHyphen/>
        <w:t>12</w:t>
      </w:r>
    </w:p>
    <w:p w:rsidR="004A13B1" w:rsidRDefault="004A13B1" w:rsidP="004A13B1">
      <w:pPr>
        <w:pStyle w:val="Subtitle"/>
      </w:pPr>
      <w:r>
        <w:t>$</w:t>
      </w:r>
      <w:r w:rsidR="00D05810">
        <w:t xml:space="preserve"> </w:t>
      </w:r>
      <w:r>
        <w:t xml:space="preserve">million (nominal) </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4A13B1" w:rsidRPr="00AF699A" w:rsidTr="00F443A8">
        <w:trPr>
          <w:trHeight w:val="340"/>
        </w:trPr>
        <w:tc>
          <w:tcPr>
            <w:tcW w:w="1958" w:type="pct"/>
            <w:tcBorders>
              <w:top w:val="single" w:sz="6" w:space="0" w:color="auto"/>
              <w:bottom w:val="single" w:sz="6" w:space="0" w:color="auto"/>
            </w:tcBorders>
          </w:tcPr>
          <w:p w:rsidR="004A13B1" w:rsidRPr="00AF699A" w:rsidRDefault="004A13B1" w:rsidP="00AB38B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4A13B1" w:rsidRPr="00AF699A" w:rsidRDefault="004A13B1"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4A13B1" w:rsidRPr="00AF699A" w:rsidRDefault="004A13B1" w:rsidP="00AB38B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4A13B1" w:rsidRPr="00AF699A" w:rsidRDefault="004A13B1" w:rsidP="00AB38B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4A13B1" w:rsidRPr="00AF699A" w:rsidRDefault="004A13B1" w:rsidP="00AB38B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4A13B1" w:rsidRPr="00AF699A" w:rsidRDefault="004A13B1" w:rsidP="00AB38B4">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4A13B1" w:rsidRPr="00AF699A" w:rsidRDefault="004A13B1" w:rsidP="00AB38B4">
            <w:pPr>
              <w:pStyle w:val="TableColumnHeading"/>
              <w:ind w:right="28"/>
              <w:rPr>
                <w:rFonts w:cs="Arial"/>
                <w:sz w:val="18"/>
                <w:szCs w:val="18"/>
              </w:rPr>
            </w:pPr>
            <w:r w:rsidRPr="00AF699A">
              <w:rPr>
                <w:rFonts w:cs="Arial"/>
                <w:sz w:val="18"/>
                <w:szCs w:val="18"/>
              </w:rPr>
              <w:t>2011-12</w:t>
            </w:r>
          </w:p>
        </w:tc>
      </w:tr>
      <w:tr w:rsidR="004A13B1" w:rsidRPr="0094692E" w:rsidTr="00AB38B4">
        <w:tc>
          <w:tcPr>
            <w:tcW w:w="1958" w:type="pct"/>
            <w:tcBorders>
              <w:bottom w:val="single" w:sz="4" w:space="0" w:color="auto"/>
            </w:tcBorders>
            <w:vAlign w:val="bottom"/>
          </w:tcPr>
          <w:p w:rsidR="004A13B1" w:rsidRPr="007D6D7C" w:rsidRDefault="004A13B1" w:rsidP="00AB38B4">
            <w:pPr>
              <w:pStyle w:val="TableBodyText"/>
              <w:jc w:val="left"/>
            </w:pPr>
            <w:r w:rsidRPr="007D6D7C">
              <w:t>Other transport equipment</w:t>
            </w:r>
          </w:p>
        </w:tc>
        <w:tc>
          <w:tcPr>
            <w:tcW w:w="507" w:type="pct"/>
            <w:tcBorders>
              <w:bottom w:val="single" w:sz="4" w:space="0" w:color="auto"/>
            </w:tcBorders>
            <w:vAlign w:val="bottom"/>
          </w:tcPr>
          <w:p w:rsidR="004A13B1" w:rsidRPr="007D6D7C" w:rsidRDefault="004A13B1" w:rsidP="00AB38B4">
            <w:pPr>
              <w:pStyle w:val="TableBodyText"/>
            </w:pPr>
            <w:r w:rsidRPr="007D6D7C">
              <w:t>2.5</w:t>
            </w:r>
          </w:p>
        </w:tc>
        <w:tc>
          <w:tcPr>
            <w:tcW w:w="507" w:type="pct"/>
            <w:tcBorders>
              <w:bottom w:val="single" w:sz="4" w:space="0" w:color="auto"/>
            </w:tcBorders>
            <w:vAlign w:val="bottom"/>
          </w:tcPr>
          <w:p w:rsidR="004A13B1" w:rsidRPr="007D6D7C" w:rsidRDefault="004A13B1" w:rsidP="00AB38B4">
            <w:pPr>
              <w:pStyle w:val="TableBodyText"/>
            </w:pPr>
            <w:r>
              <w:noBreakHyphen/>
            </w:r>
          </w:p>
        </w:tc>
        <w:tc>
          <w:tcPr>
            <w:tcW w:w="507" w:type="pct"/>
            <w:tcBorders>
              <w:bottom w:val="single" w:sz="4" w:space="0" w:color="auto"/>
            </w:tcBorders>
            <w:vAlign w:val="bottom"/>
          </w:tcPr>
          <w:p w:rsidR="004A13B1" w:rsidRPr="007D6D7C" w:rsidRDefault="004A13B1" w:rsidP="00AB38B4">
            <w:pPr>
              <w:pStyle w:val="TableBodyText"/>
            </w:pPr>
            <w:r>
              <w:noBreakHyphen/>
            </w:r>
          </w:p>
        </w:tc>
        <w:tc>
          <w:tcPr>
            <w:tcW w:w="507" w:type="pct"/>
            <w:tcBorders>
              <w:bottom w:val="single" w:sz="4" w:space="0" w:color="auto"/>
            </w:tcBorders>
            <w:vAlign w:val="bottom"/>
          </w:tcPr>
          <w:p w:rsidR="004A13B1" w:rsidRPr="007D6D7C" w:rsidRDefault="004A13B1" w:rsidP="00AB38B4">
            <w:pPr>
              <w:pStyle w:val="TableBodyText"/>
            </w:pPr>
            <w:r>
              <w:noBreakHyphen/>
            </w:r>
          </w:p>
        </w:tc>
        <w:tc>
          <w:tcPr>
            <w:tcW w:w="507" w:type="pct"/>
            <w:tcBorders>
              <w:bottom w:val="single" w:sz="4" w:space="0" w:color="auto"/>
            </w:tcBorders>
            <w:shd w:val="clear" w:color="auto" w:fill="auto"/>
            <w:vAlign w:val="bottom"/>
          </w:tcPr>
          <w:p w:rsidR="004A13B1" w:rsidRPr="007D6D7C" w:rsidRDefault="004A13B1" w:rsidP="00AB38B4">
            <w:pPr>
              <w:pStyle w:val="TableBodyText"/>
            </w:pPr>
            <w:r>
              <w:noBreakHyphen/>
            </w:r>
          </w:p>
        </w:tc>
        <w:tc>
          <w:tcPr>
            <w:tcW w:w="507" w:type="pct"/>
            <w:tcBorders>
              <w:bottom w:val="single" w:sz="4" w:space="0" w:color="auto"/>
            </w:tcBorders>
            <w:shd w:val="clear" w:color="auto" w:fill="auto"/>
            <w:vAlign w:val="bottom"/>
          </w:tcPr>
          <w:p w:rsidR="004A13B1" w:rsidRPr="007D6D7C" w:rsidRDefault="004A13B1" w:rsidP="00AB38B4">
            <w:pPr>
              <w:pStyle w:val="TableBodyText"/>
            </w:pPr>
            <w:r>
              <w:noBreakHyphen/>
            </w:r>
          </w:p>
        </w:tc>
      </w:tr>
    </w:tbl>
    <w:p w:rsidR="004A13B1" w:rsidRPr="00F60026" w:rsidRDefault="004A13B1" w:rsidP="004A13B1">
      <w:pPr>
        <w:pStyle w:val="Source"/>
        <w:spacing w:after="0"/>
        <w:rPr>
          <w:i/>
        </w:rPr>
      </w:pPr>
      <w:r w:rsidRPr="00A2379F">
        <w:noBreakHyphen/>
        <w:t xml:space="preserve"> Nil.</w:t>
      </w:r>
    </w:p>
    <w:p w:rsidR="004A13B1" w:rsidRPr="008E77FE" w:rsidRDefault="004A13B1" w:rsidP="004A13B1">
      <w:pPr>
        <w:pStyle w:val="Source"/>
      </w:pPr>
      <w:r>
        <w:rPr>
          <w:i/>
        </w:rPr>
        <w:t>Source</w:t>
      </w:r>
      <w:r>
        <w:t>: Commission estimates based on Department of Industry,</w:t>
      </w:r>
      <w:r w:rsidR="00481DE5">
        <w:t xml:space="preserve"> </w:t>
      </w:r>
      <w:r>
        <w:t>Tourism and Resources Annual Report 2006</w:t>
      </w:r>
      <w:r>
        <w:noBreakHyphen/>
        <w:t>07.</w:t>
      </w:r>
    </w:p>
    <w:p w:rsidR="004A13B1" w:rsidRDefault="00FA09C3" w:rsidP="004A13B1">
      <w:pPr>
        <w:pStyle w:val="Heading2"/>
      </w:pPr>
      <w:r>
        <w:t>A.</w:t>
      </w:r>
      <w:r>
        <w:rPr>
          <w:noProof/>
        </w:rPr>
        <w:t>228</w:t>
      </w:r>
      <w:r w:rsidR="004A13B1">
        <w:tab/>
        <w:t>Industry Capability Network Limited and Supplier Access to Major Projects schemes</w:t>
      </w:r>
    </w:p>
    <w:p w:rsidR="004A13B1" w:rsidRDefault="004A13B1" w:rsidP="004A13B1">
      <w:pPr>
        <w:pStyle w:val="BodyText"/>
      </w:pPr>
      <w:r>
        <w:t xml:space="preserve">The Industry Capability Network Limited (ICNL) and Supplier Access to Major Projects (SAMP) schemes aimed to provide a national approach to major projects and to assist Australian businesses to access supply opportunities in major projects in Australia and overseas </w:t>
      </w:r>
      <w:r w:rsidRPr="002F5C9C">
        <w:t>(</w:t>
      </w:r>
      <w:r w:rsidRPr="00E80A54">
        <w:t>DITR 2006; DIISR 2008</w:t>
      </w:r>
      <w:r>
        <w:t>). In doing so, the schemes aimed to help Australian businesses secure project contracts that may otherwise have been made with overseas companies. Under these schemes, grants were provided to ICNL to coordinate the provision of the Industry Capability Network services to major projects, maintain the national Industry Capability Showcase database, and to administer the SAMP program.</w:t>
      </w:r>
    </w:p>
    <w:p w:rsidR="004A13B1" w:rsidRPr="000C1A2E" w:rsidRDefault="004A13B1" w:rsidP="00324570">
      <w:pPr>
        <w:pStyle w:val="BodyText"/>
      </w:pPr>
      <w:r w:rsidRPr="000C1A2E">
        <w:t xml:space="preserve">Information on the industry incidence of the programs has not readily available. Accordingly, the budget outlay has been classified to the </w:t>
      </w:r>
      <w:r w:rsidRPr="000C1A2E">
        <w:rPr>
          <w:i/>
        </w:rPr>
        <w:t>Unallocated other</w:t>
      </w:r>
      <w:r w:rsidRPr="000C1A2E">
        <w:t xml:space="preserve"> industry grouping in the Commission’s ANZSIC-based classification (table</w:t>
      </w:r>
      <w:r w:rsidR="00E420FD" w:rsidRPr="000C1A2E">
        <w:t> </w:t>
      </w:r>
      <w:r w:rsidRPr="000C1A2E">
        <w:t>A.228).</w:t>
      </w:r>
    </w:p>
    <w:p w:rsidR="004A13B1" w:rsidRDefault="004A13B1" w:rsidP="004A13B1">
      <w:pPr>
        <w:pStyle w:val="TableTitle"/>
      </w:pPr>
      <w:r>
        <w:rPr>
          <w:b w:val="0"/>
        </w:rPr>
        <w:t xml:space="preserve">Table </w:t>
      </w:r>
      <w:r w:rsidR="00FA09C3">
        <w:rPr>
          <w:b w:val="0"/>
        </w:rPr>
        <w:t>A.</w:t>
      </w:r>
      <w:r w:rsidR="00FA09C3">
        <w:rPr>
          <w:b w:val="0"/>
          <w:noProof/>
        </w:rPr>
        <w:t>228</w:t>
      </w:r>
      <w:r>
        <w:tab/>
        <w:t>Allocation of Industry Capability Network Limited and Supplier Access to Major Project schemes</w:t>
      </w:r>
      <w:r w:rsidR="00571E36" w:rsidRPr="00571E36">
        <w:t xml:space="preserve"> to industry</w:t>
      </w:r>
      <w:r>
        <w:t>, 2006</w:t>
      </w:r>
      <w:r>
        <w:noBreakHyphen/>
        <w:t>07 to 2011</w:t>
      </w:r>
      <w:r>
        <w:noBreakHyphen/>
        <w:t>12</w:t>
      </w:r>
    </w:p>
    <w:p w:rsidR="004A13B1" w:rsidRDefault="004A13B1" w:rsidP="004A13B1">
      <w:pPr>
        <w:pStyle w:val="Subtitle"/>
      </w:pPr>
      <w:r>
        <w:t>$</w:t>
      </w:r>
      <w:r w:rsidR="00D05810">
        <w:t xml:space="preserve"> </w:t>
      </w:r>
      <w:r>
        <w:t>million (nominal)</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4A13B1" w:rsidRPr="00AF699A" w:rsidTr="00F443A8">
        <w:trPr>
          <w:trHeight w:val="340"/>
        </w:trPr>
        <w:tc>
          <w:tcPr>
            <w:tcW w:w="1958" w:type="pct"/>
            <w:tcBorders>
              <w:top w:val="single" w:sz="6" w:space="0" w:color="auto"/>
              <w:bottom w:val="single" w:sz="6" w:space="0" w:color="auto"/>
            </w:tcBorders>
          </w:tcPr>
          <w:p w:rsidR="004A13B1" w:rsidRPr="00AF699A" w:rsidRDefault="004A13B1" w:rsidP="00AB38B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4A13B1" w:rsidRPr="00AF699A" w:rsidRDefault="004A13B1"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4A13B1" w:rsidRPr="00AF699A" w:rsidRDefault="004A13B1" w:rsidP="00AB38B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4A13B1" w:rsidRPr="00AF699A" w:rsidRDefault="004A13B1" w:rsidP="00AB38B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4A13B1" w:rsidRPr="00AF699A" w:rsidRDefault="004A13B1" w:rsidP="00AB38B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4A13B1" w:rsidRPr="00AF699A" w:rsidRDefault="004A13B1" w:rsidP="00AB38B4">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4A13B1" w:rsidRPr="00AF699A" w:rsidRDefault="004A13B1" w:rsidP="00AB38B4">
            <w:pPr>
              <w:pStyle w:val="TableColumnHeading"/>
              <w:ind w:right="28"/>
              <w:rPr>
                <w:rFonts w:cs="Arial"/>
                <w:sz w:val="18"/>
                <w:szCs w:val="18"/>
              </w:rPr>
            </w:pPr>
            <w:r w:rsidRPr="00AF699A">
              <w:rPr>
                <w:rFonts w:cs="Arial"/>
                <w:sz w:val="18"/>
                <w:szCs w:val="18"/>
              </w:rPr>
              <w:t>2011-12</w:t>
            </w:r>
          </w:p>
        </w:tc>
      </w:tr>
      <w:tr w:rsidR="004A13B1" w:rsidRPr="00C44CF9" w:rsidTr="00AB38B4">
        <w:tc>
          <w:tcPr>
            <w:tcW w:w="1958" w:type="pct"/>
            <w:tcBorders>
              <w:bottom w:val="single" w:sz="4" w:space="0" w:color="auto"/>
            </w:tcBorders>
            <w:vAlign w:val="bottom"/>
          </w:tcPr>
          <w:p w:rsidR="004A13B1" w:rsidRPr="00C44CF9" w:rsidRDefault="004A13B1" w:rsidP="00AB38B4">
            <w:pPr>
              <w:pStyle w:val="TableBodyText"/>
              <w:jc w:val="left"/>
            </w:pPr>
            <w:r w:rsidRPr="00C44CF9">
              <w:t>Unallocated other</w:t>
            </w:r>
            <w:r w:rsidRPr="00F443A8">
              <w:rPr>
                <w:rStyle w:val="NoteLabel"/>
                <w:szCs w:val="18"/>
              </w:rPr>
              <w:t>a</w:t>
            </w:r>
          </w:p>
        </w:tc>
        <w:tc>
          <w:tcPr>
            <w:tcW w:w="507" w:type="pct"/>
            <w:tcBorders>
              <w:bottom w:val="single" w:sz="4" w:space="0" w:color="auto"/>
            </w:tcBorders>
            <w:vAlign w:val="bottom"/>
          </w:tcPr>
          <w:p w:rsidR="004A13B1" w:rsidRPr="00C44CF9" w:rsidRDefault="004A13B1" w:rsidP="00AB38B4">
            <w:pPr>
              <w:pStyle w:val="TableBodyText"/>
            </w:pPr>
            <w:r w:rsidRPr="00C44CF9">
              <w:t>2.3</w:t>
            </w:r>
          </w:p>
        </w:tc>
        <w:tc>
          <w:tcPr>
            <w:tcW w:w="507" w:type="pct"/>
            <w:tcBorders>
              <w:bottom w:val="single" w:sz="4" w:space="0" w:color="auto"/>
            </w:tcBorders>
            <w:vAlign w:val="bottom"/>
          </w:tcPr>
          <w:p w:rsidR="004A13B1" w:rsidRPr="00C44CF9" w:rsidRDefault="004A13B1" w:rsidP="00AB38B4">
            <w:pPr>
              <w:pStyle w:val="TableBodyText"/>
            </w:pPr>
            <w:r>
              <w:noBreakHyphen/>
            </w:r>
          </w:p>
        </w:tc>
        <w:tc>
          <w:tcPr>
            <w:tcW w:w="507" w:type="pct"/>
            <w:tcBorders>
              <w:bottom w:val="single" w:sz="4" w:space="0" w:color="auto"/>
            </w:tcBorders>
            <w:vAlign w:val="bottom"/>
          </w:tcPr>
          <w:p w:rsidR="004A13B1" w:rsidRPr="00C44CF9" w:rsidRDefault="004A13B1" w:rsidP="00AB38B4">
            <w:pPr>
              <w:pStyle w:val="TableBodyText"/>
            </w:pPr>
            <w:r>
              <w:noBreakHyphen/>
            </w:r>
          </w:p>
        </w:tc>
        <w:tc>
          <w:tcPr>
            <w:tcW w:w="507" w:type="pct"/>
            <w:tcBorders>
              <w:bottom w:val="single" w:sz="4" w:space="0" w:color="auto"/>
            </w:tcBorders>
            <w:vAlign w:val="bottom"/>
          </w:tcPr>
          <w:p w:rsidR="004A13B1" w:rsidRPr="00C44CF9" w:rsidRDefault="004A13B1" w:rsidP="00AB38B4">
            <w:pPr>
              <w:pStyle w:val="TableBodyText"/>
            </w:pPr>
            <w:r>
              <w:noBreakHyphen/>
            </w:r>
          </w:p>
        </w:tc>
        <w:tc>
          <w:tcPr>
            <w:tcW w:w="507" w:type="pct"/>
            <w:tcBorders>
              <w:bottom w:val="single" w:sz="4" w:space="0" w:color="auto"/>
            </w:tcBorders>
            <w:shd w:val="clear" w:color="auto" w:fill="auto"/>
            <w:vAlign w:val="bottom"/>
          </w:tcPr>
          <w:p w:rsidR="004A13B1" w:rsidRPr="00C44CF9" w:rsidRDefault="004A13B1" w:rsidP="00AB38B4">
            <w:pPr>
              <w:pStyle w:val="TableBodyText"/>
            </w:pPr>
            <w:r>
              <w:noBreakHyphen/>
            </w:r>
          </w:p>
        </w:tc>
        <w:tc>
          <w:tcPr>
            <w:tcW w:w="507" w:type="pct"/>
            <w:tcBorders>
              <w:bottom w:val="single" w:sz="4" w:space="0" w:color="auto"/>
            </w:tcBorders>
            <w:shd w:val="clear" w:color="auto" w:fill="auto"/>
            <w:vAlign w:val="bottom"/>
          </w:tcPr>
          <w:p w:rsidR="004A13B1" w:rsidRPr="00C44CF9" w:rsidRDefault="004A13B1" w:rsidP="00AB38B4">
            <w:pPr>
              <w:pStyle w:val="TableBodyText"/>
            </w:pPr>
            <w:r>
              <w:noBreakHyphen/>
            </w:r>
          </w:p>
        </w:tc>
      </w:tr>
    </w:tbl>
    <w:p w:rsidR="004A13B1" w:rsidRDefault="004A13B1" w:rsidP="004A13B1">
      <w:pPr>
        <w:pStyle w:val="Note"/>
      </w:pPr>
      <w:r w:rsidRPr="00A2379F">
        <w:noBreakHyphen/>
        <w:t xml:space="preserve"> Nil</w:t>
      </w:r>
      <w:r>
        <w:t>.</w:t>
      </w:r>
      <w:r w:rsidRPr="008E77FE">
        <w:rPr>
          <w:rStyle w:val="NoteLabel"/>
        </w:rPr>
        <w:t xml:space="preserve"> a</w:t>
      </w:r>
      <w:r>
        <w:t xml:space="preserve"> </w:t>
      </w:r>
      <w:r w:rsidRPr="009B56F1">
        <w:t>Unallocated includes general programs where detai</w:t>
      </w:r>
      <w:r>
        <w:t>ls of beneficiaries are unknown.</w:t>
      </w:r>
    </w:p>
    <w:p w:rsidR="004A13B1" w:rsidRPr="008E77FE" w:rsidRDefault="004A13B1" w:rsidP="004A13B1">
      <w:pPr>
        <w:pStyle w:val="Source"/>
      </w:pPr>
      <w:r>
        <w:rPr>
          <w:i/>
        </w:rPr>
        <w:t>Source</w:t>
      </w:r>
      <w:r>
        <w:t>: Commission estimates based on Department of Industry, Tourism and Resources Annual Report 2006</w:t>
      </w:r>
      <w:r>
        <w:noBreakHyphen/>
        <w:t>07.</w:t>
      </w:r>
    </w:p>
    <w:p w:rsidR="00324570" w:rsidRPr="00324570" w:rsidRDefault="00FA09C3" w:rsidP="00324570">
      <w:pPr>
        <w:pStyle w:val="Heading2"/>
      </w:pPr>
      <w:r>
        <w:t>A.</w:t>
      </w:r>
      <w:r>
        <w:rPr>
          <w:noProof/>
        </w:rPr>
        <w:t>229</w:t>
      </w:r>
      <w:r w:rsidR="004A790C">
        <w:tab/>
        <w:t>Cairns Esplanade Development</w:t>
      </w:r>
    </w:p>
    <w:p w:rsidR="004A790C" w:rsidRPr="000C1A2E" w:rsidRDefault="004A790C" w:rsidP="00324570">
      <w:pPr>
        <w:pStyle w:val="BodyText"/>
      </w:pPr>
      <w:r w:rsidRPr="000C1A2E">
        <w:t>From 2004</w:t>
      </w:r>
      <w:r w:rsidRPr="000C1A2E">
        <w:noBreakHyphen/>
        <w:t>05 to 2006</w:t>
      </w:r>
      <w:r w:rsidRPr="000C1A2E">
        <w:noBreakHyphen/>
        <w:t xml:space="preserve">07, the Australian Government provided around $8 million in assistance, administered by the Department of Industry, Tourism and Resources, to help fund the Cairns Esplanade Development project </w:t>
      </w:r>
      <w:r w:rsidRPr="00324570">
        <w:t>(DITR 2006</w:t>
      </w:r>
      <w:r w:rsidRPr="000C1A2E">
        <w:t xml:space="preserve">). The project aimed to develop the Cairns Esplanade as an appealing tourist destination in the Cairns region in Queensland </w:t>
      </w:r>
      <w:r w:rsidRPr="00324570">
        <w:t>(Cairns Esplanade 2013</w:t>
      </w:r>
      <w:r w:rsidRPr="000C1A2E">
        <w:t>).</w:t>
      </w:r>
    </w:p>
    <w:p w:rsidR="004A790C" w:rsidRPr="000C1A2E" w:rsidRDefault="004A790C" w:rsidP="00324570">
      <w:pPr>
        <w:pStyle w:val="BodyText"/>
      </w:pPr>
      <w:r w:rsidRPr="000C1A2E">
        <w:t xml:space="preserve">Funding for the Cairns Esplanade Development predominantly benefited services industries. </w:t>
      </w:r>
      <w:r w:rsidRPr="00324570">
        <w:t xml:space="preserve">However, information on the specific industry incidence of the program has not been readily available. Accordingly, the budget outlay has been classified to the </w:t>
      </w:r>
      <w:r w:rsidRPr="00324570">
        <w:rPr>
          <w:i/>
        </w:rPr>
        <w:t>Unallocated services</w:t>
      </w:r>
      <w:r w:rsidRPr="00324570">
        <w:t xml:space="preserve"> industry grouping in the Commission’s ANZSIC-based classification </w:t>
      </w:r>
      <w:r w:rsidRPr="000C1A2E">
        <w:t>(table A.229).</w:t>
      </w:r>
    </w:p>
    <w:p w:rsidR="004A790C" w:rsidRDefault="004A790C" w:rsidP="004A790C">
      <w:pPr>
        <w:pStyle w:val="TableTitle"/>
      </w:pPr>
      <w:r>
        <w:rPr>
          <w:b w:val="0"/>
        </w:rPr>
        <w:t xml:space="preserve">Table </w:t>
      </w:r>
      <w:r w:rsidR="00FA09C3">
        <w:rPr>
          <w:b w:val="0"/>
        </w:rPr>
        <w:t>A.</w:t>
      </w:r>
      <w:r w:rsidR="00FA09C3">
        <w:rPr>
          <w:b w:val="0"/>
          <w:noProof/>
        </w:rPr>
        <w:t>229</w:t>
      </w:r>
      <w:r>
        <w:tab/>
        <w:t>Allocation of Cairns Esplanade Development</w:t>
      </w:r>
      <w:r w:rsidR="00571E36" w:rsidRPr="00571E36">
        <w:t xml:space="preserve"> to industry</w:t>
      </w:r>
      <w:r>
        <w:t>, 2006</w:t>
      </w:r>
      <w:r>
        <w:noBreakHyphen/>
        <w:t>07 to 2011</w:t>
      </w:r>
      <w:r>
        <w:noBreakHyphen/>
        <w:t>12</w:t>
      </w:r>
    </w:p>
    <w:p w:rsidR="004A790C" w:rsidRDefault="004A790C" w:rsidP="004A790C">
      <w:pPr>
        <w:pStyle w:val="Subtitle"/>
      </w:pPr>
      <w:r>
        <w:t>$</w:t>
      </w:r>
      <w:r w:rsidR="00D05810">
        <w:t xml:space="preserve"> </w:t>
      </w:r>
      <w:r>
        <w:t xml:space="preserve">million (nominal) </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4A790C" w:rsidRPr="00AF699A" w:rsidTr="00F443A8">
        <w:trPr>
          <w:trHeight w:val="340"/>
        </w:trPr>
        <w:tc>
          <w:tcPr>
            <w:tcW w:w="1958" w:type="pct"/>
            <w:tcBorders>
              <w:top w:val="single" w:sz="6" w:space="0" w:color="auto"/>
              <w:bottom w:val="single" w:sz="6" w:space="0" w:color="auto"/>
            </w:tcBorders>
          </w:tcPr>
          <w:p w:rsidR="004A790C" w:rsidRPr="00AF699A" w:rsidRDefault="004A790C" w:rsidP="00AB38B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4A790C" w:rsidRPr="00AF699A" w:rsidRDefault="004A790C"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4A790C" w:rsidRPr="00AF699A" w:rsidRDefault="004A790C" w:rsidP="00AB38B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4A790C" w:rsidRPr="00AF699A" w:rsidRDefault="004A790C" w:rsidP="00AB38B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4A790C" w:rsidRPr="00AF699A" w:rsidRDefault="004A790C" w:rsidP="00AB38B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4A790C" w:rsidRPr="00AF699A" w:rsidRDefault="004A790C" w:rsidP="00AB38B4">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4A790C" w:rsidRPr="00AF699A" w:rsidRDefault="004A790C" w:rsidP="00AB38B4">
            <w:pPr>
              <w:pStyle w:val="TableColumnHeading"/>
              <w:ind w:right="28"/>
              <w:rPr>
                <w:rFonts w:cs="Arial"/>
                <w:sz w:val="18"/>
                <w:szCs w:val="18"/>
              </w:rPr>
            </w:pPr>
            <w:r w:rsidRPr="00AF699A">
              <w:rPr>
                <w:rFonts w:cs="Arial"/>
                <w:sz w:val="18"/>
                <w:szCs w:val="18"/>
              </w:rPr>
              <w:t>2011-12</w:t>
            </w:r>
          </w:p>
        </w:tc>
      </w:tr>
      <w:tr w:rsidR="004A790C" w:rsidRPr="00825B58" w:rsidTr="00AB38B4">
        <w:tc>
          <w:tcPr>
            <w:tcW w:w="1958" w:type="pct"/>
            <w:tcBorders>
              <w:bottom w:val="single" w:sz="4" w:space="0" w:color="auto"/>
            </w:tcBorders>
            <w:vAlign w:val="bottom"/>
          </w:tcPr>
          <w:p w:rsidR="004A790C" w:rsidRPr="00083391" w:rsidRDefault="004A790C" w:rsidP="00AB38B4">
            <w:pPr>
              <w:pStyle w:val="TableBodyText"/>
              <w:jc w:val="left"/>
            </w:pPr>
            <w:r w:rsidRPr="00083391">
              <w:t>Unallocated services</w:t>
            </w:r>
            <w:r w:rsidRPr="00F443A8">
              <w:rPr>
                <w:rStyle w:val="NoteLabel"/>
                <w:szCs w:val="18"/>
              </w:rPr>
              <w:t>a</w:t>
            </w:r>
          </w:p>
        </w:tc>
        <w:tc>
          <w:tcPr>
            <w:tcW w:w="507" w:type="pct"/>
            <w:tcBorders>
              <w:bottom w:val="single" w:sz="4" w:space="0" w:color="auto"/>
            </w:tcBorders>
            <w:vAlign w:val="bottom"/>
          </w:tcPr>
          <w:p w:rsidR="004A790C" w:rsidRPr="00083391" w:rsidRDefault="004A790C" w:rsidP="00AB38B4">
            <w:pPr>
              <w:pStyle w:val="TableBodyText"/>
            </w:pPr>
            <w:r w:rsidRPr="00083391">
              <w:t>1.9</w:t>
            </w:r>
          </w:p>
        </w:tc>
        <w:tc>
          <w:tcPr>
            <w:tcW w:w="507" w:type="pct"/>
            <w:tcBorders>
              <w:bottom w:val="single" w:sz="4" w:space="0" w:color="auto"/>
            </w:tcBorders>
            <w:vAlign w:val="bottom"/>
          </w:tcPr>
          <w:p w:rsidR="004A790C" w:rsidRPr="00083391" w:rsidRDefault="004A790C" w:rsidP="00AB38B4">
            <w:pPr>
              <w:pStyle w:val="TableBodyText"/>
            </w:pPr>
            <w:r>
              <w:noBreakHyphen/>
            </w:r>
          </w:p>
        </w:tc>
        <w:tc>
          <w:tcPr>
            <w:tcW w:w="507" w:type="pct"/>
            <w:tcBorders>
              <w:bottom w:val="single" w:sz="4" w:space="0" w:color="auto"/>
            </w:tcBorders>
            <w:vAlign w:val="bottom"/>
          </w:tcPr>
          <w:p w:rsidR="004A790C" w:rsidRPr="00083391" w:rsidRDefault="004A790C" w:rsidP="00AB38B4">
            <w:pPr>
              <w:pStyle w:val="TableBodyText"/>
            </w:pPr>
            <w:r>
              <w:noBreakHyphen/>
            </w:r>
          </w:p>
        </w:tc>
        <w:tc>
          <w:tcPr>
            <w:tcW w:w="507" w:type="pct"/>
            <w:tcBorders>
              <w:bottom w:val="single" w:sz="4" w:space="0" w:color="auto"/>
            </w:tcBorders>
            <w:vAlign w:val="bottom"/>
          </w:tcPr>
          <w:p w:rsidR="004A790C" w:rsidRPr="00083391" w:rsidRDefault="004A790C" w:rsidP="00AB38B4">
            <w:pPr>
              <w:pStyle w:val="TableBodyText"/>
            </w:pPr>
            <w:r>
              <w:noBreakHyphen/>
            </w:r>
          </w:p>
        </w:tc>
        <w:tc>
          <w:tcPr>
            <w:tcW w:w="507" w:type="pct"/>
            <w:tcBorders>
              <w:bottom w:val="single" w:sz="4" w:space="0" w:color="auto"/>
            </w:tcBorders>
            <w:shd w:val="clear" w:color="auto" w:fill="auto"/>
            <w:vAlign w:val="bottom"/>
          </w:tcPr>
          <w:p w:rsidR="004A790C" w:rsidRPr="00083391" w:rsidRDefault="004A790C" w:rsidP="00AB38B4">
            <w:pPr>
              <w:pStyle w:val="TableBodyText"/>
            </w:pPr>
            <w:r>
              <w:noBreakHyphen/>
            </w:r>
          </w:p>
        </w:tc>
        <w:tc>
          <w:tcPr>
            <w:tcW w:w="507" w:type="pct"/>
            <w:tcBorders>
              <w:bottom w:val="single" w:sz="4" w:space="0" w:color="auto"/>
            </w:tcBorders>
            <w:shd w:val="clear" w:color="auto" w:fill="auto"/>
            <w:vAlign w:val="bottom"/>
          </w:tcPr>
          <w:p w:rsidR="004A790C" w:rsidRPr="00083391" w:rsidRDefault="004A790C" w:rsidP="00AB38B4">
            <w:pPr>
              <w:pStyle w:val="TableBodyText"/>
            </w:pPr>
            <w:r>
              <w:noBreakHyphen/>
            </w:r>
          </w:p>
        </w:tc>
      </w:tr>
    </w:tbl>
    <w:p w:rsidR="004A790C" w:rsidRDefault="004A790C" w:rsidP="004A790C">
      <w:pPr>
        <w:pStyle w:val="Note"/>
      </w:pPr>
      <w:r w:rsidRPr="00A2379F">
        <w:noBreakHyphen/>
        <w:t xml:space="preserve"> Nil</w:t>
      </w:r>
      <w:r>
        <w:t>.</w:t>
      </w:r>
      <w:r w:rsidRPr="008E77FE">
        <w:rPr>
          <w:rStyle w:val="NoteLabel"/>
        </w:rPr>
        <w:t xml:space="preserve"> a</w:t>
      </w:r>
      <w:r>
        <w:t xml:space="preserve"> </w:t>
      </w:r>
      <w:r w:rsidRPr="009B56F1">
        <w:t>Unallocated includes general programs where detai</w:t>
      </w:r>
      <w:r>
        <w:t>ls of beneficiaries are unknown.</w:t>
      </w:r>
    </w:p>
    <w:p w:rsidR="004A790C" w:rsidRPr="008E77FE" w:rsidRDefault="004A790C" w:rsidP="004A790C">
      <w:pPr>
        <w:pStyle w:val="Source"/>
      </w:pPr>
      <w:r>
        <w:rPr>
          <w:i/>
        </w:rPr>
        <w:t>Source</w:t>
      </w:r>
      <w:r>
        <w:t>: Commission estimates based on Department of Industry, Tourism and Resources Annual Report 2006</w:t>
      </w:r>
      <w:r>
        <w:noBreakHyphen/>
        <w:t>07.</w:t>
      </w:r>
    </w:p>
    <w:p w:rsidR="004A790C" w:rsidRDefault="00FA09C3" w:rsidP="004A790C">
      <w:pPr>
        <w:pStyle w:val="Heading2"/>
      </w:pPr>
      <w:r>
        <w:t>A.</w:t>
      </w:r>
      <w:r>
        <w:rPr>
          <w:noProof/>
        </w:rPr>
        <w:t>230</w:t>
      </w:r>
      <w:r w:rsidR="004A790C">
        <w:tab/>
        <w:t>The Great Green Way – Tourism Initiative</w:t>
      </w:r>
    </w:p>
    <w:p w:rsidR="004A790C" w:rsidRDefault="004A790C" w:rsidP="004A790C">
      <w:pPr>
        <w:pStyle w:val="BodyText"/>
      </w:pPr>
      <w:r w:rsidRPr="0080474A">
        <w:t>From 2004</w:t>
      </w:r>
      <w:r w:rsidR="00D05810">
        <w:noBreakHyphen/>
      </w:r>
      <w:r w:rsidRPr="0080474A">
        <w:t>05 to 2006</w:t>
      </w:r>
      <w:r w:rsidR="00D05810">
        <w:noBreakHyphen/>
      </w:r>
      <w:r w:rsidRPr="0080474A">
        <w:t>07, the Australian Government provided around $</w:t>
      </w:r>
      <w:r>
        <w:t>6 </w:t>
      </w:r>
      <w:r w:rsidRPr="0080474A">
        <w:t xml:space="preserve">million in assistance, administered by the Department of Industry, Tourism and Resources, to help fund the </w:t>
      </w:r>
      <w:r>
        <w:t>Great Green Way</w:t>
      </w:r>
      <w:r w:rsidRPr="0080474A">
        <w:t xml:space="preserve"> </w:t>
      </w:r>
      <w:r w:rsidRPr="00076ABE">
        <w:t>project (</w:t>
      </w:r>
      <w:r w:rsidRPr="00E80A54">
        <w:t>DITR 2006</w:t>
      </w:r>
      <w:r w:rsidRPr="00076ABE">
        <w:t>).</w:t>
      </w:r>
      <w:r w:rsidRPr="0080474A">
        <w:t xml:space="preserve"> The project aimed to develop </w:t>
      </w:r>
      <w:r>
        <w:t xml:space="preserve">and harness </w:t>
      </w:r>
      <w:r w:rsidRPr="0080474A">
        <w:t xml:space="preserve">the </w:t>
      </w:r>
      <w:r>
        <w:t>Great Green Way area between Townsville and Cairns</w:t>
      </w:r>
      <w:r w:rsidRPr="0080474A">
        <w:t xml:space="preserve"> as an appealing tourist destination in Queensland </w:t>
      </w:r>
      <w:r w:rsidRPr="00076ABE">
        <w:t>(</w:t>
      </w:r>
      <w:r w:rsidRPr="00E80A54">
        <w:t>Great Green Way 2013</w:t>
      </w:r>
      <w:r w:rsidRPr="0080474A">
        <w:t>).</w:t>
      </w:r>
    </w:p>
    <w:p w:rsidR="004A790C" w:rsidRDefault="004A790C" w:rsidP="00750CB0">
      <w:pPr>
        <w:pStyle w:val="BodyText"/>
      </w:pPr>
      <w:r>
        <w:t xml:space="preserve">Funding for the project </w:t>
      </w:r>
      <w:r w:rsidRPr="000C1A2E">
        <w:t xml:space="preserve">predominantly benefited services industries. </w:t>
      </w:r>
      <w:r w:rsidRPr="00E80A54">
        <w:t xml:space="preserve">However, information on the specific industry incidence of the program has not been readily available. Accordingly, the budget outlay has been classified to the </w:t>
      </w:r>
      <w:r w:rsidRPr="00E80A54">
        <w:rPr>
          <w:i/>
        </w:rPr>
        <w:t>Unallocated services</w:t>
      </w:r>
      <w:r w:rsidRPr="00E80A54">
        <w:t xml:space="preserve"> industry grouping in the Commission’s ANZSIC-based classification (table A.230).</w:t>
      </w:r>
    </w:p>
    <w:p w:rsidR="004A790C" w:rsidRDefault="004A790C" w:rsidP="004A790C">
      <w:pPr>
        <w:pStyle w:val="TableTitle"/>
      </w:pPr>
      <w:r>
        <w:rPr>
          <w:b w:val="0"/>
        </w:rPr>
        <w:t xml:space="preserve">Table </w:t>
      </w:r>
      <w:r w:rsidR="00FA09C3">
        <w:rPr>
          <w:b w:val="0"/>
        </w:rPr>
        <w:t>A.</w:t>
      </w:r>
      <w:r w:rsidR="00FA09C3">
        <w:rPr>
          <w:b w:val="0"/>
          <w:noProof/>
        </w:rPr>
        <w:t>230</w:t>
      </w:r>
      <w:r>
        <w:tab/>
        <w:t>Allocation of The Great Green Way – Tourism Initiative</w:t>
      </w:r>
      <w:r w:rsidR="00EC630C">
        <w:br/>
        <w:t>to industry</w:t>
      </w:r>
      <w:r>
        <w:t>, 2006</w:t>
      </w:r>
      <w:r>
        <w:noBreakHyphen/>
        <w:t>07 to 2011</w:t>
      </w:r>
      <w:r>
        <w:noBreakHyphen/>
        <w:t>12</w:t>
      </w:r>
    </w:p>
    <w:p w:rsidR="004A790C" w:rsidRDefault="004A790C" w:rsidP="004A790C">
      <w:pPr>
        <w:pStyle w:val="Subtitle"/>
      </w:pPr>
      <w:r>
        <w:t>$</w:t>
      </w:r>
      <w:r w:rsidR="00D05810">
        <w:t xml:space="preserve"> </w:t>
      </w:r>
      <w:r>
        <w:t xml:space="preserve">million (nominal) </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8B2C7F" w:rsidRPr="00AF699A" w:rsidTr="00F443A8">
        <w:trPr>
          <w:trHeight w:val="340"/>
        </w:trPr>
        <w:tc>
          <w:tcPr>
            <w:tcW w:w="1960" w:type="pct"/>
            <w:tcBorders>
              <w:top w:val="single" w:sz="6" w:space="0" w:color="auto"/>
              <w:bottom w:val="single" w:sz="6" w:space="0" w:color="auto"/>
            </w:tcBorders>
          </w:tcPr>
          <w:p w:rsidR="008B2C7F" w:rsidRPr="00AF699A" w:rsidRDefault="008B2C7F" w:rsidP="004131AC">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8B2C7F" w:rsidRPr="00AF699A" w:rsidRDefault="008B2C7F" w:rsidP="004131AC">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8B2C7F" w:rsidRPr="00AF699A" w:rsidRDefault="008B2C7F" w:rsidP="004131AC">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8B2C7F" w:rsidRPr="00AF699A" w:rsidRDefault="008B2C7F" w:rsidP="004131AC">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8B2C7F" w:rsidRPr="00AF699A" w:rsidRDefault="008B2C7F" w:rsidP="004131AC">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8B2C7F" w:rsidRPr="00AF699A" w:rsidRDefault="008B2C7F" w:rsidP="004131AC">
            <w:pPr>
              <w:pStyle w:val="TableColumnHeading"/>
              <w:ind w:right="28"/>
              <w:rPr>
                <w:rFonts w:cs="Arial"/>
                <w:sz w:val="18"/>
                <w:szCs w:val="18"/>
              </w:rPr>
            </w:pPr>
            <w:r w:rsidRPr="00AF699A">
              <w:rPr>
                <w:rFonts w:cs="Arial"/>
                <w:sz w:val="18"/>
                <w:szCs w:val="18"/>
              </w:rPr>
              <w:t>2010-11</w:t>
            </w:r>
          </w:p>
        </w:tc>
        <w:tc>
          <w:tcPr>
            <w:tcW w:w="506" w:type="pct"/>
            <w:tcBorders>
              <w:top w:val="single" w:sz="6" w:space="0" w:color="auto"/>
              <w:bottom w:val="single" w:sz="6" w:space="0" w:color="auto"/>
            </w:tcBorders>
            <w:shd w:val="clear" w:color="auto" w:fill="auto"/>
          </w:tcPr>
          <w:p w:rsidR="008B2C7F" w:rsidRPr="00AF699A" w:rsidRDefault="008B2C7F" w:rsidP="004131AC">
            <w:pPr>
              <w:pStyle w:val="TableColumnHeading"/>
              <w:ind w:right="28"/>
              <w:rPr>
                <w:rFonts w:cs="Arial"/>
                <w:sz w:val="18"/>
                <w:szCs w:val="18"/>
              </w:rPr>
            </w:pPr>
            <w:r w:rsidRPr="00AF699A">
              <w:rPr>
                <w:rFonts w:cs="Arial"/>
                <w:sz w:val="18"/>
                <w:szCs w:val="18"/>
              </w:rPr>
              <w:t>2011-12</w:t>
            </w:r>
          </w:p>
        </w:tc>
      </w:tr>
      <w:tr w:rsidR="008B2C7F" w:rsidRPr="00825B58" w:rsidTr="008B2C7F">
        <w:tc>
          <w:tcPr>
            <w:tcW w:w="1960" w:type="pct"/>
            <w:tcBorders>
              <w:bottom w:val="single" w:sz="4" w:space="0" w:color="auto"/>
            </w:tcBorders>
            <w:vAlign w:val="bottom"/>
          </w:tcPr>
          <w:p w:rsidR="008B2C7F" w:rsidRPr="00083391" w:rsidRDefault="008B2C7F" w:rsidP="004131AC">
            <w:pPr>
              <w:pStyle w:val="TableBodyText"/>
              <w:jc w:val="left"/>
            </w:pPr>
            <w:r w:rsidRPr="00083391">
              <w:t>Unallocated services</w:t>
            </w:r>
            <w:r w:rsidRPr="00F443A8">
              <w:rPr>
                <w:rStyle w:val="NoteLabel"/>
                <w:szCs w:val="18"/>
              </w:rPr>
              <w:t>a</w:t>
            </w:r>
          </w:p>
        </w:tc>
        <w:tc>
          <w:tcPr>
            <w:tcW w:w="507" w:type="pct"/>
            <w:tcBorders>
              <w:bottom w:val="single" w:sz="4" w:space="0" w:color="auto"/>
            </w:tcBorders>
            <w:vAlign w:val="bottom"/>
          </w:tcPr>
          <w:p w:rsidR="008B2C7F" w:rsidRPr="00083391" w:rsidRDefault="008B2C7F" w:rsidP="004131AC">
            <w:pPr>
              <w:pStyle w:val="TableBodyText"/>
            </w:pPr>
            <w:r w:rsidRPr="00083391">
              <w:t>1.9</w:t>
            </w:r>
          </w:p>
        </w:tc>
        <w:tc>
          <w:tcPr>
            <w:tcW w:w="507" w:type="pct"/>
            <w:tcBorders>
              <w:bottom w:val="single" w:sz="4" w:space="0" w:color="auto"/>
            </w:tcBorders>
            <w:vAlign w:val="bottom"/>
          </w:tcPr>
          <w:p w:rsidR="008B2C7F" w:rsidRPr="00083391" w:rsidRDefault="008B2C7F" w:rsidP="004131AC">
            <w:pPr>
              <w:pStyle w:val="TableBodyText"/>
            </w:pPr>
            <w:r>
              <w:noBreakHyphen/>
            </w:r>
          </w:p>
        </w:tc>
        <w:tc>
          <w:tcPr>
            <w:tcW w:w="507" w:type="pct"/>
            <w:tcBorders>
              <w:bottom w:val="single" w:sz="4" w:space="0" w:color="auto"/>
            </w:tcBorders>
            <w:vAlign w:val="bottom"/>
          </w:tcPr>
          <w:p w:rsidR="008B2C7F" w:rsidRPr="00083391" w:rsidRDefault="008B2C7F" w:rsidP="004131AC">
            <w:pPr>
              <w:pStyle w:val="TableBodyText"/>
            </w:pPr>
            <w:r>
              <w:noBreakHyphen/>
            </w:r>
          </w:p>
        </w:tc>
        <w:tc>
          <w:tcPr>
            <w:tcW w:w="507" w:type="pct"/>
            <w:tcBorders>
              <w:bottom w:val="single" w:sz="4" w:space="0" w:color="auto"/>
            </w:tcBorders>
            <w:vAlign w:val="bottom"/>
          </w:tcPr>
          <w:p w:rsidR="008B2C7F" w:rsidRPr="00083391" w:rsidRDefault="008B2C7F" w:rsidP="004131AC">
            <w:pPr>
              <w:pStyle w:val="TableBodyText"/>
            </w:pPr>
            <w:r>
              <w:noBreakHyphen/>
            </w:r>
          </w:p>
        </w:tc>
        <w:tc>
          <w:tcPr>
            <w:tcW w:w="507" w:type="pct"/>
            <w:tcBorders>
              <w:bottom w:val="single" w:sz="4" w:space="0" w:color="auto"/>
            </w:tcBorders>
            <w:shd w:val="clear" w:color="auto" w:fill="auto"/>
            <w:vAlign w:val="bottom"/>
          </w:tcPr>
          <w:p w:rsidR="008B2C7F" w:rsidRPr="00083391" w:rsidRDefault="008B2C7F" w:rsidP="004131AC">
            <w:pPr>
              <w:pStyle w:val="TableBodyText"/>
            </w:pPr>
            <w:r>
              <w:noBreakHyphen/>
            </w:r>
          </w:p>
        </w:tc>
        <w:tc>
          <w:tcPr>
            <w:tcW w:w="506" w:type="pct"/>
            <w:tcBorders>
              <w:bottom w:val="single" w:sz="4" w:space="0" w:color="auto"/>
            </w:tcBorders>
            <w:shd w:val="clear" w:color="auto" w:fill="auto"/>
            <w:vAlign w:val="bottom"/>
          </w:tcPr>
          <w:p w:rsidR="008B2C7F" w:rsidRPr="00083391" w:rsidRDefault="008B2C7F" w:rsidP="004131AC">
            <w:pPr>
              <w:pStyle w:val="TableBodyText"/>
            </w:pPr>
            <w:r>
              <w:noBreakHyphen/>
            </w:r>
          </w:p>
        </w:tc>
      </w:tr>
    </w:tbl>
    <w:p w:rsidR="004A790C" w:rsidRDefault="004A790C" w:rsidP="004A790C">
      <w:pPr>
        <w:pStyle w:val="Note"/>
      </w:pPr>
      <w:r w:rsidRPr="00A2379F">
        <w:noBreakHyphen/>
        <w:t xml:space="preserve"> Nil</w:t>
      </w:r>
      <w:r>
        <w:t>.</w:t>
      </w:r>
      <w:r w:rsidRPr="008E77FE">
        <w:rPr>
          <w:rStyle w:val="NoteLabel"/>
        </w:rPr>
        <w:t xml:space="preserve"> a</w:t>
      </w:r>
      <w:r>
        <w:t xml:space="preserve"> </w:t>
      </w:r>
      <w:r w:rsidRPr="009B56F1">
        <w:t>Unallocated includes general programs where detai</w:t>
      </w:r>
      <w:r>
        <w:t>ls of beneficiaries are unknown.</w:t>
      </w:r>
    </w:p>
    <w:p w:rsidR="004A790C" w:rsidRPr="008E77FE" w:rsidRDefault="004A790C" w:rsidP="004A790C">
      <w:pPr>
        <w:pStyle w:val="Source"/>
      </w:pPr>
      <w:r>
        <w:rPr>
          <w:i/>
        </w:rPr>
        <w:t>Source</w:t>
      </w:r>
      <w:r>
        <w:t>: Commission estimates based on Department of Industry, Tourism and Resources Annual Report 2006</w:t>
      </w:r>
      <w:r>
        <w:noBreakHyphen/>
        <w:t>07.</w:t>
      </w:r>
    </w:p>
    <w:p w:rsidR="000C2585" w:rsidRDefault="00FA09C3" w:rsidP="000C2585">
      <w:pPr>
        <w:pStyle w:val="Heading2"/>
      </w:pPr>
      <w:r>
        <w:t>A.</w:t>
      </w:r>
      <w:r>
        <w:rPr>
          <w:noProof/>
        </w:rPr>
        <w:t>231</w:t>
      </w:r>
      <w:r w:rsidR="000C2585">
        <w:tab/>
        <w:t>Renewable Energy Commercialisation</w:t>
      </w:r>
    </w:p>
    <w:p w:rsidR="000C2585" w:rsidRDefault="000C2585" w:rsidP="000C2585">
      <w:pPr>
        <w:pStyle w:val="BodyText"/>
      </w:pPr>
      <w:r>
        <w:t xml:space="preserve">Operating from 2000-01 to 2006-07, the Renewable Energy Commercialisation Program aimed to fund projects demonstrating and leading to the commercialisation of </w:t>
      </w:r>
      <w:r w:rsidR="00D05810">
        <w:t xml:space="preserve">renewable </w:t>
      </w:r>
      <w:r>
        <w:t>energy generation technologies (</w:t>
      </w:r>
      <w:r w:rsidRPr="00E80A54">
        <w:t>DEWR 2007</w:t>
      </w:r>
      <w:r>
        <w:t>). Technologies funded under the program included: Origin Energy’s SLIVER solar cells; Solar Systems’ solar dishes; Oceanlinx’s wave powered generator; and Geodynamics’ hot rock energy project. High impact demonstrations supported under the program included: the Solar Sailor solar-powered watercraft; a building-integrated solar wall at Melbourne University; and solar panels on the roof of Melbourne’s Queen Victoria Markets.</w:t>
      </w:r>
    </w:p>
    <w:p w:rsidR="000C2585" w:rsidRDefault="000C2585" w:rsidP="000C2585">
      <w:pPr>
        <w:pStyle w:val="BodyText"/>
      </w:pPr>
      <w:r w:rsidRPr="00277CD2">
        <w:t>The Renewable Energy Commerciali</w:t>
      </w:r>
      <w:r>
        <w:t>sation Program</w:t>
      </w:r>
      <w:r w:rsidRPr="00277CD2">
        <w:t xml:space="preserve"> ended in 2006</w:t>
      </w:r>
      <w:r>
        <w:noBreakHyphen/>
      </w:r>
      <w:r w:rsidRPr="00277CD2">
        <w:t>07.</w:t>
      </w:r>
    </w:p>
    <w:p w:rsidR="000C2585" w:rsidRDefault="000C2585" w:rsidP="000C2585">
      <w:pPr>
        <w:pStyle w:val="BodyText"/>
      </w:pPr>
      <w:r w:rsidRPr="0056111F">
        <w:t>The grants predomina</w:t>
      </w:r>
      <w:r w:rsidR="00D05810">
        <w:t>n</w:t>
      </w:r>
      <w:r w:rsidRPr="0056111F">
        <w:t xml:space="preserve">tly benefited the </w:t>
      </w:r>
      <w:r w:rsidRPr="0056111F">
        <w:rPr>
          <w:i/>
        </w:rPr>
        <w:t xml:space="preserve">Electricity, gas, water </w:t>
      </w:r>
      <w:r>
        <w:rPr>
          <w:i/>
        </w:rPr>
        <w:t>and</w:t>
      </w:r>
      <w:r w:rsidRPr="0056111F">
        <w:rPr>
          <w:i/>
        </w:rPr>
        <w:t xml:space="preserve"> waste services</w:t>
      </w:r>
      <w:r w:rsidRPr="0056111F">
        <w:t xml:space="preserve"> industry in the Commission’s ANZSIC-based industry groupings (table</w:t>
      </w:r>
      <w:r>
        <w:t> </w:t>
      </w:r>
      <w:r w:rsidRPr="0056111F">
        <w:t>A.2</w:t>
      </w:r>
      <w:r>
        <w:t>31</w:t>
      </w:r>
      <w:r w:rsidRPr="0056111F">
        <w:t>).</w:t>
      </w:r>
    </w:p>
    <w:p w:rsidR="000C2585" w:rsidRDefault="000C2585" w:rsidP="000C2585">
      <w:pPr>
        <w:pStyle w:val="TableTitle"/>
      </w:pPr>
      <w:r>
        <w:rPr>
          <w:b w:val="0"/>
        </w:rPr>
        <w:t xml:space="preserve">Table </w:t>
      </w:r>
      <w:r w:rsidR="00FA09C3">
        <w:rPr>
          <w:b w:val="0"/>
        </w:rPr>
        <w:t>A.</w:t>
      </w:r>
      <w:r w:rsidR="00FA09C3">
        <w:rPr>
          <w:b w:val="0"/>
          <w:noProof/>
        </w:rPr>
        <w:t>231</w:t>
      </w:r>
      <w:r>
        <w:tab/>
        <w:t>Allocation of Renewable energy commercialisation</w:t>
      </w:r>
      <w:r w:rsidR="00A02379" w:rsidRPr="00A02379">
        <w:t xml:space="preserve"> to industry</w:t>
      </w:r>
      <w:r>
        <w:t>, 2006</w:t>
      </w:r>
      <w:r>
        <w:noBreakHyphen/>
        <w:t>07 to 2011</w:t>
      </w:r>
      <w:r>
        <w:noBreakHyphen/>
        <w:t>12</w:t>
      </w:r>
    </w:p>
    <w:p w:rsidR="000C2585" w:rsidRDefault="000C2585" w:rsidP="000C2585">
      <w:pPr>
        <w:pStyle w:val="Subtitle"/>
      </w:pPr>
      <w:r>
        <w:t>$</w:t>
      </w:r>
      <w:r w:rsidR="00D05810">
        <w:t xml:space="preserve"> </w:t>
      </w:r>
      <w:r>
        <w:t xml:space="preserve">million (nominal) </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0C2585" w:rsidRPr="00AF699A" w:rsidTr="00F443A8">
        <w:trPr>
          <w:trHeight w:val="340"/>
        </w:trPr>
        <w:tc>
          <w:tcPr>
            <w:tcW w:w="1958" w:type="pct"/>
            <w:tcBorders>
              <w:top w:val="single" w:sz="6" w:space="0" w:color="auto"/>
              <w:bottom w:val="single" w:sz="6" w:space="0" w:color="auto"/>
            </w:tcBorders>
          </w:tcPr>
          <w:p w:rsidR="000C2585" w:rsidRPr="00AF699A" w:rsidRDefault="000C2585" w:rsidP="00AB38B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0C2585" w:rsidRPr="00AF699A" w:rsidRDefault="000C2585"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0C2585" w:rsidRPr="00AF699A" w:rsidRDefault="000C2585" w:rsidP="00AB38B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0C2585" w:rsidRPr="00AF699A" w:rsidRDefault="000C2585" w:rsidP="00AB38B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0C2585" w:rsidRPr="00AF699A" w:rsidRDefault="000C2585" w:rsidP="00AB38B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0C2585" w:rsidRPr="00AF699A" w:rsidRDefault="000C2585" w:rsidP="00AB38B4">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0C2585" w:rsidRPr="00AF699A" w:rsidRDefault="000C2585" w:rsidP="00AB38B4">
            <w:pPr>
              <w:pStyle w:val="TableColumnHeading"/>
              <w:ind w:right="28"/>
              <w:rPr>
                <w:rFonts w:cs="Arial"/>
                <w:sz w:val="18"/>
                <w:szCs w:val="18"/>
              </w:rPr>
            </w:pPr>
            <w:r w:rsidRPr="00AF699A">
              <w:rPr>
                <w:rFonts w:cs="Arial"/>
                <w:sz w:val="18"/>
                <w:szCs w:val="18"/>
              </w:rPr>
              <w:t>2011-12</w:t>
            </w:r>
          </w:p>
        </w:tc>
      </w:tr>
      <w:tr w:rsidR="000C2585" w:rsidRPr="002A328F" w:rsidTr="00AB38B4">
        <w:tc>
          <w:tcPr>
            <w:tcW w:w="1958" w:type="pct"/>
            <w:tcBorders>
              <w:bottom w:val="single" w:sz="4" w:space="0" w:color="auto"/>
            </w:tcBorders>
            <w:vAlign w:val="bottom"/>
          </w:tcPr>
          <w:p w:rsidR="000C2585" w:rsidRPr="002A328F" w:rsidRDefault="000C2585" w:rsidP="00AB38B4">
            <w:pPr>
              <w:pStyle w:val="TableBodyText"/>
              <w:jc w:val="left"/>
            </w:pPr>
            <w:r w:rsidRPr="002A328F">
              <w:t>Electricity, gas, water and waste services</w:t>
            </w:r>
          </w:p>
        </w:tc>
        <w:tc>
          <w:tcPr>
            <w:tcW w:w="507" w:type="pct"/>
            <w:tcBorders>
              <w:bottom w:val="single" w:sz="4" w:space="0" w:color="auto"/>
            </w:tcBorders>
            <w:vAlign w:val="bottom"/>
          </w:tcPr>
          <w:p w:rsidR="000C2585" w:rsidRPr="002A328F" w:rsidRDefault="000C2585" w:rsidP="00AB38B4">
            <w:pPr>
              <w:pStyle w:val="TableBodyText"/>
            </w:pPr>
            <w:r w:rsidRPr="002A328F">
              <w:t>1.5</w:t>
            </w:r>
          </w:p>
        </w:tc>
        <w:tc>
          <w:tcPr>
            <w:tcW w:w="507" w:type="pct"/>
            <w:tcBorders>
              <w:bottom w:val="single" w:sz="4" w:space="0" w:color="auto"/>
            </w:tcBorders>
            <w:vAlign w:val="bottom"/>
          </w:tcPr>
          <w:p w:rsidR="000C2585" w:rsidRPr="002A328F" w:rsidRDefault="000C2585" w:rsidP="00AB38B4">
            <w:pPr>
              <w:pStyle w:val="TableBodyText"/>
            </w:pPr>
            <w:r>
              <w:noBreakHyphen/>
            </w:r>
          </w:p>
        </w:tc>
        <w:tc>
          <w:tcPr>
            <w:tcW w:w="507" w:type="pct"/>
            <w:tcBorders>
              <w:bottom w:val="single" w:sz="4" w:space="0" w:color="auto"/>
            </w:tcBorders>
            <w:vAlign w:val="bottom"/>
          </w:tcPr>
          <w:p w:rsidR="000C2585" w:rsidRPr="002A328F" w:rsidRDefault="000C2585" w:rsidP="00AB38B4">
            <w:pPr>
              <w:pStyle w:val="TableBodyText"/>
            </w:pPr>
            <w:r>
              <w:noBreakHyphen/>
            </w:r>
          </w:p>
        </w:tc>
        <w:tc>
          <w:tcPr>
            <w:tcW w:w="507" w:type="pct"/>
            <w:tcBorders>
              <w:bottom w:val="single" w:sz="4" w:space="0" w:color="auto"/>
            </w:tcBorders>
            <w:vAlign w:val="bottom"/>
          </w:tcPr>
          <w:p w:rsidR="000C2585" w:rsidRPr="002A328F" w:rsidRDefault="000C2585" w:rsidP="00AB38B4">
            <w:pPr>
              <w:pStyle w:val="TableBodyText"/>
            </w:pPr>
            <w:r>
              <w:noBreakHyphen/>
            </w:r>
          </w:p>
        </w:tc>
        <w:tc>
          <w:tcPr>
            <w:tcW w:w="507" w:type="pct"/>
            <w:tcBorders>
              <w:bottom w:val="single" w:sz="4" w:space="0" w:color="auto"/>
            </w:tcBorders>
            <w:shd w:val="clear" w:color="auto" w:fill="auto"/>
            <w:vAlign w:val="bottom"/>
          </w:tcPr>
          <w:p w:rsidR="000C2585" w:rsidRPr="002A328F" w:rsidRDefault="000C2585" w:rsidP="00AB38B4">
            <w:pPr>
              <w:pStyle w:val="TableBodyText"/>
            </w:pPr>
            <w:r>
              <w:noBreakHyphen/>
            </w:r>
          </w:p>
        </w:tc>
        <w:tc>
          <w:tcPr>
            <w:tcW w:w="507" w:type="pct"/>
            <w:tcBorders>
              <w:bottom w:val="single" w:sz="4" w:space="0" w:color="auto"/>
            </w:tcBorders>
            <w:shd w:val="clear" w:color="auto" w:fill="auto"/>
            <w:vAlign w:val="bottom"/>
          </w:tcPr>
          <w:p w:rsidR="000C2585" w:rsidRPr="002A328F" w:rsidRDefault="000C2585" w:rsidP="00AB38B4">
            <w:pPr>
              <w:pStyle w:val="TableBodyText"/>
            </w:pPr>
            <w:r>
              <w:noBreakHyphen/>
            </w:r>
          </w:p>
        </w:tc>
      </w:tr>
    </w:tbl>
    <w:p w:rsidR="000C2585" w:rsidRDefault="000C2585" w:rsidP="000C2585">
      <w:pPr>
        <w:pStyle w:val="Note"/>
      </w:pPr>
      <w:r w:rsidRPr="00A2379F">
        <w:noBreakHyphen/>
        <w:t xml:space="preserve"> Nil</w:t>
      </w:r>
      <w:r>
        <w:t>.</w:t>
      </w:r>
    </w:p>
    <w:p w:rsidR="000C2585" w:rsidRPr="008E77FE" w:rsidRDefault="000C2585" w:rsidP="000C2585">
      <w:pPr>
        <w:pStyle w:val="Source"/>
      </w:pPr>
      <w:r>
        <w:rPr>
          <w:i/>
        </w:rPr>
        <w:t>Source</w:t>
      </w:r>
      <w:r>
        <w:t xml:space="preserve">: Commission estimates based on Department of Environment and Water </w:t>
      </w:r>
      <w:r w:rsidR="00481DE5">
        <w:t>Resources</w:t>
      </w:r>
      <w:r>
        <w:t xml:space="preserve"> Annual Report 2006</w:t>
      </w:r>
      <w:r>
        <w:noBreakHyphen/>
        <w:t>07.</w:t>
      </w:r>
    </w:p>
    <w:p w:rsidR="00A57BDF" w:rsidRDefault="00FA09C3" w:rsidP="00A57BDF">
      <w:pPr>
        <w:pStyle w:val="Heading2"/>
      </w:pPr>
      <w:r>
        <w:t>A.</w:t>
      </w:r>
      <w:r>
        <w:rPr>
          <w:noProof/>
        </w:rPr>
        <w:t>232</w:t>
      </w:r>
      <w:r w:rsidR="00A57BDF">
        <w:tab/>
        <w:t>North East Chinese Heritage ‘Trail of the Tin Dragon’</w:t>
      </w:r>
    </w:p>
    <w:p w:rsidR="00A57BDF" w:rsidRDefault="00A57BDF" w:rsidP="00A57BDF">
      <w:pPr>
        <w:pStyle w:val="BodyText"/>
      </w:pPr>
      <w:r w:rsidRPr="0080474A">
        <w:t>From 200</w:t>
      </w:r>
      <w:r>
        <w:t>5</w:t>
      </w:r>
      <w:r>
        <w:noBreakHyphen/>
      </w:r>
      <w:r w:rsidRPr="0080474A">
        <w:t>0</w:t>
      </w:r>
      <w:r>
        <w:t>6</w:t>
      </w:r>
      <w:r w:rsidRPr="0080474A">
        <w:t xml:space="preserve"> to 2006</w:t>
      </w:r>
      <w:r>
        <w:noBreakHyphen/>
      </w:r>
      <w:r w:rsidRPr="0080474A">
        <w:t>07, the Australian Government provided around $</w:t>
      </w:r>
      <w:r>
        <w:t>1.7 </w:t>
      </w:r>
      <w:r w:rsidRPr="0080474A">
        <w:t xml:space="preserve">million in assistance, administered by the Department of Industry, Tourism and Resources, to help fund the </w:t>
      </w:r>
      <w:r>
        <w:t xml:space="preserve">North East Chinese Heritage </w:t>
      </w:r>
      <w:r>
        <w:noBreakHyphen/>
        <w:t xml:space="preserve"> Trail of the Tin Dragon</w:t>
      </w:r>
      <w:r w:rsidRPr="0080474A">
        <w:t xml:space="preserve"> project </w:t>
      </w:r>
      <w:r w:rsidRPr="00076ABE">
        <w:t>(</w:t>
      </w:r>
      <w:r w:rsidRPr="00E80A54">
        <w:t>DITR 2007a</w:t>
      </w:r>
      <w:r w:rsidRPr="00076ABE">
        <w:t>)</w:t>
      </w:r>
      <w:r w:rsidRPr="0080474A">
        <w:t xml:space="preserve">. The project aimed to </w:t>
      </w:r>
      <w:r>
        <w:t>support</w:t>
      </w:r>
      <w:r w:rsidRPr="0080474A">
        <w:t xml:space="preserve"> </w:t>
      </w:r>
      <w:r>
        <w:t xml:space="preserve">and harness </w:t>
      </w:r>
      <w:r w:rsidRPr="0080474A">
        <w:t xml:space="preserve">the </w:t>
      </w:r>
      <w:r>
        <w:t>Trail of the Tin Dragon</w:t>
      </w:r>
      <w:r w:rsidRPr="0080474A">
        <w:t xml:space="preserve"> </w:t>
      </w:r>
      <w:r>
        <w:t xml:space="preserve">in the North East of Tasmania </w:t>
      </w:r>
      <w:r w:rsidRPr="0080474A">
        <w:t xml:space="preserve">as an appealing tourist </w:t>
      </w:r>
      <w:r>
        <w:t>attraction</w:t>
      </w:r>
      <w:r w:rsidRPr="0080474A">
        <w:t xml:space="preserve"> </w:t>
      </w:r>
      <w:r w:rsidRPr="00076ABE">
        <w:t>(</w:t>
      </w:r>
      <w:r w:rsidRPr="00E80A54">
        <w:t>North East Tasmania Tourism 2013</w:t>
      </w:r>
      <w:r w:rsidRPr="00076ABE">
        <w:t>)</w:t>
      </w:r>
      <w:r w:rsidRPr="0080474A">
        <w:t>.</w:t>
      </w:r>
    </w:p>
    <w:p w:rsidR="00A57BDF" w:rsidRDefault="00A57BDF" w:rsidP="00750CB0">
      <w:pPr>
        <w:pStyle w:val="BodyText"/>
      </w:pPr>
      <w:r>
        <w:t xml:space="preserve">Funding for the project </w:t>
      </w:r>
      <w:r w:rsidRPr="000C1A2E">
        <w:t>predominantly benefited services industries. H</w:t>
      </w:r>
      <w:r w:rsidRPr="00E80A54">
        <w:t xml:space="preserve">owever, information on the specific industry incidence of the program has not been readily available. Accordingly, the budget outlay has been classified to the </w:t>
      </w:r>
      <w:r w:rsidRPr="00E80A54">
        <w:rPr>
          <w:i/>
        </w:rPr>
        <w:t>Unallocated services</w:t>
      </w:r>
      <w:r w:rsidRPr="00E80A54">
        <w:t xml:space="preserve"> industry grouping in the Commission’s ANZSIC-based classification (table A.232).</w:t>
      </w:r>
    </w:p>
    <w:p w:rsidR="00A57BDF" w:rsidRDefault="00A57BDF" w:rsidP="00A57BDF">
      <w:pPr>
        <w:pStyle w:val="TableTitle"/>
      </w:pPr>
      <w:r>
        <w:rPr>
          <w:b w:val="0"/>
        </w:rPr>
        <w:t xml:space="preserve">Table </w:t>
      </w:r>
      <w:r w:rsidR="00FA09C3">
        <w:rPr>
          <w:b w:val="0"/>
        </w:rPr>
        <w:t>A.</w:t>
      </w:r>
      <w:r w:rsidR="00FA09C3">
        <w:rPr>
          <w:b w:val="0"/>
          <w:noProof/>
        </w:rPr>
        <w:t>232</w:t>
      </w:r>
      <w:r>
        <w:tab/>
        <w:t>Allocation of North East Chinese Heritage ‘Trail of the Tin Dragon’</w:t>
      </w:r>
      <w:r w:rsidR="00A02379" w:rsidRPr="00A02379">
        <w:t xml:space="preserve"> to industry</w:t>
      </w:r>
      <w:r>
        <w:t>, 2006</w:t>
      </w:r>
      <w:r>
        <w:noBreakHyphen/>
        <w:t>07 to 2011</w:t>
      </w:r>
      <w:r>
        <w:noBreakHyphen/>
        <w:t>12</w:t>
      </w:r>
    </w:p>
    <w:p w:rsidR="00A57BDF" w:rsidRPr="008B2C7F" w:rsidRDefault="00A57BDF" w:rsidP="00A57BDF">
      <w:pPr>
        <w:pStyle w:val="Subtitle"/>
        <w:rPr>
          <w:sz w:val="22"/>
        </w:rPr>
      </w:pPr>
      <w:r w:rsidRPr="008B2C7F">
        <w:rPr>
          <w:sz w:val="22"/>
        </w:rPr>
        <w:t>$</w:t>
      </w:r>
      <w:r w:rsidR="00D05810">
        <w:rPr>
          <w:sz w:val="22"/>
        </w:rPr>
        <w:t xml:space="preserve"> </w:t>
      </w:r>
      <w:r w:rsidRPr="008B2C7F">
        <w:rPr>
          <w:sz w:val="22"/>
        </w:rPr>
        <w:t xml:space="preserve">million (nominal) </w:t>
      </w:r>
    </w:p>
    <w:tbl>
      <w:tblPr>
        <w:tblW w:w="5000" w:type="pct"/>
        <w:tblCellMar>
          <w:left w:w="0" w:type="dxa"/>
          <w:right w:w="0" w:type="dxa"/>
        </w:tblCellMar>
        <w:tblLook w:val="0000" w:firstRow="0" w:lastRow="0" w:firstColumn="0" w:lastColumn="0" w:noHBand="0" w:noVBand="0"/>
      </w:tblPr>
      <w:tblGrid>
        <w:gridCol w:w="3446"/>
        <w:gridCol w:w="891"/>
        <w:gridCol w:w="891"/>
        <w:gridCol w:w="891"/>
        <w:gridCol w:w="891"/>
        <w:gridCol w:w="891"/>
        <w:gridCol w:w="888"/>
      </w:tblGrid>
      <w:tr w:rsidR="008B2C7F" w:rsidRPr="008B2C7F" w:rsidTr="00F443A8">
        <w:trPr>
          <w:trHeight w:val="340"/>
        </w:trPr>
        <w:tc>
          <w:tcPr>
            <w:tcW w:w="1960" w:type="pct"/>
            <w:tcBorders>
              <w:top w:val="single" w:sz="6" w:space="0" w:color="auto"/>
              <w:bottom w:val="single" w:sz="6" w:space="0" w:color="auto"/>
            </w:tcBorders>
          </w:tcPr>
          <w:p w:rsidR="008B2C7F" w:rsidRPr="008B2C7F" w:rsidRDefault="008B2C7F" w:rsidP="004131AC">
            <w:pPr>
              <w:pStyle w:val="TableColumnHeading"/>
              <w:jc w:val="left"/>
              <w:rPr>
                <w:rFonts w:cs="Arial"/>
                <w:szCs w:val="18"/>
              </w:rPr>
            </w:pPr>
            <w:r w:rsidRPr="008B2C7F">
              <w:rPr>
                <w:rFonts w:cs="Arial"/>
                <w:szCs w:val="18"/>
              </w:rPr>
              <w:t>Industry grouping</w:t>
            </w:r>
          </w:p>
        </w:tc>
        <w:tc>
          <w:tcPr>
            <w:tcW w:w="507" w:type="pct"/>
            <w:tcBorders>
              <w:top w:val="single" w:sz="6" w:space="0" w:color="auto"/>
              <w:bottom w:val="single" w:sz="6" w:space="0" w:color="auto"/>
            </w:tcBorders>
          </w:tcPr>
          <w:p w:rsidR="008B2C7F" w:rsidRPr="008B2C7F" w:rsidRDefault="008B2C7F" w:rsidP="004131AC">
            <w:pPr>
              <w:pStyle w:val="TableColumnHeading"/>
              <w:ind w:right="28"/>
              <w:rPr>
                <w:rFonts w:cs="Arial"/>
                <w:szCs w:val="18"/>
              </w:rPr>
            </w:pPr>
            <w:r w:rsidRPr="008B2C7F">
              <w:rPr>
                <w:rFonts w:cs="Arial"/>
                <w:szCs w:val="18"/>
              </w:rPr>
              <w:t>2006-07</w:t>
            </w:r>
          </w:p>
        </w:tc>
        <w:tc>
          <w:tcPr>
            <w:tcW w:w="507" w:type="pct"/>
            <w:tcBorders>
              <w:top w:val="single" w:sz="6" w:space="0" w:color="auto"/>
              <w:bottom w:val="single" w:sz="6" w:space="0" w:color="auto"/>
            </w:tcBorders>
          </w:tcPr>
          <w:p w:rsidR="008B2C7F" w:rsidRPr="008B2C7F" w:rsidRDefault="008B2C7F" w:rsidP="004131AC">
            <w:pPr>
              <w:pStyle w:val="TableColumnHeading"/>
              <w:ind w:right="28"/>
              <w:rPr>
                <w:rFonts w:cs="Arial"/>
                <w:szCs w:val="18"/>
              </w:rPr>
            </w:pPr>
            <w:r w:rsidRPr="008B2C7F">
              <w:rPr>
                <w:rFonts w:cs="Arial"/>
                <w:szCs w:val="18"/>
              </w:rPr>
              <w:t>2007-08</w:t>
            </w:r>
          </w:p>
        </w:tc>
        <w:tc>
          <w:tcPr>
            <w:tcW w:w="507" w:type="pct"/>
            <w:tcBorders>
              <w:top w:val="single" w:sz="6" w:space="0" w:color="auto"/>
              <w:bottom w:val="single" w:sz="6" w:space="0" w:color="auto"/>
            </w:tcBorders>
          </w:tcPr>
          <w:p w:rsidR="008B2C7F" w:rsidRPr="008B2C7F" w:rsidRDefault="008B2C7F" w:rsidP="004131AC">
            <w:pPr>
              <w:pStyle w:val="TableColumnHeading"/>
              <w:ind w:right="28"/>
              <w:rPr>
                <w:rFonts w:cs="Arial"/>
                <w:szCs w:val="18"/>
              </w:rPr>
            </w:pPr>
            <w:r w:rsidRPr="008B2C7F">
              <w:rPr>
                <w:rFonts w:cs="Arial"/>
                <w:szCs w:val="18"/>
              </w:rPr>
              <w:t>2008-09</w:t>
            </w:r>
          </w:p>
        </w:tc>
        <w:tc>
          <w:tcPr>
            <w:tcW w:w="507" w:type="pct"/>
            <w:tcBorders>
              <w:top w:val="single" w:sz="6" w:space="0" w:color="auto"/>
              <w:bottom w:val="single" w:sz="6" w:space="0" w:color="auto"/>
            </w:tcBorders>
          </w:tcPr>
          <w:p w:rsidR="008B2C7F" w:rsidRPr="008B2C7F" w:rsidRDefault="008B2C7F" w:rsidP="004131AC">
            <w:pPr>
              <w:pStyle w:val="TableColumnHeading"/>
              <w:ind w:right="28"/>
              <w:rPr>
                <w:rFonts w:cs="Arial"/>
                <w:szCs w:val="18"/>
              </w:rPr>
            </w:pPr>
            <w:r w:rsidRPr="008B2C7F">
              <w:rPr>
                <w:rFonts w:cs="Arial"/>
                <w:szCs w:val="18"/>
              </w:rPr>
              <w:t>2009-10</w:t>
            </w:r>
          </w:p>
        </w:tc>
        <w:tc>
          <w:tcPr>
            <w:tcW w:w="507" w:type="pct"/>
            <w:tcBorders>
              <w:top w:val="single" w:sz="6" w:space="0" w:color="auto"/>
              <w:bottom w:val="single" w:sz="6" w:space="0" w:color="auto"/>
            </w:tcBorders>
            <w:shd w:val="clear" w:color="auto" w:fill="auto"/>
          </w:tcPr>
          <w:p w:rsidR="008B2C7F" w:rsidRPr="008B2C7F" w:rsidRDefault="008B2C7F" w:rsidP="004131AC">
            <w:pPr>
              <w:pStyle w:val="TableColumnHeading"/>
              <w:ind w:right="28"/>
              <w:rPr>
                <w:rFonts w:cs="Arial"/>
                <w:szCs w:val="18"/>
              </w:rPr>
            </w:pPr>
            <w:r w:rsidRPr="008B2C7F">
              <w:rPr>
                <w:rFonts w:cs="Arial"/>
                <w:szCs w:val="18"/>
              </w:rPr>
              <w:t>2010-11</w:t>
            </w:r>
          </w:p>
        </w:tc>
        <w:tc>
          <w:tcPr>
            <w:tcW w:w="505" w:type="pct"/>
            <w:tcBorders>
              <w:top w:val="single" w:sz="6" w:space="0" w:color="auto"/>
              <w:bottom w:val="single" w:sz="6" w:space="0" w:color="auto"/>
            </w:tcBorders>
            <w:shd w:val="clear" w:color="auto" w:fill="auto"/>
          </w:tcPr>
          <w:p w:rsidR="008B2C7F" w:rsidRPr="008B2C7F" w:rsidRDefault="008B2C7F" w:rsidP="004131AC">
            <w:pPr>
              <w:pStyle w:val="TableColumnHeading"/>
              <w:ind w:right="28"/>
              <w:rPr>
                <w:rFonts w:cs="Arial"/>
                <w:szCs w:val="18"/>
              </w:rPr>
            </w:pPr>
            <w:r w:rsidRPr="008B2C7F">
              <w:rPr>
                <w:rFonts w:cs="Arial"/>
                <w:szCs w:val="18"/>
              </w:rPr>
              <w:t>2011-12</w:t>
            </w:r>
          </w:p>
        </w:tc>
      </w:tr>
      <w:tr w:rsidR="008B2C7F" w:rsidRPr="00825B58" w:rsidTr="008B2C7F">
        <w:tc>
          <w:tcPr>
            <w:tcW w:w="1960" w:type="pct"/>
            <w:tcBorders>
              <w:bottom w:val="single" w:sz="4" w:space="0" w:color="auto"/>
            </w:tcBorders>
            <w:vAlign w:val="bottom"/>
          </w:tcPr>
          <w:p w:rsidR="008B2C7F" w:rsidRPr="00083391" w:rsidRDefault="008B2C7F" w:rsidP="004131AC">
            <w:pPr>
              <w:pStyle w:val="TableBodyText"/>
              <w:jc w:val="left"/>
            </w:pPr>
            <w:r w:rsidRPr="00083391">
              <w:t>Unallocated services</w:t>
            </w:r>
            <w:r w:rsidRPr="00F443A8">
              <w:rPr>
                <w:rStyle w:val="NoteLabel"/>
                <w:szCs w:val="18"/>
              </w:rPr>
              <w:t>a</w:t>
            </w:r>
          </w:p>
        </w:tc>
        <w:tc>
          <w:tcPr>
            <w:tcW w:w="507" w:type="pct"/>
            <w:tcBorders>
              <w:bottom w:val="single" w:sz="4" w:space="0" w:color="auto"/>
            </w:tcBorders>
            <w:vAlign w:val="bottom"/>
          </w:tcPr>
          <w:p w:rsidR="008B2C7F" w:rsidRPr="00083391" w:rsidRDefault="008B2C7F" w:rsidP="008B2C7F">
            <w:pPr>
              <w:pStyle w:val="TableBodyText"/>
            </w:pPr>
            <w:r w:rsidRPr="00083391">
              <w:t>1.</w:t>
            </w:r>
            <w:r>
              <w:t>2</w:t>
            </w:r>
          </w:p>
        </w:tc>
        <w:tc>
          <w:tcPr>
            <w:tcW w:w="507" w:type="pct"/>
            <w:tcBorders>
              <w:bottom w:val="single" w:sz="4" w:space="0" w:color="auto"/>
            </w:tcBorders>
            <w:vAlign w:val="bottom"/>
          </w:tcPr>
          <w:p w:rsidR="008B2C7F" w:rsidRPr="00083391" w:rsidRDefault="008B2C7F" w:rsidP="004131AC">
            <w:pPr>
              <w:pStyle w:val="TableBodyText"/>
            </w:pPr>
            <w:r>
              <w:noBreakHyphen/>
            </w:r>
          </w:p>
        </w:tc>
        <w:tc>
          <w:tcPr>
            <w:tcW w:w="507" w:type="pct"/>
            <w:tcBorders>
              <w:bottom w:val="single" w:sz="4" w:space="0" w:color="auto"/>
            </w:tcBorders>
            <w:vAlign w:val="bottom"/>
          </w:tcPr>
          <w:p w:rsidR="008B2C7F" w:rsidRPr="00083391" w:rsidRDefault="008B2C7F" w:rsidP="004131AC">
            <w:pPr>
              <w:pStyle w:val="TableBodyText"/>
            </w:pPr>
            <w:r>
              <w:noBreakHyphen/>
            </w:r>
          </w:p>
        </w:tc>
        <w:tc>
          <w:tcPr>
            <w:tcW w:w="507" w:type="pct"/>
            <w:tcBorders>
              <w:bottom w:val="single" w:sz="4" w:space="0" w:color="auto"/>
            </w:tcBorders>
            <w:vAlign w:val="bottom"/>
          </w:tcPr>
          <w:p w:rsidR="008B2C7F" w:rsidRPr="00083391" w:rsidRDefault="008B2C7F" w:rsidP="004131AC">
            <w:pPr>
              <w:pStyle w:val="TableBodyText"/>
            </w:pPr>
            <w:r>
              <w:noBreakHyphen/>
            </w:r>
          </w:p>
        </w:tc>
        <w:tc>
          <w:tcPr>
            <w:tcW w:w="507" w:type="pct"/>
            <w:tcBorders>
              <w:bottom w:val="single" w:sz="4" w:space="0" w:color="auto"/>
            </w:tcBorders>
            <w:shd w:val="clear" w:color="auto" w:fill="auto"/>
            <w:vAlign w:val="bottom"/>
          </w:tcPr>
          <w:p w:rsidR="008B2C7F" w:rsidRPr="00083391" w:rsidRDefault="008B2C7F" w:rsidP="004131AC">
            <w:pPr>
              <w:pStyle w:val="TableBodyText"/>
            </w:pPr>
            <w:r>
              <w:noBreakHyphen/>
            </w:r>
          </w:p>
        </w:tc>
        <w:tc>
          <w:tcPr>
            <w:tcW w:w="505" w:type="pct"/>
            <w:tcBorders>
              <w:bottom w:val="single" w:sz="4" w:space="0" w:color="auto"/>
            </w:tcBorders>
            <w:shd w:val="clear" w:color="auto" w:fill="auto"/>
            <w:vAlign w:val="bottom"/>
          </w:tcPr>
          <w:p w:rsidR="008B2C7F" w:rsidRPr="00083391" w:rsidRDefault="008B2C7F" w:rsidP="004131AC">
            <w:pPr>
              <w:pStyle w:val="TableBodyText"/>
            </w:pPr>
            <w:r>
              <w:noBreakHyphen/>
            </w:r>
          </w:p>
        </w:tc>
      </w:tr>
    </w:tbl>
    <w:p w:rsidR="00A57BDF" w:rsidRDefault="00A57BDF" w:rsidP="00A57BDF">
      <w:pPr>
        <w:pStyle w:val="Note"/>
      </w:pPr>
      <w:r w:rsidRPr="00A2379F">
        <w:noBreakHyphen/>
        <w:t xml:space="preserve"> Nil</w:t>
      </w:r>
      <w:r>
        <w:t>.</w:t>
      </w:r>
      <w:r w:rsidRPr="008E77FE">
        <w:rPr>
          <w:rStyle w:val="NoteLabel"/>
        </w:rPr>
        <w:t xml:space="preserve"> a</w:t>
      </w:r>
      <w:r>
        <w:t xml:space="preserve"> </w:t>
      </w:r>
      <w:r w:rsidRPr="009B56F1">
        <w:t>Unallocated includes general programs where detai</w:t>
      </w:r>
      <w:r>
        <w:t>ls of beneficiaries are unknown.</w:t>
      </w:r>
    </w:p>
    <w:p w:rsidR="00A57BDF" w:rsidRPr="008E77FE" w:rsidRDefault="00A57BDF" w:rsidP="00A57BDF">
      <w:pPr>
        <w:pStyle w:val="Source"/>
      </w:pPr>
      <w:r>
        <w:rPr>
          <w:i/>
        </w:rPr>
        <w:t>Source</w:t>
      </w:r>
      <w:r>
        <w:t>: Commission estimates based on Department of Industry, Tourism and Resources Annual Report 2006</w:t>
      </w:r>
      <w:r>
        <w:noBreakHyphen/>
        <w:t>07.</w:t>
      </w:r>
    </w:p>
    <w:p w:rsidR="00303714" w:rsidRDefault="00FA09C3" w:rsidP="00303714">
      <w:pPr>
        <w:pStyle w:val="Heading2"/>
      </w:pPr>
      <w:r>
        <w:t>A.</w:t>
      </w:r>
      <w:r>
        <w:rPr>
          <w:noProof/>
        </w:rPr>
        <w:t>233</w:t>
      </w:r>
      <w:r w:rsidR="00303714">
        <w:tab/>
        <w:t>Wind Turbine Industry Assistance</w:t>
      </w:r>
    </w:p>
    <w:p w:rsidR="00303714" w:rsidRDefault="00303714" w:rsidP="00303714">
      <w:pPr>
        <w:pStyle w:val="BodyText"/>
      </w:pPr>
      <w:r>
        <w:t>During 2006</w:t>
      </w:r>
      <w:r>
        <w:noBreakHyphen/>
        <w:t>07, the Australian Government provided around $670 000 in assistance, administered by the Department of Industry, Tourism and Resources, to the wind turbine production industry (</w:t>
      </w:r>
      <w:r w:rsidRPr="00E80A54">
        <w:t>DITR 2007b</w:t>
      </w:r>
      <w:r>
        <w:t xml:space="preserve">). </w:t>
      </w:r>
    </w:p>
    <w:p w:rsidR="00303714" w:rsidRDefault="00303714" w:rsidP="00303714">
      <w:pPr>
        <w:pStyle w:val="BodyText"/>
      </w:pPr>
      <w:r>
        <w:t>Funding</w:t>
      </w:r>
      <w:r w:rsidRPr="001A0843">
        <w:t xml:space="preserve"> predomina</w:t>
      </w:r>
      <w:r w:rsidR="00D05810">
        <w:t>n</w:t>
      </w:r>
      <w:r w:rsidRPr="001A0843">
        <w:t>tly benefit</w:t>
      </w:r>
      <w:r>
        <w:t>ed</w:t>
      </w:r>
      <w:r w:rsidRPr="001A0843">
        <w:t xml:space="preserve"> </w:t>
      </w:r>
      <w:r w:rsidR="00D05810">
        <w:t>manufacturers</w:t>
      </w:r>
      <w:r>
        <w:t xml:space="preserve"> of wind turbines and </w:t>
      </w:r>
      <w:r w:rsidRPr="001A0843">
        <w:t xml:space="preserve">has been allocated to the </w:t>
      </w:r>
      <w:r>
        <w:rPr>
          <w:i/>
        </w:rPr>
        <w:t>Machinery and equipment manufacturing</w:t>
      </w:r>
      <w:r w:rsidRPr="001A0843">
        <w:t xml:space="preserve"> industry grouping in the Commission’s ANZSIC-based classification (table</w:t>
      </w:r>
      <w:r w:rsidR="00E420FD">
        <w:t> </w:t>
      </w:r>
      <w:r w:rsidRPr="001A0843">
        <w:t>A.</w:t>
      </w:r>
      <w:r>
        <w:t>233</w:t>
      </w:r>
      <w:r w:rsidRPr="001A0843">
        <w:t>).</w:t>
      </w:r>
    </w:p>
    <w:p w:rsidR="00303714" w:rsidRDefault="00303714" w:rsidP="00303714">
      <w:pPr>
        <w:pStyle w:val="TableTitle"/>
      </w:pPr>
      <w:r>
        <w:rPr>
          <w:b w:val="0"/>
        </w:rPr>
        <w:t xml:space="preserve">Table </w:t>
      </w:r>
      <w:r w:rsidR="00FA09C3">
        <w:rPr>
          <w:b w:val="0"/>
        </w:rPr>
        <w:t>A.</w:t>
      </w:r>
      <w:r w:rsidR="00FA09C3">
        <w:rPr>
          <w:b w:val="0"/>
          <w:noProof/>
        </w:rPr>
        <w:t>233</w:t>
      </w:r>
      <w:r>
        <w:tab/>
        <w:t>Alloc</w:t>
      </w:r>
      <w:r w:rsidR="00A02379">
        <w:t>ation of Wind Turbine Industry A</w:t>
      </w:r>
      <w:r>
        <w:t>ssistance</w:t>
      </w:r>
      <w:r w:rsidR="00A02379" w:rsidRPr="00A02379">
        <w:t xml:space="preserve"> to industry</w:t>
      </w:r>
      <w:r>
        <w:t>, 2006</w:t>
      </w:r>
      <w:r>
        <w:noBreakHyphen/>
        <w:t>07 to 2011</w:t>
      </w:r>
      <w:r>
        <w:noBreakHyphen/>
        <w:t>12</w:t>
      </w:r>
    </w:p>
    <w:p w:rsidR="00303714" w:rsidRDefault="00303714" w:rsidP="00303714">
      <w:pPr>
        <w:pStyle w:val="Subtitle"/>
      </w:pPr>
      <w:r>
        <w:t>$</w:t>
      </w:r>
      <w:r w:rsidR="00D05810">
        <w:t xml:space="preserve"> </w:t>
      </w:r>
      <w:r>
        <w:t>million (nominal)</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303714" w:rsidRPr="00AF699A" w:rsidTr="00F443A8">
        <w:trPr>
          <w:trHeight w:val="340"/>
        </w:trPr>
        <w:tc>
          <w:tcPr>
            <w:tcW w:w="1958" w:type="pct"/>
            <w:tcBorders>
              <w:top w:val="single" w:sz="6" w:space="0" w:color="auto"/>
              <w:bottom w:val="single" w:sz="6" w:space="0" w:color="auto"/>
            </w:tcBorders>
          </w:tcPr>
          <w:p w:rsidR="00303714" w:rsidRPr="00AF699A" w:rsidRDefault="00303714" w:rsidP="00AB38B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303714" w:rsidRPr="00AF699A" w:rsidRDefault="00303714"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303714" w:rsidRPr="00AF699A" w:rsidRDefault="00303714" w:rsidP="00AB38B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303714" w:rsidRPr="00AF699A" w:rsidRDefault="00303714" w:rsidP="00AB38B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303714" w:rsidRPr="00AF699A" w:rsidRDefault="00303714" w:rsidP="00AB38B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303714" w:rsidRPr="00AF699A" w:rsidRDefault="00303714" w:rsidP="00AB38B4">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303714" w:rsidRPr="00AF699A" w:rsidRDefault="00303714" w:rsidP="00AB38B4">
            <w:pPr>
              <w:pStyle w:val="TableColumnHeading"/>
              <w:ind w:right="28"/>
              <w:rPr>
                <w:rFonts w:cs="Arial"/>
                <w:sz w:val="18"/>
                <w:szCs w:val="18"/>
              </w:rPr>
            </w:pPr>
            <w:r w:rsidRPr="00AF699A">
              <w:rPr>
                <w:rFonts w:cs="Arial"/>
                <w:sz w:val="18"/>
                <w:szCs w:val="18"/>
              </w:rPr>
              <w:t>2011-12</w:t>
            </w:r>
          </w:p>
        </w:tc>
      </w:tr>
      <w:tr w:rsidR="00303714" w:rsidRPr="00306D3A" w:rsidTr="00AB38B4">
        <w:tc>
          <w:tcPr>
            <w:tcW w:w="1958" w:type="pct"/>
            <w:tcBorders>
              <w:bottom w:val="single" w:sz="4" w:space="0" w:color="auto"/>
            </w:tcBorders>
            <w:vAlign w:val="bottom"/>
          </w:tcPr>
          <w:p w:rsidR="00303714" w:rsidRPr="00754B25" w:rsidRDefault="00303714" w:rsidP="00AB38B4">
            <w:pPr>
              <w:pStyle w:val="TableBodyText"/>
              <w:jc w:val="left"/>
            </w:pPr>
            <w:r w:rsidRPr="00754B25">
              <w:t>Machinery and equipment manufacturing</w:t>
            </w:r>
          </w:p>
        </w:tc>
        <w:tc>
          <w:tcPr>
            <w:tcW w:w="507" w:type="pct"/>
            <w:tcBorders>
              <w:bottom w:val="single" w:sz="4" w:space="0" w:color="auto"/>
            </w:tcBorders>
            <w:vAlign w:val="bottom"/>
          </w:tcPr>
          <w:p w:rsidR="00303714" w:rsidRPr="00754B25" w:rsidRDefault="00303714" w:rsidP="00AB38B4">
            <w:pPr>
              <w:pStyle w:val="TableBodyText"/>
            </w:pPr>
            <w:r w:rsidRPr="00754B25">
              <w:t>0.7</w:t>
            </w:r>
          </w:p>
        </w:tc>
        <w:tc>
          <w:tcPr>
            <w:tcW w:w="507" w:type="pct"/>
            <w:tcBorders>
              <w:bottom w:val="single" w:sz="4" w:space="0" w:color="auto"/>
            </w:tcBorders>
            <w:vAlign w:val="bottom"/>
          </w:tcPr>
          <w:p w:rsidR="00303714" w:rsidRPr="00754B25" w:rsidRDefault="00303714" w:rsidP="00AB38B4">
            <w:pPr>
              <w:pStyle w:val="TableBodyText"/>
            </w:pPr>
            <w:r>
              <w:noBreakHyphen/>
            </w:r>
          </w:p>
        </w:tc>
        <w:tc>
          <w:tcPr>
            <w:tcW w:w="507" w:type="pct"/>
            <w:tcBorders>
              <w:bottom w:val="single" w:sz="4" w:space="0" w:color="auto"/>
            </w:tcBorders>
            <w:vAlign w:val="bottom"/>
          </w:tcPr>
          <w:p w:rsidR="00303714" w:rsidRPr="00754B25" w:rsidRDefault="00303714" w:rsidP="00AB38B4">
            <w:pPr>
              <w:pStyle w:val="TableBodyText"/>
            </w:pPr>
            <w:r>
              <w:noBreakHyphen/>
            </w:r>
          </w:p>
        </w:tc>
        <w:tc>
          <w:tcPr>
            <w:tcW w:w="507" w:type="pct"/>
            <w:tcBorders>
              <w:bottom w:val="single" w:sz="4" w:space="0" w:color="auto"/>
            </w:tcBorders>
            <w:vAlign w:val="bottom"/>
          </w:tcPr>
          <w:p w:rsidR="00303714" w:rsidRPr="00754B25" w:rsidRDefault="00303714" w:rsidP="00AB38B4">
            <w:pPr>
              <w:pStyle w:val="TableBodyText"/>
            </w:pPr>
            <w:r>
              <w:noBreakHyphen/>
            </w:r>
          </w:p>
        </w:tc>
        <w:tc>
          <w:tcPr>
            <w:tcW w:w="507" w:type="pct"/>
            <w:tcBorders>
              <w:bottom w:val="single" w:sz="4" w:space="0" w:color="auto"/>
            </w:tcBorders>
            <w:shd w:val="clear" w:color="auto" w:fill="auto"/>
            <w:vAlign w:val="bottom"/>
          </w:tcPr>
          <w:p w:rsidR="00303714" w:rsidRPr="00754B25" w:rsidRDefault="00303714" w:rsidP="00AB38B4">
            <w:pPr>
              <w:pStyle w:val="TableBodyText"/>
            </w:pPr>
            <w:r>
              <w:noBreakHyphen/>
            </w:r>
          </w:p>
        </w:tc>
        <w:tc>
          <w:tcPr>
            <w:tcW w:w="507" w:type="pct"/>
            <w:tcBorders>
              <w:bottom w:val="single" w:sz="4" w:space="0" w:color="auto"/>
            </w:tcBorders>
            <w:shd w:val="clear" w:color="auto" w:fill="auto"/>
            <w:vAlign w:val="bottom"/>
          </w:tcPr>
          <w:p w:rsidR="00303714" w:rsidRPr="00754B25" w:rsidRDefault="00303714" w:rsidP="00AB38B4">
            <w:pPr>
              <w:pStyle w:val="TableBodyText"/>
            </w:pPr>
            <w:r>
              <w:noBreakHyphen/>
            </w:r>
          </w:p>
        </w:tc>
      </w:tr>
    </w:tbl>
    <w:p w:rsidR="00303714" w:rsidRDefault="00303714" w:rsidP="00303714">
      <w:pPr>
        <w:pStyle w:val="Note"/>
      </w:pPr>
      <w:r w:rsidRPr="00A2379F">
        <w:noBreakHyphen/>
        <w:t xml:space="preserve"> Nil</w:t>
      </w:r>
      <w:r>
        <w:t>.</w:t>
      </w:r>
    </w:p>
    <w:p w:rsidR="00303714" w:rsidRPr="008E77FE" w:rsidRDefault="00303714" w:rsidP="00303714">
      <w:pPr>
        <w:pStyle w:val="Source"/>
      </w:pPr>
      <w:r>
        <w:rPr>
          <w:i/>
        </w:rPr>
        <w:t>Sources</w:t>
      </w:r>
      <w:r>
        <w:t>: Commission estimates based on Department of Industry, Tourism and Resources Portfolio Budget Statements 2007</w:t>
      </w:r>
      <w:r>
        <w:noBreakHyphen/>
        <w:t>08.</w:t>
      </w:r>
    </w:p>
    <w:p w:rsidR="0019554E" w:rsidRDefault="00FA09C3" w:rsidP="0019554E">
      <w:pPr>
        <w:pStyle w:val="Heading2"/>
      </w:pPr>
      <w:r>
        <w:t>A.</w:t>
      </w:r>
      <w:r>
        <w:rPr>
          <w:noProof/>
        </w:rPr>
        <w:t>234</w:t>
      </w:r>
      <w:r w:rsidR="0019554E">
        <w:tab/>
        <w:t>National Tourism Accreditation Initiative</w:t>
      </w:r>
    </w:p>
    <w:p w:rsidR="0019554E" w:rsidRDefault="0019554E" w:rsidP="0019554E">
      <w:pPr>
        <w:pStyle w:val="BodyText"/>
      </w:pPr>
      <w:r>
        <w:t>From 2004</w:t>
      </w:r>
      <w:r w:rsidR="00D01FFE">
        <w:noBreakHyphen/>
      </w:r>
      <w:r>
        <w:t>05 to 2006</w:t>
      </w:r>
      <w:r w:rsidR="00D01FFE">
        <w:noBreakHyphen/>
      </w:r>
      <w:r>
        <w:t xml:space="preserve">07, </w:t>
      </w:r>
      <w:r w:rsidRPr="00446305">
        <w:t>the Australian Government provided around $2</w:t>
      </w:r>
      <w:r>
        <w:t xml:space="preserve"> million in funding for the National Tourism Accreditation Initiative </w:t>
      </w:r>
      <w:r w:rsidRPr="004F06A7">
        <w:t>(</w:t>
      </w:r>
      <w:r w:rsidRPr="00E80A54">
        <w:t>DITR 2007a</w:t>
      </w:r>
      <w:r>
        <w:t>). The Initiative aimed</w:t>
      </w:r>
      <w:r w:rsidRPr="00693659">
        <w:t xml:space="preserve"> to improve the quality of Australian tourism products and services and to improve Australia’s reputation as a quality tourism destination</w:t>
      </w:r>
      <w:r>
        <w:t xml:space="preserve"> </w:t>
      </w:r>
      <w:r w:rsidRPr="004F06A7">
        <w:t>(</w:t>
      </w:r>
      <w:r w:rsidRPr="00E80A54">
        <w:t>DRET 2008</w:t>
      </w:r>
      <w:r>
        <w:t>)</w:t>
      </w:r>
      <w:r w:rsidRPr="00693659">
        <w:t>.</w:t>
      </w:r>
    </w:p>
    <w:p w:rsidR="0019554E" w:rsidRDefault="0019554E" w:rsidP="00750CB0">
      <w:pPr>
        <w:pStyle w:val="BodyText"/>
      </w:pPr>
      <w:r w:rsidRPr="00E80A54">
        <w:t xml:space="preserve">Funding for the Initiative predominantly benefited services industries. However, information on the specific industry incidence of the program has not been readily available. Accordingly, the budget outlay has been classified to the </w:t>
      </w:r>
      <w:r w:rsidRPr="00E80A54">
        <w:rPr>
          <w:i/>
        </w:rPr>
        <w:t>Unallocated services</w:t>
      </w:r>
      <w:r w:rsidRPr="00E80A54">
        <w:t xml:space="preserve"> industry grouping in the Commission’s ANZSIC-based classification</w:t>
      </w:r>
      <w:r w:rsidRPr="000C1A2E">
        <w:t xml:space="preserve"> (table A.234).</w:t>
      </w:r>
    </w:p>
    <w:p w:rsidR="0019554E" w:rsidRDefault="0019554E" w:rsidP="0019554E">
      <w:pPr>
        <w:pStyle w:val="TableTitle"/>
      </w:pPr>
      <w:r>
        <w:rPr>
          <w:b w:val="0"/>
        </w:rPr>
        <w:t xml:space="preserve">Table </w:t>
      </w:r>
      <w:r w:rsidR="00FA09C3">
        <w:rPr>
          <w:b w:val="0"/>
        </w:rPr>
        <w:t>A.</w:t>
      </w:r>
      <w:r w:rsidR="00FA09C3">
        <w:rPr>
          <w:b w:val="0"/>
          <w:noProof/>
        </w:rPr>
        <w:t>234</w:t>
      </w:r>
      <w:r>
        <w:tab/>
        <w:t>Allocation of National Tourism Accreditation Initiative</w:t>
      </w:r>
      <w:r w:rsidR="00A02379" w:rsidRPr="00A02379">
        <w:t xml:space="preserve"> to industry</w:t>
      </w:r>
      <w:r>
        <w:t>, 2006</w:t>
      </w:r>
      <w:r>
        <w:noBreakHyphen/>
        <w:t>07 to 2011</w:t>
      </w:r>
      <w:r>
        <w:noBreakHyphen/>
        <w:t>12</w:t>
      </w:r>
    </w:p>
    <w:p w:rsidR="0019554E" w:rsidRDefault="0019554E" w:rsidP="0019554E">
      <w:pPr>
        <w:pStyle w:val="Subtitle"/>
      </w:pPr>
      <w:r>
        <w:t>$</w:t>
      </w:r>
      <w:r w:rsidR="00D05810">
        <w:t xml:space="preserve"> </w:t>
      </w:r>
      <w:r>
        <w:t xml:space="preserve">million (nominal) </w:t>
      </w:r>
    </w:p>
    <w:tbl>
      <w:tblPr>
        <w:tblW w:w="5000" w:type="pct"/>
        <w:tblCellMar>
          <w:left w:w="0" w:type="dxa"/>
          <w:right w:w="0" w:type="dxa"/>
        </w:tblCellMar>
        <w:tblLook w:val="0000" w:firstRow="0" w:lastRow="0" w:firstColumn="0" w:lastColumn="0" w:noHBand="0" w:noVBand="0"/>
      </w:tblPr>
      <w:tblGrid>
        <w:gridCol w:w="3443"/>
        <w:gridCol w:w="891"/>
        <w:gridCol w:w="891"/>
        <w:gridCol w:w="891"/>
        <w:gridCol w:w="891"/>
        <w:gridCol w:w="891"/>
        <w:gridCol w:w="891"/>
      </w:tblGrid>
      <w:tr w:rsidR="0019554E" w:rsidRPr="00AF699A" w:rsidTr="00F443A8">
        <w:trPr>
          <w:trHeight w:val="340"/>
        </w:trPr>
        <w:tc>
          <w:tcPr>
            <w:tcW w:w="1958" w:type="pct"/>
            <w:tcBorders>
              <w:top w:val="single" w:sz="6" w:space="0" w:color="auto"/>
              <w:bottom w:val="single" w:sz="6" w:space="0" w:color="auto"/>
            </w:tcBorders>
          </w:tcPr>
          <w:p w:rsidR="0019554E" w:rsidRPr="00AF699A" w:rsidRDefault="0019554E" w:rsidP="00AB38B4">
            <w:pPr>
              <w:pStyle w:val="TableColumnHeading"/>
              <w:jc w:val="left"/>
              <w:rPr>
                <w:rFonts w:cs="Arial"/>
                <w:sz w:val="18"/>
                <w:szCs w:val="18"/>
              </w:rPr>
            </w:pPr>
            <w:r w:rsidRPr="00AF699A">
              <w:rPr>
                <w:rFonts w:cs="Arial"/>
                <w:sz w:val="18"/>
                <w:szCs w:val="18"/>
              </w:rPr>
              <w:t>Industry grouping</w:t>
            </w:r>
          </w:p>
        </w:tc>
        <w:tc>
          <w:tcPr>
            <w:tcW w:w="507" w:type="pct"/>
            <w:tcBorders>
              <w:top w:val="single" w:sz="6" w:space="0" w:color="auto"/>
              <w:bottom w:val="single" w:sz="6" w:space="0" w:color="auto"/>
            </w:tcBorders>
          </w:tcPr>
          <w:p w:rsidR="0019554E" w:rsidRPr="00AF699A" w:rsidRDefault="0019554E" w:rsidP="00AB38B4">
            <w:pPr>
              <w:pStyle w:val="TableColumnHeading"/>
              <w:ind w:right="28"/>
              <w:rPr>
                <w:rFonts w:cs="Arial"/>
                <w:sz w:val="18"/>
                <w:szCs w:val="18"/>
              </w:rPr>
            </w:pPr>
            <w:r w:rsidRPr="00AF699A">
              <w:rPr>
                <w:rFonts w:cs="Arial"/>
                <w:sz w:val="18"/>
                <w:szCs w:val="18"/>
              </w:rPr>
              <w:t>2006-07</w:t>
            </w:r>
          </w:p>
        </w:tc>
        <w:tc>
          <w:tcPr>
            <w:tcW w:w="507" w:type="pct"/>
            <w:tcBorders>
              <w:top w:val="single" w:sz="6" w:space="0" w:color="auto"/>
              <w:bottom w:val="single" w:sz="6" w:space="0" w:color="auto"/>
            </w:tcBorders>
          </w:tcPr>
          <w:p w:rsidR="0019554E" w:rsidRPr="00AF699A" w:rsidRDefault="0019554E" w:rsidP="00AB38B4">
            <w:pPr>
              <w:pStyle w:val="TableColumnHeading"/>
              <w:ind w:right="28"/>
              <w:rPr>
                <w:rFonts w:cs="Arial"/>
                <w:sz w:val="18"/>
                <w:szCs w:val="18"/>
              </w:rPr>
            </w:pPr>
            <w:r w:rsidRPr="00AF699A">
              <w:rPr>
                <w:rFonts w:cs="Arial"/>
                <w:sz w:val="18"/>
                <w:szCs w:val="18"/>
              </w:rPr>
              <w:t>2007-08</w:t>
            </w:r>
          </w:p>
        </w:tc>
        <w:tc>
          <w:tcPr>
            <w:tcW w:w="507" w:type="pct"/>
            <w:tcBorders>
              <w:top w:val="single" w:sz="6" w:space="0" w:color="auto"/>
              <w:bottom w:val="single" w:sz="6" w:space="0" w:color="auto"/>
            </w:tcBorders>
          </w:tcPr>
          <w:p w:rsidR="0019554E" w:rsidRPr="00AF699A" w:rsidRDefault="0019554E" w:rsidP="00AB38B4">
            <w:pPr>
              <w:pStyle w:val="TableColumnHeading"/>
              <w:ind w:right="28"/>
              <w:rPr>
                <w:rFonts w:cs="Arial"/>
                <w:sz w:val="18"/>
                <w:szCs w:val="18"/>
              </w:rPr>
            </w:pPr>
            <w:r w:rsidRPr="00AF699A">
              <w:rPr>
                <w:rFonts w:cs="Arial"/>
                <w:sz w:val="18"/>
                <w:szCs w:val="18"/>
              </w:rPr>
              <w:t>2008-09</w:t>
            </w:r>
          </w:p>
        </w:tc>
        <w:tc>
          <w:tcPr>
            <w:tcW w:w="507" w:type="pct"/>
            <w:tcBorders>
              <w:top w:val="single" w:sz="6" w:space="0" w:color="auto"/>
              <w:bottom w:val="single" w:sz="6" w:space="0" w:color="auto"/>
            </w:tcBorders>
          </w:tcPr>
          <w:p w:rsidR="0019554E" w:rsidRPr="00AF699A" w:rsidRDefault="0019554E" w:rsidP="00AB38B4">
            <w:pPr>
              <w:pStyle w:val="TableColumnHeading"/>
              <w:ind w:right="28"/>
              <w:rPr>
                <w:rFonts w:cs="Arial"/>
                <w:sz w:val="18"/>
                <w:szCs w:val="18"/>
              </w:rPr>
            </w:pPr>
            <w:r w:rsidRPr="00AF699A">
              <w:rPr>
                <w:rFonts w:cs="Arial"/>
                <w:sz w:val="18"/>
                <w:szCs w:val="18"/>
              </w:rPr>
              <w:t>2009-10</w:t>
            </w:r>
          </w:p>
        </w:tc>
        <w:tc>
          <w:tcPr>
            <w:tcW w:w="507" w:type="pct"/>
            <w:tcBorders>
              <w:top w:val="single" w:sz="6" w:space="0" w:color="auto"/>
              <w:bottom w:val="single" w:sz="6" w:space="0" w:color="auto"/>
            </w:tcBorders>
            <w:shd w:val="clear" w:color="auto" w:fill="auto"/>
          </w:tcPr>
          <w:p w:rsidR="0019554E" w:rsidRPr="00AF699A" w:rsidRDefault="0019554E" w:rsidP="00AB38B4">
            <w:pPr>
              <w:pStyle w:val="TableColumnHeading"/>
              <w:ind w:right="28"/>
              <w:rPr>
                <w:rFonts w:cs="Arial"/>
                <w:sz w:val="18"/>
                <w:szCs w:val="18"/>
              </w:rPr>
            </w:pPr>
            <w:r w:rsidRPr="00AF699A">
              <w:rPr>
                <w:rFonts w:cs="Arial"/>
                <w:sz w:val="18"/>
                <w:szCs w:val="18"/>
              </w:rPr>
              <w:t>2010-11</w:t>
            </w:r>
          </w:p>
        </w:tc>
        <w:tc>
          <w:tcPr>
            <w:tcW w:w="507" w:type="pct"/>
            <w:tcBorders>
              <w:top w:val="single" w:sz="6" w:space="0" w:color="auto"/>
              <w:bottom w:val="single" w:sz="6" w:space="0" w:color="auto"/>
            </w:tcBorders>
            <w:shd w:val="clear" w:color="auto" w:fill="auto"/>
          </w:tcPr>
          <w:p w:rsidR="0019554E" w:rsidRPr="00AF699A" w:rsidRDefault="0019554E" w:rsidP="00AB38B4">
            <w:pPr>
              <w:pStyle w:val="TableColumnHeading"/>
              <w:ind w:right="28"/>
              <w:rPr>
                <w:rFonts w:cs="Arial"/>
                <w:sz w:val="18"/>
                <w:szCs w:val="18"/>
              </w:rPr>
            </w:pPr>
            <w:r w:rsidRPr="00AF699A">
              <w:rPr>
                <w:rFonts w:cs="Arial"/>
                <w:sz w:val="18"/>
                <w:szCs w:val="18"/>
              </w:rPr>
              <w:t>2011-12</w:t>
            </w:r>
          </w:p>
        </w:tc>
      </w:tr>
      <w:tr w:rsidR="0019554E" w:rsidRPr="00A21884" w:rsidTr="00AB38B4">
        <w:tc>
          <w:tcPr>
            <w:tcW w:w="1958" w:type="pct"/>
            <w:tcBorders>
              <w:bottom w:val="single" w:sz="4" w:space="0" w:color="auto"/>
            </w:tcBorders>
            <w:vAlign w:val="bottom"/>
          </w:tcPr>
          <w:p w:rsidR="0019554E" w:rsidRPr="00A21884" w:rsidRDefault="0019554E" w:rsidP="00AB38B4">
            <w:pPr>
              <w:pStyle w:val="TableBodyText"/>
              <w:jc w:val="left"/>
            </w:pPr>
            <w:r w:rsidRPr="00A21884">
              <w:t>Unallocated services</w:t>
            </w:r>
            <w:r w:rsidRPr="00F443A8">
              <w:rPr>
                <w:rStyle w:val="NoteLabel"/>
                <w:szCs w:val="18"/>
              </w:rPr>
              <w:t>a</w:t>
            </w:r>
          </w:p>
        </w:tc>
        <w:tc>
          <w:tcPr>
            <w:tcW w:w="507" w:type="pct"/>
            <w:tcBorders>
              <w:bottom w:val="single" w:sz="4" w:space="0" w:color="auto"/>
            </w:tcBorders>
            <w:vAlign w:val="bottom"/>
          </w:tcPr>
          <w:p w:rsidR="0019554E" w:rsidRPr="00A21884" w:rsidRDefault="0019554E" w:rsidP="00AB38B4">
            <w:pPr>
              <w:pStyle w:val="TableBodyText"/>
            </w:pPr>
            <w:r w:rsidRPr="00A21884">
              <w:t>0.5</w:t>
            </w:r>
          </w:p>
        </w:tc>
        <w:tc>
          <w:tcPr>
            <w:tcW w:w="507" w:type="pct"/>
            <w:tcBorders>
              <w:bottom w:val="single" w:sz="4" w:space="0" w:color="auto"/>
            </w:tcBorders>
            <w:vAlign w:val="bottom"/>
          </w:tcPr>
          <w:p w:rsidR="0019554E" w:rsidRPr="00A21884" w:rsidRDefault="0019554E" w:rsidP="00AB38B4">
            <w:pPr>
              <w:pStyle w:val="TableBodyText"/>
            </w:pPr>
            <w:r>
              <w:noBreakHyphen/>
            </w:r>
          </w:p>
        </w:tc>
        <w:tc>
          <w:tcPr>
            <w:tcW w:w="507" w:type="pct"/>
            <w:tcBorders>
              <w:bottom w:val="single" w:sz="4" w:space="0" w:color="auto"/>
            </w:tcBorders>
            <w:vAlign w:val="bottom"/>
          </w:tcPr>
          <w:p w:rsidR="0019554E" w:rsidRPr="00A21884" w:rsidRDefault="0019554E" w:rsidP="00AB38B4">
            <w:pPr>
              <w:pStyle w:val="TableBodyText"/>
            </w:pPr>
            <w:r>
              <w:noBreakHyphen/>
            </w:r>
          </w:p>
        </w:tc>
        <w:tc>
          <w:tcPr>
            <w:tcW w:w="507" w:type="pct"/>
            <w:tcBorders>
              <w:bottom w:val="single" w:sz="4" w:space="0" w:color="auto"/>
            </w:tcBorders>
            <w:vAlign w:val="bottom"/>
          </w:tcPr>
          <w:p w:rsidR="0019554E" w:rsidRPr="00A21884" w:rsidRDefault="0019554E" w:rsidP="00AB38B4">
            <w:pPr>
              <w:pStyle w:val="TableBodyText"/>
            </w:pPr>
            <w:r>
              <w:noBreakHyphen/>
            </w:r>
          </w:p>
        </w:tc>
        <w:tc>
          <w:tcPr>
            <w:tcW w:w="507" w:type="pct"/>
            <w:tcBorders>
              <w:bottom w:val="single" w:sz="4" w:space="0" w:color="auto"/>
            </w:tcBorders>
            <w:shd w:val="clear" w:color="auto" w:fill="auto"/>
            <w:vAlign w:val="bottom"/>
          </w:tcPr>
          <w:p w:rsidR="0019554E" w:rsidRPr="00A21884" w:rsidRDefault="0019554E" w:rsidP="00AB38B4">
            <w:pPr>
              <w:pStyle w:val="TableBodyText"/>
            </w:pPr>
            <w:r>
              <w:noBreakHyphen/>
            </w:r>
          </w:p>
        </w:tc>
        <w:tc>
          <w:tcPr>
            <w:tcW w:w="507" w:type="pct"/>
            <w:tcBorders>
              <w:bottom w:val="single" w:sz="4" w:space="0" w:color="auto"/>
            </w:tcBorders>
            <w:shd w:val="clear" w:color="auto" w:fill="auto"/>
            <w:vAlign w:val="bottom"/>
          </w:tcPr>
          <w:p w:rsidR="0019554E" w:rsidRPr="00A21884" w:rsidRDefault="0019554E" w:rsidP="00AB38B4">
            <w:pPr>
              <w:pStyle w:val="TableBodyText"/>
            </w:pPr>
            <w:r>
              <w:noBreakHyphen/>
            </w:r>
          </w:p>
        </w:tc>
      </w:tr>
    </w:tbl>
    <w:p w:rsidR="0019554E" w:rsidRDefault="0019554E" w:rsidP="0019554E">
      <w:pPr>
        <w:pStyle w:val="Note"/>
      </w:pPr>
      <w:r w:rsidRPr="00A2379F">
        <w:noBreakHyphen/>
        <w:t xml:space="preserve"> Nil</w:t>
      </w:r>
      <w:r>
        <w:t>.</w:t>
      </w:r>
      <w:r w:rsidRPr="008E77FE">
        <w:rPr>
          <w:rStyle w:val="NoteLabel"/>
        </w:rPr>
        <w:t xml:space="preserve"> a</w:t>
      </w:r>
      <w:r>
        <w:t xml:space="preserve"> </w:t>
      </w:r>
      <w:r w:rsidRPr="009B56F1">
        <w:t>Unallocated includes general programs where detai</w:t>
      </w:r>
      <w:r>
        <w:t>ls of beneficiaries are unknown.</w:t>
      </w:r>
    </w:p>
    <w:p w:rsidR="0019554E" w:rsidRPr="00D53396" w:rsidRDefault="0019554E" w:rsidP="0019554E">
      <w:pPr>
        <w:pStyle w:val="Source"/>
      </w:pPr>
      <w:r>
        <w:rPr>
          <w:i/>
        </w:rPr>
        <w:t>Source</w:t>
      </w:r>
      <w:r>
        <w:t>: Commission estimates based on Department of Industry, Tourism and Resources Annual Report 2006</w:t>
      </w:r>
      <w:r w:rsidR="00E3086E">
        <w:noBreakHyphen/>
      </w:r>
      <w:r>
        <w:t>07.</w:t>
      </w:r>
    </w:p>
    <w:p w:rsidR="00D53396" w:rsidRPr="008E77FE" w:rsidRDefault="00D53396" w:rsidP="00E80A54"/>
    <w:sectPr w:rsidR="00D53396" w:rsidRPr="008E77FE" w:rsidSect="00E55077">
      <w:headerReference w:type="even" r:id="rId9"/>
      <w:headerReference w:type="default" r:id="rId10"/>
      <w:footerReference w:type="even" r:id="rId11"/>
      <w:footerReference w:type="default" r:id="rId12"/>
      <w:pgSz w:w="11907" w:h="16840" w:code="9"/>
      <w:pgMar w:top="1985" w:right="1304" w:bottom="1418" w:left="1814" w:header="1701" w:footer="567" w:gutter="0"/>
      <w:pgNumType w:start="5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6305" w:rsidRDefault="00956305">
      <w:r>
        <w:separator/>
      </w:r>
    </w:p>
  </w:endnote>
  <w:endnote w:type="continuationSeparator" w:id="0">
    <w:p w:rsidR="00956305" w:rsidRDefault="00956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2211"/>
      <w:gridCol w:w="6067"/>
    </w:tblGrid>
    <w:tr w:rsidR="00956305" w:rsidTr="00BF6BF7">
      <w:trPr>
        <w:trHeight w:hRule="exact" w:val="740"/>
      </w:trPr>
      <w:tc>
        <w:tcPr>
          <w:tcW w:w="510" w:type="dxa"/>
          <w:tcBorders>
            <w:top w:val="single" w:sz="6" w:space="0" w:color="auto"/>
          </w:tcBorders>
        </w:tcPr>
        <w:p w:rsidR="00956305" w:rsidRDefault="00956305"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C31846">
            <w:rPr>
              <w:rStyle w:val="PageNumber"/>
              <w:noProof/>
            </w:rPr>
            <w:t>108</w:t>
          </w:r>
          <w:r>
            <w:rPr>
              <w:rStyle w:val="PageNumber"/>
            </w:rPr>
            <w:fldChar w:fldCharType="end"/>
          </w:r>
        </w:p>
      </w:tc>
      <w:tc>
        <w:tcPr>
          <w:tcW w:w="2211" w:type="dxa"/>
          <w:tcBorders>
            <w:top w:val="single" w:sz="6" w:space="0" w:color="auto"/>
          </w:tcBorders>
        </w:tcPr>
        <w:p w:rsidR="00956305" w:rsidRDefault="00F87792" w:rsidP="0019293B">
          <w:pPr>
            <w:pStyle w:val="Footer"/>
          </w:pPr>
          <w:fldSimple w:instr=" SUBJECT  \* MERGEFORMAT ">
            <w:r w:rsidR="00956305">
              <w:t>Trade &amp; Assistance Review 2011</w:t>
            </w:r>
            <w:r w:rsidR="00956305" w:rsidRPr="00FA09C3">
              <w:rPr>
                <w:rFonts w:ascii="MS Mincho" w:eastAsia="MS Mincho" w:hAnsi="MS Mincho" w:cs="MS Mincho"/>
              </w:rPr>
              <w:t>‑</w:t>
            </w:r>
            <w:r w:rsidR="00956305">
              <w:t>12 Methodological Annex</w:t>
            </w:r>
          </w:fldSimple>
        </w:p>
      </w:tc>
      <w:tc>
        <w:tcPr>
          <w:tcW w:w="6067" w:type="dxa"/>
        </w:tcPr>
        <w:p w:rsidR="00956305" w:rsidRDefault="00956305" w:rsidP="0019293B">
          <w:pPr>
            <w:pStyle w:val="Footer"/>
          </w:pPr>
        </w:p>
      </w:tc>
    </w:tr>
  </w:tbl>
  <w:p w:rsidR="00956305" w:rsidRDefault="0095630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237"/>
      <w:gridCol w:w="2041"/>
      <w:gridCol w:w="510"/>
    </w:tblGrid>
    <w:tr w:rsidR="00956305" w:rsidTr="006A3AA2">
      <w:trPr>
        <w:trHeight w:hRule="exact" w:val="740"/>
      </w:trPr>
      <w:tc>
        <w:tcPr>
          <w:tcW w:w="6237" w:type="dxa"/>
        </w:tcPr>
        <w:p w:rsidR="00956305" w:rsidRDefault="00956305">
          <w:pPr>
            <w:pStyle w:val="Footer"/>
            <w:ind w:right="360" w:firstLine="360"/>
          </w:pPr>
        </w:p>
      </w:tc>
      <w:tc>
        <w:tcPr>
          <w:tcW w:w="2041" w:type="dxa"/>
          <w:tcBorders>
            <w:top w:val="single" w:sz="6" w:space="0" w:color="auto"/>
          </w:tcBorders>
        </w:tcPr>
        <w:p w:rsidR="00956305" w:rsidRDefault="00F87792" w:rsidP="00FA09C3">
          <w:pPr>
            <w:pStyle w:val="Footer"/>
          </w:pPr>
          <w:fldSimple w:instr=" TITLE  \* MERGEFORMAT ">
            <w:r w:rsidR="00956305">
              <w:t>Budgetary assistance programs</w:t>
            </w:r>
          </w:fldSimple>
        </w:p>
        <w:p w:rsidR="00956305" w:rsidRDefault="00956305" w:rsidP="00FA09C3">
          <w:pPr>
            <w:pStyle w:val="Footer"/>
          </w:pPr>
        </w:p>
      </w:tc>
      <w:tc>
        <w:tcPr>
          <w:tcW w:w="510" w:type="dxa"/>
          <w:tcBorders>
            <w:top w:val="single" w:sz="6" w:space="0" w:color="auto"/>
          </w:tcBorders>
        </w:tcPr>
        <w:p w:rsidR="00956305" w:rsidRDefault="00956305">
          <w:pPr>
            <w:pStyle w:val="Footer"/>
            <w:jc w:val="right"/>
          </w:pPr>
          <w:r>
            <w:rPr>
              <w:rStyle w:val="PageNumber"/>
            </w:rPr>
            <w:fldChar w:fldCharType="begin"/>
          </w:r>
          <w:r>
            <w:rPr>
              <w:rStyle w:val="PageNumber"/>
            </w:rPr>
            <w:instrText xml:space="preserve">PAGE  </w:instrText>
          </w:r>
          <w:r>
            <w:rPr>
              <w:rStyle w:val="PageNumber"/>
            </w:rPr>
            <w:fldChar w:fldCharType="separate"/>
          </w:r>
          <w:r w:rsidR="00C31846">
            <w:rPr>
              <w:rStyle w:val="PageNumber"/>
              <w:noProof/>
            </w:rPr>
            <w:t>51</w:t>
          </w:r>
          <w:r>
            <w:rPr>
              <w:rStyle w:val="PageNumber"/>
            </w:rPr>
            <w:fldChar w:fldCharType="end"/>
          </w:r>
        </w:p>
      </w:tc>
    </w:tr>
  </w:tbl>
  <w:p w:rsidR="00956305" w:rsidRDefault="0095630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6305" w:rsidRDefault="00956305">
      <w:r>
        <w:separator/>
      </w:r>
    </w:p>
  </w:footnote>
  <w:footnote w:type="continuationSeparator" w:id="0">
    <w:p w:rsidR="00956305" w:rsidRDefault="00956305">
      <w:r>
        <w:continuationSeparator/>
      </w:r>
    </w:p>
  </w:footnote>
  <w:footnote w:id="1">
    <w:p w:rsidR="00956305" w:rsidRDefault="00956305" w:rsidP="00F620F0">
      <w:pPr>
        <w:pStyle w:val="FootnoteText"/>
      </w:pPr>
      <w:r>
        <w:rPr>
          <w:rStyle w:val="FootnoteReference"/>
        </w:rPr>
        <w:footnoteRef/>
      </w:r>
      <w:r>
        <w:t xml:space="preserve"> </w:t>
      </w:r>
      <w:r>
        <w:tab/>
        <w:t>Incremental means a firm’s R&amp;D expenditure over and above its average expenditures for the previous three years.</w:t>
      </w:r>
    </w:p>
  </w:footnote>
  <w:footnote w:id="2">
    <w:p w:rsidR="00956305" w:rsidRDefault="00956305" w:rsidP="00217448">
      <w:pPr>
        <w:pStyle w:val="FootnoteText"/>
      </w:pPr>
      <w:r>
        <w:rPr>
          <w:rStyle w:val="FootnoteReference"/>
        </w:rPr>
        <w:footnoteRef/>
      </w:r>
      <w:r>
        <w:t xml:space="preserve"> </w:t>
      </w:r>
      <w:r>
        <w:tab/>
        <w:t>The 2011</w:t>
      </w:r>
      <w:r>
        <w:noBreakHyphen/>
        <w:t xml:space="preserve">12 estimates in table A.10 update the estimates in </w:t>
      </w:r>
      <w:r w:rsidRPr="006D248C">
        <w:rPr>
          <w:i/>
        </w:rPr>
        <w:t>Trade &amp; Assistance Review</w:t>
      </w:r>
      <w:r>
        <w:rPr>
          <w:i/>
        </w:rPr>
        <w:t xml:space="preserve"> 2011</w:t>
      </w:r>
      <w:r>
        <w:rPr>
          <w:i/>
        </w:rPr>
        <w:noBreakHyphen/>
        <w:t>12</w:t>
      </w:r>
      <w:r>
        <w:t>.</w:t>
      </w:r>
    </w:p>
  </w:footnote>
  <w:footnote w:id="3">
    <w:p w:rsidR="00956305" w:rsidRDefault="00956305" w:rsidP="00783971">
      <w:pPr>
        <w:pStyle w:val="FootnoteText"/>
      </w:pPr>
      <w:r>
        <w:rPr>
          <w:rStyle w:val="FootnoteReference"/>
        </w:rPr>
        <w:footnoteRef/>
      </w:r>
      <w:r>
        <w:t xml:space="preserve"> </w:t>
      </w:r>
      <w:r>
        <w:tab/>
        <w:t>In the event of industrial unrest which prevents sea transportation, the scheme is available for airfreight.</w:t>
      </w:r>
    </w:p>
  </w:footnote>
  <w:footnote w:id="4">
    <w:p w:rsidR="00956305" w:rsidRDefault="00956305" w:rsidP="00794A12">
      <w:pPr>
        <w:pStyle w:val="FootnoteText"/>
      </w:pPr>
      <w:r>
        <w:rPr>
          <w:rStyle w:val="FootnoteReference"/>
        </w:rPr>
        <w:footnoteRef/>
      </w:r>
      <w:r>
        <w:t xml:space="preserve"> </w:t>
      </w:r>
      <w:r>
        <w:tab/>
        <w:t>Prior to 2007</w:t>
      </w:r>
      <w:r>
        <w:noBreakHyphen/>
        <w:t xml:space="preserve">08, the program was treated as benefiting the TCF industry. The current treatment emerged in light of a more detailed examination of TCF assistance as part of the Commission’s contracted modelling </w:t>
      </w:r>
      <w:r w:rsidRPr="000138D9">
        <w:t>(</w:t>
      </w:r>
      <w:r w:rsidRPr="00E80A54">
        <w:t>PC 2008</w:t>
      </w:r>
      <w:r w:rsidRPr="000138D9">
        <w:t>)</w:t>
      </w:r>
      <w:r>
        <w:t xml:space="preserve"> for the Review of the Australian Textiles, Clothing and Footwear Industries (the so called Green Review — </w:t>
      </w:r>
      <w:r>
        <w:rPr>
          <w:i/>
        </w:rPr>
        <w:t>Building Innovative Capability</w:t>
      </w:r>
      <w:r>
        <w:t>).</w:t>
      </w:r>
    </w:p>
  </w:footnote>
  <w:footnote w:id="5">
    <w:p w:rsidR="00956305" w:rsidRDefault="00956305" w:rsidP="00560930">
      <w:pPr>
        <w:pStyle w:val="FootnoteText"/>
      </w:pPr>
      <w:r>
        <w:rPr>
          <w:rStyle w:val="FootnoteReference"/>
        </w:rPr>
        <w:footnoteRef/>
      </w:r>
      <w:r>
        <w:t xml:space="preserve"> In addition to this program, </w:t>
      </w:r>
      <w:r w:rsidRPr="00E80A54">
        <w:rPr>
          <w:i/>
        </w:rPr>
        <w:t>Trade &amp; Assistance Review 2011</w:t>
      </w:r>
      <w:r w:rsidRPr="00E80A54">
        <w:rPr>
          <w:i/>
        </w:rPr>
        <w:noBreakHyphen/>
        <w:t>12</w:t>
      </w:r>
      <w:r>
        <w:t xml:space="preserve"> included another similarly named program, the Fisheries Research Program (FRP). The FRP was double counted as part of the above estimates. The FRP has been deleted from future estimates. </w:t>
      </w:r>
    </w:p>
  </w:footnote>
  <w:footnote w:id="6">
    <w:p w:rsidR="00956305" w:rsidRDefault="00956305">
      <w:pPr>
        <w:pStyle w:val="FootnoteText"/>
      </w:pPr>
      <w:r>
        <w:rPr>
          <w:rStyle w:val="FootnoteReference"/>
        </w:rPr>
        <w:footnoteRef/>
      </w:r>
      <w:r>
        <w:t xml:space="preserve"> In Trade and Assistance Review 2011-12 (Appendix A, table A.10) the label ‘Industry Partnerships Program’ is used.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956305">
      <w:tc>
        <w:tcPr>
          <w:tcW w:w="2155" w:type="dxa"/>
          <w:tcBorders>
            <w:top w:val="single" w:sz="24" w:space="0" w:color="auto"/>
          </w:tcBorders>
        </w:tcPr>
        <w:p w:rsidR="00956305" w:rsidRDefault="00956305" w:rsidP="0019293B">
          <w:pPr>
            <w:pStyle w:val="HeaderEven"/>
          </w:pPr>
        </w:p>
      </w:tc>
      <w:tc>
        <w:tcPr>
          <w:tcW w:w="6634" w:type="dxa"/>
          <w:tcBorders>
            <w:top w:val="single" w:sz="6" w:space="0" w:color="auto"/>
          </w:tcBorders>
        </w:tcPr>
        <w:p w:rsidR="00956305" w:rsidRDefault="00956305" w:rsidP="0019293B">
          <w:pPr>
            <w:pStyle w:val="HeaderEven"/>
          </w:pPr>
        </w:p>
      </w:tc>
    </w:tr>
  </w:tbl>
  <w:p w:rsidR="00956305" w:rsidRDefault="0095630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56305">
      <w:tc>
        <w:tcPr>
          <w:tcW w:w="6634" w:type="dxa"/>
          <w:tcBorders>
            <w:top w:val="single" w:sz="6" w:space="0" w:color="auto"/>
          </w:tcBorders>
        </w:tcPr>
        <w:p w:rsidR="00956305" w:rsidRDefault="00956305" w:rsidP="00E669E2">
          <w:pPr>
            <w:pStyle w:val="HeaderOdd"/>
          </w:pPr>
        </w:p>
      </w:tc>
      <w:tc>
        <w:tcPr>
          <w:tcW w:w="2155" w:type="dxa"/>
          <w:tcBorders>
            <w:top w:val="single" w:sz="24" w:space="0" w:color="auto"/>
          </w:tcBorders>
        </w:tcPr>
        <w:p w:rsidR="00956305" w:rsidRDefault="00956305" w:rsidP="00E669E2">
          <w:pPr>
            <w:pStyle w:val="HeaderOdd"/>
          </w:pPr>
        </w:p>
      </w:tc>
    </w:tr>
  </w:tbl>
  <w:p w:rsidR="00956305" w:rsidRDefault="0095630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121565B"/>
    <w:multiLevelType w:val="multilevel"/>
    <w:tmpl w:val="2D241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8">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0">
    <w:nsid w:val="34C243D5"/>
    <w:multiLevelType w:val="multilevel"/>
    <w:tmpl w:val="2C287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7CD4E83"/>
    <w:multiLevelType w:val="multilevel"/>
    <w:tmpl w:val="76B0C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5EB33611"/>
    <w:multiLevelType w:val="multilevel"/>
    <w:tmpl w:val="F626A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9"/>
  </w:num>
  <w:num w:numId="2">
    <w:abstractNumId w:val="19"/>
  </w:num>
  <w:num w:numId="3">
    <w:abstractNumId w:val="0"/>
  </w:num>
  <w:num w:numId="4">
    <w:abstractNumId w:val="13"/>
  </w:num>
  <w:num w:numId="5">
    <w:abstractNumId w:val="1"/>
  </w:num>
  <w:num w:numId="6">
    <w:abstractNumId w:val="18"/>
  </w:num>
  <w:num w:numId="7">
    <w:abstractNumId w:val="15"/>
  </w:num>
  <w:num w:numId="8">
    <w:abstractNumId w:val="20"/>
  </w:num>
  <w:num w:numId="9">
    <w:abstractNumId w:val="6"/>
  </w:num>
  <w:num w:numId="10">
    <w:abstractNumId w:val="14"/>
  </w:num>
  <w:num w:numId="11">
    <w:abstractNumId w:val="4"/>
  </w:num>
  <w:num w:numId="12">
    <w:abstractNumId w:val="3"/>
  </w:num>
  <w:num w:numId="13">
    <w:abstractNumId w:val="7"/>
  </w:num>
  <w:num w:numId="14">
    <w:abstractNumId w:val="8"/>
  </w:num>
  <w:num w:numId="15">
    <w:abstractNumId w:val="12"/>
  </w:num>
  <w:num w:numId="16">
    <w:abstractNumId w:val="2"/>
  </w:num>
  <w:num w:numId="17">
    <w:abstractNumId w:val="16"/>
  </w:num>
  <w:num w:numId="18">
    <w:abstractNumId w:val="10"/>
  </w:num>
  <w:num w:numId="19">
    <w:abstractNumId w:val="5"/>
  </w:num>
  <w:num w:numId="20">
    <w:abstractNumId w:val="17"/>
  </w:num>
  <w:num w:numId="21">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72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A"/>
    <w:docVar w:name="FindingOptions" w:val="1"/>
    <w:docVar w:name="RecOptions" w:val="111"/>
    <w:docVar w:name="ShortChapterTitle" w:val="Budgetray assistance programs"/>
    <w:docVar w:name="ShortReportTitle" w:val="Trade &amp; Assistance Review 2011‑12 Methodological Annex"/>
  </w:docVars>
  <w:rsids>
    <w:rsidRoot w:val="00346955"/>
    <w:rsid w:val="00000537"/>
    <w:rsid w:val="000008A8"/>
    <w:rsid w:val="00000AEF"/>
    <w:rsid w:val="00001A28"/>
    <w:rsid w:val="00001A79"/>
    <w:rsid w:val="00002D75"/>
    <w:rsid w:val="000031A3"/>
    <w:rsid w:val="0000369D"/>
    <w:rsid w:val="00003D95"/>
    <w:rsid w:val="00004234"/>
    <w:rsid w:val="00004304"/>
    <w:rsid w:val="00004508"/>
    <w:rsid w:val="00004E4A"/>
    <w:rsid w:val="00005E7D"/>
    <w:rsid w:val="0000680F"/>
    <w:rsid w:val="00006935"/>
    <w:rsid w:val="00006D87"/>
    <w:rsid w:val="000072E0"/>
    <w:rsid w:val="00007433"/>
    <w:rsid w:val="00007463"/>
    <w:rsid w:val="00007AE0"/>
    <w:rsid w:val="00007C83"/>
    <w:rsid w:val="00007E3E"/>
    <w:rsid w:val="000104CB"/>
    <w:rsid w:val="0001109B"/>
    <w:rsid w:val="000111DF"/>
    <w:rsid w:val="00011C1D"/>
    <w:rsid w:val="00011EE4"/>
    <w:rsid w:val="000122CC"/>
    <w:rsid w:val="000138D9"/>
    <w:rsid w:val="000139C3"/>
    <w:rsid w:val="00013DFE"/>
    <w:rsid w:val="00014184"/>
    <w:rsid w:val="000144A2"/>
    <w:rsid w:val="000149FC"/>
    <w:rsid w:val="00014DCD"/>
    <w:rsid w:val="00015285"/>
    <w:rsid w:val="00015B35"/>
    <w:rsid w:val="00016DEF"/>
    <w:rsid w:val="000175E9"/>
    <w:rsid w:val="00017CEC"/>
    <w:rsid w:val="0002052A"/>
    <w:rsid w:val="0002057B"/>
    <w:rsid w:val="000206E6"/>
    <w:rsid w:val="00020F60"/>
    <w:rsid w:val="00021147"/>
    <w:rsid w:val="00021AF2"/>
    <w:rsid w:val="000220E6"/>
    <w:rsid w:val="000222C1"/>
    <w:rsid w:val="000227D5"/>
    <w:rsid w:val="00022B82"/>
    <w:rsid w:val="00022E38"/>
    <w:rsid w:val="00023D6F"/>
    <w:rsid w:val="000245AA"/>
    <w:rsid w:val="000246EB"/>
    <w:rsid w:val="0002477A"/>
    <w:rsid w:val="00025E39"/>
    <w:rsid w:val="00025F59"/>
    <w:rsid w:val="0002625D"/>
    <w:rsid w:val="0002648D"/>
    <w:rsid w:val="000267E5"/>
    <w:rsid w:val="000269D3"/>
    <w:rsid w:val="00027784"/>
    <w:rsid w:val="00027920"/>
    <w:rsid w:val="0003002C"/>
    <w:rsid w:val="000300AB"/>
    <w:rsid w:val="00030113"/>
    <w:rsid w:val="000301A5"/>
    <w:rsid w:val="00030275"/>
    <w:rsid w:val="00031688"/>
    <w:rsid w:val="00033240"/>
    <w:rsid w:val="00033515"/>
    <w:rsid w:val="00033898"/>
    <w:rsid w:val="00033C4C"/>
    <w:rsid w:val="000349A2"/>
    <w:rsid w:val="00035915"/>
    <w:rsid w:val="0003660F"/>
    <w:rsid w:val="0003664B"/>
    <w:rsid w:val="00036CD6"/>
    <w:rsid w:val="0003731D"/>
    <w:rsid w:val="0003762A"/>
    <w:rsid w:val="00040265"/>
    <w:rsid w:val="00040548"/>
    <w:rsid w:val="000406A4"/>
    <w:rsid w:val="00040A91"/>
    <w:rsid w:val="0004111F"/>
    <w:rsid w:val="00041392"/>
    <w:rsid w:val="000415F7"/>
    <w:rsid w:val="00042F94"/>
    <w:rsid w:val="000430F4"/>
    <w:rsid w:val="00043937"/>
    <w:rsid w:val="00043A18"/>
    <w:rsid w:val="00043E4D"/>
    <w:rsid w:val="000447EF"/>
    <w:rsid w:val="0004487D"/>
    <w:rsid w:val="00045836"/>
    <w:rsid w:val="00045A63"/>
    <w:rsid w:val="00045D68"/>
    <w:rsid w:val="00046054"/>
    <w:rsid w:val="00047253"/>
    <w:rsid w:val="00047772"/>
    <w:rsid w:val="000503CC"/>
    <w:rsid w:val="0005067A"/>
    <w:rsid w:val="00050E0E"/>
    <w:rsid w:val="00050F4A"/>
    <w:rsid w:val="0005106D"/>
    <w:rsid w:val="00051228"/>
    <w:rsid w:val="00051698"/>
    <w:rsid w:val="00051865"/>
    <w:rsid w:val="00052A11"/>
    <w:rsid w:val="00052F84"/>
    <w:rsid w:val="00053114"/>
    <w:rsid w:val="00053192"/>
    <w:rsid w:val="00053EC1"/>
    <w:rsid w:val="0005510D"/>
    <w:rsid w:val="000553DE"/>
    <w:rsid w:val="00055C63"/>
    <w:rsid w:val="00055D63"/>
    <w:rsid w:val="00055D83"/>
    <w:rsid w:val="000565B3"/>
    <w:rsid w:val="00057363"/>
    <w:rsid w:val="00060982"/>
    <w:rsid w:val="00061138"/>
    <w:rsid w:val="0006118F"/>
    <w:rsid w:val="000626B0"/>
    <w:rsid w:val="00062F7C"/>
    <w:rsid w:val="000635D6"/>
    <w:rsid w:val="00063C7D"/>
    <w:rsid w:val="00064564"/>
    <w:rsid w:val="000650EB"/>
    <w:rsid w:val="000652C1"/>
    <w:rsid w:val="000654F7"/>
    <w:rsid w:val="00065C6C"/>
    <w:rsid w:val="0006605C"/>
    <w:rsid w:val="00066402"/>
    <w:rsid w:val="000701E1"/>
    <w:rsid w:val="0007042E"/>
    <w:rsid w:val="0007075B"/>
    <w:rsid w:val="0007150B"/>
    <w:rsid w:val="00071633"/>
    <w:rsid w:val="000719A6"/>
    <w:rsid w:val="000720E1"/>
    <w:rsid w:val="0007259F"/>
    <w:rsid w:val="00072CEB"/>
    <w:rsid w:val="00073154"/>
    <w:rsid w:val="000752A0"/>
    <w:rsid w:val="0007637E"/>
    <w:rsid w:val="00076ABE"/>
    <w:rsid w:val="000772A5"/>
    <w:rsid w:val="0008061A"/>
    <w:rsid w:val="00080655"/>
    <w:rsid w:val="00080C6D"/>
    <w:rsid w:val="00080F06"/>
    <w:rsid w:val="0008156C"/>
    <w:rsid w:val="000816A9"/>
    <w:rsid w:val="000816B5"/>
    <w:rsid w:val="000816BE"/>
    <w:rsid w:val="00081A4D"/>
    <w:rsid w:val="00081ADA"/>
    <w:rsid w:val="00082318"/>
    <w:rsid w:val="00082815"/>
    <w:rsid w:val="00082C30"/>
    <w:rsid w:val="00082E26"/>
    <w:rsid w:val="0008358C"/>
    <w:rsid w:val="00083813"/>
    <w:rsid w:val="00084685"/>
    <w:rsid w:val="00085C3F"/>
    <w:rsid w:val="0008633C"/>
    <w:rsid w:val="00086503"/>
    <w:rsid w:val="00086891"/>
    <w:rsid w:val="0008699E"/>
    <w:rsid w:val="00087222"/>
    <w:rsid w:val="00090F9E"/>
    <w:rsid w:val="000911CA"/>
    <w:rsid w:val="000914B1"/>
    <w:rsid w:val="00092928"/>
    <w:rsid w:val="00092A4F"/>
    <w:rsid w:val="00093795"/>
    <w:rsid w:val="000938BA"/>
    <w:rsid w:val="000938F5"/>
    <w:rsid w:val="00093A72"/>
    <w:rsid w:val="000948D1"/>
    <w:rsid w:val="0009490F"/>
    <w:rsid w:val="00094CBF"/>
    <w:rsid w:val="00094E87"/>
    <w:rsid w:val="00095C96"/>
    <w:rsid w:val="00095DC2"/>
    <w:rsid w:val="00096178"/>
    <w:rsid w:val="00096E55"/>
    <w:rsid w:val="00096F1D"/>
    <w:rsid w:val="00097178"/>
    <w:rsid w:val="00097267"/>
    <w:rsid w:val="00097541"/>
    <w:rsid w:val="0009787D"/>
    <w:rsid w:val="00097FA4"/>
    <w:rsid w:val="000A03CE"/>
    <w:rsid w:val="000A1A1D"/>
    <w:rsid w:val="000A2071"/>
    <w:rsid w:val="000A231F"/>
    <w:rsid w:val="000A2C84"/>
    <w:rsid w:val="000A2CA5"/>
    <w:rsid w:val="000A32A5"/>
    <w:rsid w:val="000A3642"/>
    <w:rsid w:val="000A37A9"/>
    <w:rsid w:val="000A3FDE"/>
    <w:rsid w:val="000A4C62"/>
    <w:rsid w:val="000A5D85"/>
    <w:rsid w:val="000A6337"/>
    <w:rsid w:val="000A67DC"/>
    <w:rsid w:val="000A6E74"/>
    <w:rsid w:val="000A7277"/>
    <w:rsid w:val="000A771F"/>
    <w:rsid w:val="000A7DC0"/>
    <w:rsid w:val="000B0F04"/>
    <w:rsid w:val="000B1A54"/>
    <w:rsid w:val="000B2B31"/>
    <w:rsid w:val="000B2D20"/>
    <w:rsid w:val="000B3708"/>
    <w:rsid w:val="000B37E1"/>
    <w:rsid w:val="000B39A5"/>
    <w:rsid w:val="000B3DE4"/>
    <w:rsid w:val="000B46D2"/>
    <w:rsid w:val="000B4A3C"/>
    <w:rsid w:val="000B4AA4"/>
    <w:rsid w:val="000B5234"/>
    <w:rsid w:val="000B5C8B"/>
    <w:rsid w:val="000B601B"/>
    <w:rsid w:val="000B6476"/>
    <w:rsid w:val="000B6757"/>
    <w:rsid w:val="000B68C1"/>
    <w:rsid w:val="000B6F4A"/>
    <w:rsid w:val="000B7705"/>
    <w:rsid w:val="000B7972"/>
    <w:rsid w:val="000C05F5"/>
    <w:rsid w:val="000C0C7A"/>
    <w:rsid w:val="000C1367"/>
    <w:rsid w:val="000C181D"/>
    <w:rsid w:val="000C18E1"/>
    <w:rsid w:val="000C1A2E"/>
    <w:rsid w:val="000C1AFD"/>
    <w:rsid w:val="000C207E"/>
    <w:rsid w:val="000C2585"/>
    <w:rsid w:val="000C277F"/>
    <w:rsid w:val="000C2990"/>
    <w:rsid w:val="000C2BF4"/>
    <w:rsid w:val="000C3056"/>
    <w:rsid w:val="000C361B"/>
    <w:rsid w:val="000C3752"/>
    <w:rsid w:val="000C520A"/>
    <w:rsid w:val="000C57FB"/>
    <w:rsid w:val="000C6268"/>
    <w:rsid w:val="000C6BE7"/>
    <w:rsid w:val="000C6DED"/>
    <w:rsid w:val="000C6F18"/>
    <w:rsid w:val="000C73B2"/>
    <w:rsid w:val="000C7915"/>
    <w:rsid w:val="000C7B81"/>
    <w:rsid w:val="000C7D3F"/>
    <w:rsid w:val="000D093D"/>
    <w:rsid w:val="000D0ADF"/>
    <w:rsid w:val="000D164D"/>
    <w:rsid w:val="000D190E"/>
    <w:rsid w:val="000D1B28"/>
    <w:rsid w:val="000D1C3D"/>
    <w:rsid w:val="000D1DD3"/>
    <w:rsid w:val="000D3199"/>
    <w:rsid w:val="000D3A29"/>
    <w:rsid w:val="000D44C1"/>
    <w:rsid w:val="000D4778"/>
    <w:rsid w:val="000D55F9"/>
    <w:rsid w:val="000D583B"/>
    <w:rsid w:val="000D5DCC"/>
    <w:rsid w:val="000D6029"/>
    <w:rsid w:val="000D65E7"/>
    <w:rsid w:val="000D72A0"/>
    <w:rsid w:val="000D7688"/>
    <w:rsid w:val="000D7E54"/>
    <w:rsid w:val="000E0103"/>
    <w:rsid w:val="000E0613"/>
    <w:rsid w:val="000E0688"/>
    <w:rsid w:val="000E0898"/>
    <w:rsid w:val="000E091D"/>
    <w:rsid w:val="000E09EB"/>
    <w:rsid w:val="000E1A26"/>
    <w:rsid w:val="000E271D"/>
    <w:rsid w:val="000E3010"/>
    <w:rsid w:val="000E3BED"/>
    <w:rsid w:val="000E440B"/>
    <w:rsid w:val="000E4B10"/>
    <w:rsid w:val="000E5005"/>
    <w:rsid w:val="000E5062"/>
    <w:rsid w:val="000E517C"/>
    <w:rsid w:val="000E525D"/>
    <w:rsid w:val="000E54B3"/>
    <w:rsid w:val="000E5601"/>
    <w:rsid w:val="000E58A6"/>
    <w:rsid w:val="000E6799"/>
    <w:rsid w:val="000E6FFA"/>
    <w:rsid w:val="000E7AEB"/>
    <w:rsid w:val="000F0035"/>
    <w:rsid w:val="000F0BAA"/>
    <w:rsid w:val="000F1672"/>
    <w:rsid w:val="000F1877"/>
    <w:rsid w:val="000F1DCA"/>
    <w:rsid w:val="000F2182"/>
    <w:rsid w:val="000F2660"/>
    <w:rsid w:val="000F27EF"/>
    <w:rsid w:val="000F2941"/>
    <w:rsid w:val="000F2A6B"/>
    <w:rsid w:val="000F333A"/>
    <w:rsid w:val="000F38D7"/>
    <w:rsid w:val="000F392E"/>
    <w:rsid w:val="000F3B79"/>
    <w:rsid w:val="000F3D2B"/>
    <w:rsid w:val="000F420B"/>
    <w:rsid w:val="000F47F5"/>
    <w:rsid w:val="000F52FB"/>
    <w:rsid w:val="000F5658"/>
    <w:rsid w:val="000F5EE0"/>
    <w:rsid w:val="000F61AB"/>
    <w:rsid w:val="000F66AB"/>
    <w:rsid w:val="000F78C5"/>
    <w:rsid w:val="000F79EC"/>
    <w:rsid w:val="000F7DD5"/>
    <w:rsid w:val="00100535"/>
    <w:rsid w:val="00100651"/>
    <w:rsid w:val="00101114"/>
    <w:rsid w:val="001014C7"/>
    <w:rsid w:val="001016F9"/>
    <w:rsid w:val="00101BF1"/>
    <w:rsid w:val="00101E55"/>
    <w:rsid w:val="00102720"/>
    <w:rsid w:val="00102F04"/>
    <w:rsid w:val="00103886"/>
    <w:rsid w:val="00105D7D"/>
    <w:rsid w:val="00106120"/>
    <w:rsid w:val="00107AE0"/>
    <w:rsid w:val="00107F3E"/>
    <w:rsid w:val="00110116"/>
    <w:rsid w:val="00110755"/>
    <w:rsid w:val="001107AB"/>
    <w:rsid w:val="001108B2"/>
    <w:rsid w:val="00110C04"/>
    <w:rsid w:val="00110F06"/>
    <w:rsid w:val="001113E3"/>
    <w:rsid w:val="001117D6"/>
    <w:rsid w:val="00111D24"/>
    <w:rsid w:val="00112A42"/>
    <w:rsid w:val="001139DF"/>
    <w:rsid w:val="00113BBD"/>
    <w:rsid w:val="00114B48"/>
    <w:rsid w:val="00115550"/>
    <w:rsid w:val="0011693C"/>
    <w:rsid w:val="00116CE8"/>
    <w:rsid w:val="001173F9"/>
    <w:rsid w:val="001177D0"/>
    <w:rsid w:val="00117DF4"/>
    <w:rsid w:val="00117F1E"/>
    <w:rsid w:val="00117F61"/>
    <w:rsid w:val="00120072"/>
    <w:rsid w:val="0012057B"/>
    <w:rsid w:val="00120EE4"/>
    <w:rsid w:val="00121C71"/>
    <w:rsid w:val="001221DA"/>
    <w:rsid w:val="001227A2"/>
    <w:rsid w:val="00122A42"/>
    <w:rsid w:val="00122ED0"/>
    <w:rsid w:val="00123C1E"/>
    <w:rsid w:val="0012408B"/>
    <w:rsid w:val="001240AE"/>
    <w:rsid w:val="0012435B"/>
    <w:rsid w:val="001243D3"/>
    <w:rsid w:val="001247A2"/>
    <w:rsid w:val="00124AA1"/>
    <w:rsid w:val="00124C9D"/>
    <w:rsid w:val="00125486"/>
    <w:rsid w:val="001255A9"/>
    <w:rsid w:val="0012599F"/>
    <w:rsid w:val="00125CFE"/>
    <w:rsid w:val="00125EAC"/>
    <w:rsid w:val="00126DF9"/>
    <w:rsid w:val="00126EB8"/>
    <w:rsid w:val="00127329"/>
    <w:rsid w:val="001274D4"/>
    <w:rsid w:val="00130645"/>
    <w:rsid w:val="0013131E"/>
    <w:rsid w:val="001316F7"/>
    <w:rsid w:val="00131B20"/>
    <w:rsid w:val="00132504"/>
    <w:rsid w:val="00132E6F"/>
    <w:rsid w:val="00134361"/>
    <w:rsid w:val="001346EF"/>
    <w:rsid w:val="00134A9B"/>
    <w:rsid w:val="00134BEC"/>
    <w:rsid w:val="00134C68"/>
    <w:rsid w:val="00135CFE"/>
    <w:rsid w:val="00135D23"/>
    <w:rsid w:val="001363AA"/>
    <w:rsid w:val="001364E8"/>
    <w:rsid w:val="00136D24"/>
    <w:rsid w:val="00136DCB"/>
    <w:rsid w:val="00137500"/>
    <w:rsid w:val="00137CB5"/>
    <w:rsid w:val="00137D19"/>
    <w:rsid w:val="00137DAF"/>
    <w:rsid w:val="00140896"/>
    <w:rsid w:val="00140AFA"/>
    <w:rsid w:val="00140C5C"/>
    <w:rsid w:val="00140F5D"/>
    <w:rsid w:val="00141B93"/>
    <w:rsid w:val="00142092"/>
    <w:rsid w:val="001426AC"/>
    <w:rsid w:val="00142FE2"/>
    <w:rsid w:val="001435DD"/>
    <w:rsid w:val="00143695"/>
    <w:rsid w:val="001442F2"/>
    <w:rsid w:val="00144B0B"/>
    <w:rsid w:val="00144BB8"/>
    <w:rsid w:val="0014526C"/>
    <w:rsid w:val="00145F6E"/>
    <w:rsid w:val="0014716C"/>
    <w:rsid w:val="001471A3"/>
    <w:rsid w:val="001472B1"/>
    <w:rsid w:val="0014734F"/>
    <w:rsid w:val="00147476"/>
    <w:rsid w:val="00147704"/>
    <w:rsid w:val="001477C9"/>
    <w:rsid w:val="001478F6"/>
    <w:rsid w:val="00151E60"/>
    <w:rsid w:val="0015228E"/>
    <w:rsid w:val="00153DF6"/>
    <w:rsid w:val="0015530B"/>
    <w:rsid w:val="00155906"/>
    <w:rsid w:val="00155DA9"/>
    <w:rsid w:val="00157304"/>
    <w:rsid w:val="00157588"/>
    <w:rsid w:val="00157CA7"/>
    <w:rsid w:val="00157D93"/>
    <w:rsid w:val="00160387"/>
    <w:rsid w:val="001607DC"/>
    <w:rsid w:val="00160B6A"/>
    <w:rsid w:val="00160EEA"/>
    <w:rsid w:val="00160FE5"/>
    <w:rsid w:val="00161E7C"/>
    <w:rsid w:val="00161EEA"/>
    <w:rsid w:val="001635B2"/>
    <w:rsid w:val="00164600"/>
    <w:rsid w:val="00165030"/>
    <w:rsid w:val="00165128"/>
    <w:rsid w:val="001651FB"/>
    <w:rsid w:val="00165214"/>
    <w:rsid w:val="0016686F"/>
    <w:rsid w:val="00166B14"/>
    <w:rsid w:val="00166B21"/>
    <w:rsid w:val="001671AB"/>
    <w:rsid w:val="0016787C"/>
    <w:rsid w:val="001708DC"/>
    <w:rsid w:val="001713B1"/>
    <w:rsid w:val="00171FE3"/>
    <w:rsid w:val="0017237C"/>
    <w:rsid w:val="0017277F"/>
    <w:rsid w:val="00172D10"/>
    <w:rsid w:val="00173248"/>
    <w:rsid w:val="00173B4E"/>
    <w:rsid w:val="00174730"/>
    <w:rsid w:val="00174F09"/>
    <w:rsid w:val="001750DA"/>
    <w:rsid w:val="001752B4"/>
    <w:rsid w:val="00175642"/>
    <w:rsid w:val="0017626B"/>
    <w:rsid w:val="00176AF0"/>
    <w:rsid w:val="0017767C"/>
    <w:rsid w:val="00177880"/>
    <w:rsid w:val="00180165"/>
    <w:rsid w:val="00180F56"/>
    <w:rsid w:val="001811DF"/>
    <w:rsid w:val="00181F1F"/>
    <w:rsid w:val="00181F4E"/>
    <w:rsid w:val="001827FA"/>
    <w:rsid w:val="00182856"/>
    <w:rsid w:val="0018286C"/>
    <w:rsid w:val="00182A89"/>
    <w:rsid w:val="00182E8F"/>
    <w:rsid w:val="00182FE9"/>
    <w:rsid w:val="00183587"/>
    <w:rsid w:val="00183D6D"/>
    <w:rsid w:val="00183E82"/>
    <w:rsid w:val="00183F0C"/>
    <w:rsid w:val="00185AD4"/>
    <w:rsid w:val="001864F9"/>
    <w:rsid w:val="001878BB"/>
    <w:rsid w:val="0018795A"/>
    <w:rsid w:val="00187D87"/>
    <w:rsid w:val="00190418"/>
    <w:rsid w:val="001916D0"/>
    <w:rsid w:val="00191ABB"/>
    <w:rsid w:val="00191AE0"/>
    <w:rsid w:val="00191C42"/>
    <w:rsid w:val="00192153"/>
    <w:rsid w:val="001925B9"/>
    <w:rsid w:val="00192902"/>
    <w:rsid w:val="0019293B"/>
    <w:rsid w:val="00192BBA"/>
    <w:rsid w:val="0019327A"/>
    <w:rsid w:val="00193404"/>
    <w:rsid w:val="0019356B"/>
    <w:rsid w:val="001935CF"/>
    <w:rsid w:val="0019426B"/>
    <w:rsid w:val="001947F5"/>
    <w:rsid w:val="001949FF"/>
    <w:rsid w:val="001951EA"/>
    <w:rsid w:val="0019554E"/>
    <w:rsid w:val="00195EEC"/>
    <w:rsid w:val="00195F27"/>
    <w:rsid w:val="0019612C"/>
    <w:rsid w:val="0019664E"/>
    <w:rsid w:val="00196F31"/>
    <w:rsid w:val="001974EE"/>
    <w:rsid w:val="001A0843"/>
    <w:rsid w:val="001A0C4A"/>
    <w:rsid w:val="001A0DBD"/>
    <w:rsid w:val="001A1106"/>
    <w:rsid w:val="001A1143"/>
    <w:rsid w:val="001A1BF6"/>
    <w:rsid w:val="001A234A"/>
    <w:rsid w:val="001A281A"/>
    <w:rsid w:val="001A2B93"/>
    <w:rsid w:val="001A2C95"/>
    <w:rsid w:val="001A351F"/>
    <w:rsid w:val="001A3EC0"/>
    <w:rsid w:val="001A4730"/>
    <w:rsid w:val="001A47F8"/>
    <w:rsid w:val="001A4CA8"/>
    <w:rsid w:val="001A5D30"/>
    <w:rsid w:val="001A6820"/>
    <w:rsid w:val="001A720B"/>
    <w:rsid w:val="001A77BE"/>
    <w:rsid w:val="001A7FD8"/>
    <w:rsid w:val="001B0626"/>
    <w:rsid w:val="001B0A65"/>
    <w:rsid w:val="001B14C3"/>
    <w:rsid w:val="001B1628"/>
    <w:rsid w:val="001B1A6B"/>
    <w:rsid w:val="001B1C45"/>
    <w:rsid w:val="001B1D1F"/>
    <w:rsid w:val="001B2107"/>
    <w:rsid w:val="001B28E6"/>
    <w:rsid w:val="001B371A"/>
    <w:rsid w:val="001B422A"/>
    <w:rsid w:val="001B437E"/>
    <w:rsid w:val="001B56F1"/>
    <w:rsid w:val="001B59AC"/>
    <w:rsid w:val="001B609B"/>
    <w:rsid w:val="001B68E0"/>
    <w:rsid w:val="001B77BF"/>
    <w:rsid w:val="001B7F3B"/>
    <w:rsid w:val="001C01F8"/>
    <w:rsid w:val="001C051D"/>
    <w:rsid w:val="001C0788"/>
    <w:rsid w:val="001C0811"/>
    <w:rsid w:val="001C0865"/>
    <w:rsid w:val="001C0D77"/>
    <w:rsid w:val="001C126E"/>
    <w:rsid w:val="001C13A9"/>
    <w:rsid w:val="001C1412"/>
    <w:rsid w:val="001C1957"/>
    <w:rsid w:val="001C21F0"/>
    <w:rsid w:val="001C2A3B"/>
    <w:rsid w:val="001C3ABA"/>
    <w:rsid w:val="001C4138"/>
    <w:rsid w:val="001C4BBC"/>
    <w:rsid w:val="001C4D85"/>
    <w:rsid w:val="001C57D6"/>
    <w:rsid w:val="001C58DC"/>
    <w:rsid w:val="001C64E9"/>
    <w:rsid w:val="001C6549"/>
    <w:rsid w:val="001C698E"/>
    <w:rsid w:val="001C7320"/>
    <w:rsid w:val="001C796F"/>
    <w:rsid w:val="001C7CF2"/>
    <w:rsid w:val="001D098E"/>
    <w:rsid w:val="001D1077"/>
    <w:rsid w:val="001D123B"/>
    <w:rsid w:val="001D1C09"/>
    <w:rsid w:val="001D1E6D"/>
    <w:rsid w:val="001D201B"/>
    <w:rsid w:val="001D239C"/>
    <w:rsid w:val="001D26E0"/>
    <w:rsid w:val="001D31BB"/>
    <w:rsid w:val="001D31BC"/>
    <w:rsid w:val="001D3DE1"/>
    <w:rsid w:val="001D4256"/>
    <w:rsid w:val="001D4291"/>
    <w:rsid w:val="001D51BA"/>
    <w:rsid w:val="001D5BDB"/>
    <w:rsid w:val="001D6009"/>
    <w:rsid w:val="001D6E6F"/>
    <w:rsid w:val="001E086E"/>
    <w:rsid w:val="001E16B3"/>
    <w:rsid w:val="001E1B83"/>
    <w:rsid w:val="001E1CDF"/>
    <w:rsid w:val="001E1F3C"/>
    <w:rsid w:val="001E253F"/>
    <w:rsid w:val="001E2629"/>
    <w:rsid w:val="001E2BD1"/>
    <w:rsid w:val="001E2E25"/>
    <w:rsid w:val="001E37BE"/>
    <w:rsid w:val="001E3B93"/>
    <w:rsid w:val="001E3FD5"/>
    <w:rsid w:val="001E41FA"/>
    <w:rsid w:val="001E463A"/>
    <w:rsid w:val="001E4AE6"/>
    <w:rsid w:val="001E4B95"/>
    <w:rsid w:val="001E51BD"/>
    <w:rsid w:val="001E5BF4"/>
    <w:rsid w:val="001E69E5"/>
    <w:rsid w:val="001E7BE8"/>
    <w:rsid w:val="001E7F9C"/>
    <w:rsid w:val="001F0248"/>
    <w:rsid w:val="001F0CE9"/>
    <w:rsid w:val="001F14F7"/>
    <w:rsid w:val="001F1578"/>
    <w:rsid w:val="001F15D3"/>
    <w:rsid w:val="001F1B0D"/>
    <w:rsid w:val="001F1EE8"/>
    <w:rsid w:val="001F1F49"/>
    <w:rsid w:val="001F2698"/>
    <w:rsid w:val="001F37EA"/>
    <w:rsid w:val="001F3EB3"/>
    <w:rsid w:val="001F4A41"/>
    <w:rsid w:val="001F4F86"/>
    <w:rsid w:val="001F528E"/>
    <w:rsid w:val="001F6662"/>
    <w:rsid w:val="001F6B69"/>
    <w:rsid w:val="00200091"/>
    <w:rsid w:val="002006A4"/>
    <w:rsid w:val="00200902"/>
    <w:rsid w:val="002009DD"/>
    <w:rsid w:val="00200DFE"/>
    <w:rsid w:val="00201A3C"/>
    <w:rsid w:val="00201FE4"/>
    <w:rsid w:val="0020211E"/>
    <w:rsid w:val="00202C01"/>
    <w:rsid w:val="00202C2C"/>
    <w:rsid w:val="00202C79"/>
    <w:rsid w:val="00202D63"/>
    <w:rsid w:val="00202E1A"/>
    <w:rsid w:val="00203243"/>
    <w:rsid w:val="00203AA0"/>
    <w:rsid w:val="00203EA5"/>
    <w:rsid w:val="00204184"/>
    <w:rsid w:val="002044F5"/>
    <w:rsid w:val="002046A3"/>
    <w:rsid w:val="00205BF9"/>
    <w:rsid w:val="00205D4C"/>
    <w:rsid w:val="00205D98"/>
    <w:rsid w:val="00206E90"/>
    <w:rsid w:val="0020775B"/>
    <w:rsid w:val="00207B51"/>
    <w:rsid w:val="002100F9"/>
    <w:rsid w:val="0021030D"/>
    <w:rsid w:val="00210938"/>
    <w:rsid w:val="00211337"/>
    <w:rsid w:val="00211753"/>
    <w:rsid w:val="002117F6"/>
    <w:rsid w:val="00211BFF"/>
    <w:rsid w:val="00211F5E"/>
    <w:rsid w:val="0021202F"/>
    <w:rsid w:val="0021205C"/>
    <w:rsid w:val="002135AB"/>
    <w:rsid w:val="0021391C"/>
    <w:rsid w:val="00213D21"/>
    <w:rsid w:val="0021431D"/>
    <w:rsid w:val="002144BE"/>
    <w:rsid w:val="00214962"/>
    <w:rsid w:val="00214F45"/>
    <w:rsid w:val="00215A65"/>
    <w:rsid w:val="00215FDF"/>
    <w:rsid w:val="002162C5"/>
    <w:rsid w:val="002162E1"/>
    <w:rsid w:val="00216629"/>
    <w:rsid w:val="00216C48"/>
    <w:rsid w:val="00217448"/>
    <w:rsid w:val="00217F00"/>
    <w:rsid w:val="00220A35"/>
    <w:rsid w:val="00221114"/>
    <w:rsid w:val="0022137B"/>
    <w:rsid w:val="00221A91"/>
    <w:rsid w:val="00222338"/>
    <w:rsid w:val="00222B80"/>
    <w:rsid w:val="002231B3"/>
    <w:rsid w:val="002237B5"/>
    <w:rsid w:val="002237C1"/>
    <w:rsid w:val="00223C98"/>
    <w:rsid w:val="00224DF6"/>
    <w:rsid w:val="00224F43"/>
    <w:rsid w:val="00224FCC"/>
    <w:rsid w:val="00225A4E"/>
    <w:rsid w:val="00226024"/>
    <w:rsid w:val="00226225"/>
    <w:rsid w:val="00226B1C"/>
    <w:rsid w:val="002277B0"/>
    <w:rsid w:val="002305B4"/>
    <w:rsid w:val="00231774"/>
    <w:rsid w:val="0023218A"/>
    <w:rsid w:val="00232C2B"/>
    <w:rsid w:val="00233F4C"/>
    <w:rsid w:val="00234918"/>
    <w:rsid w:val="002350E8"/>
    <w:rsid w:val="002351A0"/>
    <w:rsid w:val="00235737"/>
    <w:rsid w:val="0023573C"/>
    <w:rsid w:val="00236119"/>
    <w:rsid w:val="002365E0"/>
    <w:rsid w:val="00236B6A"/>
    <w:rsid w:val="0023729F"/>
    <w:rsid w:val="002374E3"/>
    <w:rsid w:val="00237E90"/>
    <w:rsid w:val="0024018E"/>
    <w:rsid w:val="00240412"/>
    <w:rsid w:val="00240604"/>
    <w:rsid w:val="002406BA"/>
    <w:rsid w:val="00241015"/>
    <w:rsid w:val="002419D2"/>
    <w:rsid w:val="00242279"/>
    <w:rsid w:val="00242DCA"/>
    <w:rsid w:val="00242EC7"/>
    <w:rsid w:val="00242F70"/>
    <w:rsid w:val="00243220"/>
    <w:rsid w:val="00243A47"/>
    <w:rsid w:val="00243DFB"/>
    <w:rsid w:val="0024521E"/>
    <w:rsid w:val="002458B4"/>
    <w:rsid w:val="00245C82"/>
    <w:rsid w:val="00246810"/>
    <w:rsid w:val="00246CE4"/>
    <w:rsid w:val="0024722D"/>
    <w:rsid w:val="002476ED"/>
    <w:rsid w:val="002477F5"/>
    <w:rsid w:val="002505D6"/>
    <w:rsid w:val="00250C13"/>
    <w:rsid w:val="00250CF8"/>
    <w:rsid w:val="0025136B"/>
    <w:rsid w:val="00251380"/>
    <w:rsid w:val="002513B7"/>
    <w:rsid w:val="0025156F"/>
    <w:rsid w:val="002517D5"/>
    <w:rsid w:val="00251B82"/>
    <w:rsid w:val="00251CBE"/>
    <w:rsid w:val="00252006"/>
    <w:rsid w:val="00252094"/>
    <w:rsid w:val="00252162"/>
    <w:rsid w:val="002526B9"/>
    <w:rsid w:val="0025286F"/>
    <w:rsid w:val="002537EE"/>
    <w:rsid w:val="00253B7F"/>
    <w:rsid w:val="0025414F"/>
    <w:rsid w:val="00254176"/>
    <w:rsid w:val="00254D95"/>
    <w:rsid w:val="002551D7"/>
    <w:rsid w:val="00255A88"/>
    <w:rsid w:val="002563D0"/>
    <w:rsid w:val="00256991"/>
    <w:rsid w:val="00256996"/>
    <w:rsid w:val="00256AEB"/>
    <w:rsid w:val="00256F37"/>
    <w:rsid w:val="002573B6"/>
    <w:rsid w:val="00257C63"/>
    <w:rsid w:val="0026021D"/>
    <w:rsid w:val="002612C4"/>
    <w:rsid w:val="00261320"/>
    <w:rsid w:val="002614E2"/>
    <w:rsid w:val="002622F3"/>
    <w:rsid w:val="0026233E"/>
    <w:rsid w:val="00262680"/>
    <w:rsid w:val="00262A3B"/>
    <w:rsid w:val="00262D6E"/>
    <w:rsid w:val="002640E8"/>
    <w:rsid w:val="0026506C"/>
    <w:rsid w:val="00265589"/>
    <w:rsid w:val="0026729B"/>
    <w:rsid w:val="002672F0"/>
    <w:rsid w:val="00267504"/>
    <w:rsid w:val="00267A62"/>
    <w:rsid w:val="0027196F"/>
    <w:rsid w:val="0027368F"/>
    <w:rsid w:val="00273E64"/>
    <w:rsid w:val="00273F7E"/>
    <w:rsid w:val="00274848"/>
    <w:rsid w:val="00275DC7"/>
    <w:rsid w:val="002761FE"/>
    <w:rsid w:val="002770AC"/>
    <w:rsid w:val="00277CD2"/>
    <w:rsid w:val="0028065B"/>
    <w:rsid w:val="0028109E"/>
    <w:rsid w:val="002812B1"/>
    <w:rsid w:val="002815D4"/>
    <w:rsid w:val="00281641"/>
    <w:rsid w:val="00281890"/>
    <w:rsid w:val="002821CF"/>
    <w:rsid w:val="002825C3"/>
    <w:rsid w:val="002833BC"/>
    <w:rsid w:val="002836E3"/>
    <w:rsid w:val="00284657"/>
    <w:rsid w:val="002847C3"/>
    <w:rsid w:val="00284BE7"/>
    <w:rsid w:val="002863D8"/>
    <w:rsid w:val="002866CD"/>
    <w:rsid w:val="00286BD4"/>
    <w:rsid w:val="00286E80"/>
    <w:rsid w:val="002875D5"/>
    <w:rsid w:val="0028799B"/>
    <w:rsid w:val="00287E1B"/>
    <w:rsid w:val="002901E3"/>
    <w:rsid w:val="002907FF"/>
    <w:rsid w:val="00290E5E"/>
    <w:rsid w:val="002915BC"/>
    <w:rsid w:val="00291B40"/>
    <w:rsid w:val="00292B6B"/>
    <w:rsid w:val="002950C1"/>
    <w:rsid w:val="002956B6"/>
    <w:rsid w:val="00295BC9"/>
    <w:rsid w:val="00295CE3"/>
    <w:rsid w:val="002960A3"/>
    <w:rsid w:val="00296DBB"/>
    <w:rsid w:val="00296E06"/>
    <w:rsid w:val="00297054"/>
    <w:rsid w:val="00297830"/>
    <w:rsid w:val="002A0090"/>
    <w:rsid w:val="002A00A9"/>
    <w:rsid w:val="002A00D5"/>
    <w:rsid w:val="002A0228"/>
    <w:rsid w:val="002A0A03"/>
    <w:rsid w:val="002A1447"/>
    <w:rsid w:val="002A1D6E"/>
    <w:rsid w:val="002A21E7"/>
    <w:rsid w:val="002A3590"/>
    <w:rsid w:val="002A3C0E"/>
    <w:rsid w:val="002A53F5"/>
    <w:rsid w:val="002A584F"/>
    <w:rsid w:val="002A5F18"/>
    <w:rsid w:val="002A6D79"/>
    <w:rsid w:val="002A6F5F"/>
    <w:rsid w:val="002A721B"/>
    <w:rsid w:val="002A764C"/>
    <w:rsid w:val="002A7771"/>
    <w:rsid w:val="002A77DF"/>
    <w:rsid w:val="002A787B"/>
    <w:rsid w:val="002A7994"/>
    <w:rsid w:val="002B0C93"/>
    <w:rsid w:val="002B0CD7"/>
    <w:rsid w:val="002B1487"/>
    <w:rsid w:val="002B15E3"/>
    <w:rsid w:val="002B2FC5"/>
    <w:rsid w:val="002B33C0"/>
    <w:rsid w:val="002B384A"/>
    <w:rsid w:val="002B3C12"/>
    <w:rsid w:val="002B4008"/>
    <w:rsid w:val="002B41D3"/>
    <w:rsid w:val="002B51D7"/>
    <w:rsid w:val="002B6707"/>
    <w:rsid w:val="002B695E"/>
    <w:rsid w:val="002B6D4B"/>
    <w:rsid w:val="002B7282"/>
    <w:rsid w:val="002B7E63"/>
    <w:rsid w:val="002C0222"/>
    <w:rsid w:val="002C0C5D"/>
    <w:rsid w:val="002C13F9"/>
    <w:rsid w:val="002C1710"/>
    <w:rsid w:val="002C1D6F"/>
    <w:rsid w:val="002C2228"/>
    <w:rsid w:val="002C34B1"/>
    <w:rsid w:val="002C4069"/>
    <w:rsid w:val="002C4533"/>
    <w:rsid w:val="002C47F3"/>
    <w:rsid w:val="002C4B8E"/>
    <w:rsid w:val="002C4E6A"/>
    <w:rsid w:val="002C55B3"/>
    <w:rsid w:val="002C678A"/>
    <w:rsid w:val="002C67CF"/>
    <w:rsid w:val="002C68D9"/>
    <w:rsid w:val="002C7122"/>
    <w:rsid w:val="002C7421"/>
    <w:rsid w:val="002C76E9"/>
    <w:rsid w:val="002C78EF"/>
    <w:rsid w:val="002D05C0"/>
    <w:rsid w:val="002D075A"/>
    <w:rsid w:val="002D0E8E"/>
    <w:rsid w:val="002D2157"/>
    <w:rsid w:val="002D2279"/>
    <w:rsid w:val="002D3797"/>
    <w:rsid w:val="002D38EC"/>
    <w:rsid w:val="002D40BE"/>
    <w:rsid w:val="002D434B"/>
    <w:rsid w:val="002D4BCB"/>
    <w:rsid w:val="002D4C1A"/>
    <w:rsid w:val="002D5993"/>
    <w:rsid w:val="002D5BAB"/>
    <w:rsid w:val="002D7196"/>
    <w:rsid w:val="002D738A"/>
    <w:rsid w:val="002D74F3"/>
    <w:rsid w:val="002D757C"/>
    <w:rsid w:val="002D7707"/>
    <w:rsid w:val="002D7E46"/>
    <w:rsid w:val="002E02E6"/>
    <w:rsid w:val="002E03A1"/>
    <w:rsid w:val="002E0F98"/>
    <w:rsid w:val="002E14E4"/>
    <w:rsid w:val="002E186E"/>
    <w:rsid w:val="002E1ADF"/>
    <w:rsid w:val="002E2B31"/>
    <w:rsid w:val="002E2E0F"/>
    <w:rsid w:val="002E349D"/>
    <w:rsid w:val="002E3A04"/>
    <w:rsid w:val="002E492B"/>
    <w:rsid w:val="002E4969"/>
    <w:rsid w:val="002E63F7"/>
    <w:rsid w:val="002E65AF"/>
    <w:rsid w:val="002E6606"/>
    <w:rsid w:val="002E66C9"/>
    <w:rsid w:val="002E66EF"/>
    <w:rsid w:val="002E6805"/>
    <w:rsid w:val="002E6A46"/>
    <w:rsid w:val="002E6B99"/>
    <w:rsid w:val="002E7291"/>
    <w:rsid w:val="002F045E"/>
    <w:rsid w:val="002F077A"/>
    <w:rsid w:val="002F08DE"/>
    <w:rsid w:val="002F0982"/>
    <w:rsid w:val="002F110A"/>
    <w:rsid w:val="002F195F"/>
    <w:rsid w:val="002F197D"/>
    <w:rsid w:val="002F1A50"/>
    <w:rsid w:val="002F247F"/>
    <w:rsid w:val="002F2589"/>
    <w:rsid w:val="002F25D6"/>
    <w:rsid w:val="002F2D62"/>
    <w:rsid w:val="002F2E6A"/>
    <w:rsid w:val="002F307C"/>
    <w:rsid w:val="002F30C7"/>
    <w:rsid w:val="002F40A7"/>
    <w:rsid w:val="002F511A"/>
    <w:rsid w:val="002F5143"/>
    <w:rsid w:val="002F5589"/>
    <w:rsid w:val="002F5922"/>
    <w:rsid w:val="002F5C9C"/>
    <w:rsid w:val="002F66BD"/>
    <w:rsid w:val="002F6A2B"/>
    <w:rsid w:val="002F6E2E"/>
    <w:rsid w:val="002F7AE4"/>
    <w:rsid w:val="002F7F20"/>
    <w:rsid w:val="00300D73"/>
    <w:rsid w:val="00301189"/>
    <w:rsid w:val="0030157C"/>
    <w:rsid w:val="003017E0"/>
    <w:rsid w:val="00302216"/>
    <w:rsid w:val="00302AC3"/>
    <w:rsid w:val="00303127"/>
    <w:rsid w:val="00303714"/>
    <w:rsid w:val="00303903"/>
    <w:rsid w:val="00303958"/>
    <w:rsid w:val="00303CA8"/>
    <w:rsid w:val="00304B38"/>
    <w:rsid w:val="00304D50"/>
    <w:rsid w:val="00304E1F"/>
    <w:rsid w:val="003050B2"/>
    <w:rsid w:val="0030548F"/>
    <w:rsid w:val="00305F08"/>
    <w:rsid w:val="003067BC"/>
    <w:rsid w:val="00307112"/>
    <w:rsid w:val="003073AA"/>
    <w:rsid w:val="00307947"/>
    <w:rsid w:val="00307B59"/>
    <w:rsid w:val="00310318"/>
    <w:rsid w:val="00310AF2"/>
    <w:rsid w:val="003112E9"/>
    <w:rsid w:val="00311EE4"/>
    <w:rsid w:val="00311EEA"/>
    <w:rsid w:val="00312B9B"/>
    <w:rsid w:val="0031430E"/>
    <w:rsid w:val="00314DFB"/>
    <w:rsid w:val="00315697"/>
    <w:rsid w:val="003159E3"/>
    <w:rsid w:val="00315A90"/>
    <w:rsid w:val="003160DB"/>
    <w:rsid w:val="003162E5"/>
    <w:rsid w:val="00316404"/>
    <w:rsid w:val="003166D0"/>
    <w:rsid w:val="00320595"/>
    <w:rsid w:val="003206AF"/>
    <w:rsid w:val="003207BF"/>
    <w:rsid w:val="0032158D"/>
    <w:rsid w:val="003235E3"/>
    <w:rsid w:val="00323BFE"/>
    <w:rsid w:val="00323E09"/>
    <w:rsid w:val="00324570"/>
    <w:rsid w:val="00326073"/>
    <w:rsid w:val="0032626A"/>
    <w:rsid w:val="0032701E"/>
    <w:rsid w:val="003277B9"/>
    <w:rsid w:val="00327D74"/>
    <w:rsid w:val="003301A4"/>
    <w:rsid w:val="003306D1"/>
    <w:rsid w:val="00330A3C"/>
    <w:rsid w:val="003311DF"/>
    <w:rsid w:val="0033156F"/>
    <w:rsid w:val="0033247D"/>
    <w:rsid w:val="003329B6"/>
    <w:rsid w:val="003330E1"/>
    <w:rsid w:val="00333932"/>
    <w:rsid w:val="00334735"/>
    <w:rsid w:val="003348A6"/>
    <w:rsid w:val="0033521B"/>
    <w:rsid w:val="00335B54"/>
    <w:rsid w:val="00335FBB"/>
    <w:rsid w:val="003365E8"/>
    <w:rsid w:val="003366AA"/>
    <w:rsid w:val="003369EB"/>
    <w:rsid w:val="00341837"/>
    <w:rsid w:val="00341B06"/>
    <w:rsid w:val="00341F44"/>
    <w:rsid w:val="003426F1"/>
    <w:rsid w:val="00342ED5"/>
    <w:rsid w:val="003431B5"/>
    <w:rsid w:val="00343A61"/>
    <w:rsid w:val="0034401A"/>
    <w:rsid w:val="00345044"/>
    <w:rsid w:val="0034523C"/>
    <w:rsid w:val="003453DB"/>
    <w:rsid w:val="0034555B"/>
    <w:rsid w:val="0034566F"/>
    <w:rsid w:val="003456D8"/>
    <w:rsid w:val="00345A7E"/>
    <w:rsid w:val="003465B8"/>
    <w:rsid w:val="00346688"/>
    <w:rsid w:val="00346955"/>
    <w:rsid w:val="00346BF3"/>
    <w:rsid w:val="00347892"/>
    <w:rsid w:val="00347D5F"/>
    <w:rsid w:val="00350151"/>
    <w:rsid w:val="0035114E"/>
    <w:rsid w:val="00351772"/>
    <w:rsid w:val="003518AA"/>
    <w:rsid w:val="00352165"/>
    <w:rsid w:val="00352A94"/>
    <w:rsid w:val="00353182"/>
    <w:rsid w:val="0035369A"/>
    <w:rsid w:val="00353987"/>
    <w:rsid w:val="00353C33"/>
    <w:rsid w:val="003541EB"/>
    <w:rsid w:val="00354365"/>
    <w:rsid w:val="00354373"/>
    <w:rsid w:val="00354579"/>
    <w:rsid w:val="00354BE9"/>
    <w:rsid w:val="00354D5E"/>
    <w:rsid w:val="00355939"/>
    <w:rsid w:val="00355CE3"/>
    <w:rsid w:val="003565D9"/>
    <w:rsid w:val="00357831"/>
    <w:rsid w:val="00357D93"/>
    <w:rsid w:val="003602E1"/>
    <w:rsid w:val="00360598"/>
    <w:rsid w:val="00360B04"/>
    <w:rsid w:val="003611B9"/>
    <w:rsid w:val="00361B9B"/>
    <w:rsid w:val="00362B92"/>
    <w:rsid w:val="0036330E"/>
    <w:rsid w:val="00363DA9"/>
    <w:rsid w:val="00364A5D"/>
    <w:rsid w:val="0036528A"/>
    <w:rsid w:val="0036557D"/>
    <w:rsid w:val="0036569C"/>
    <w:rsid w:val="0036660B"/>
    <w:rsid w:val="00367176"/>
    <w:rsid w:val="00367218"/>
    <w:rsid w:val="003674E1"/>
    <w:rsid w:val="00367818"/>
    <w:rsid w:val="00367FB0"/>
    <w:rsid w:val="0037003E"/>
    <w:rsid w:val="0037026F"/>
    <w:rsid w:val="0037075F"/>
    <w:rsid w:val="00370881"/>
    <w:rsid w:val="00370CE8"/>
    <w:rsid w:val="00371240"/>
    <w:rsid w:val="00371A0D"/>
    <w:rsid w:val="00372B41"/>
    <w:rsid w:val="0037353C"/>
    <w:rsid w:val="00373839"/>
    <w:rsid w:val="00374731"/>
    <w:rsid w:val="00374780"/>
    <w:rsid w:val="0037479F"/>
    <w:rsid w:val="0037490F"/>
    <w:rsid w:val="00375406"/>
    <w:rsid w:val="003755CD"/>
    <w:rsid w:val="003758FD"/>
    <w:rsid w:val="00375A91"/>
    <w:rsid w:val="00375E7C"/>
    <w:rsid w:val="00375F5C"/>
    <w:rsid w:val="00376076"/>
    <w:rsid w:val="003764D6"/>
    <w:rsid w:val="00376963"/>
    <w:rsid w:val="00376CCE"/>
    <w:rsid w:val="00376E59"/>
    <w:rsid w:val="00377447"/>
    <w:rsid w:val="003775B7"/>
    <w:rsid w:val="003777A9"/>
    <w:rsid w:val="00380095"/>
    <w:rsid w:val="00380ECE"/>
    <w:rsid w:val="003825FD"/>
    <w:rsid w:val="00382AE8"/>
    <w:rsid w:val="00382F64"/>
    <w:rsid w:val="003847F0"/>
    <w:rsid w:val="00385A95"/>
    <w:rsid w:val="00385C26"/>
    <w:rsid w:val="00385E00"/>
    <w:rsid w:val="00385EB7"/>
    <w:rsid w:val="003864C6"/>
    <w:rsid w:val="00386782"/>
    <w:rsid w:val="0038678D"/>
    <w:rsid w:val="00386CB1"/>
    <w:rsid w:val="003873C6"/>
    <w:rsid w:val="0038775A"/>
    <w:rsid w:val="003879E8"/>
    <w:rsid w:val="00387ACD"/>
    <w:rsid w:val="00390699"/>
    <w:rsid w:val="00390ADE"/>
    <w:rsid w:val="00391109"/>
    <w:rsid w:val="00391547"/>
    <w:rsid w:val="003917F1"/>
    <w:rsid w:val="003919F9"/>
    <w:rsid w:val="00391D81"/>
    <w:rsid w:val="003924A5"/>
    <w:rsid w:val="003927B9"/>
    <w:rsid w:val="00392921"/>
    <w:rsid w:val="003929E4"/>
    <w:rsid w:val="00392B8C"/>
    <w:rsid w:val="00392DD6"/>
    <w:rsid w:val="00393031"/>
    <w:rsid w:val="003933EA"/>
    <w:rsid w:val="00393BA3"/>
    <w:rsid w:val="00393BA7"/>
    <w:rsid w:val="00393D7C"/>
    <w:rsid w:val="003943B5"/>
    <w:rsid w:val="00394BA7"/>
    <w:rsid w:val="00394E57"/>
    <w:rsid w:val="003956C7"/>
    <w:rsid w:val="00395D9C"/>
    <w:rsid w:val="0039626D"/>
    <w:rsid w:val="00396373"/>
    <w:rsid w:val="0039664E"/>
    <w:rsid w:val="0039687F"/>
    <w:rsid w:val="00396B3D"/>
    <w:rsid w:val="003979CC"/>
    <w:rsid w:val="00397A2C"/>
    <w:rsid w:val="00397BEC"/>
    <w:rsid w:val="003A0826"/>
    <w:rsid w:val="003A08A6"/>
    <w:rsid w:val="003A1388"/>
    <w:rsid w:val="003A19C8"/>
    <w:rsid w:val="003A1B00"/>
    <w:rsid w:val="003A3329"/>
    <w:rsid w:val="003A33FA"/>
    <w:rsid w:val="003A42AB"/>
    <w:rsid w:val="003A58CD"/>
    <w:rsid w:val="003A612F"/>
    <w:rsid w:val="003A64A2"/>
    <w:rsid w:val="003A737C"/>
    <w:rsid w:val="003A745F"/>
    <w:rsid w:val="003A770B"/>
    <w:rsid w:val="003A77F8"/>
    <w:rsid w:val="003A7E2D"/>
    <w:rsid w:val="003A7E3C"/>
    <w:rsid w:val="003B04A3"/>
    <w:rsid w:val="003B06E5"/>
    <w:rsid w:val="003B076E"/>
    <w:rsid w:val="003B1B3F"/>
    <w:rsid w:val="003B2972"/>
    <w:rsid w:val="003B2D1B"/>
    <w:rsid w:val="003B2D37"/>
    <w:rsid w:val="003B3CEE"/>
    <w:rsid w:val="003B48F7"/>
    <w:rsid w:val="003B4C80"/>
    <w:rsid w:val="003B549D"/>
    <w:rsid w:val="003B567C"/>
    <w:rsid w:val="003B590E"/>
    <w:rsid w:val="003B5B4A"/>
    <w:rsid w:val="003B6A5A"/>
    <w:rsid w:val="003B6C57"/>
    <w:rsid w:val="003B7509"/>
    <w:rsid w:val="003B763E"/>
    <w:rsid w:val="003B7FA7"/>
    <w:rsid w:val="003B7FF9"/>
    <w:rsid w:val="003C05B5"/>
    <w:rsid w:val="003C16B2"/>
    <w:rsid w:val="003C19C9"/>
    <w:rsid w:val="003C1A11"/>
    <w:rsid w:val="003C2C8E"/>
    <w:rsid w:val="003C37B9"/>
    <w:rsid w:val="003C38B5"/>
    <w:rsid w:val="003C461C"/>
    <w:rsid w:val="003C4BA5"/>
    <w:rsid w:val="003C580F"/>
    <w:rsid w:val="003C58C0"/>
    <w:rsid w:val="003C59B3"/>
    <w:rsid w:val="003C5C0F"/>
    <w:rsid w:val="003C5CB2"/>
    <w:rsid w:val="003C5D99"/>
    <w:rsid w:val="003C631E"/>
    <w:rsid w:val="003C6A4E"/>
    <w:rsid w:val="003C73C9"/>
    <w:rsid w:val="003D01CE"/>
    <w:rsid w:val="003D0665"/>
    <w:rsid w:val="003D0D37"/>
    <w:rsid w:val="003D23A3"/>
    <w:rsid w:val="003D3492"/>
    <w:rsid w:val="003D367F"/>
    <w:rsid w:val="003D3916"/>
    <w:rsid w:val="003D3EA4"/>
    <w:rsid w:val="003D4FEC"/>
    <w:rsid w:val="003D55E4"/>
    <w:rsid w:val="003D5EC4"/>
    <w:rsid w:val="003D6212"/>
    <w:rsid w:val="003D69B6"/>
    <w:rsid w:val="003D6DF5"/>
    <w:rsid w:val="003D77EE"/>
    <w:rsid w:val="003E142B"/>
    <w:rsid w:val="003E218E"/>
    <w:rsid w:val="003E2F59"/>
    <w:rsid w:val="003E3A63"/>
    <w:rsid w:val="003E3EAE"/>
    <w:rsid w:val="003E3EF1"/>
    <w:rsid w:val="003E4033"/>
    <w:rsid w:val="003E4BEB"/>
    <w:rsid w:val="003E5987"/>
    <w:rsid w:val="003E5FEE"/>
    <w:rsid w:val="003E6440"/>
    <w:rsid w:val="003E6508"/>
    <w:rsid w:val="003E67DD"/>
    <w:rsid w:val="003E7029"/>
    <w:rsid w:val="003E7A06"/>
    <w:rsid w:val="003E7BFD"/>
    <w:rsid w:val="003F0789"/>
    <w:rsid w:val="003F09D8"/>
    <w:rsid w:val="003F0C99"/>
    <w:rsid w:val="003F14AD"/>
    <w:rsid w:val="003F1A23"/>
    <w:rsid w:val="003F1E62"/>
    <w:rsid w:val="003F2D9A"/>
    <w:rsid w:val="003F3131"/>
    <w:rsid w:val="003F4237"/>
    <w:rsid w:val="003F466C"/>
    <w:rsid w:val="003F4D0B"/>
    <w:rsid w:val="003F4EEF"/>
    <w:rsid w:val="003F57D6"/>
    <w:rsid w:val="003F5E03"/>
    <w:rsid w:val="003F61A3"/>
    <w:rsid w:val="003F7238"/>
    <w:rsid w:val="003F7D1D"/>
    <w:rsid w:val="004007CE"/>
    <w:rsid w:val="004015AB"/>
    <w:rsid w:val="00401882"/>
    <w:rsid w:val="00401A94"/>
    <w:rsid w:val="0040208D"/>
    <w:rsid w:val="004023EE"/>
    <w:rsid w:val="00402496"/>
    <w:rsid w:val="00402620"/>
    <w:rsid w:val="004032C9"/>
    <w:rsid w:val="00403EC1"/>
    <w:rsid w:val="00404377"/>
    <w:rsid w:val="00404BF5"/>
    <w:rsid w:val="00404C22"/>
    <w:rsid w:val="00404C72"/>
    <w:rsid w:val="00404C9B"/>
    <w:rsid w:val="004057AC"/>
    <w:rsid w:val="004071E9"/>
    <w:rsid w:val="00407513"/>
    <w:rsid w:val="004100C8"/>
    <w:rsid w:val="00410153"/>
    <w:rsid w:val="004104A2"/>
    <w:rsid w:val="004105DF"/>
    <w:rsid w:val="00410F47"/>
    <w:rsid w:val="004110B3"/>
    <w:rsid w:val="00411B63"/>
    <w:rsid w:val="00411C62"/>
    <w:rsid w:val="00411DBD"/>
    <w:rsid w:val="00411E67"/>
    <w:rsid w:val="00411F41"/>
    <w:rsid w:val="00412418"/>
    <w:rsid w:val="004128BF"/>
    <w:rsid w:val="00412A6D"/>
    <w:rsid w:val="00412ACE"/>
    <w:rsid w:val="00412AD0"/>
    <w:rsid w:val="004131AC"/>
    <w:rsid w:val="00414499"/>
    <w:rsid w:val="00414787"/>
    <w:rsid w:val="00414924"/>
    <w:rsid w:val="00414EC7"/>
    <w:rsid w:val="00415EE8"/>
    <w:rsid w:val="0041629C"/>
    <w:rsid w:val="004167E2"/>
    <w:rsid w:val="0042022D"/>
    <w:rsid w:val="004211EF"/>
    <w:rsid w:val="004216EE"/>
    <w:rsid w:val="004218F5"/>
    <w:rsid w:val="00421AA5"/>
    <w:rsid w:val="00422380"/>
    <w:rsid w:val="00422D58"/>
    <w:rsid w:val="00424A19"/>
    <w:rsid w:val="00424C21"/>
    <w:rsid w:val="00424E22"/>
    <w:rsid w:val="00424F8A"/>
    <w:rsid w:val="004263B0"/>
    <w:rsid w:val="00426831"/>
    <w:rsid w:val="0042770F"/>
    <w:rsid w:val="00427791"/>
    <w:rsid w:val="00427B21"/>
    <w:rsid w:val="004300E7"/>
    <w:rsid w:val="004301F0"/>
    <w:rsid w:val="00430AAB"/>
    <w:rsid w:val="00430EA4"/>
    <w:rsid w:val="00431249"/>
    <w:rsid w:val="00431554"/>
    <w:rsid w:val="00431FD8"/>
    <w:rsid w:val="004323E4"/>
    <w:rsid w:val="00432CDC"/>
    <w:rsid w:val="00433255"/>
    <w:rsid w:val="00433F04"/>
    <w:rsid w:val="00433F91"/>
    <w:rsid w:val="0043433C"/>
    <w:rsid w:val="00434412"/>
    <w:rsid w:val="004347E8"/>
    <w:rsid w:val="004349E5"/>
    <w:rsid w:val="00434C19"/>
    <w:rsid w:val="00434EAE"/>
    <w:rsid w:val="004357FE"/>
    <w:rsid w:val="00435C67"/>
    <w:rsid w:val="004363F5"/>
    <w:rsid w:val="004367C0"/>
    <w:rsid w:val="00436996"/>
    <w:rsid w:val="00436C18"/>
    <w:rsid w:val="00436D77"/>
    <w:rsid w:val="0043705F"/>
    <w:rsid w:val="0044072F"/>
    <w:rsid w:val="00441032"/>
    <w:rsid w:val="0044120F"/>
    <w:rsid w:val="00441632"/>
    <w:rsid w:val="00441A11"/>
    <w:rsid w:val="00441CFD"/>
    <w:rsid w:val="00441F14"/>
    <w:rsid w:val="004421AD"/>
    <w:rsid w:val="00442A73"/>
    <w:rsid w:val="00442F0A"/>
    <w:rsid w:val="004441D1"/>
    <w:rsid w:val="004442A1"/>
    <w:rsid w:val="0044472D"/>
    <w:rsid w:val="00445162"/>
    <w:rsid w:val="00445405"/>
    <w:rsid w:val="00446305"/>
    <w:rsid w:val="0044663F"/>
    <w:rsid w:val="00446A54"/>
    <w:rsid w:val="00446AD2"/>
    <w:rsid w:val="00446DC7"/>
    <w:rsid w:val="00447E3F"/>
    <w:rsid w:val="00447F51"/>
    <w:rsid w:val="00447F8D"/>
    <w:rsid w:val="00447F92"/>
    <w:rsid w:val="00450810"/>
    <w:rsid w:val="0045086A"/>
    <w:rsid w:val="00450FA4"/>
    <w:rsid w:val="0045169D"/>
    <w:rsid w:val="00451D49"/>
    <w:rsid w:val="00451E25"/>
    <w:rsid w:val="00452182"/>
    <w:rsid w:val="0045429A"/>
    <w:rsid w:val="00454944"/>
    <w:rsid w:val="00454E74"/>
    <w:rsid w:val="0045514D"/>
    <w:rsid w:val="00455A5F"/>
    <w:rsid w:val="00455F62"/>
    <w:rsid w:val="00456430"/>
    <w:rsid w:val="00456615"/>
    <w:rsid w:val="0045690D"/>
    <w:rsid w:val="004571A3"/>
    <w:rsid w:val="00457210"/>
    <w:rsid w:val="00457793"/>
    <w:rsid w:val="0045797C"/>
    <w:rsid w:val="0046010B"/>
    <w:rsid w:val="00460A8C"/>
    <w:rsid w:val="00460DD7"/>
    <w:rsid w:val="00460F05"/>
    <w:rsid w:val="00461041"/>
    <w:rsid w:val="0046155F"/>
    <w:rsid w:val="00461672"/>
    <w:rsid w:val="00461A23"/>
    <w:rsid w:val="00461F16"/>
    <w:rsid w:val="00462106"/>
    <w:rsid w:val="0046235A"/>
    <w:rsid w:val="004636E2"/>
    <w:rsid w:val="00463870"/>
    <w:rsid w:val="0046520C"/>
    <w:rsid w:val="004653DC"/>
    <w:rsid w:val="004656F4"/>
    <w:rsid w:val="00465A9F"/>
    <w:rsid w:val="00466660"/>
    <w:rsid w:val="0046672B"/>
    <w:rsid w:val="00467ABE"/>
    <w:rsid w:val="004707A7"/>
    <w:rsid w:val="00470908"/>
    <w:rsid w:val="00470D02"/>
    <w:rsid w:val="004710A5"/>
    <w:rsid w:val="00471804"/>
    <w:rsid w:val="00471964"/>
    <w:rsid w:val="004720AE"/>
    <w:rsid w:val="0047225A"/>
    <w:rsid w:val="0047227E"/>
    <w:rsid w:val="004726CC"/>
    <w:rsid w:val="00472C7D"/>
    <w:rsid w:val="00473159"/>
    <w:rsid w:val="00473315"/>
    <w:rsid w:val="004735F2"/>
    <w:rsid w:val="00474B93"/>
    <w:rsid w:val="0047508F"/>
    <w:rsid w:val="00475AD1"/>
    <w:rsid w:val="00475BFA"/>
    <w:rsid w:val="00477144"/>
    <w:rsid w:val="004777F4"/>
    <w:rsid w:val="004779AE"/>
    <w:rsid w:val="00477EF7"/>
    <w:rsid w:val="00480291"/>
    <w:rsid w:val="00480A83"/>
    <w:rsid w:val="00480E3B"/>
    <w:rsid w:val="00481355"/>
    <w:rsid w:val="004819B5"/>
    <w:rsid w:val="00481DE5"/>
    <w:rsid w:val="004820B1"/>
    <w:rsid w:val="00482283"/>
    <w:rsid w:val="00482BDF"/>
    <w:rsid w:val="00484171"/>
    <w:rsid w:val="0048425B"/>
    <w:rsid w:val="00484765"/>
    <w:rsid w:val="00484841"/>
    <w:rsid w:val="00484ACF"/>
    <w:rsid w:val="00484EBC"/>
    <w:rsid w:val="00485382"/>
    <w:rsid w:val="004858DF"/>
    <w:rsid w:val="00486131"/>
    <w:rsid w:val="00486322"/>
    <w:rsid w:val="00486B9C"/>
    <w:rsid w:val="00486E3F"/>
    <w:rsid w:val="00486EBB"/>
    <w:rsid w:val="00487215"/>
    <w:rsid w:val="004873B1"/>
    <w:rsid w:val="00487C05"/>
    <w:rsid w:val="00490892"/>
    <w:rsid w:val="00491059"/>
    <w:rsid w:val="00491380"/>
    <w:rsid w:val="00491900"/>
    <w:rsid w:val="00491F7A"/>
    <w:rsid w:val="0049215B"/>
    <w:rsid w:val="004929C2"/>
    <w:rsid w:val="00492FD6"/>
    <w:rsid w:val="00493189"/>
    <w:rsid w:val="0049328C"/>
    <w:rsid w:val="00493335"/>
    <w:rsid w:val="004933B4"/>
    <w:rsid w:val="00493B48"/>
    <w:rsid w:val="00493CF9"/>
    <w:rsid w:val="0049400C"/>
    <w:rsid w:val="0049433A"/>
    <w:rsid w:val="0049459F"/>
    <w:rsid w:val="00494CE2"/>
    <w:rsid w:val="00494FDA"/>
    <w:rsid w:val="00495AA1"/>
    <w:rsid w:val="00496ECD"/>
    <w:rsid w:val="004971E3"/>
    <w:rsid w:val="0049774F"/>
    <w:rsid w:val="00497AA3"/>
    <w:rsid w:val="00497AB0"/>
    <w:rsid w:val="004A0380"/>
    <w:rsid w:val="004A04A3"/>
    <w:rsid w:val="004A0522"/>
    <w:rsid w:val="004A13B1"/>
    <w:rsid w:val="004A2CF1"/>
    <w:rsid w:val="004A30D5"/>
    <w:rsid w:val="004A38DD"/>
    <w:rsid w:val="004A3CB4"/>
    <w:rsid w:val="004A45EA"/>
    <w:rsid w:val="004A4ABB"/>
    <w:rsid w:val="004A4F30"/>
    <w:rsid w:val="004A55AC"/>
    <w:rsid w:val="004A57EC"/>
    <w:rsid w:val="004A5BB2"/>
    <w:rsid w:val="004A6475"/>
    <w:rsid w:val="004A7182"/>
    <w:rsid w:val="004A73B0"/>
    <w:rsid w:val="004A790C"/>
    <w:rsid w:val="004A7E89"/>
    <w:rsid w:val="004A7FED"/>
    <w:rsid w:val="004B007E"/>
    <w:rsid w:val="004B01FF"/>
    <w:rsid w:val="004B03B8"/>
    <w:rsid w:val="004B103A"/>
    <w:rsid w:val="004B1EDC"/>
    <w:rsid w:val="004B1FDC"/>
    <w:rsid w:val="004B359F"/>
    <w:rsid w:val="004B3797"/>
    <w:rsid w:val="004B37A5"/>
    <w:rsid w:val="004B43AE"/>
    <w:rsid w:val="004B43FD"/>
    <w:rsid w:val="004B4C5F"/>
    <w:rsid w:val="004B4C82"/>
    <w:rsid w:val="004B5423"/>
    <w:rsid w:val="004B573F"/>
    <w:rsid w:val="004B5FDD"/>
    <w:rsid w:val="004B6C32"/>
    <w:rsid w:val="004B7D96"/>
    <w:rsid w:val="004C06AC"/>
    <w:rsid w:val="004C109F"/>
    <w:rsid w:val="004C1953"/>
    <w:rsid w:val="004C1AA6"/>
    <w:rsid w:val="004C2899"/>
    <w:rsid w:val="004C30ED"/>
    <w:rsid w:val="004C384E"/>
    <w:rsid w:val="004C4BCC"/>
    <w:rsid w:val="004C4CE5"/>
    <w:rsid w:val="004C4EEE"/>
    <w:rsid w:val="004C4F16"/>
    <w:rsid w:val="004C54BB"/>
    <w:rsid w:val="004C696B"/>
    <w:rsid w:val="004C7408"/>
    <w:rsid w:val="004C7A91"/>
    <w:rsid w:val="004D0B39"/>
    <w:rsid w:val="004D12AB"/>
    <w:rsid w:val="004D1CDF"/>
    <w:rsid w:val="004D1EF0"/>
    <w:rsid w:val="004D3056"/>
    <w:rsid w:val="004D3F48"/>
    <w:rsid w:val="004D4A06"/>
    <w:rsid w:val="004D51C6"/>
    <w:rsid w:val="004D5675"/>
    <w:rsid w:val="004D5B66"/>
    <w:rsid w:val="004D5E40"/>
    <w:rsid w:val="004D60C9"/>
    <w:rsid w:val="004D6DB8"/>
    <w:rsid w:val="004D742A"/>
    <w:rsid w:val="004D7914"/>
    <w:rsid w:val="004E05A4"/>
    <w:rsid w:val="004E0682"/>
    <w:rsid w:val="004E08DA"/>
    <w:rsid w:val="004E0C3B"/>
    <w:rsid w:val="004E12C1"/>
    <w:rsid w:val="004E1899"/>
    <w:rsid w:val="004E1A43"/>
    <w:rsid w:val="004E1EA5"/>
    <w:rsid w:val="004E24A9"/>
    <w:rsid w:val="004E25F9"/>
    <w:rsid w:val="004E2979"/>
    <w:rsid w:val="004E2DBC"/>
    <w:rsid w:val="004E360D"/>
    <w:rsid w:val="004E3655"/>
    <w:rsid w:val="004E3756"/>
    <w:rsid w:val="004E404A"/>
    <w:rsid w:val="004E4159"/>
    <w:rsid w:val="004E4225"/>
    <w:rsid w:val="004E4735"/>
    <w:rsid w:val="004E5102"/>
    <w:rsid w:val="004E53DD"/>
    <w:rsid w:val="004E5412"/>
    <w:rsid w:val="004E5920"/>
    <w:rsid w:val="004E5BAF"/>
    <w:rsid w:val="004E662A"/>
    <w:rsid w:val="004E6B1D"/>
    <w:rsid w:val="004E764C"/>
    <w:rsid w:val="004E7B02"/>
    <w:rsid w:val="004E7EDE"/>
    <w:rsid w:val="004E7F3D"/>
    <w:rsid w:val="004F06A7"/>
    <w:rsid w:val="004F0B13"/>
    <w:rsid w:val="004F104F"/>
    <w:rsid w:val="004F1AF1"/>
    <w:rsid w:val="004F251F"/>
    <w:rsid w:val="004F3539"/>
    <w:rsid w:val="004F3E4E"/>
    <w:rsid w:val="004F436C"/>
    <w:rsid w:val="004F4620"/>
    <w:rsid w:val="004F507E"/>
    <w:rsid w:val="004F5627"/>
    <w:rsid w:val="004F568F"/>
    <w:rsid w:val="004F579D"/>
    <w:rsid w:val="004F5883"/>
    <w:rsid w:val="004F6705"/>
    <w:rsid w:val="004F68F9"/>
    <w:rsid w:val="004F6B52"/>
    <w:rsid w:val="004F6C38"/>
    <w:rsid w:val="004F741A"/>
    <w:rsid w:val="004F768D"/>
    <w:rsid w:val="004F788D"/>
    <w:rsid w:val="00500DCC"/>
    <w:rsid w:val="005011F9"/>
    <w:rsid w:val="00501550"/>
    <w:rsid w:val="00501983"/>
    <w:rsid w:val="00501EEB"/>
    <w:rsid w:val="00501FFE"/>
    <w:rsid w:val="0050228C"/>
    <w:rsid w:val="00502413"/>
    <w:rsid w:val="00502431"/>
    <w:rsid w:val="0050282E"/>
    <w:rsid w:val="00502F08"/>
    <w:rsid w:val="0050303B"/>
    <w:rsid w:val="005032A2"/>
    <w:rsid w:val="00503775"/>
    <w:rsid w:val="00503C24"/>
    <w:rsid w:val="00503D27"/>
    <w:rsid w:val="00503EC0"/>
    <w:rsid w:val="00503EC5"/>
    <w:rsid w:val="00504778"/>
    <w:rsid w:val="0050509C"/>
    <w:rsid w:val="005056C8"/>
    <w:rsid w:val="005058BF"/>
    <w:rsid w:val="005066D8"/>
    <w:rsid w:val="00507E24"/>
    <w:rsid w:val="00507E79"/>
    <w:rsid w:val="00507FD6"/>
    <w:rsid w:val="00510519"/>
    <w:rsid w:val="005107D8"/>
    <w:rsid w:val="00510946"/>
    <w:rsid w:val="00510A57"/>
    <w:rsid w:val="00510AA1"/>
    <w:rsid w:val="0051118B"/>
    <w:rsid w:val="0051121B"/>
    <w:rsid w:val="00512937"/>
    <w:rsid w:val="00513119"/>
    <w:rsid w:val="0051378A"/>
    <w:rsid w:val="00513E1B"/>
    <w:rsid w:val="005140BF"/>
    <w:rsid w:val="005145DC"/>
    <w:rsid w:val="005145E0"/>
    <w:rsid w:val="00514E21"/>
    <w:rsid w:val="00514F4C"/>
    <w:rsid w:val="0051516E"/>
    <w:rsid w:val="005151A7"/>
    <w:rsid w:val="0051591B"/>
    <w:rsid w:val="0052043B"/>
    <w:rsid w:val="005208A8"/>
    <w:rsid w:val="00520920"/>
    <w:rsid w:val="00521002"/>
    <w:rsid w:val="005216DD"/>
    <w:rsid w:val="0052197E"/>
    <w:rsid w:val="00522AB8"/>
    <w:rsid w:val="00522FCB"/>
    <w:rsid w:val="00523457"/>
    <w:rsid w:val="00523639"/>
    <w:rsid w:val="00523E4F"/>
    <w:rsid w:val="00523FC6"/>
    <w:rsid w:val="0052461D"/>
    <w:rsid w:val="0052547E"/>
    <w:rsid w:val="00525A23"/>
    <w:rsid w:val="00526120"/>
    <w:rsid w:val="0052612A"/>
    <w:rsid w:val="00526775"/>
    <w:rsid w:val="005269AB"/>
    <w:rsid w:val="0052751F"/>
    <w:rsid w:val="00527613"/>
    <w:rsid w:val="0053047A"/>
    <w:rsid w:val="00530738"/>
    <w:rsid w:val="005308DA"/>
    <w:rsid w:val="00530D9A"/>
    <w:rsid w:val="0053110B"/>
    <w:rsid w:val="00531696"/>
    <w:rsid w:val="00531FE5"/>
    <w:rsid w:val="005328B3"/>
    <w:rsid w:val="00532953"/>
    <w:rsid w:val="00532AC9"/>
    <w:rsid w:val="00532BA0"/>
    <w:rsid w:val="00532F07"/>
    <w:rsid w:val="00533EAF"/>
    <w:rsid w:val="00533F6F"/>
    <w:rsid w:val="00534ADB"/>
    <w:rsid w:val="00534B22"/>
    <w:rsid w:val="0053742B"/>
    <w:rsid w:val="005378F3"/>
    <w:rsid w:val="005379D3"/>
    <w:rsid w:val="00537F6E"/>
    <w:rsid w:val="005402ED"/>
    <w:rsid w:val="005402FA"/>
    <w:rsid w:val="00540707"/>
    <w:rsid w:val="00541A71"/>
    <w:rsid w:val="00541CB7"/>
    <w:rsid w:val="00542070"/>
    <w:rsid w:val="00542114"/>
    <w:rsid w:val="0054214E"/>
    <w:rsid w:val="005421BF"/>
    <w:rsid w:val="00542846"/>
    <w:rsid w:val="005435C0"/>
    <w:rsid w:val="00544F74"/>
    <w:rsid w:val="00545050"/>
    <w:rsid w:val="0054517D"/>
    <w:rsid w:val="0054727C"/>
    <w:rsid w:val="005478CD"/>
    <w:rsid w:val="00547988"/>
    <w:rsid w:val="00547DBB"/>
    <w:rsid w:val="00550F26"/>
    <w:rsid w:val="00550F38"/>
    <w:rsid w:val="00551160"/>
    <w:rsid w:val="00551829"/>
    <w:rsid w:val="005526FC"/>
    <w:rsid w:val="00552855"/>
    <w:rsid w:val="00552A2F"/>
    <w:rsid w:val="00552BAE"/>
    <w:rsid w:val="00552FBC"/>
    <w:rsid w:val="005531FD"/>
    <w:rsid w:val="005531FE"/>
    <w:rsid w:val="00553B54"/>
    <w:rsid w:val="00553E5C"/>
    <w:rsid w:val="00554364"/>
    <w:rsid w:val="00555575"/>
    <w:rsid w:val="00555C78"/>
    <w:rsid w:val="00555C87"/>
    <w:rsid w:val="00555D0B"/>
    <w:rsid w:val="005569D3"/>
    <w:rsid w:val="00557031"/>
    <w:rsid w:val="00560930"/>
    <w:rsid w:val="00560FDA"/>
    <w:rsid w:val="0056111F"/>
    <w:rsid w:val="00561B85"/>
    <w:rsid w:val="00561DB5"/>
    <w:rsid w:val="00562744"/>
    <w:rsid w:val="00562AA2"/>
    <w:rsid w:val="005634AE"/>
    <w:rsid w:val="0056414C"/>
    <w:rsid w:val="00564F8B"/>
    <w:rsid w:val="005656AB"/>
    <w:rsid w:val="005661D8"/>
    <w:rsid w:val="005666B7"/>
    <w:rsid w:val="00566B23"/>
    <w:rsid w:val="005677D5"/>
    <w:rsid w:val="00567B9D"/>
    <w:rsid w:val="00570299"/>
    <w:rsid w:val="005716C4"/>
    <w:rsid w:val="0057189D"/>
    <w:rsid w:val="00571E36"/>
    <w:rsid w:val="00572692"/>
    <w:rsid w:val="00572DB8"/>
    <w:rsid w:val="00573C47"/>
    <w:rsid w:val="00573D74"/>
    <w:rsid w:val="00575A36"/>
    <w:rsid w:val="00575D9D"/>
    <w:rsid w:val="005760C5"/>
    <w:rsid w:val="005766C2"/>
    <w:rsid w:val="005776A1"/>
    <w:rsid w:val="00577949"/>
    <w:rsid w:val="00577FE5"/>
    <w:rsid w:val="00580714"/>
    <w:rsid w:val="00580753"/>
    <w:rsid w:val="005815C5"/>
    <w:rsid w:val="005815F8"/>
    <w:rsid w:val="0058172E"/>
    <w:rsid w:val="00581E4E"/>
    <w:rsid w:val="005822F6"/>
    <w:rsid w:val="00582F97"/>
    <w:rsid w:val="005836AE"/>
    <w:rsid w:val="005838ED"/>
    <w:rsid w:val="00583BE1"/>
    <w:rsid w:val="00583C39"/>
    <w:rsid w:val="00584622"/>
    <w:rsid w:val="00585CE8"/>
    <w:rsid w:val="0058713B"/>
    <w:rsid w:val="00587277"/>
    <w:rsid w:val="00587593"/>
    <w:rsid w:val="00587B13"/>
    <w:rsid w:val="00587F28"/>
    <w:rsid w:val="00587F57"/>
    <w:rsid w:val="00590146"/>
    <w:rsid w:val="005909CF"/>
    <w:rsid w:val="00590B58"/>
    <w:rsid w:val="00590B59"/>
    <w:rsid w:val="00590E61"/>
    <w:rsid w:val="00591004"/>
    <w:rsid w:val="005918D6"/>
    <w:rsid w:val="005919EA"/>
    <w:rsid w:val="00591CED"/>
    <w:rsid w:val="00591E71"/>
    <w:rsid w:val="00592FFF"/>
    <w:rsid w:val="00593188"/>
    <w:rsid w:val="00594A18"/>
    <w:rsid w:val="00594A1F"/>
    <w:rsid w:val="005950AA"/>
    <w:rsid w:val="005950B8"/>
    <w:rsid w:val="0059532A"/>
    <w:rsid w:val="0059534A"/>
    <w:rsid w:val="00595815"/>
    <w:rsid w:val="00595FB7"/>
    <w:rsid w:val="005964D2"/>
    <w:rsid w:val="005A0869"/>
    <w:rsid w:val="005A0D41"/>
    <w:rsid w:val="005A1694"/>
    <w:rsid w:val="005A16FB"/>
    <w:rsid w:val="005A2574"/>
    <w:rsid w:val="005A2CE0"/>
    <w:rsid w:val="005A2E43"/>
    <w:rsid w:val="005A3150"/>
    <w:rsid w:val="005A36A9"/>
    <w:rsid w:val="005A3CCE"/>
    <w:rsid w:val="005A4168"/>
    <w:rsid w:val="005A47F3"/>
    <w:rsid w:val="005A4A23"/>
    <w:rsid w:val="005A4AD3"/>
    <w:rsid w:val="005A4B7D"/>
    <w:rsid w:val="005A4BC1"/>
    <w:rsid w:val="005A515A"/>
    <w:rsid w:val="005A5486"/>
    <w:rsid w:val="005A6936"/>
    <w:rsid w:val="005A6CE2"/>
    <w:rsid w:val="005A7C4F"/>
    <w:rsid w:val="005A7F90"/>
    <w:rsid w:val="005B041C"/>
    <w:rsid w:val="005B09A5"/>
    <w:rsid w:val="005B3B07"/>
    <w:rsid w:val="005B4DBB"/>
    <w:rsid w:val="005B6239"/>
    <w:rsid w:val="005B6521"/>
    <w:rsid w:val="005B6563"/>
    <w:rsid w:val="005B658C"/>
    <w:rsid w:val="005B6910"/>
    <w:rsid w:val="005B7095"/>
    <w:rsid w:val="005B7E29"/>
    <w:rsid w:val="005B7FF5"/>
    <w:rsid w:val="005C018B"/>
    <w:rsid w:val="005C03B8"/>
    <w:rsid w:val="005C1246"/>
    <w:rsid w:val="005C1855"/>
    <w:rsid w:val="005C238D"/>
    <w:rsid w:val="005C27F4"/>
    <w:rsid w:val="005C2A0C"/>
    <w:rsid w:val="005C3828"/>
    <w:rsid w:val="005C421B"/>
    <w:rsid w:val="005C4FEC"/>
    <w:rsid w:val="005C5392"/>
    <w:rsid w:val="005C58BB"/>
    <w:rsid w:val="005C5AC5"/>
    <w:rsid w:val="005C6CEB"/>
    <w:rsid w:val="005C7558"/>
    <w:rsid w:val="005C75B2"/>
    <w:rsid w:val="005C7898"/>
    <w:rsid w:val="005C7A46"/>
    <w:rsid w:val="005C7E4D"/>
    <w:rsid w:val="005D00BD"/>
    <w:rsid w:val="005D04CF"/>
    <w:rsid w:val="005D0C25"/>
    <w:rsid w:val="005D0EAA"/>
    <w:rsid w:val="005D0F31"/>
    <w:rsid w:val="005D184A"/>
    <w:rsid w:val="005D310F"/>
    <w:rsid w:val="005D3B3A"/>
    <w:rsid w:val="005D3C4F"/>
    <w:rsid w:val="005D40F5"/>
    <w:rsid w:val="005D55A8"/>
    <w:rsid w:val="005D572C"/>
    <w:rsid w:val="005D607F"/>
    <w:rsid w:val="005D7114"/>
    <w:rsid w:val="005D7D00"/>
    <w:rsid w:val="005E07E3"/>
    <w:rsid w:val="005E0E11"/>
    <w:rsid w:val="005E0FB3"/>
    <w:rsid w:val="005E1CCC"/>
    <w:rsid w:val="005E2A7A"/>
    <w:rsid w:val="005E2C6B"/>
    <w:rsid w:val="005E45BD"/>
    <w:rsid w:val="005E4D0E"/>
    <w:rsid w:val="005E4F03"/>
    <w:rsid w:val="005E6384"/>
    <w:rsid w:val="005E6536"/>
    <w:rsid w:val="005E65D2"/>
    <w:rsid w:val="005E67C3"/>
    <w:rsid w:val="005E7086"/>
    <w:rsid w:val="005E7098"/>
    <w:rsid w:val="005F053B"/>
    <w:rsid w:val="005F0713"/>
    <w:rsid w:val="005F0851"/>
    <w:rsid w:val="005F1778"/>
    <w:rsid w:val="005F219A"/>
    <w:rsid w:val="005F23FB"/>
    <w:rsid w:val="005F24A4"/>
    <w:rsid w:val="005F24E5"/>
    <w:rsid w:val="005F2672"/>
    <w:rsid w:val="005F2E07"/>
    <w:rsid w:val="005F3E53"/>
    <w:rsid w:val="005F4868"/>
    <w:rsid w:val="005F4EBA"/>
    <w:rsid w:val="005F59C4"/>
    <w:rsid w:val="005F5C6C"/>
    <w:rsid w:val="005F6B25"/>
    <w:rsid w:val="005F73E5"/>
    <w:rsid w:val="005F746B"/>
    <w:rsid w:val="005F7553"/>
    <w:rsid w:val="005F7B02"/>
    <w:rsid w:val="005F7B7A"/>
    <w:rsid w:val="005F7CD5"/>
    <w:rsid w:val="00600848"/>
    <w:rsid w:val="00600940"/>
    <w:rsid w:val="00601A2C"/>
    <w:rsid w:val="00601AAF"/>
    <w:rsid w:val="00601F9A"/>
    <w:rsid w:val="00602E03"/>
    <w:rsid w:val="00602F89"/>
    <w:rsid w:val="0060303A"/>
    <w:rsid w:val="00603597"/>
    <w:rsid w:val="006035DA"/>
    <w:rsid w:val="006041D1"/>
    <w:rsid w:val="00604514"/>
    <w:rsid w:val="00604B31"/>
    <w:rsid w:val="00604EE6"/>
    <w:rsid w:val="0060514C"/>
    <w:rsid w:val="00605FAE"/>
    <w:rsid w:val="006061B0"/>
    <w:rsid w:val="006072D6"/>
    <w:rsid w:val="00607BF1"/>
    <w:rsid w:val="0061012B"/>
    <w:rsid w:val="0061067A"/>
    <w:rsid w:val="00610AE3"/>
    <w:rsid w:val="00610B07"/>
    <w:rsid w:val="00610B5C"/>
    <w:rsid w:val="006116AB"/>
    <w:rsid w:val="0061210A"/>
    <w:rsid w:val="0061212D"/>
    <w:rsid w:val="006121EC"/>
    <w:rsid w:val="0061243F"/>
    <w:rsid w:val="00612560"/>
    <w:rsid w:val="00612740"/>
    <w:rsid w:val="00612ADB"/>
    <w:rsid w:val="0061319A"/>
    <w:rsid w:val="00613582"/>
    <w:rsid w:val="00613939"/>
    <w:rsid w:val="00613942"/>
    <w:rsid w:val="00614391"/>
    <w:rsid w:val="006147A3"/>
    <w:rsid w:val="00614BCD"/>
    <w:rsid w:val="006152D8"/>
    <w:rsid w:val="006156BE"/>
    <w:rsid w:val="006165F5"/>
    <w:rsid w:val="00616866"/>
    <w:rsid w:val="00616EF6"/>
    <w:rsid w:val="00616F2D"/>
    <w:rsid w:val="0061727B"/>
    <w:rsid w:val="0062014A"/>
    <w:rsid w:val="006201BF"/>
    <w:rsid w:val="00620297"/>
    <w:rsid w:val="00620948"/>
    <w:rsid w:val="006214A7"/>
    <w:rsid w:val="0062157F"/>
    <w:rsid w:val="0062173C"/>
    <w:rsid w:val="00621E23"/>
    <w:rsid w:val="0062208D"/>
    <w:rsid w:val="0062250A"/>
    <w:rsid w:val="006228BA"/>
    <w:rsid w:val="00622C59"/>
    <w:rsid w:val="006234D6"/>
    <w:rsid w:val="006235B9"/>
    <w:rsid w:val="00623D2B"/>
    <w:rsid w:val="0062421F"/>
    <w:rsid w:val="006261AD"/>
    <w:rsid w:val="006263FD"/>
    <w:rsid w:val="00626472"/>
    <w:rsid w:val="006264B6"/>
    <w:rsid w:val="0062700C"/>
    <w:rsid w:val="00627229"/>
    <w:rsid w:val="00630D4D"/>
    <w:rsid w:val="00632A74"/>
    <w:rsid w:val="0063366F"/>
    <w:rsid w:val="00633BFA"/>
    <w:rsid w:val="00634AB9"/>
    <w:rsid w:val="0063501B"/>
    <w:rsid w:val="00635856"/>
    <w:rsid w:val="00636A13"/>
    <w:rsid w:val="00637F70"/>
    <w:rsid w:val="006404A1"/>
    <w:rsid w:val="006410CD"/>
    <w:rsid w:val="00641283"/>
    <w:rsid w:val="00641E97"/>
    <w:rsid w:val="00641E9F"/>
    <w:rsid w:val="006420FA"/>
    <w:rsid w:val="0064261C"/>
    <w:rsid w:val="00642DB2"/>
    <w:rsid w:val="00643270"/>
    <w:rsid w:val="0064327B"/>
    <w:rsid w:val="00643824"/>
    <w:rsid w:val="00644078"/>
    <w:rsid w:val="006451BF"/>
    <w:rsid w:val="006454C4"/>
    <w:rsid w:val="0064577B"/>
    <w:rsid w:val="00646A8C"/>
    <w:rsid w:val="00646B18"/>
    <w:rsid w:val="00646BAE"/>
    <w:rsid w:val="0065042D"/>
    <w:rsid w:val="00650E50"/>
    <w:rsid w:val="00651121"/>
    <w:rsid w:val="00651DF5"/>
    <w:rsid w:val="0065276B"/>
    <w:rsid w:val="00652ABE"/>
    <w:rsid w:val="00652BC7"/>
    <w:rsid w:val="006530E9"/>
    <w:rsid w:val="0065310B"/>
    <w:rsid w:val="006533B2"/>
    <w:rsid w:val="0065523D"/>
    <w:rsid w:val="00655968"/>
    <w:rsid w:val="006561A9"/>
    <w:rsid w:val="00656EC3"/>
    <w:rsid w:val="006578A2"/>
    <w:rsid w:val="00660036"/>
    <w:rsid w:val="00661331"/>
    <w:rsid w:val="00661353"/>
    <w:rsid w:val="006613BF"/>
    <w:rsid w:val="006618B1"/>
    <w:rsid w:val="00662708"/>
    <w:rsid w:val="006634A8"/>
    <w:rsid w:val="006637CC"/>
    <w:rsid w:val="00663B57"/>
    <w:rsid w:val="00664311"/>
    <w:rsid w:val="00664454"/>
    <w:rsid w:val="00664EE6"/>
    <w:rsid w:val="00665650"/>
    <w:rsid w:val="00665667"/>
    <w:rsid w:val="00665C4E"/>
    <w:rsid w:val="0066608F"/>
    <w:rsid w:val="006666C8"/>
    <w:rsid w:val="0066684F"/>
    <w:rsid w:val="00666A4D"/>
    <w:rsid w:val="00666B0C"/>
    <w:rsid w:val="00667185"/>
    <w:rsid w:val="006677E1"/>
    <w:rsid w:val="0067174F"/>
    <w:rsid w:val="00671816"/>
    <w:rsid w:val="006718F8"/>
    <w:rsid w:val="00671906"/>
    <w:rsid w:val="006719C8"/>
    <w:rsid w:val="0067208B"/>
    <w:rsid w:val="006721C6"/>
    <w:rsid w:val="00672E65"/>
    <w:rsid w:val="00673111"/>
    <w:rsid w:val="00673756"/>
    <w:rsid w:val="0067400D"/>
    <w:rsid w:val="00674CB4"/>
    <w:rsid w:val="00675146"/>
    <w:rsid w:val="00675365"/>
    <w:rsid w:val="006758D3"/>
    <w:rsid w:val="00676C42"/>
    <w:rsid w:val="006805D7"/>
    <w:rsid w:val="00680720"/>
    <w:rsid w:val="00680E7B"/>
    <w:rsid w:val="00681158"/>
    <w:rsid w:val="00681E0C"/>
    <w:rsid w:val="00681F4E"/>
    <w:rsid w:val="00682BD4"/>
    <w:rsid w:val="006836BB"/>
    <w:rsid w:val="006837D7"/>
    <w:rsid w:val="00683A98"/>
    <w:rsid w:val="00683DE2"/>
    <w:rsid w:val="00684ED7"/>
    <w:rsid w:val="00685073"/>
    <w:rsid w:val="0068527A"/>
    <w:rsid w:val="00685436"/>
    <w:rsid w:val="00685E54"/>
    <w:rsid w:val="0068617A"/>
    <w:rsid w:val="00686465"/>
    <w:rsid w:val="006864DA"/>
    <w:rsid w:val="006873B2"/>
    <w:rsid w:val="006873E2"/>
    <w:rsid w:val="006874C4"/>
    <w:rsid w:val="006875BC"/>
    <w:rsid w:val="0068765D"/>
    <w:rsid w:val="00690C2A"/>
    <w:rsid w:val="0069113C"/>
    <w:rsid w:val="006911EF"/>
    <w:rsid w:val="00691439"/>
    <w:rsid w:val="006914EE"/>
    <w:rsid w:val="00692B8B"/>
    <w:rsid w:val="006930A4"/>
    <w:rsid w:val="00693524"/>
    <w:rsid w:val="00693659"/>
    <w:rsid w:val="00693785"/>
    <w:rsid w:val="006943F1"/>
    <w:rsid w:val="00694A90"/>
    <w:rsid w:val="00694D02"/>
    <w:rsid w:val="00695037"/>
    <w:rsid w:val="0069686B"/>
    <w:rsid w:val="006968C5"/>
    <w:rsid w:val="0069692A"/>
    <w:rsid w:val="006974D3"/>
    <w:rsid w:val="006977EF"/>
    <w:rsid w:val="00697A91"/>
    <w:rsid w:val="00697C0C"/>
    <w:rsid w:val="006A0326"/>
    <w:rsid w:val="006A086A"/>
    <w:rsid w:val="006A1A2F"/>
    <w:rsid w:val="006A1E9B"/>
    <w:rsid w:val="006A2651"/>
    <w:rsid w:val="006A2843"/>
    <w:rsid w:val="006A3145"/>
    <w:rsid w:val="006A31DE"/>
    <w:rsid w:val="006A3AA2"/>
    <w:rsid w:val="006A4176"/>
    <w:rsid w:val="006A4219"/>
    <w:rsid w:val="006A4655"/>
    <w:rsid w:val="006A4CB0"/>
    <w:rsid w:val="006A5F1D"/>
    <w:rsid w:val="006A7679"/>
    <w:rsid w:val="006B006F"/>
    <w:rsid w:val="006B0148"/>
    <w:rsid w:val="006B09D8"/>
    <w:rsid w:val="006B0D0C"/>
    <w:rsid w:val="006B0DCC"/>
    <w:rsid w:val="006B2B3C"/>
    <w:rsid w:val="006B2ED0"/>
    <w:rsid w:val="006B3D1A"/>
    <w:rsid w:val="006B403D"/>
    <w:rsid w:val="006B4520"/>
    <w:rsid w:val="006B4A80"/>
    <w:rsid w:val="006B4CEB"/>
    <w:rsid w:val="006B5B99"/>
    <w:rsid w:val="006B5F94"/>
    <w:rsid w:val="006B6393"/>
    <w:rsid w:val="006B659C"/>
    <w:rsid w:val="006C0060"/>
    <w:rsid w:val="006C0518"/>
    <w:rsid w:val="006C0D5E"/>
    <w:rsid w:val="006C0DD3"/>
    <w:rsid w:val="006C1635"/>
    <w:rsid w:val="006C1883"/>
    <w:rsid w:val="006C18D8"/>
    <w:rsid w:val="006C1D81"/>
    <w:rsid w:val="006C2895"/>
    <w:rsid w:val="006C3099"/>
    <w:rsid w:val="006C3675"/>
    <w:rsid w:val="006C36C6"/>
    <w:rsid w:val="006C3E9D"/>
    <w:rsid w:val="006C4215"/>
    <w:rsid w:val="006C4423"/>
    <w:rsid w:val="006C49EA"/>
    <w:rsid w:val="006C4BF2"/>
    <w:rsid w:val="006C4DEF"/>
    <w:rsid w:val="006C595A"/>
    <w:rsid w:val="006C61CB"/>
    <w:rsid w:val="006C6759"/>
    <w:rsid w:val="006C6CA8"/>
    <w:rsid w:val="006C6F8E"/>
    <w:rsid w:val="006C7038"/>
    <w:rsid w:val="006C79D8"/>
    <w:rsid w:val="006C7C43"/>
    <w:rsid w:val="006C7F85"/>
    <w:rsid w:val="006D013D"/>
    <w:rsid w:val="006D08EC"/>
    <w:rsid w:val="006D0B75"/>
    <w:rsid w:val="006D1457"/>
    <w:rsid w:val="006D1841"/>
    <w:rsid w:val="006D184D"/>
    <w:rsid w:val="006D2300"/>
    <w:rsid w:val="006D2317"/>
    <w:rsid w:val="006D248C"/>
    <w:rsid w:val="006D25FB"/>
    <w:rsid w:val="006D28D1"/>
    <w:rsid w:val="006D4008"/>
    <w:rsid w:val="006D4717"/>
    <w:rsid w:val="006D4BA4"/>
    <w:rsid w:val="006D5537"/>
    <w:rsid w:val="006D5E03"/>
    <w:rsid w:val="006D6198"/>
    <w:rsid w:val="006D6988"/>
    <w:rsid w:val="006D6C71"/>
    <w:rsid w:val="006D71EC"/>
    <w:rsid w:val="006D7291"/>
    <w:rsid w:val="006D7F16"/>
    <w:rsid w:val="006E0942"/>
    <w:rsid w:val="006E11F4"/>
    <w:rsid w:val="006E171D"/>
    <w:rsid w:val="006E1B17"/>
    <w:rsid w:val="006E1B61"/>
    <w:rsid w:val="006E1C77"/>
    <w:rsid w:val="006E20FC"/>
    <w:rsid w:val="006E2407"/>
    <w:rsid w:val="006E2919"/>
    <w:rsid w:val="006E2C7C"/>
    <w:rsid w:val="006E2CF2"/>
    <w:rsid w:val="006E32B7"/>
    <w:rsid w:val="006E3389"/>
    <w:rsid w:val="006E470A"/>
    <w:rsid w:val="006E5044"/>
    <w:rsid w:val="006E72DC"/>
    <w:rsid w:val="006E73EF"/>
    <w:rsid w:val="006E7CD7"/>
    <w:rsid w:val="006E7E43"/>
    <w:rsid w:val="006F0ECE"/>
    <w:rsid w:val="006F12A6"/>
    <w:rsid w:val="006F1381"/>
    <w:rsid w:val="006F1833"/>
    <w:rsid w:val="006F1C2D"/>
    <w:rsid w:val="006F20B3"/>
    <w:rsid w:val="006F258D"/>
    <w:rsid w:val="006F2855"/>
    <w:rsid w:val="006F2B2A"/>
    <w:rsid w:val="006F3040"/>
    <w:rsid w:val="006F3C5D"/>
    <w:rsid w:val="006F4644"/>
    <w:rsid w:val="006F4842"/>
    <w:rsid w:val="006F501D"/>
    <w:rsid w:val="006F5827"/>
    <w:rsid w:val="006F5BDE"/>
    <w:rsid w:val="006F5DC2"/>
    <w:rsid w:val="006F5E94"/>
    <w:rsid w:val="006F6783"/>
    <w:rsid w:val="006F6B69"/>
    <w:rsid w:val="006F6BA8"/>
    <w:rsid w:val="0070004F"/>
    <w:rsid w:val="00700123"/>
    <w:rsid w:val="007007C5"/>
    <w:rsid w:val="007015B8"/>
    <w:rsid w:val="00702206"/>
    <w:rsid w:val="00702E00"/>
    <w:rsid w:val="007034BB"/>
    <w:rsid w:val="00704DD1"/>
    <w:rsid w:val="00705B4D"/>
    <w:rsid w:val="00707218"/>
    <w:rsid w:val="0070756D"/>
    <w:rsid w:val="00707EFD"/>
    <w:rsid w:val="007100A1"/>
    <w:rsid w:val="00710DA2"/>
    <w:rsid w:val="007110F5"/>
    <w:rsid w:val="007115FC"/>
    <w:rsid w:val="0071168B"/>
    <w:rsid w:val="007118EE"/>
    <w:rsid w:val="00711908"/>
    <w:rsid w:val="00711D05"/>
    <w:rsid w:val="00713693"/>
    <w:rsid w:val="00714AC5"/>
    <w:rsid w:val="00714D4D"/>
    <w:rsid w:val="007151DE"/>
    <w:rsid w:val="007158F1"/>
    <w:rsid w:val="0071651D"/>
    <w:rsid w:val="007176C5"/>
    <w:rsid w:val="00720461"/>
    <w:rsid w:val="00720BA9"/>
    <w:rsid w:val="0072124C"/>
    <w:rsid w:val="00721494"/>
    <w:rsid w:val="00721AD7"/>
    <w:rsid w:val="00721B45"/>
    <w:rsid w:val="007221E4"/>
    <w:rsid w:val="00722609"/>
    <w:rsid w:val="0072275A"/>
    <w:rsid w:val="007236A3"/>
    <w:rsid w:val="007238CE"/>
    <w:rsid w:val="00723D00"/>
    <w:rsid w:val="0072441C"/>
    <w:rsid w:val="0072451A"/>
    <w:rsid w:val="00726018"/>
    <w:rsid w:val="00726ED9"/>
    <w:rsid w:val="00726FB2"/>
    <w:rsid w:val="00727901"/>
    <w:rsid w:val="00727B49"/>
    <w:rsid w:val="00727FC8"/>
    <w:rsid w:val="007303C2"/>
    <w:rsid w:val="007304B9"/>
    <w:rsid w:val="00730C2D"/>
    <w:rsid w:val="00730C6B"/>
    <w:rsid w:val="00730ED2"/>
    <w:rsid w:val="0073128E"/>
    <w:rsid w:val="00731A0B"/>
    <w:rsid w:val="00731FFC"/>
    <w:rsid w:val="007320E0"/>
    <w:rsid w:val="00732695"/>
    <w:rsid w:val="00732C93"/>
    <w:rsid w:val="00732F89"/>
    <w:rsid w:val="007335C5"/>
    <w:rsid w:val="00733D2F"/>
    <w:rsid w:val="00733ECD"/>
    <w:rsid w:val="00734336"/>
    <w:rsid w:val="007365E7"/>
    <w:rsid w:val="00737022"/>
    <w:rsid w:val="00737A1E"/>
    <w:rsid w:val="00737AF4"/>
    <w:rsid w:val="007406C4"/>
    <w:rsid w:val="00740CD1"/>
    <w:rsid w:val="00741119"/>
    <w:rsid w:val="0074148F"/>
    <w:rsid w:val="007416C7"/>
    <w:rsid w:val="00741843"/>
    <w:rsid w:val="00741952"/>
    <w:rsid w:val="007419CC"/>
    <w:rsid w:val="00742CAC"/>
    <w:rsid w:val="00743310"/>
    <w:rsid w:val="007435E3"/>
    <w:rsid w:val="007438A3"/>
    <w:rsid w:val="007438D3"/>
    <w:rsid w:val="00743BB4"/>
    <w:rsid w:val="00743C2A"/>
    <w:rsid w:val="00743EBC"/>
    <w:rsid w:val="00744503"/>
    <w:rsid w:val="00744754"/>
    <w:rsid w:val="00745000"/>
    <w:rsid w:val="0074583D"/>
    <w:rsid w:val="007461EB"/>
    <w:rsid w:val="00746734"/>
    <w:rsid w:val="00746C69"/>
    <w:rsid w:val="00746ED1"/>
    <w:rsid w:val="00747302"/>
    <w:rsid w:val="00747BFE"/>
    <w:rsid w:val="00750055"/>
    <w:rsid w:val="007501A9"/>
    <w:rsid w:val="00750352"/>
    <w:rsid w:val="0075077F"/>
    <w:rsid w:val="00750CB0"/>
    <w:rsid w:val="00750D0C"/>
    <w:rsid w:val="007516AC"/>
    <w:rsid w:val="007517F7"/>
    <w:rsid w:val="00752052"/>
    <w:rsid w:val="007527C6"/>
    <w:rsid w:val="0075293E"/>
    <w:rsid w:val="007529B5"/>
    <w:rsid w:val="00752F0C"/>
    <w:rsid w:val="00753039"/>
    <w:rsid w:val="007545A6"/>
    <w:rsid w:val="007546E2"/>
    <w:rsid w:val="00754B25"/>
    <w:rsid w:val="00754C35"/>
    <w:rsid w:val="0075538F"/>
    <w:rsid w:val="007554E1"/>
    <w:rsid w:val="00756C76"/>
    <w:rsid w:val="00757811"/>
    <w:rsid w:val="00757E6B"/>
    <w:rsid w:val="00760036"/>
    <w:rsid w:val="007604BB"/>
    <w:rsid w:val="00760706"/>
    <w:rsid w:val="0076088D"/>
    <w:rsid w:val="00761DF5"/>
    <w:rsid w:val="0076248A"/>
    <w:rsid w:val="0076271B"/>
    <w:rsid w:val="00762B42"/>
    <w:rsid w:val="00763B13"/>
    <w:rsid w:val="00763DB9"/>
    <w:rsid w:val="00766221"/>
    <w:rsid w:val="00770C4C"/>
    <w:rsid w:val="00770EE6"/>
    <w:rsid w:val="0077181A"/>
    <w:rsid w:val="00771DC2"/>
    <w:rsid w:val="00772118"/>
    <w:rsid w:val="00772659"/>
    <w:rsid w:val="0077286C"/>
    <w:rsid w:val="0077305F"/>
    <w:rsid w:val="00773A04"/>
    <w:rsid w:val="00773D1D"/>
    <w:rsid w:val="00774037"/>
    <w:rsid w:val="007741DF"/>
    <w:rsid w:val="007741E1"/>
    <w:rsid w:val="0077460D"/>
    <w:rsid w:val="0077492C"/>
    <w:rsid w:val="00774CEB"/>
    <w:rsid w:val="007756A7"/>
    <w:rsid w:val="007758AB"/>
    <w:rsid w:val="0077599D"/>
    <w:rsid w:val="00775BD8"/>
    <w:rsid w:val="007760F6"/>
    <w:rsid w:val="00776B70"/>
    <w:rsid w:val="0077783F"/>
    <w:rsid w:val="00777969"/>
    <w:rsid w:val="007809A1"/>
    <w:rsid w:val="00780EA2"/>
    <w:rsid w:val="007814CB"/>
    <w:rsid w:val="0078349B"/>
    <w:rsid w:val="00783971"/>
    <w:rsid w:val="007849C5"/>
    <w:rsid w:val="00784B96"/>
    <w:rsid w:val="00785222"/>
    <w:rsid w:val="00785232"/>
    <w:rsid w:val="00785259"/>
    <w:rsid w:val="0078553F"/>
    <w:rsid w:val="00785F04"/>
    <w:rsid w:val="00785FE6"/>
    <w:rsid w:val="00786259"/>
    <w:rsid w:val="0078658C"/>
    <w:rsid w:val="007866E8"/>
    <w:rsid w:val="0078680C"/>
    <w:rsid w:val="00786B6A"/>
    <w:rsid w:val="00786F48"/>
    <w:rsid w:val="00786FC2"/>
    <w:rsid w:val="00787463"/>
    <w:rsid w:val="007876E8"/>
    <w:rsid w:val="007878EA"/>
    <w:rsid w:val="00790323"/>
    <w:rsid w:val="00790E23"/>
    <w:rsid w:val="00790E27"/>
    <w:rsid w:val="00791363"/>
    <w:rsid w:val="007917D8"/>
    <w:rsid w:val="00791EF8"/>
    <w:rsid w:val="007920A5"/>
    <w:rsid w:val="00792A77"/>
    <w:rsid w:val="00792D57"/>
    <w:rsid w:val="00792FE0"/>
    <w:rsid w:val="00793194"/>
    <w:rsid w:val="007931D7"/>
    <w:rsid w:val="007935A8"/>
    <w:rsid w:val="007939FE"/>
    <w:rsid w:val="00794050"/>
    <w:rsid w:val="007943D6"/>
    <w:rsid w:val="007945A3"/>
    <w:rsid w:val="00794A12"/>
    <w:rsid w:val="00794C27"/>
    <w:rsid w:val="00794F0D"/>
    <w:rsid w:val="00796A4A"/>
    <w:rsid w:val="00796F56"/>
    <w:rsid w:val="00797017"/>
    <w:rsid w:val="00797115"/>
    <w:rsid w:val="00797B01"/>
    <w:rsid w:val="00797F98"/>
    <w:rsid w:val="007A0DBB"/>
    <w:rsid w:val="007A21EB"/>
    <w:rsid w:val="007A23D6"/>
    <w:rsid w:val="007A24C6"/>
    <w:rsid w:val="007A2E73"/>
    <w:rsid w:val="007A3017"/>
    <w:rsid w:val="007A30A3"/>
    <w:rsid w:val="007A33A3"/>
    <w:rsid w:val="007A37AF"/>
    <w:rsid w:val="007A52D4"/>
    <w:rsid w:val="007A5963"/>
    <w:rsid w:val="007A5EE2"/>
    <w:rsid w:val="007A66FC"/>
    <w:rsid w:val="007A6A4B"/>
    <w:rsid w:val="007A6BDA"/>
    <w:rsid w:val="007A6D4D"/>
    <w:rsid w:val="007A6E61"/>
    <w:rsid w:val="007A7292"/>
    <w:rsid w:val="007A7EEE"/>
    <w:rsid w:val="007B0221"/>
    <w:rsid w:val="007B054E"/>
    <w:rsid w:val="007B05AE"/>
    <w:rsid w:val="007B0D98"/>
    <w:rsid w:val="007B1233"/>
    <w:rsid w:val="007B1A93"/>
    <w:rsid w:val="007B1CE8"/>
    <w:rsid w:val="007B2C2C"/>
    <w:rsid w:val="007B33CE"/>
    <w:rsid w:val="007B3AEC"/>
    <w:rsid w:val="007B40D6"/>
    <w:rsid w:val="007B4491"/>
    <w:rsid w:val="007B4BE3"/>
    <w:rsid w:val="007B58E8"/>
    <w:rsid w:val="007B6325"/>
    <w:rsid w:val="007B76CA"/>
    <w:rsid w:val="007C0319"/>
    <w:rsid w:val="007C050D"/>
    <w:rsid w:val="007C0A44"/>
    <w:rsid w:val="007C1051"/>
    <w:rsid w:val="007C2692"/>
    <w:rsid w:val="007C2E8B"/>
    <w:rsid w:val="007C36C9"/>
    <w:rsid w:val="007C3E83"/>
    <w:rsid w:val="007D0264"/>
    <w:rsid w:val="007D08BB"/>
    <w:rsid w:val="007D0A89"/>
    <w:rsid w:val="007D174F"/>
    <w:rsid w:val="007D1ACD"/>
    <w:rsid w:val="007D20F9"/>
    <w:rsid w:val="007D219C"/>
    <w:rsid w:val="007D2A15"/>
    <w:rsid w:val="007D2A92"/>
    <w:rsid w:val="007D3778"/>
    <w:rsid w:val="007D40BF"/>
    <w:rsid w:val="007D5879"/>
    <w:rsid w:val="007D6401"/>
    <w:rsid w:val="007D6D7C"/>
    <w:rsid w:val="007E01E4"/>
    <w:rsid w:val="007E0335"/>
    <w:rsid w:val="007E0B00"/>
    <w:rsid w:val="007E10D9"/>
    <w:rsid w:val="007E1D49"/>
    <w:rsid w:val="007E2606"/>
    <w:rsid w:val="007E2609"/>
    <w:rsid w:val="007E2B27"/>
    <w:rsid w:val="007E4E21"/>
    <w:rsid w:val="007E5513"/>
    <w:rsid w:val="007E5694"/>
    <w:rsid w:val="007E58B0"/>
    <w:rsid w:val="007E61E0"/>
    <w:rsid w:val="007E64AF"/>
    <w:rsid w:val="007E701C"/>
    <w:rsid w:val="007E725E"/>
    <w:rsid w:val="007E7969"/>
    <w:rsid w:val="007F04F9"/>
    <w:rsid w:val="007F1C08"/>
    <w:rsid w:val="007F25DB"/>
    <w:rsid w:val="007F2673"/>
    <w:rsid w:val="007F2B0E"/>
    <w:rsid w:val="007F2BF6"/>
    <w:rsid w:val="007F30C3"/>
    <w:rsid w:val="007F3942"/>
    <w:rsid w:val="007F3C99"/>
    <w:rsid w:val="007F3E26"/>
    <w:rsid w:val="007F4D62"/>
    <w:rsid w:val="007F4D75"/>
    <w:rsid w:val="007F4EE5"/>
    <w:rsid w:val="007F5689"/>
    <w:rsid w:val="007F648C"/>
    <w:rsid w:val="007F64A7"/>
    <w:rsid w:val="007F671B"/>
    <w:rsid w:val="007F7107"/>
    <w:rsid w:val="007F7E48"/>
    <w:rsid w:val="007F7F78"/>
    <w:rsid w:val="00800A01"/>
    <w:rsid w:val="00800D4C"/>
    <w:rsid w:val="00801B09"/>
    <w:rsid w:val="00802759"/>
    <w:rsid w:val="00802A9D"/>
    <w:rsid w:val="00802B18"/>
    <w:rsid w:val="00802F8C"/>
    <w:rsid w:val="008030B0"/>
    <w:rsid w:val="008036FE"/>
    <w:rsid w:val="00803EE5"/>
    <w:rsid w:val="0080474A"/>
    <w:rsid w:val="00806774"/>
    <w:rsid w:val="00806A90"/>
    <w:rsid w:val="00807731"/>
    <w:rsid w:val="00807DA6"/>
    <w:rsid w:val="00810123"/>
    <w:rsid w:val="0081030F"/>
    <w:rsid w:val="00810596"/>
    <w:rsid w:val="00811843"/>
    <w:rsid w:val="008119D9"/>
    <w:rsid w:val="00811CA7"/>
    <w:rsid w:val="00812228"/>
    <w:rsid w:val="00812544"/>
    <w:rsid w:val="00812D24"/>
    <w:rsid w:val="00813174"/>
    <w:rsid w:val="00813CBC"/>
    <w:rsid w:val="00813F65"/>
    <w:rsid w:val="008140AF"/>
    <w:rsid w:val="00814764"/>
    <w:rsid w:val="00814ADA"/>
    <w:rsid w:val="00814DA9"/>
    <w:rsid w:val="0081539D"/>
    <w:rsid w:val="008153F0"/>
    <w:rsid w:val="0081540E"/>
    <w:rsid w:val="008161A0"/>
    <w:rsid w:val="0081643E"/>
    <w:rsid w:val="00816D29"/>
    <w:rsid w:val="00816DDF"/>
    <w:rsid w:val="00817318"/>
    <w:rsid w:val="0081785A"/>
    <w:rsid w:val="00817AD4"/>
    <w:rsid w:val="00817C5D"/>
    <w:rsid w:val="00820835"/>
    <w:rsid w:val="0082087D"/>
    <w:rsid w:val="0082095C"/>
    <w:rsid w:val="00821542"/>
    <w:rsid w:val="00821748"/>
    <w:rsid w:val="00821762"/>
    <w:rsid w:val="00821C0C"/>
    <w:rsid w:val="0082371E"/>
    <w:rsid w:val="00824462"/>
    <w:rsid w:val="00824636"/>
    <w:rsid w:val="008246A9"/>
    <w:rsid w:val="0082486F"/>
    <w:rsid w:val="00824A09"/>
    <w:rsid w:val="00824C60"/>
    <w:rsid w:val="0082555E"/>
    <w:rsid w:val="00825B1E"/>
    <w:rsid w:val="00826868"/>
    <w:rsid w:val="00826945"/>
    <w:rsid w:val="00826B02"/>
    <w:rsid w:val="00826B1A"/>
    <w:rsid w:val="00827583"/>
    <w:rsid w:val="00827A4F"/>
    <w:rsid w:val="00827DC9"/>
    <w:rsid w:val="00831526"/>
    <w:rsid w:val="0083156B"/>
    <w:rsid w:val="00831879"/>
    <w:rsid w:val="00831B4E"/>
    <w:rsid w:val="008328A6"/>
    <w:rsid w:val="00833022"/>
    <w:rsid w:val="0083309B"/>
    <w:rsid w:val="00833657"/>
    <w:rsid w:val="00833A07"/>
    <w:rsid w:val="00834AF7"/>
    <w:rsid w:val="00834E79"/>
    <w:rsid w:val="0083544E"/>
    <w:rsid w:val="0083555C"/>
    <w:rsid w:val="00835771"/>
    <w:rsid w:val="008364BF"/>
    <w:rsid w:val="008375B7"/>
    <w:rsid w:val="00840C1E"/>
    <w:rsid w:val="00840F5F"/>
    <w:rsid w:val="00841557"/>
    <w:rsid w:val="00841B27"/>
    <w:rsid w:val="00841D12"/>
    <w:rsid w:val="00841DF1"/>
    <w:rsid w:val="00842933"/>
    <w:rsid w:val="008431E1"/>
    <w:rsid w:val="0084352E"/>
    <w:rsid w:val="00843E82"/>
    <w:rsid w:val="008442FF"/>
    <w:rsid w:val="0084461D"/>
    <w:rsid w:val="008447A9"/>
    <w:rsid w:val="00845835"/>
    <w:rsid w:val="00845E07"/>
    <w:rsid w:val="00846B05"/>
    <w:rsid w:val="008473EA"/>
    <w:rsid w:val="00847532"/>
    <w:rsid w:val="008475B6"/>
    <w:rsid w:val="00847BC8"/>
    <w:rsid w:val="00847EEF"/>
    <w:rsid w:val="008500B7"/>
    <w:rsid w:val="00850561"/>
    <w:rsid w:val="00851A27"/>
    <w:rsid w:val="00851E45"/>
    <w:rsid w:val="00852522"/>
    <w:rsid w:val="008528B7"/>
    <w:rsid w:val="00852D90"/>
    <w:rsid w:val="00853690"/>
    <w:rsid w:val="008539D6"/>
    <w:rsid w:val="00854543"/>
    <w:rsid w:val="008545E9"/>
    <w:rsid w:val="008554E8"/>
    <w:rsid w:val="00855600"/>
    <w:rsid w:val="00855A9D"/>
    <w:rsid w:val="00856C28"/>
    <w:rsid w:val="00857456"/>
    <w:rsid w:val="00857C2D"/>
    <w:rsid w:val="00860055"/>
    <w:rsid w:val="00860234"/>
    <w:rsid w:val="00860587"/>
    <w:rsid w:val="0086082C"/>
    <w:rsid w:val="00860866"/>
    <w:rsid w:val="00861523"/>
    <w:rsid w:val="00861A15"/>
    <w:rsid w:val="00862EC0"/>
    <w:rsid w:val="00863449"/>
    <w:rsid w:val="00863499"/>
    <w:rsid w:val="008636B9"/>
    <w:rsid w:val="0086376C"/>
    <w:rsid w:val="008647A1"/>
    <w:rsid w:val="00864904"/>
    <w:rsid w:val="00864965"/>
    <w:rsid w:val="00864ADC"/>
    <w:rsid w:val="00864FEF"/>
    <w:rsid w:val="0086579D"/>
    <w:rsid w:val="00865E3D"/>
    <w:rsid w:val="0086752C"/>
    <w:rsid w:val="008679E8"/>
    <w:rsid w:val="00870722"/>
    <w:rsid w:val="00870B68"/>
    <w:rsid w:val="00871C91"/>
    <w:rsid w:val="00872092"/>
    <w:rsid w:val="00872258"/>
    <w:rsid w:val="008722E8"/>
    <w:rsid w:val="00872399"/>
    <w:rsid w:val="00872B49"/>
    <w:rsid w:val="00873047"/>
    <w:rsid w:val="0087395D"/>
    <w:rsid w:val="00874797"/>
    <w:rsid w:val="00875879"/>
    <w:rsid w:val="00875E6F"/>
    <w:rsid w:val="00875FD8"/>
    <w:rsid w:val="00876350"/>
    <w:rsid w:val="0087636D"/>
    <w:rsid w:val="008766D4"/>
    <w:rsid w:val="00876917"/>
    <w:rsid w:val="00876F73"/>
    <w:rsid w:val="008770BD"/>
    <w:rsid w:val="00877E72"/>
    <w:rsid w:val="00880153"/>
    <w:rsid w:val="00880F8F"/>
    <w:rsid w:val="00880F97"/>
    <w:rsid w:val="0088133A"/>
    <w:rsid w:val="00882B28"/>
    <w:rsid w:val="0088349B"/>
    <w:rsid w:val="00883555"/>
    <w:rsid w:val="00883AF1"/>
    <w:rsid w:val="00884C01"/>
    <w:rsid w:val="00884D56"/>
    <w:rsid w:val="00885175"/>
    <w:rsid w:val="0088534B"/>
    <w:rsid w:val="008868F1"/>
    <w:rsid w:val="00886F15"/>
    <w:rsid w:val="00887186"/>
    <w:rsid w:val="008879A5"/>
    <w:rsid w:val="008905A3"/>
    <w:rsid w:val="00890D73"/>
    <w:rsid w:val="00890F28"/>
    <w:rsid w:val="00891196"/>
    <w:rsid w:val="008913AC"/>
    <w:rsid w:val="00891834"/>
    <w:rsid w:val="00891DA4"/>
    <w:rsid w:val="008921EA"/>
    <w:rsid w:val="008922C6"/>
    <w:rsid w:val="0089251F"/>
    <w:rsid w:val="0089285E"/>
    <w:rsid w:val="00892C5F"/>
    <w:rsid w:val="00892FF4"/>
    <w:rsid w:val="00893290"/>
    <w:rsid w:val="0089436C"/>
    <w:rsid w:val="00896477"/>
    <w:rsid w:val="00896C6F"/>
    <w:rsid w:val="00897A92"/>
    <w:rsid w:val="008A01E9"/>
    <w:rsid w:val="008A04D9"/>
    <w:rsid w:val="008A0B43"/>
    <w:rsid w:val="008A0FF7"/>
    <w:rsid w:val="008A13B0"/>
    <w:rsid w:val="008A1C02"/>
    <w:rsid w:val="008A1DC6"/>
    <w:rsid w:val="008A226F"/>
    <w:rsid w:val="008A2354"/>
    <w:rsid w:val="008A27C1"/>
    <w:rsid w:val="008A2980"/>
    <w:rsid w:val="008A3310"/>
    <w:rsid w:val="008A35C5"/>
    <w:rsid w:val="008A42F0"/>
    <w:rsid w:val="008A43C4"/>
    <w:rsid w:val="008A579B"/>
    <w:rsid w:val="008A5A16"/>
    <w:rsid w:val="008A6401"/>
    <w:rsid w:val="008A68A3"/>
    <w:rsid w:val="008A7717"/>
    <w:rsid w:val="008B0267"/>
    <w:rsid w:val="008B0C3B"/>
    <w:rsid w:val="008B14E0"/>
    <w:rsid w:val="008B1BF6"/>
    <w:rsid w:val="008B1BFB"/>
    <w:rsid w:val="008B1C7B"/>
    <w:rsid w:val="008B1E72"/>
    <w:rsid w:val="008B232F"/>
    <w:rsid w:val="008B2806"/>
    <w:rsid w:val="008B2C7F"/>
    <w:rsid w:val="008B2E28"/>
    <w:rsid w:val="008B3023"/>
    <w:rsid w:val="008B3A5C"/>
    <w:rsid w:val="008B3AEB"/>
    <w:rsid w:val="008B4297"/>
    <w:rsid w:val="008B47ED"/>
    <w:rsid w:val="008B4A2E"/>
    <w:rsid w:val="008B4D14"/>
    <w:rsid w:val="008B5474"/>
    <w:rsid w:val="008B63A3"/>
    <w:rsid w:val="008B649A"/>
    <w:rsid w:val="008B684D"/>
    <w:rsid w:val="008B6881"/>
    <w:rsid w:val="008B69F1"/>
    <w:rsid w:val="008B6CC4"/>
    <w:rsid w:val="008B6E8E"/>
    <w:rsid w:val="008B7227"/>
    <w:rsid w:val="008B7453"/>
    <w:rsid w:val="008B7CE2"/>
    <w:rsid w:val="008C0031"/>
    <w:rsid w:val="008C012C"/>
    <w:rsid w:val="008C0911"/>
    <w:rsid w:val="008C097E"/>
    <w:rsid w:val="008C2F4A"/>
    <w:rsid w:val="008C3053"/>
    <w:rsid w:val="008C32EA"/>
    <w:rsid w:val="008C3485"/>
    <w:rsid w:val="008C35DC"/>
    <w:rsid w:val="008C4FDA"/>
    <w:rsid w:val="008C59D2"/>
    <w:rsid w:val="008C5B63"/>
    <w:rsid w:val="008C5F15"/>
    <w:rsid w:val="008C66A4"/>
    <w:rsid w:val="008C6C0B"/>
    <w:rsid w:val="008C7522"/>
    <w:rsid w:val="008D0C17"/>
    <w:rsid w:val="008D1AC1"/>
    <w:rsid w:val="008D2131"/>
    <w:rsid w:val="008D3571"/>
    <w:rsid w:val="008D365C"/>
    <w:rsid w:val="008D3B75"/>
    <w:rsid w:val="008D3CF8"/>
    <w:rsid w:val="008D4313"/>
    <w:rsid w:val="008D45BD"/>
    <w:rsid w:val="008D45C9"/>
    <w:rsid w:val="008D5994"/>
    <w:rsid w:val="008D6C45"/>
    <w:rsid w:val="008E0DB9"/>
    <w:rsid w:val="008E0DF5"/>
    <w:rsid w:val="008E10D3"/>
    <w:rsid w:val="008E121B"/>
    <w:rsid w:val="008E2C08"/>
    <w:rsid w:val="008E2FEF"/>
    <w:rsid w:val="008E38CB"/>
    <w:rsid w:val="008E38DC"/>
    <w:rsid w:val="008E39E2"/>
    <w:rsid w:val="008E3DEA"/>
    <w:rsid w:val="008E3F2B"/>
    <w:rsid w:val="008E4112"/>
    <w:rsid w:val="008E4403"/>
    <w:rsid w:val="008E4BED"/>
    <w:rsid w:val="008E4EC6"/>
    <w:rsid w:val="008E51BA"/>
    <w:rsid w:val="008E580E"/>
    <w:rsid w:val="008E5CA6"/>
    <w:rsid w:val="008E5DD9"/>
    <w:rsid w:val="008E735C"/>
    <w:rsid w:val="008E73BA"/>
    <w:rsid w:val="008E76E6"/>
    <w:rsid w:val="008E7745"/>
    <w:rsid w:val="008E7905"/>
    <w:rsid w:val="008F025E"/>
    <w:rsid w:val="008F027A"/>
    <w:rsid w:val="008F0431"/>
    <w:rsid w:val="008F152C"/>
    <w:rsid w:val="008F1539"/>
    <w:rsid w:val="008F1E68"/>
    <w:rsid w:val="008F2605"/>
    <w:rsid w:val="008F2BFF"/>
    <w:rsid w:val="008F2E8E"/>
    <w:rsid w:val="008F2F10"/>
    <w:rsid w:val="008F3446"/>
    <w:rsid w:val="008F3660"/>
    <w:rsid w:val="008F3758"/>
    <w:rsid w:val="008F3766"/>
    <w:rsid w:val="008F3775"/>
    <w:rsid w:val="008F390C"/>
    <w:rsid w:val="008F4351"/>
    <w:rsid w:val="008F59B8"/>
    <w:rsid w:val="008F5A92"/>
    <w:rsid w:val="008F6131"/>
    <w:rsid w:val="008F64FE"/>
    <w:rsid w:val="008F6FC5"/>
    <w:rsid w:val="008F7753"/>
    <w:rsid w:val="008F7F10"/>
    <w:rsid w:val="009007E9"/>
    <w:rsid w:val="009009D6"/>
    <w:rsid w:val="00901A24"/>
    <w:rsid w:val="00901F8D"/>
    <w:rsid w:val="00902747"/>
    <w:rsid w:val="0090286E"/>
    <w:rsid w:val="009029FA"/>
    <w:rsid w:val="009030BF"/>
    <w:rsid w:val="0090398A"/>
    <w:rsid w:val="0090569D"/>
    <w:rsid w:val="00905A7A"/>
    <w:rsid w:val="00906AC3"/>
    <w:rsid w:val="00906D62"/>
    <w:rsid w:val="0090721E"/>
    <w:rsid w:val="00907553"/>
    <w:rsid w:val="0091032F"/>
    <w:rsid w:val="009106C5"/>
    <w:rsid w:val="00910DBD"/>
    <w:rsid w:val="00911281"/>
    <w:rsid w:val="00912926"/>
    <w:rsid w:val="00912A79"/>
    <w:rsid w:val="00912F7E"/>
    <w:rsid w:val="00913394"/>
    <w:rsid w:val="00914368"/>
    <w:rsid w:val="00915577"/>
    <w:rsid w:val="00915966"/>
    <w:rsid w:val="00915C80"/>
    <w:rsid w:val="00916809"/>
    <w:rsid w:val="009168A1"/>
    <w:rsid w:val="0091721C"/>
    <w:rsid w:val="0092003B"/>
    <w:rsid w:val="0092089D"/>
    <w:rsid w:val="00920CFC"/>
    <w:rsid w:val="00921967"/>
    <w:rsid w:val="00921A2A"/>
    <w:rsid w:val="00922025"/>
    <w:rsid w:val="0092242E"/>
    <w:rsid w:val="009225F9"/>
    <w:rsid w:val="009227ED"/>
    <w:rsid w:val="00922B5E"/>
    <w:rsid w:val="00922E46"/>
    <w:rsid w:val="0092458C"/>
    <w:rsid w:val="00924DE7"/>
    <w:rsid w:val="00925AC5"/>
    <w:rsid w:val="00926137"/>
    <w:rsid w:val="0092654C"/>
    <w:rsid w:val="009276F8"/>
    <w:rsid w:val="00927DDB"/>
    <w:rsid w:val="00927EAB"/>
    <w:rsid w:val="00927EB4"/>
    <w:rsid w:val="009302B7"/>
    <w:rsid w:val="00931076"/>
    <w:rsid w:val="0093175A"/>
    <w:rsid w:val="0093252D"/>
    <w:rsid w:val="00932CE7"/>
    <w:rsid w:val="009331A8"/>
    <w:rsid w:val="0093328C"/>
    <w:rsid w:val="009335EA"/>
    <w:rsid w:val="00933692"/>
    <w:rsid w:val="00933BC3"/>
    <w:rsid w:val="0093402A"/>
    <w:rsid w:val="009343A5"/>
    <w:rsid w:val="009345D9"/>
    <w:rsid w:val="00934B15"/>
    <w:rsid w:val="00934CE6"/>
    <w:rsid w:val="00934D72"/>
    <w:rsid w:val="009352DA"/>
    <w:rsid w:val="009353C0"/>
    <w:rsid w:val="00935FFD"/>
    <w:rsid w:val="0093613A"/>
    <w:rsid w:val="009364C3"/>
    <w:rsid w:val="00936796"/>
    <w:rsid w:val="009367AC"/>
    <w:rsid w:val="00936E00"/>
    <w:rsid w:val="00937877"/>
    <w:rsid w:val="00937B09"/>
    <w:rsid w:val="009404AF"/>
    <w:rsid w:val="00940928"/>
    <w:rsid w:val="00940C87"/>
    <w:rsid w:val="00942B62"/>
    <w:rsid w:val="00942EB8"/>
    <w:rsid w:val="00944675"/>
    <w:rsid w:val="0094490A"/>
    <w:rsid w:val="00944AF9"/>
    <w:rsid w:val="00945294"/>
    <w:rsid w:val="00945504"/>
    <w:rsid w:val="0094553E"/>
    <w:rsid w:val="00945AE2"/>
    <w:rsid w:val="00945F13"/>
    <w:rsid w:val="00946976"/>
    <w:rsid w:val="009475E6"/>
    <w:rsid w:val="00947F10"/>
    <w:rsid w:val="0095008B"/>
    <w:rsid w:val="00951327"/>
    <w:rsid w:val="00951344"/>
    <w:rsid w:val="00951B39"/>
    <w:rsid w:val="00951E34"/>
    <w:rsid w:val="00951ED4"/>
    <w:rsid w:val="00952AE8"/>
    <w:rsid w:val="00952C4B"/>
    <w:rsid w:val="00952F9B"/>
    <w:rsid w:val="0095323B"/>
    <w:rsid w:val="00953A7C"/>
    <w:rsid w:val="009545E9"/>
    <w:rsid w:val="00954921"/>
    <w:rsid w:val="00956031"/>
    <w:rsid w:val="00956305"/>
    <w:rsid w:val="00956A0C"/>
    <w:rsid w:val="00956B35"/>
    <w:rsid w:val="00956BD9"/>
    <w:rsid w:val="009571D8"/>
    <w:rsid w:val="00957228"/>
    <w:rsid w:val="009603AE"/>
    <w:rsid w:val="00960CB2"/>
    <w:rsid w:val="00961915"/>
    <w:rsid w:val="009619DB"/>
    <w:rsid w:val="00962489"/>
    <w:rsid w:val="00962980"/>
    <w:rsid w:val="00962991"/>
    <w:rsid w:val="00962D39"/>
    <w:rsid w:val="00963036"/>
    <w:rsid w:val="00963B44"/>
    <w:rsid w:val="00963EB6"/>
    <w:rsid w:val="009641FC"/>
    <w:rsid w:val="00964ECE"/>
    <w:rsid w:val="00964EEB"/>
    <w:rsid w:val="00965648"/>
    <w:rsid w:val="009659F5"/>
    <w:rsid w:val="00965C55"/>
    <w:rsid w:val="00966AF2"/>
    <w:rsid w:val="00967A0E"/>
    <w:rsid w:val="00967FBC"/>
    <w:rsid w:val="00970063"/>
    <w:rsid w:val="00970598"/>
    <w:rsid w:val="009709B0"/>
    <w:rsid w:val="00970C0B"/>
    <w:rsid w:val="00970C61"/>
    <w:rsid w:val="009712ED"/>
    <w:rsid w:val="00971557"/>
    <w:rsid w:val="00971CEA"/>
    <w:rsid w:val="00971E86"/>
    <w:rsid w:val="00972445"/>
    <w:rsid w:val="00972802"/>
    <w:rsid w:val="00972BC0"/>
    <w:rsid w:val="00972C6B"/>
    <w:rsid w:val="00972F03"/>
    <w:rsid w:val="00973163"/>
    <w:rsid w:val="0097324F"/>
    <w:rsid w:val="0097387B"/>
    <w:rsid w:val="00973990"/>
    <w:rsid w:val="00974047"/>
    <w:rsid w:val="009743F2"/>
    <w:rsid w:val="00974968"/>
    <w:rsid w:val="00975CC1"/>
    <w:rsid w:val="009760A0"/>
    <w:rsid w:val="009769D4"/>
    <w:rsid w:val="00976C1F"/>
    <w:rsid w:val="00976DA3"/>
    <w:rsid w:val="009778E6"/>
    <w:rsid w:val="00977DC8"/>
    <w:rsid w:val="00977E28"/>
    <w:rsid w:val="00981433"/>
    <w:rsid w:val="00981899"/>
    <w:rsid w:val="00981C62"/>
    <w:rsid w:val="009820B6"/>
    <w:rsid w:val="00982743"/>
    <w:rsid w:val="00982EC4"/>
    <w:rsid w:val="009839FB"/>
    <w:rsid w:val="00984A34"/>
    <w:rsid w:val="00984A8F"/>
    <w:rsid w:val="00984AFD"/>
    <w:rsid w:val="00984FE3"/>
    <w:rsid w:val="00985E92"/>
    <w:rsid w:val="00986DAE"/>
    <w:rsid w:val="00986E9E"/>
    <w:rsid w:val="00987582"/>
    <w:rsid w:val="009876E5"/>
    <w:rsid w:val="00987B85"/>
    <w:rsid w:val="00990C2C"/>
    <w:rsid w:val="0099115B"/>
    <w:rsid w:val="00991237"/>
    <w:rsid w:val="0099167E"/>
    <w:rsid w:val="00991769"/>
    <w:rsid w:val="0099203D"/>
    <w:rsid w:val="00993561"/>
    <w:rsid w:val="00993641"/>
    <w:rsid w:val="00993A4C"/>
    <w:rsid w:val="00993BF6"/>
    <w:rsid w:val="00993F92"/>
    <w:rsid w:val="00994DF0"/>
    <w:rsid w:val="009953C4"/>
    <w:rsid w:val="00996E3C"/>
    <w:rsid w:val="0099724D"/>
    <w:rsid w:val="009973E1"/>
    <w:rsid w:val="00997E67"/>
    <w:rsid w:val="00997F20"/>
    <w:rsid w:val="009A0B5A"/>
    <w:rsid w:val="009A0E4B"/>
    <w:rsid w:val="009A1503"/>
    <w:rsid w:val="009A163B"/>
    <w:rsid w:val="009A1F68"/>
    <w:rsid w:val="009A2635"/>
    <w:rsid w:val="009A2A41"/>
    <w:rsid w:val="009A319C"/>
    <w:rsid w:val="009A34AF"/>
    <w:rsid w:val="009A36A2"/>
    <w:rsid w:val="009A4CC1"/>
    <w:rsid w:val="009A517E"/>
    <w:rsid w:val="009A5713"/>
    <w:rsid w:val="009A5897"/>
    <w:rsid w:val="009A646C"/>
    <w:rsid w:val="009A73DB"/>
    <w:rsid w:val="009A7423"/>
    <w:rsid w:val="009A7A35"/>
    <w:rsid w:val="009B06FC"/>
    <w:rsid w:val="009B0976"/>
    <w:rsid w:val="009B14F5"/>
    <w:rsid w:val="009B1BFF"/>
    <w:rsid w:val="009B2A7F"/>
    <w:rsid w:val="009B2EDB"/>
    <w:rsid w:val="009B3B7F"/>
    <w:rsid w:val="009B42C8"/>
    <w:rsid w:val="009B5455"/>
    <w:rsid w:val="009B56F1"/>
    <w:rsid w:val="009B5A8F"/>
    <w:rsid w:val="009B6025"/>
    <w:rsid w:val="009B62FD"/>
    <w:rsid w:val="009B6D08"/>
    <w:rsid w:val="009B6DA9"/>
    <w:rsid w:val="009B7CE5"/>
    <w:rsid w:val="009C01AA"/>
    <w:rsid w:val="009C04CA"/>
    <w:rsid w:val="009C06EF"/>
    <w:rsid w:val="009C1828"/>
    <w:rsid w:val="009C1EB9"/>
    <w:rsid w:val="009C1EC7"/>
    <w:rsid w:val="009C20F5"/>
    <w:rsid w:val="009C26DD"/>
    <w:rsid w:val="009C298C"/>
    <w:rsid w:val="009C30F4"/>
    <w:rsid w:val="009C3360"/>
    <w:rsid w:val="009C37F8"/>
    <w:rsid w:val="009C39D8"/>
    <w:rsid w:val="009C489E"/>
    <w:rsid w:val="009C48EC"/>
    <w:rsid w:val="009C68DD"/>
    <w:rsid w:val="009C70CB"/>
    <w:rsid w:val="009C7465"/>
    <w:rsid w:val="009C7910"/>
    <w:rsid w:val="009C7A89"/>
    <w:rsid w:val="009C7FB3"/>
    <w:rsid w:val="009D06D1"/>
    <w:rsid w:val="009D1D2D"/>
    <w:rsid w:val="009D258E"/>
    <w:rsid w:val="009D2632"/>
    <w:rsid w:val="009D29E0"/>
    <w:rsid w:val="009D2CC8"/>
    <w:rsid w:val="009D333E"/>
    <w:rsid w:val="009D3768"/>
    <w:rsid w:val="009D38C5"/>
    <w:rsid w:val="009D3C15"/>
    <w:rsid w:val="009D3E0A"/>
    <w:rsid w:val="009D405C"/>
    <w:rsid w:val="009D43B4"/>
    <w:rsid w:val="009D44F1"/>
    <w:rsid w:val="009D45B9"/>
    <w:rsid w:val="009D4655"/>
    <w:rsid w:val="009D509B"/>
    <w:rsid w:val="009D555F"/>
    <w:rsid w:val="009D5C23"/>
    <w:rsid w:val="009D6073"/>
    <w:rsid w:val="009D62F5"/>
    <w:rsid w:val="009E0C56"/>
    <w:rsid w:val="009E106A"/>
    <w:rsid w:val="009E1844"/>
    <w:rsid w:val="009E1C74"/>
    <w:rsid w:val="009E239D"/>
    <w:rsid w:val="009E2DA3"/>
    <w:rsid w:val="009E2FE0"/>
    <w:rsid w:val="009E3925"/>
    <w:rsid w:val="009E3CFC"/>
    <w:rsid w:val="009E4CB7"/>
    <w:rsid w:val="009E50E9"/>
    <w:rsid w:val="009E524C"/>
    <w:rsid w:val="009E5573"/>
    <w:rsid w:val="009E6132"/>
    <w:rsid w:val="009E6FEE"/>
    <w:rsid w:val="009E7011"/>
    <w:rsid w:val="009E7421"/>
    <w:rsid w:val="009E7633"/>
    <w:rsid w:val="009E7CA3"/>
    <w:rsid w:val="009F0357"/>
    <w:rsid w:val="009F0672"/>
    <w:rsid w:val="009F0D1B"/>
    <w:rsid w:val="009F0E5F"/>
    <w:rsid w:val="009F2AB7"/>
    <w:rsid w:val="009F327A"/>
    <w:rsid w:val="009F32FA"/>
    <w:rsid w:val="009F39FB"/>
    <w:rsid w:val="009F3EE7"/>
    <w:rsid w:val="009F43C1"/>
    <w:rsid w:val="009F4484"/>
    <w:rsid w:val="009F44BB"/>
    <w:rsid w:val="009F46A0"/>
    <w:rsid w:val="009F4D7E"/>
    <w:rsid w:val="009F5202"/>
    <w:rsid w:val="009F5CAD"/>
    <w:rsid w:val="009F5DE2"/>
    <w:rsid w:val="009F6130"/>
    <w:rsid w:val="009F6267"/>
    <w:rsid w:val="009F696D"/>
    <w:rsid w:val="009F6BC6"/>
    <w:rsid w:val="009F6CB4"/>
    <w:rsid w:val="009F6D37"/>
    <w:rsid w:val="009F72A8"/>
    <w:rsid w:val="009F775D"/>
    <w:rsid w:val="009F7A68"/>
    <w:rsid w:val="009F7DFD"/>
    <w:rsid w:val="009F7EE0"/>
    <w:rsid w:val="00A00037"/>
    <w:rsid w:val="00A004A0"/>
    <w:rsid w:val="00A00D02"/>
    <w:rsid w:val="00A00D79"/>
    <w:rsid w:val="00A00D8B"/>
    <w:rsid w:val="00A022B0"/>
    <w:rsid w:val="00A02379"/>
    <w:rsid w:val="00A02B67"/>
    <w:rsid w:val="00A02CCC"/>
    <w:rsid w:val="00A0404A"/>
    <w:rsid w:val="00A043E6"/>
    <w:rsid w:val="00A04D98"/>
    <w:rsid w:val="00A06923"/>
    <w:rsid w:val="00A0692B"/>
    <w:rsid w:val="00A07839"/>
    <w:rsid w:val="00A10238"/>
    <w:rsid w:val="00A10C38"/>
    <w:rsid w:val="00A11C75"/>
    <w:rsid w:val="00A12789"/>
    <w:rsid w:val="00A12AD5"/>
    <w:rsid w:val="00A12B5C"/>
    <w:rsid w:val="00A13338"/>
    <w:rsid w:val="00A14CB7"/>
    <w:rsid w:val="00A16041"/>
    <w:rsid w:val="00A1631E"/>
    <w:rsid w:val="00A16B68"/>
    <w:rsid w:val="00A16D12"/>
    <w:rsid w:val="00A1728C"/>
    <w:rsid w:val="00A17328"/>
    <w:rsid w:val="00A200A6"/>
    <w:rsid w:val="00A20341"/>
    <w:rsid w:val="00A2104B"/>
    <w:rsid w:val="00A21A08"/>
    <w:rsid w:val="00A21CCE"/>
    <w:rsid w:val="00A2203B"/>
    <w:rsid w:val="00A233C4"/>
    <w:rsid w:val="00A2379F"/>
    <w:rsid w:val="00A23A20"/>
    <w:rsid w:val="00A241C4"/>
    <w:rsid w:val="00A2438D"/>
    <w:rsid w:val="00A24BA7"/>
    <w:rsid w:val="00A250C5"/>
    <w:rsid w:val="00A253AE"/>
    <w:rsid w:val="00A25554"/>
    <w:rsid w:val="00A25A12"/>
    <w:rsid w:val="00A268B9"/>
    <w:rsid w:val="00A2703A"/>
    <w:rsid w:val="00A2740D"/>
    <w:rsid w:val="00A306FC"/>
    <w:rsid w:val="00A311CE"/>
    <w:rsid w:val="00A318EE"/>
    <w:rsid w:val="00A31999"/>
    <w:rsid w:val="00A32635"/>
    <w:rsid w:val="00A32DF4"/>
    <w:rsid w:val="00A32E97"/>
    <w:rsid w:val="00A331AC"/>
    <w:rsid w:val="00A33222"/>
    <w:rsid w:val="00A33AED"/>
    <w:rsid w:val="00A33DFF"/>
    <w:rsid w:val="00A341FE"/>
    <w:rsid w:val="00A34406"/>
    <w:rsid w:val="00A348C5"/>
    <w:rsid w:val="00A35115"/>
    <w:rsid w:val="00A3667B"/>
    <w:rsid w:val="00A36D9A"/>
    <w:rsid w:val="00A37ABC"/>
    <w:rsid w:val="00A401F8"/>
    <w:rsid w:val="00A40700"/>
    <w:rsid w:val="00A40873"/>
    <w:rsid w:val="00A4203B"/>
    <w:rsid w:val="00A422E8"/>
    <w:rsid w:val="00A43EBF"/>
    <w:rsid w:val="00A44355"/>
    <w:rsid w:val="00A44825"/>
    <w:rsid w:val="00A44E9A"/>
    <w:rsid w:val="00A461C3"/>
    <w:rsid w:val="00A477D7"/>
    <w:rsid w:val="00A47883"/>
    <w:rsid w:val="00A50026"/>
    <w:rsid w:val="00A500D8"/>
    <w:rsid w:val="00A50C60"/>
    <w:rsid w:val="00A50E01"/>
    <w:rsid w:val="00A51326"/>
    <w:rsid w:val="00A514D5"/>
    <w:rsid w:val="00A52947"/>
    <w:rsid w:val="00A53A8A"/>
    <w:rsid w:val="00A5420E"/>
    <w:rsid w:val="00A54771"/>
    <w:rsid w:val="00A54E7E"/>
    <w:rsid w:val="00A554AB"/>
    <w:rsid w:val="00A554CD"/>
    <w:rsid w:val="00A557B5"/>
    <w:rsid w:val="00A55A7E"/>
    <w:rsid w:val="00A57062"/>
    <w:rsid w:val="00A573D6"/>
    <w:rsid w:val="00A57A85"/>
    <w:rsid w:val="00A57BDF"/>
    <w:rsid w:val="00A609EF"/>
    <w:rsid w:val="00A60FBC"/>
    <w:rsid w:val="00A619D9"/>
    <w:rsid w:val="00A61E50"/>
    <w:rsid w:val="00A6269E"/>
    <w:rsid w:val="00A630B8"/>
    <w:rsid w:val="00A6312E"/>
    <w:rsid w:val="00A636E4"/>
    <w:rsid w:val="00A63772"/>
    <w:rsid w:val="00A63C0A"/>
    <w:rsid w:val="00A644EF"/>
    <w:rsid w:val="00A646C4"/>
    <w:rsid w:val="00A6540F"/>
    <w:rsid w:val="00A655D6"/>
    <w:rsid w:val="00A65855"/>
    <w:rsid w:val="00A6651F"/>
    <w:rsid w:val="00A666C5"/>
    <w:rsid w:val="00A66BE4"/>
    <w:rsid w:val="00A66F0D"/>
    <w:rsid w:val="00A67469"/>
    <w:rsid w:val="00A70CD8"/>
    <w:rsid w:val="00A70EFC"/>
    <w:rsid w:val="00A715DB"/>
    <w:rsid w:val="00A73ECE"/>
    <w:rsid w:val="00A743C6"/>
    <w:rsid w:val="00A74BCE"/>
    <w:rsid w:val="00A74BED"/>
    <w:rsid w:val="00A7738D"/>
    <w:rsid w:val="00A773FD"/>
    <w:rsid w:val="00A7780F"/>
    <w:rsid w:val="00A77916"/>
    <w:rsid w:val="00A77C34"/>
    <w:rsid w:val="00A77EBC"/>
    <w:rsid w:val="00A80430"/>
    <w:rsid w:val="00A80556"/>
    <w:rsid w:val="00A80DBA"/>
    <w:rsid w:val="00A810F0"/>
    <w:rsid w:val="00A813AF"/>
    <w:rsid w:val="00A81415"/>
    <w:rsid w:val="00A814BD"/>
    <w:rsid w:val="00A81895"/>
    <w:rsid w:val="00A818FD"/>
    <w:rsid w:val="00A82077"/>
    <w:rsid w:val="00A82195"/>
    <w:rsid w:val="00A8244B"/>
    <w:rsid w:val="00A82686"/>
    <w:rsid w:val="00A8374B"/>
    <w:rsid w:val="00A83984"/>
    <w:rsid w:val="00A83F4C"/>
    <w:rsid w:val="00A8411F"/>
    <w:rsid w:val="00A84F91"/>
    <w:rsid w:val="00A85713"/>
    <w:rsid w:val="00A857D3"/>
    <w:rsid w:val="00A863F0"/>
    <w:rsid w:val="00A8705D"/>
    <w:rsid w:val="00A92B53"/>
    <w:rsid w:val="00A93442"/>
    <w:rsid w:val="00A93688"/>
    <w:rsid w:val="00A93822"/>
    <w:rsid w:val="00A947C3"/>
    <w:rsid w:val="00A94839"/>
    <w:rsid w:val="00A94FA6"/>
    <w:rsid w:val="00A95371"/>
    <w:rsid w:val="00A9550E"/>
    <w:rsid w:val="00A95CD7"/>
    <w:rsid w:val="00A968D6"/>
    <w:rsid w:val="00A96974"/>
    <w:rsid w:val="00A969A9"/>
    <w:rsid w:val="00A977C6"/>
    <w:rsid w:val="00AA0772"/>
    <w:rsid w:val="00AA134D"/>
    <w:rsid w:val="00AA1809"/>
    <w:rsid w:val="00AA1B21"/>
    <w:rsid w:val="00AA27F7"/>
    <w:rsid w:val="00AA2B04"/>
    <w:rsid w:val="00AA4719"/>
    <w:rsid w:val="00AA49A0"/>
    <w:rsid w:val="00AA5394"/>
    <w:rsid w:val="00AA548C"/>
    <w:rsid w:val="00AA5812"/>
    <w:rsid w:val="00AA5CE5"/>
    <w:rsid w:val="00AA5FDE"/>
    <w:rsid w:val="00AA6710"/>
    <w:rsid w:val="00AA70E7"/>
    <w:rsid w:val="00AA7E85"/>
    <w:rsid w:val="00AA7EB8"/>
    <w:rsid w:val="00AB039C"/>
    <w:rsid w:val="00AB0681"/>
    <w:rsid w:val="00AB0E5F"/>
    <w:rsid w:val="00AB1CF7"/>
    <w:rsid w:val="00AB2463"/>
    <w:rsid w:val="00AB2468"/>
    <w:rsid w:val="00AB24AE"/>
    <w:rsid w:val="00AB260E"/>
    <w:rsid w:val="00AB35C9"/>
    <w:rsid w:val="00AB36AB"/>
    <w:rsid w:val="00AB38B4"/>
    <w:rsid w:val="00AB3B39"/>
    <w:rsid w:val="00AB4CBC"/>
    <w:rsid w:val="00AB6284"/>
    <w:rsid w:val="00AB7B04"/>
    <w:rsid w:val="00AC05D5"/>
    <w:rsid w:val="00AC247B"/>
    <w:rsid w:val="00AC258C"/>
    <w:rsid w:val="00AC3220"/>
    <w:rsid w:val="00AC32C5"/>
    <w:rsid w:val="00AC3AF1"/>
    <w:rsid w:val="00AC5249"/>
    <w:rsid w:val="00AC5316"/>
    <w:rsid w:val="00AC5552"/>
    <w:rsid w:val="00AC5A60"/>
    <w:rsid w:val="00AC5A97"/>
    <w:rsid w:val="00AC5D7C"/>
    <w:rsid w:val="00AC5E02"/>
    <w:rsid w:val="00AC5F86"/>
    <w:rsid w:val="00AC62ED"/>
    <w:rsid w:val="00AC6682"/>
    <w:rsid w:val="00AC7083"/>
    <w:rsid w:val="00AC73B9"/>
    <w:rsid w:val="00AD00B3"/>
    <w:rsid w:val="00AD07AC"/>
    <w:rsid w:val="00AD17F6"/>
    <w:rsid w:val="00AD1E0A"/>
    <w:rsid w:val="00AD22B8"/>
    <w:rsid w:val="00AD2C53"/>
    <w:rsid w:val="00AD2CBD"/>
    <w:rsid w:val="00AD3730"/>
    <w:rsid w:val="00AD4820"/>
    <w:rsid w:val="00AD4BE4"/>
    <w:rsid w:val="00AD4C03"/>
    <w:rsid w:val="00AD51D8"/>
    <w:rsid w:val="00AD520B"/>
    <w:rsid w:val="00AD53B0"/>
    <w:rsid w:val="00AD569C"/>
    <w:rsid w:val="00AD5E46"/>
    <w:rsid w:val="00AD6996"/>
    <w:rsid w:val="00AD6A0E"/>
    <w:rsid w:val="00AD77E3"/>
    <w:rsid w:val="00AD78A6"/>
    <w:rsid w:val="00AD7B3D"/>
    <w:rsid w:val="00AD7F54"/>
    <w:rsid w:val="00AE072A"/>
    <w:rsid w:val="00AE08E6"/>
    <w:rsid w:val="00AE0DEC"/>
    <w:rsid w:val="00AE14CF"/>
    <w:rsid w:val="00AE1D5C"/>
    <w:rsid w:val="00AE341E"/>
    <w:rsid w:val="00AE3638"/>
    <w:rsid w:val="00AE44FD"/>
    <w:rsid w:val="00AE465C"/>
    <w:rsid w:val="00AE4672"/>
    <w:rsid w:val="00AE5840"/>
    <w:rsid w:val="00AE63F8"/>
    <w:rsid w:val="00AE6A18"/>
    <w:rsid w:val="00AE6E9F"/>
    <w:rsid w:val="00AE729E"/>
    <w:rsid w:val="00AE7F84"/>
    <w:rsid w:val="00AF0505"/>
    <w:rsid w:val="00AF09C8"/>
    <w:rsid w:val="00AF0AC3"/>
    <w:rsid w:val="00AF0E34"/>
    <w:rsid w:val="00AF26C3"/>
    <w:rsid w:val="00AF3A34"/>
    <w:rsid w:val="00AF3D41"/>
    <w:rsid w:val="00AF40A2"/>
    <w:rsid w:val="00AF4889"/>
    <w:rsid w:val="00AF4FC5"/>
    <w:rsid w:val="00AF616C"/>
    <w:rsid w:val="00AF6D67"/>
    <w:rsid w:val="00AF6E2F"/>
    <w:rsid w:val="00AF7726"/>
    <w:rsid w:val="00B00159"/>
    <w:rsid w:val="00B0047C"/>
    <w:rsid w:val="00B00F1E"/>
    <w:rsid w:val="00B01DBA"/>
    <w:rsid w:val="00B022D2"/>
    <w:rsid w:val="00B024BB"/>
    <w:rsid w:val="00B02634"/>
    <w:rsid w:val="00B02823"/>
    <w:rsid w:val="00B02D82"/>
    <w:rsid w:val="00B02E32"/>
    <w:rsid w:val="00B0308B"/>
    <w:rsid w:val="00B03142"/>
    <w:rsid w:val="00B03234"/>
    <w:rsid w:val="00B03334"/>
    <w:rsid w:val="00B03A71"/>
    <w:rsid w:val="00B041EF"/>
    <w:rsid w:val="00B0479E"/>
    <w:rsid w:val="00B05333"/>
    <w:rsid w:val="00B05859"/>
    <w:rsid w:val="00B06E35"/>
    <w:rsid w:val="00B07531"/>
    <w:rsid w:val="00B07551"/>
    <w:rsid w:val="00B075BD"/>
    <w:rsid w:val="00B07A96"/>
    <w:rsid w:val="00B07C80"/>
    <w:rsid w:val="00B1086D"/>
    <w:rsid w:val="00B112EC"/>
    <w:rsid w:val="00B113CE"/>
    <w:rsid w:val="00B11CC1"/>
    <w:rsid w:val="00B1209C"/>
    <w:rsid w:val="00B12189"/>
    <w:rsid w:val="00B125F5"/>
    <w:rsid w:val="00B12B83"/>
    <w:rsid w:val="00B1392F"/>
    <w:rsid w:val="00B146EB"/>
    <w:rsid w:val="00B154B4"/>
    <w:rsid w:val="00B15B56"/>
    <w:rsid w:val="00B15D6F"/>
    <w:rsid w:val="00B15E67"/>
    <w:rsid w:val="00B15F28"/>
    <w:rsid w:val="00B16BBA"/>
    <w:rsid w:val="00B16C0A"/>
    <w:rsid w:val="00B16C16"/>
    <w:rsid w:val="00B16DB8"/>
    <w:rsid w:val="00B16E63"/>
    <w:rsid w:val="00B17337"/>
    <w:rsid w:val="00B17361"/>
    <w:rsid w:val="00B17A7B"/>
    <w:rsid w:val="00B20D13"/>
    <w:rsid w:val="00B20E95"/>
    <w:rsid w:val="00B21006"/>
    <w:rsid w:val="00B212DD"/>
    <w:rsid w:val="00B21867"/>
    <w:rsid w:val="00B21A45"/>
    <w:rsid w:val="00B21DAC"/>
    <w:rsid w:val="00B224B7"/>
    <w:rsid w:val="00B22CBA"/>
    <w:rsid w:val="00B22DC5"/>
    <w:rsid w:val="00B22E6C"/>
    <w:rsid w:val="00B230D2"/>
    <w:rsid w:val="00B2610D"/>
    <w:rsid w:val="00B2615C"/>
    <w:rsid w:val="00B26EE7"/>
    <w:rsid w:val="00B26FD3"/>
    <w:rsid w:val="00B277A4"/>
    <w:rsid w:val="00B27A73"/>
    <w:rsid w:val="00B27AC4"/>
    <w:rsid w:val="00B27B5A"/>
    <w:rsid w:val="00B27FA0"/>
    <w:rsid w:val="00B30665"/>
    <w:rsid w:val="00B31824"/>
    <w:rsid w:val="00B32287"/>
    <w:rsid w:val="00B32BBA"/>
    <w:rsid w:val="00B33DFB"/>
    <w:rsid w:val="00B34223"/>
    <w:rsid w:val="00B34685"/>
    <w:rsid w:val="00B34F16"/>
    <w:rsid w:val="00B354F3"/>
    <w:rsid w:val="00B35A9D"/>
    <w:rsid w:val="00B35B1E"/>
    <w:rsid w:val="00B36270"/>
    <w:rsid w:val="00B3678D"/>
    <w:rsid w:val="00B367E7"/>
    <w:rsid w:val="00B369AD"/>
    <w:rsid w:val="00B3733A"/>
    <w:rsid w:val="00B37460"/>
    <w:rsid w:val="00B37B77"/>
    <w:rsid w:val="00B40E62"/>
    <w:rsid w:val="00B40E9D"/>
    <w:rsid w:val="00B4113F"/>
    <w:rsid w:val="00B41283"/>
    <w:rsid w:val="00B414D2"/>
    <w:rsid w:val="00B41991"/>
    <w:rsid w:val="00B41B4B"/>
    <w:rsid w:val="00B41D9E"/>
    <w:rsid w:val="00B425C3"/>
    <w:rsid w:val="00B43CC2"/>
    <w:rsid w:val="00B440AD"/>
    <w:rsid w:val="00B45CF0"/>
    <w:rsid w:val="00B45E6C"/>
    <w:rsid w:val="00B475F4"/>
    <w:rsid w:val="00B478EF"/>
    <w:rsid w:val="00B479A0"/>
    <w:rsid w:val="00B479BB"/>
    <w:rsid w:val="00B51002"/>
    <w:rsid w:val="00B51623"/>
    <w:rsid w:val="00B51714"/>
    <w:rsid w:val="00B518DB"/>
    <w:rsid w:val="00B51A52"/>
    <w:rsid w:val="00B51F12"/>
    <w:rsid w:val="00B51FB8"/>
    <w:rsid w:val="00B520E7"/>
    <w:rsid w:val="00B522FE"/>
    <w:rsid w:val="00B52BFE"/>
    <w:rsid w:val="00B53143"/>
    <w:rsid w:val="00B53529"/>
    <w:rsid w:val="00B53988"/>
    <w:rsid w:val="00B53C4F"/>
    <w:rsid w:val="00B53E7E"/>
    <w:rsid w:val="00B5475E"/>
    <w:rsid w:val="00B54CDD"/>
    <w:rsid w:val="00B560CD"/>
    <w:rsid w:val="00B56C4A"/>
    <w:rsid w:val="00B56D7C"/>
    <w:rsid w:val="00B616BC"/>
    <w:rsid w:val="00B61D61"/>
    <w:rsid w:val="00B62655"/>
    <w:rsid w:val="00B62CE6"/>
    <w:rsid w:val="00B63345"/>
    <w:rsid w:val="00B6342E"/>
    <w:rsid w:val="00B63CE3"/>
    <w:rsid w:val="00B64807"/>
    <w:rsid w:val="00B652ED"/>
    <w:rsid w:val="00B666BA"/>
    <w:rsid w:val="00B66F11"/>
    <w:rsid w:val="00B67638"/>
    <w:rsid w:val="00B6795B"/>
    <w:rsid w:val="00B67D25"/>
    <w:rsid w:val="00B67F86"/>
    <w:rsid w:val="00B70EF4"/>
    <w:rsid w:val="00B70F46"/>
    <w:rsid w:val="00B7113F"/>
    <w:rsid w:val="00B71CCE"/>
    <w:rsid w:val="00B72962"/>
    <w:rsid w:val="00B73768"/>
    <w:rsid w:val="00B73E2A"/>
    <w:rsid w:val="00B7442B"/>
    <w:rsid w:val="00B7549A"/>
    <w:rsid w:val="00B756B5"/>
    <w:rsid w:val="00B75812"/>
    <w:rsid w:val="00B75963"/>
    <w:rsid w:val="00B7769B"/>
    <w:rsid w:val="00B81230"/>
    <w:rsid w:val="00B812E9"/>
    <w:rsid w:val="00B81ACC"/>
    <w:rsid w:val="00B82E99"/>
    <w:rsid w:val="00B832F2"/>
    <w:rsid w:val="00B8371F"/>
    <w:rsid w:val="00B847FD"/>
    <w:rsid w:val="00B856BE"/>
    <w:rsid w:val="00B85876"/>
    <w:rsid w:val="00B85A5A"/>
    <w:rsid w:val="00B85A9E"/>
    <w:rsid w:val="00B85DA0"/>
    <w:rsid w:val="00B87080"/>
    <w:rsid w:val="00B8754B"/>
    <w:rsid w:val="00B875C0"/>
    <w:rsid w:val="00B875E3"/>
    <w:rsid w:val="00B87725"/>
    <w:rsid w:val="00B87930"/>
    <w:rsid w:val="00B906D1"/>
    <w:rsid w:val="00B90C85"/>
    <w:rsid w:val="00B91B3C"/>
    <w:rsid w:val="00B928E8"/>
    <w:rsid w:val="00B930F0"/>
    <w:rsid w:val="00B93285"/>
    <w:rsid w:val="00B935B4"/>
    <w:rsid w:val="00B93735"/>
    <w:rsid w:val="00B9496F"/>
    <w:rsid w:val="00B94DB7"/>
    <w:rsid w:val="00B967DC"/>
    <w:rsid w:val="00B967F9"/>
    <w:rsid w:val="00B9743D"/>
    <w:rsid w:val="00B976E0"/>
    <w:rsid w:val="00B97764"/>
    <w:rsid w:val="00B97F32"/>
    <w:rsid w:val="00BA06FC"/>
    <w:rsid w:val="00BA071F"/>
    <w:rsid w:val="00BA1421"/>
    <w:rsid w:val="00BA1638"/>
    <w:rsid w:val="00BA1E9D"/>
    <w:rsid w:val="00BA200F"/>
    <w:rsid w:val="00BA28DC"/>
    <w:rsid w:val="00BA2FE9"/>
    <w:rsid w:val="00BA309E"/>
    <w:rsid w:val="00BA38A8"/>
    <w:rsid w:val="00BA3BCC"/>
    <w:rsid w:val="00BA3E6D"/>
    <w:rsid w:val="00BA4355"/>
    <w:rsid w:val="00BA5C8A"/>
    <w:rsid w:val="00BA5E9F"/>
    <w:rsid w:val="00BA5EB8"/>
    <w:rsid w:val="00BA669B"/>
    <w:rsid w:val="00BA696E"/>
    <w:rsid w:val="00BA728D"/>
    <w:rsid w:val="00BA73B6"/>
    <w:rsid w:val="00BA7DC4"/>
    <w:rsid w:val="00BA7E27"/>
    <w:rsid w:val="00BB0CD7"/>
    <w:rsid w:val="00BB1C0A"/>
    <w:rsid w:val="00BB2603"/>
    <w:rsid w:val="00BB2C0A"/>
    <w:rsid w:val="00BB2E26"/>
    <w:rsid w:val="00BB3956"/>
    <w:rsid w:val="00BB49B8"/>
    <w:rsid w:val="00BB4B19"/>
    <w:rsid w:val="00BB4FCD"/>
    <w:rsid w:val="00BB571F"/>
    <w:rsid w:val="00BB5BB5"/>
    <w:rsid w:val="00BB76A9"/>
    <w:rsid w:val="00BB76AE"/>
    <w:rsid w:val="00BC00F9"/>
    <w:rsid w:val="00BC04E9"/>
    <w:rsid w:val="00BC0AFF"/>
    <w:rsid w:val="00BC0E23"/>
    <w:rsid w:val="00BC0E40"/>
    <w:rsid w:val="00BC16E8"/>
    <w:rsid w:val="00BC1B57"/>
    <w:rsid w:val="00BC1F05"/>
    <w:rsid w:val="00BC1F31"/>
    <w:rsid w:val="00BC200F"/>
    <w:rsid w:val="00BC2709"/>
    <w:rsid w:val="00BC29E7"/>
    <w:rsid w:val="00BC3343"/>
    <w:rsid w:val="00BC3534"/>
    <w:rsid w:val="00BC3599"/>
    <w:rsid w:val="00BC3FDE"/>
    <w:rsid w:val="00BC452F"/>
    <w:rsid w:val="00BC4927"/>
    <w:rsid w:val="00BC4AD6"/>
    <w:rsid w:val="00BC4E20"/>
    <w:rsid w:val="00BC54D1"/>
    <w:rsid w:val="00BC5D55"/>
    <w:rsid w:val="00BC69CA"/>
    <w:rsid w:val="00BC799E"/>
    <w:rsid w:val="00BC7E69"/>
    <w:rsid w:val="00BD0016"/>
    <w:rsid w:val="00BD05B6"/>
    <w:rsid w:val="00BD0F89"/>
    <w:rsid w:val="00BD13EA"/>
    <w:rsid w:val="00BD1796"/>
    <w:rsid w:val="00BD2318"/>
    <w:rsid w:val="00BD2B3E"/>
    <w:rsid w:val="00BD31FC"/>
    <w:rsid w:val="00BD3278"/>
    <w:rsid w:val="00BD37A2"/>
    <w:rsid w:val="00BD3CDA"/>
    <w:rsid w:val="00BD3EA5"/>
    <w:rsid w:val="00BD3EAB"/>
    <w:rsid w:val="00BD42DE"/>
    <w:rsid w:val="00BD497A"/>
    <w:rsid w:val="00BD4C56"/>
    <w:rsid w:val="00BD4D4C"/>
    <w:rsid w:val="00BD58F0"/>
    <w:rsid w:val="00BD590A"/>
    <w:rsid w:val="00BD5CDB"/>
    <w:rsid w:val="00BD5DAD"/>
    <w:rsid w:val="00BD61D5"/>
    <w:rsid w:val="00BD681A"/>
    <w:rsid w:val="00BD7E38"/>
    <w:rsid w:val="00BE0C4F"/>
    <w:rsid w:val="00BE0E3B"/>
    <w:rsid w:val="00BE0E9E"/>
    <w:rsid w:val="00BE13D4"/>
    <w:rsid w:val="00BE14CF"/>
    <w:rsid w:val="00BE19F7"/>
    <w:rsid w:val="00BE1CD3"/>
    <w:rsid w:val="00BE2081"/>
    <w:rsid w:val="00BE237A"/>
    <w:rsid w:val="00BE273F"/>
    <w:rsid w:val="00BE29DF"/>
    <w:rsid w:val="00BE3084"/>
    <w:rsid w:val="00BE3539"/>
    <w:rsid w:val="00BE3662"/>
    <w:rsid w:val="00BE3808"/>
    <w:rsid w:val="00BE3C01"/>
    <w:rsid w:val="00BE4467"/>
    <w:rsid w:val="00BE45F7"/>
    <w:rsid w:val="00BE4874"/>
    <w:rsid w:val="00BE48EA"/>
    <w:rsid w:val="00BE49BD"/>
    <w:rsid w:val="00BE49D9"/>
    <w:rsid w:val="00BE5004"/>
    <w:rsid w:val="00BE522D"/>
    <w:rsid w:val="00BE6B98"/>
    <w:rsid w:val="00BE7A3E"/>
    <w:rsid w:val="00BE7BBB"/>
    <w:rsid w:val="00BE7CB8"/>
    <w:rsid w:val="00BF0ADB"/>
    <w:rsid w:val="00BF134C"/>
    <w:rsid w:val="00BF1BB7"/>
    <w:rsid w:val="00BF1CAF"/>
    <w:rsid w:val="00BF1CCD"/>
    <w:rsid w:val="00BF1FEB"/>
    <w:rsid w:val="00BF2029"/>
    <w:rsid w:val="00BF23A8"/>
    <w:rsid w:val="00BF2BE2"/>
    <w:rsid w:val="00BF3123"/>
    <w:rsid w:val="00BF31A4"/>
    <w:rsid w:val="00BF3276"/>
    <w:rsid w:val="00BF44C7"/>
    <w:rsid w:val="00BF483E"/>
    <w:rsid w:val="00BF48F5"/>
    <w:rsid w:val="00BF4E5D"/>
    <w:rsid w:val="00BF4EC9"/>
    <w:rsid w:val="00BF57CB"/>
    <w:rsid w:val="00BF59A0"/>
    <w:rsid w:val="00BF5ADD"/>
    <w:rsid w:val="00BF62FB"/>
    <w:rsid w:val="00BF6571"/>
    <w:rsid w:val="00BF67D1"/>
    <w:rsid w:val="00BF6BE6"/>
    <w:rsid w:val="00BF6BF7"/>
    <w:rsid w:val="00BF7010"/>
    <w:rsid w:val="00BF7269"/>
    <w:rsid w:val="00C0023F"/>
    <w:rsid w:val="00C006EE"/>
    <w:rsid w:val="00C00A71"/>
    <w:rsid w:val="00C00C7B"/>
    <w:rsid w:val="00C00D98"/>
    <w:rsid w:val="00C00F63"/>
    <w:rsid w:val="00C0157E"/>
    <w:rsid w:val="00C01EDC"/>
    <w:rsid w:val="00C01EFB"/>
    <w:rsid w:val="00C0255B"/>
    <w:rsid w:val="00C03095"/>
    <w:rsid w:val="00C0471C"/>
    <w:rsid w:val="00C04830"/>
    <w:rsid w:val="00C04A6C"/>
    <w:rsid w:val="00C04F90"/>
    <w:rsid w:val="00C057BD"/>
    <w:rsid w:val="00C06044"/>
    <w:rsid w:val="00C062E9"/>
    <w:rsid w:val="00C06358"/>
    <w:rsid w:val="00C065C1"/>
    <w:rsid w:val="00C06E9E"/>
    <w:rsid w:val="00C06FCA"/>
    <w:rsid w:val="00C07120"/>
    <w:rsid w:val="00C075D0"/>
    <w:rsid w:val="00C07B64"/>
    <w:rsid w:val="00C10DCB"/>
    <w:rsid w:val="00C114FA"/>
    <w:rsid w:val="00C1172F"/>
    <w:rsid w:val="00C126CF"/>
    <w:rsid w:val="00C12A13"/>
    <w:rsid w:val="00C13721"/>
    <w:rsid w:val="00C14FE4"/>
    <w:rsid w:val="00C15D83"/>
    <w:rsid w:val="00C16259"/>
    <w:rsid w:val="00C166D3"/>
    <w:rsid w:val="00C1794B"/>
    <w:rsid w:val="00C179EE"/>
    <w:rsid w:val="00C17C75"/>
    <w:rsid w:val="00C17F3C"/>
    <w:rsid w:val="00C2059C"/>
    <w:rsid w:val="00C2179D"/>
    <w:rsid w:val="00C21D7D"/>
    <w:rsid w:val="00C21F91"/>
    <w:rsid w:val="00C220FD"/>
    <w:rsid w:val="00C2294D"/>
    <w:rsid w:val="00C229AF"/>
    <w:rsid w:val="00C22C4F"/>
    <w:rsid w:val="00C2322D"/>
    <w:rsid w:val="00C23890"/>
    <w:rsid w:val="00C239B5"/>
    <w:rsid w:val="00C240D5"/>
    <w:rsid w:val="00C245F1"/>
    <w:rsid w:val="00C25170"/>
    <w:rsid w:val="00C25A29"/>
    <w:rsid w:val="00C260EC"/>
    <w:rsid w:val="00C26E82"/>
    <w:rsid w:val="00C273D2"/>
    <w:rsid w:val="00C27C7D"/>
    <w:rsid w:val="00C27F94"/>
    <w:rsid w:val="00C305B5"/>
    <w:rsid w:val="00C3066D"/>
    <w:rsid w:val="00C30714"/>
    <w:rsid w:val="00C31846"/>
    <w:rsid w:val="00C31920"/>
    <w:rsid w:val="00C32A63"/>
    <w:rsid w:val="00C32D97"/>
    <w:rsid w:val="00C33E34"/>
    <w:rsid w:val="00C3599A"/>
    <w:rsid w:val="00C35ABF"/>
    <w:rsid w:val="00C365A2"/>
    <w:rsid w:val="00C37B25"/>
    <w:rsid w:val="00C40070"/>
    <w:rsid w:val="00C400B3"/>
    <w:rsid w:val="00C402CE"/>
    <w:rsid w:val="00C402D1"/>
    <w:rsid w:val="00C40796"/>
    <w:rsid w:val="00C417D1"/>
    <w:rsid w:val="00C421C2"/>
    <w:rsid w:val="00C428D4"/>
    <w:rsid w:val="00C42944"/>
    <w:rsid w:val="00C42F7E"/>
    <w:rsid w:val="00C431AE"/>
    <w:rsid w:val="00C4366E"/>
    <w:rsid w:val="00C44B33"/>
    <w:rsid w:val="00C44DD4"/>
    <w:rsid w:val="00C44E2B"/>
    <w:rsid w:val="00C4602A"/>
    <w:rsid w:val="00C46403"/>
    <w:rsid w:val="00C46C42"/>
    <w:rsid w:val="00C4703A"/>
    <w:rsid w:val="00C471AC"/>
    <w:rsid w:val="00C475D0"/>
    <w:rsid w:val="00C47A1D"/>
    <w:rsid w:val="00C47A38"/>
    <w:rsid w:val="00C47F23"/>
    <w:rsid w:val="00C50157"/>
    <w:rsid w:val="00C51505"/>
    <w:rsid w:val="00C51E4C"/>
    <w:rsid w:val="00C52191"/>
    <w:rsid w:val="00C52416"/>
    <w:rsid w:val="00C533BA"/>
    <w:rsid w:val="00C534A3"/>
    <w:rsid w:val="00C538F6"/>
    <w:rsid w:val="00C53A1A"/>
    <w:rsid w:val="00C53C3B"/>
    <w:rsid w:val="00C543F4"/>
    <w:rsid w:val="00C54AB7"/>
    <w:rsid w:val="00C5627A"/>
    <w:rsid w:val="00C56651"/>
    <w:rsid w:val="00C569D2"/>
    <w:rsid w:val="00C56EAA"/>
    <w:rsid w:val="00C576C0"/>
    <w:rsid w:val="00C6060F"/>
    <w:rsid w:val="00C607B9"/>
    <w:rsid w:val="00C60F81"/>
    <w:rsid w:val="00C61515"/>
    <w:rsid w:val="00C618D6"/>
    <w:rsid w:val="00C61B6E"/>
    <w:rsid w:val="00C62000"/>
    <w:rsid w:val="00C6291C"/>
    <w:rsid w:val="00C63327"/>
    <w:rsid w:val="00C633CB"/>
    <w:rsid w:val="00C63AE8"/>
    <w:rsid w:val="00C6489A"/>
    <w:rsid w:val="00C64D00"/>
    <w:rsid w:val="00C65477"/>
    <w:rsid w:val="00C65605"/>
    <w:rsid w:val="00C65A90"/>
    <w:rsid w:val="00C65FC2"/>
    <w:rsid w:val="00C66BD3"/>
    <w:rsid w:val="00C671FD"/>
    <w:rsid w:val="00C67812"/>
    <w:rsid w:val="00C705B7"/>
    <w:rsid w:val="00C70F56"/>
    <w:rsid w:val="00C7172B"/>
    <w:rsid w:val="00C71F0E"/>
    <w:rsid w:val="00C72162"/>
    <w:rsid w:val="00C723C7"/>
    <w:rsid w:val="00C72704"/>
    <w:rsid w:val="00C727BA"/>
    <w:rsid w:val="00C72844"/>
    <w:rsid w:val="00C72A61"/>
    <w:rsid w:val="00C73225"/>
    <w:rsid w:val="00C7325C"/>
    <w:rsid w:val="00C736B7"/>
    <w:rsid w:val="00C73AE0"/>
    <w:rsid w:val="00C74686"/>
    <w:rsid w:val="00C74839"/>
    <w:rsid w:val="00C74D62"/>
    <w:rsid w:val="00C74DCE"/>
    <w:rsid w:val="00C75068"/>
    <w:rsid w:val="00C75504"/>
    <w:rsid w:val="00C75526"/>
    <w:rsid w:val="00C758C3"/>
    <w:rsid w:val="00C75B25"/>
    <w:rsid w:val="00C7652A"/>
    <w:rsid w:val="00C76D7A"/>
    <w:rsid w:val="00C7788D"/>
    <w:rsid w:val="00C779EF"/>
    <w:rsid w:val="00C77D85"/>
    <w:rsid w:val="00C80034"/>
    <w:rsid w:val="00C80759"/>
    <w:rsid w:val="00C80C99"/>
    <w:rsid w:val="00C81037"/>
    <w:rsid w:val="00C815F5"/>
    <w:rsid w:val="00C819EB"/>
    <w:rsid w:val="00C81B6C"/>
    <w:rsid w:val="00C81D4A"/>
    <w:rsid w:val="00C822F3"/>
    <w:rsid w:val="00C827C8"/>
    <w:rsid w:val="00C8347B"/>
    <w:rsid w:val="00C83A53"/>
    <w:rsid w:val="00C84416"/>
    <w:rsid w:val="00C84702"/>
    <w:rsid w:val="00C85610"/>
    <w:rsid w:val="00C85657"/>
    <w:rsid w:val="00C865DC"/>
    <w:rsid w:val="00C8762C"/>
    <w:rsid w:val="00C906BA"/>
    <w:rsid w:val="00C9070A"/>
    <w:rsid w:val="00C90F0C"/>
    <w:rsid w:val="00C91E94"/>
    <w:rsid w:val="00C920CF"/>
    <w:rsid w:val="00C921B9"/>
    <w:rsid w:val="00C92886"/>
    <w:rsid w:val="00C92C30"/>
    <w:rsid w:val="00C93CDE"/>
    <w:rsid w:val="00C94448"/>
    <w:rsid w:val="00C944D9"/>
    <w:rsid w:val="00C9463D"/>
    <w:rsid w:val="00C94C11"/>
    <w:rsid w:val="00C9510D"/>
    <w:rsid w:val="00C95E6F"/>
    <w:rsid w:val="00C971E7"/>
    <w:rsid w:val="00C97DE3"/>
    <w:rsid w:val="00CA00F9"/>
    <w:rsid w:val="00CA0ABD"/>
    <w:rsid w:val="00CA0B42"/>
    <w:rsid w:val="00CA0E8E"/>
    <w:rsid w:val="00CA103E"/>
    <w:rsid w:val="00CA1542"/>
    <w:rsid w:val="00CA197F"/>
    <w:rsid w:val="00CA268E"/>
    <w:rsid w:val="00CA28F7"/>
    <w:rsid w:val="00CA2961"/>
    <w:rsid w:val="00CA2CE5"/>
    <w:rsid w:val="00CA2EC0"/>
    <w:rsid w:val="00CA2FD9"/>
    <w:rsid w:val="00CA313C"/>
    <w:rsid w:val="00CA366D"/>
    <w:rsid w:val="00CA48A0"/>
    <w:rsid w:val="00CA4E7E"/>
    <w:rsid w:val="00CA50AE"/>
    <w:rsid w:val="00CA52E0"/>
    <w:rsid w:val="00CA5990"/>
    <w:rsid w:val="00CA651E"/>
    <w:rsid w:val="00CA66D8"/>
    <w:rsid w:val="00CA6DB4"/>
    <w:rsid w:val="00CA7DA8"/>
    <w:rsid w:val="00CA7E7B"/>
    <w:rsid w:val="00CA7ED3"/>
    <w:rsid w:val="00CB035F"/>
    <w:rsid w:val="00CB09DA"/>
    <w:rsid w:val="00CB0AB8"/>
    <w:rsid w:val="00CB0EAC"/>
    <w:rsid w:val="00CB0F31"/>
    <w:rsid w:val="00CB16AF"/>
    <w:rsid w:val="00CB1B6C"/>
    <w:rsid w:val="00CB1EF3"/>
    <w:rsid w:val="00CB219A"/>
    <w:rsid w:val="00CB2252"/>
    <w:rsid w:val="00CB2350"/>
    <w:rsid w:val="00CB2FFB"/>
    <w:rsid w:val="00CB3B1B"/>
    <w:rsid w:val="00CB4071"/>
    <w:rsid w:val="00CB4160"/>
    <w:rsid w:val="00CB50D7"/>
    <w:rsid w:val="00CB5126"/>
    <w:rsid w:val="00CB5213"/>
    <w:rsid w:val="00CB52FB"/>
    <w:rsid w:val="00CB60ED"/>
    <w:rsid w:val="00CB7177"/>
    <w:rsid w:val="00CB7C57"/>
    <w:rsid w:val="00CB7E9B"/>
    <w:rsid w:val="00CB7FAD"/>
    <w:rsid w:val="00CC008E"/>
    <w:rsid w:val="00CC0140"/>
    <w:rsid w:val="00CC057A"/>
    <w:rsid w:val="00CC060A"/>
    <w:rsid w:val="00CC1998"/>
    <w:rsid w:val="00CC1BF6"/>
    <w:rsid w:val="00CC20C1"/>
    <w:rsid w:val="00CC2434"/>
    <w:rsid w:val="00CC24AA"/>
    <w:rsid w:val="00CC263A"/>
    <w:rsid w:val="00CC2749"/>
    <w:rsid w:val="00CC319F"/>
    <w:rsid w:val="00CC3888"/>
    <w:rsid w:val="00CC4946"/>
    <w:rsid w:val="00CC4CE8"/>
    <w:rsid w:val="00CC4E37"/>
    <w:rsid w:val="00CC50E7"/>
    <w:rsid w:val="00CC605B"/>
    <w:rsid w:val="00CC6843"/>
    <w:rsid w:val="00CC6BDE"/>
    <w:rsid w:val="00CC7656"/>
    <w:rsid w:val="00CC78E1"/>
    <w:rsid w:val="00CC79F9"/>
    <w:rsid w:val="00CC7AED"/>
    <w:rsid w:val="00CD02F9"/>
    <w:rsid w:val="00CD03C0"/>
    <w:rsid w:val="00CD052F"/>
    <w:rsid w:val="00CD0839"/>
    <w:rsid w:val="00CD13CF"/>
    <w:rsid w:val="00CD13F0"/>
    <w:rsid w:val="00CD16AA"/>
    <w:rsid w:val="00CD1F72"/>
    <w:rsid w:val="00CD1FB0"/>
    <w:rsid w:val="00CD3523"/>
    <w:rsid w:val="00CD3612"/>
    <w:rsid w:val="00CD3634"/>
    <w:rsid w:val="00CD3A1F"/>
    <w:rsid w:val="00CD3C52"/>
    <w:rsid w:val="00CD3F2D"/>
    <w:rsid w:val="00CD3F32"/>
    <w:rsid w:val="00CD4052"/>
    <w:rsid w:val="00CD453F"/>
    <w:rsid w:val="00CD46AA"/>
    <w:rsid w:val="00CD4BF0"/>
    <w:rsid w:val="00CD518E"/>
    <w:rsid w:val="00CD5811"/>
    <w:rsid w:val="00CD6333"/>
    <w:rsid w:val="00CD66A8"/>
    <w:rsid w:val="00CD6A89"/>
    <w:rsid w:val="00CD713C"/>
    <w:rsid w:val="00CD7BBC"/>
    <w:rsid w:val="00CD7E40"/>
    <w:rsid w:val="00CE1493"/>
    <w:rsid w:val="00CE1535"/>
    <w:rsid w:val="00CE21C1"/>
    <w:rsid w:val="00CE2F46"/>
    <w:rsid w:val="00CE4037"/>
    <w:rsid w:val="00CE4312"/>
    <w:rsid w:val="00CE497E"/>
    <w:rsid w:val="00CE4F8F"/>
    <w:rsid w:val="00CE5800"/>
    <w:rsid w:val="00CE6438"/>
    <w:rsid w:val="00CE6583"/>
    <w:rsid w:val="00CE6D60"/>
    <w:rsid w:val="00CE6ECA"/>
    <w:rsid w:val="00CE7175"/>
    <w:rsid w:val="00CE7767"/>
    <w:rsid w:val="00CF0565"/>
    <w:rsid w:val="00CF1C02"/>
    <w:rsid w:val="00CF1DB4"/>
    <w:rsid w:val="00CF21E7"/>
    <w:rsid w:val="00CF2516"/>
    <w:rsid w:val="00CF26DB"/>
    <w:rsid w:val="00CF2E31"/>
    <w:rsid w:val="00CF3853"/>
    <w:rsid w:val="00CF390D"/>
    <w:rsid w:val="00CF4134"/>
    <w:rsid w:val="00CF5568"/>
    <w:rsid w:val="00CF5903"/>
    <w:rsid w:val="00CF5EDB"/>
    <w:rsid w:val="00CF60E3"/>
    <w:rsid w:val="00CF6500"/>
    <w:rsid w:val="00CF6CB4"/>
    <w:rsid w:val="00CF6E74"/>
    <w:rsid w:val="00CF7020"/>
    <w:rsid w:val="00CF70F6"/>
    <w:rsid w:val="00CF7DED"/>
    <w:rsid w:val="00D003F1"/>
    <w:rsid w:val="00D00B92"/>
    <w:rsid w:val="00D00FC1"/>
    <w:rsid w:val="00D01702"/>
    <w:rsid w:val="00D01713"/>
    <w:rsid w:val="00D01FFE"/>
    <w:rsid w:val="00D03ABA"/>
    <w:rsid w:val="00D03E5A"/>
    <w:rsid w:val="00D040E6"/>
    <w:rsid w:val="00D04175"/>
    <w:rsid w:val="00D0423D"/>
    <w:rsid w:val="00D0483B"/>
    <w:rsid w:val="00D04898"/>
    <w:rsid w:val="00D049A4"/>
    <w:rsid w:val="00D05031"/>
    <w:rsid w:val="00D05810"/>
    <w:rsid w:val="00D06072"/>
    <w:rsid w:val="00D06151"/>
    <w:rsid w:val="00D063F8"/>
    <w:rsid w:val="00D065B7"/>
    <w:rsid w:val="00D06B18"/>
    <w:rsid w:val="00D0723D"/>
    <w:rsid w:val="00D07895"/>
    <w:rsid w:val="00D07F1D"/>
    <w:rsid w:val="00D1049A"/>
    <w:rsid w:val="00D113F3"/>
    <w:rsid w:val="00D12141"/>
    <w:rsid w:val="00D12371"/>
    <w:rsid w:val="00D12393"/>
    <w:rsid w:val="00D129FE"/>
    <w:rsid w:val="00D12CAE"/>
    <w:rsid w:val="00D12DD7"/>
    <w:rsid w:val="00D13D4E"/>
    <w:rsid w:val="00D14470"/>
    <w:rsid w:val="00D148E8"/>
    <w:rsid w:val="00D15216"/>
    <w:rsid w:val="00D1575C"/>
    <w:rsid w:val="00D15853"/>
    <w:rsid w:val="00D20EC8"/>
    <w:rsid w:val="00D21D1F"/>
    <w:rsid w:val="00D224A9"/>
    <w:rsid w:val="00D22871"/>
    <w:rsid w:val="00D23020"/>
    <w:rsid w:val="00D2304A"/>
    <w:rsid w:val="00D23659"/>
    <w:rsid w:val="00D236A7"/>
    <w:rsid w:val="00D256FC"/>
    <w:rsid w:val="00D25B15"/>
    <w:rsid w:val="00D25D2D"/>
    <w:rsid w:val="00D26109"/>
    <w:rsid w:val="00D26D56"/>
    <w:rsid w:val="00D270A4"/>
    <w:rsid w:val="00D27170"/>
    <w:rsid w:val="00D273A8"/>
    <w:rsid w:val="00D27444"/>
    <w:rsid w:val="00D274D0"/>
    <w:rsid w:val="00D27C87"/>
    <w:rsid w:val="00D27F84"/>
    <w:rsid w:val="00D3075C"/>
    <w:rsid w:val="00D31076"/>
    <w:rsid w:val="00D3119F"/>
    <w:rsid w:val="00D31572"/>
    <w:rsid w:val="00D31C06"/>
    <w:rsid w:val="00D31C9F"/>
    <w:rsid w:val="00D31FE9"/>
    <w:rsid w:val="00D32621"/>
    <w:rsid w:val="00D336BB"/>
    <w:rsid w:val="00D33748"/>
    <w:rsid w:val="00D33DD9"/>
    <w:rsid w:val="00D33E9D"/>
    <w:rsid w:val="00D34B0B"/>
    <w:rsid w:val="00D34E1B"/>
    <w:rsid w:val="00D35349"/>
    <w:rsid w:val="00D36617"/>
    <w:rsid w:val="00D37455"/>
    <w:rsid w:val="00D376BA"/>
    <w:rsid w:val="00D37845"/>
    <w:rsid w:val="00D37A5F"/>
    <w:rsid w:val="00D37D90"/>
    <w:rsid w:val="00D4026A"/>
    <w:rsid w:val="00D40533"/>
    <w:rsid w:val="00D406AC"/>
    <w:rsid w:val="00D42D3F"/>
    <w:rsid w:val="00D432E7"/>
    <w:rsid w:val="00D43AD3"/>
    <w:rsid w:val="00D43FB2"/>
    <w:rsid w:val="00D44485"/>
    <w:rsid w:val="00D4464C"/>
    <w:rsid w:val="00D45634"/>
    <w:rsid w:val="00D45E3C"/>
    <w:rsid w:val="00D46290"/>
    <w:rsid w:val="00D469B8"/>
    <w:rsid w:val="00D46E6D"/>
    <w:rsid w:val="00D504B3"/>
    <w:rsid w:val="00D50CF3"/>
    <w:rsid w:val="00D51061"/>
    <w:rsid w:val="00D53396"/>
    <w:rsid w:val="00D53735"/>
    <w:rsid w:val="00D547E7"/>
    <w:rsid w:val="00D55623"/>
    <w:rsid w:val="00D5568A"/>
    <w:rsid w:val="00D55C73"/>
    <w:rsid w:val="00D566DD"/>
    <w:rsid w:val="00D56779"/>
    <w:rsid w:val="00D56A7C"/>
    <w:rsid w:val="00D56D32"/>
    <w:rsid w:val="00D57807"/>
    <w:rsid w:val="00D610FE"/>
    <w:rsid w:val="00D61137"/>
    <w:rsid w:val="00D618BB"/>
    <w:rsid w:val="00D61E7B"/>
    <w:rsid w:val="00D62684"/>
    <w:rsid w:val="00D62A48"/>
    <w:rsid w:val="00D62EE7"/>
    <w:rsid w:val="00D63797"/>
    <w:rsid w:val="00D63D73"/>
    <w:rsid w:val="00D63E64"/>
    <w:rsid w:val="00D63F1D"/>
    <w:rsid w:val="00D64452"/>
    <w:rsid w:val="00D64715"/>
    <w:rsid w:val="00D64838"/>
    <w:rsid w:val="00D66E1E"/>
    <w:rsid w:val="00D677B3"/>
    <w:rsid w:val="00D7043C"/>
    <w:rsid w:val="00D70A1F"/>
    <w:rsid w:val="00D70EB2"/>
    <w:rsid w:val="00D725A6"/>
    <w:rsid w:val="00D73AF8"/>
    <w:rsid w:val="00D7403C"/>
    <w:rsid w:val="00D74CA1"/>
    <w:rsid w:val="00D75714"/>
    <w:rsid w:val="00D75722"/>
    <w:rsid w:val="00D75917"/>
    <w:rsid w:val="00D75B72"/>
    <w:rsid w:val="00D75C72"/>
    <w:rsid w:val="00D75CD4"/>
    <w:rsid w:val="00D75DE0"/>
    <w:rsid w:val="00D76929"/>
    <w:rsid w:val="00D8054F"/>
    <w:rsid w:val="00D8086F"/>
    <w:rsid w:val="00D80CF5"/>
    <w:rsid w:val="00D81193"/>
    <w:rsid w:val="00D812AE"/>
    <w:rsid w:val="00D818AD"/>
    <w:rsid w:val="00D82211"/>
    <w:rsid w:val="00D8286C"/>
    <w:rsid w:val="00D8370B"/>
    <w:rsid w:val="00D839FC"/>
    <w:rsid w:val="00D84F39"/>
    <w:rsid w:val="00D856C2"/>
    <w:rsid w:val="00D866C3"/>
    <w:rsid w:val="00D86BFE"/>
    <w:rsid w:val="00D86CA9"/>
    <w:rsid w:val="00D87036"/>
    <w:rsid w:val="00D87E55"/>
    <w:rsid w:val="00D90B75"/>
    <w:rsid w:val="00D90CF8"/>
    <w:rsid w:val="00D91287"/>
    <w:rsid w:val="00D91A36"/>
    <w:rsid w:val="00D91BB6"/>
    <w:rsid w:val="00D91E1F"/>
    <w:rsid w:val="00D92DE7"/>
    <w:rsid w:val="00D93C04"/>
    <w:rsid w:val="00D93DAB"/>
    <w:rsid w:val="00D93F49"/>
    <w:rsid w:val="00D940FB"/>
    <w:rsid w:val="00D94482"/>
    <w:rsid w:val="00D949E0"/>
    <w:rsid w:val="00D95AF5"/>
    <w:rsid w:val="00D968C1"/>
    <w:rsid w:val="00D97798"/>
    <w:rsid w:val="00D97CA0"/>
    <w:rsid w:val="00DA0593"/>
    <w:rsid w:val="00DA1510"/>
    <w:rsid w:val="00DA1EE6"/>
    <w:rsid w:val="00DA24ED"/>
    <w:rsid w:val="00DA2B71"/>
    <w:rsid w:val="00DA2B8A"/>
    <w:rsid w:val="00DA3F49"/>
    <w:rsid w:val="00DA3FA5"/>
    <w:rsid w:val="00DA4B95"/>
    <w:rsid w:val="00DA5A48"/>
    <w:rsid w:val="00DA5BBA"/>
    <w:rsid w:val="00DA6108"/>
    <w:rsid w:val="00DA639E"/>
    <w:rsid w:val="00DA6D87"/>
    <w:rsid w:val="00DA702A"/>
    <w:rsid w:val="00DA77A9"/>
    <w:rsid w:val="00DA7D75"/>
    <w:rsid w:val="00DB01BE"/>
    <w:rsid w:val="00DB060F"/>
    <w:rsid w:val="00DB061E"/>
    <w:rsid w:val="00DB196E"/>
    <w:rsid w:val="00DB1F2E"/>
    <w:rsid w:val="00DB22D2"/>
    <w:rsid w:val="00DB26D2"/>
    <w:rsid w:val="00DB2A30"/>
    <w:rsid w:val="00DB2DF4"/>
    <w:rsid w:val="00DB37A7"/>
    <w:rsid w:val="00DB4233"/>
    <w:rsid w:val="00DB4D56"/>
    <w:rsid w:val="00DB4ED4"/>
    <w:rsid w:val="00DB5019"/>
    <w:rsid w:val="00DB57A9"/>
    <w:rsid w:val="00DB59AC"/>
    <w:rsid w:val="00DB59D0"/>
    <w:rsid w:val="00DB660C"/>
    <w:rsid w:val="00DB6616"/>
    <w:rsid w:val="00DB67C9"/>
    <w:rsid w:val="00DB7462"/>
    <w:rsid w:val="00DB7CA2"/>
    <w:rsid w:val="00DB7F96"/>
    <w:rsid w:val="00DC00B5"/>
    <w:rsid w:val="00DC018F"/>
    <w:rsid w:val="00DC05F9"/>
    <w:rsid w:val="00DC06E8"/>
    <w:rsid w:val="00DC0A99"/>
    <w:rsid w:val="00DC0C95"/>
    <w:rsid w:val="00DC0DD6"/>
    <w:rsid w:val="00DC0E81"/>
    <w:rsid w:val="00DC145C"/>
    <w:rsid w:val="00DC15F7"/>
    <w:rsid w:val="00DC1C22"/>
    <w:rsid w:val="00DC2B77"/>
    <w:rsid w:val="00DC2FBC"/>
    <w:rsid w:val="00DC3309"/>
    <w:rsid w:val="00DC36DA"/>
    <w:rsid w:val="00DC3822"/>
    <w:rsid w:val="00DC3BA9"/>
    <w:rsid w:val="00DC47DA"/>
    <w:rsid w:val="00DC4BDB"/>
    <w:rsid w:val="00DC5651"/>
    <w:rsid w:val="00DC5FDE"/>
    <w:rsid w:val="00DC6D87"/>
    <w:rsid w:val="00DC6E15"/>
    <w:rsid w:val="00DC7647"/>
    <w:rsid w:val="00DC7663"/>
    <w:rsid w:val="00DD0435"/>
    <w:rsid w:val="00DD044F"/>
    <w:rsid w:val="00DD0EB4"/>
    <w:rsid w:val="00DD2DC6"/>
    <w:rsid w:val="00DD3B0A"/>
    <w:rsid w:val="00DD4B77"/>
    <w:rsid w:val="00DD51F3"/>
    <w:rsid w:val="00DD51F7"/>
    <w:rsid w:val="00DD555D"/>
    <w:rsid w:val="00DD58DF"/>
    <w:rsid w:val="00DD5C57"/>
    <w:rsid w:val="00DD5EB8"/>
    <w:rsid w:val="00DD6580"/>
    <w:rsid w:val="00DD6B68"/>
    <w:rsid w:val="00DD7468"/>
    <w:rsid w:val="00DD770E"/>
    <w:rsid w:val="00DD7814"/>
    <w:rsid w:val="00DE0B71"/>
    <w:rsid w:val="00DE0CD8"/>
    <w:rsid w:val="00DE0DD3"/>
    <w:rsid w:val="00DE1336"/>
    <w:rsid w:val="00DE156F"/>
    <w:rsid w:val="00DE178F"/>
    <w:rsid w:val="00DE1874"/>
    <w:rsid w:val="00DE1BB9"/>
    <w:rsid w:val="00DE1D98"/>
    <w:rsid w:val="00DE2A00"/>
    <w:rsid w:val="00DE2B67"/>
    <w:rsid w:val="00DE3B27"/>
    <w:rsid w:val="00DE3CA8"/>
    <w:rsid w:val="00DE41E5"/>
    <w:rsid w:val="00DE4347"/>
    <w:rsid w:val="00DE48FE"/>
    <w:rsid w:val="00DE526A"/>
    <w:rsid w:val="00DE5491"/>
    <w:rsid w:val="00DE5AC9"/>
    <w:rsid w:val="00DE70B8"/>
    <w:rsid w:val="00DE75A8"/>
    <w:rsid w:val="00DE7788"/>
    <w:rsid w:val="00DE7892"/>
    <w:rsid w:val="00DE7E9B"/>
    <w:rsid w:val="00DF06C5"/>
    <w:rsid w:val="00DF08EB"/>
    <w:rsid w:val="00DF09E0"/>
    <w:rsid w:val="00DF0CBA"/>
    <w:rsid w:val="00DF1452"/>
    <w:rsid w:val="00DF1ECB"/>
    <w:rsid w:val="00DF2794"/>
    <w:rsid w:val="00DF27AC"/>
    <w:rsid w:val="00DF27E6"/>
    <w:rsid w:val="00DF2E7D"/>
    <w:rsid w:val="00DF3121"/>
    <w:rsid w:val="00DF31E4"/>
    <w:rsid w:val="00DF367C"/>
    <w:rsid w:val="00DF3CC9"/>
    <w:rsid w:val="00DF466D"/>
    <w:rsid w:val="00DF5D3E"/>
    <w:rsid w:val="00DF61AA"/>
    <w:rsid w:val="00DF64AA"/>
    <w:rsid w:val="00DF6501"/>
    <w:rsid w:val="00DF6B97"/>
    <w:rsid w:val="00DF6C55"/>
    <w:rsid w:val="00DF77E7"/>
    <w:rsid w:val="00DF79D6"/>
    <w:rsid w:val="00DF7F6B"/>
    <w:rsid w:val="00E0073C"/>
    <w:rsid w:val="00E00B7D"/>
    <w:rsid w:val="00E00E5C"/>
    <w:rsid w:val="00E0114B"/>
    <w:rsid w:val="00E02515"/>
    <w:rsid w:val="00E026A8"/>
    <w:rsid w:val="00E0298B"/>
    <w:rsid w:val="00E02A79"/>
    <w:rsid w:val="00E03F23"/>
    <w:rsid w:val="00E04353"/>
    <w:rsid w:val="00E04806"/>
    <w:rsid w:val="00E04930"/>
    <w:rsid w:val="00E051E6"/>
    <w:rsid w:val="00E054FF"/>
    <w:rsid w:val="00E0574A"/>
    <w:rsid w:val="00E05DD2"/>
    <w:rsid w:val="00E0763C"/>
    <w:rsid w:val="00E07A9F"/>
    <w:rsid w:val="00E07E87"/>
    <w:rsid w:val="00E10511"/>
    <w:rsid w:val="00E10845"/>
    <w:rsid w:val="00E11167"/>
    <w:rsid w:val="00E115D4"/>
    <w:rsid w:val="00E11D74"/>
    <w:rsid w:val="00E12F49"/>
    <w:rsid w:val="00E13E8A"/>
    <w:rsid w:val="00E13F79"/>
    <w:rsid w:val="00E1407B"/>
    <w:rsid w:val="00E14543"/>
    <w:rsid w:val="00E15251"/>
    <w:rsid w:val="00E16289"/>
    <w:rsid w:val="00E16DD5"/>
    <w:rsid w:val="00E16FD9"/>
    <w:rsid w:val="00E17333"/>
    <w:rsid w:val="00E17C72"/>
    <w:rsid w:val="00E17EEF"/>
    <w:rsid w:val="00E20C6D"/>
    <w:rsid w:val="00E21188"/>
    <w:rsid w:val="00E21BA5"/>
    <w:rsid w:val="00E21F92"/>
    <w:rsid w:val="00E21FC6"/>
    <w:rsid w:val="00E22023"/>
    <w:rsid w:val="00E22471"/>
    <w:rsid w:val="00E22FE2"/>
    <w:rsid w:val="00E2359D"/>
    <w:rsid w:val="00E24287"/>
    <w:rsid w:val="00E2473A"/>
    <w:rsid w:val="00E2475C"/>
    <w:rsid w:val="00E24C69"/>
    <w:rsid w:val="00E252CC"/>
    <w:rsid w:val="00E2620A"/>
    <w:rsid w:val="00E2652D"/>
    <w:rsid w:val="00E26694"/>
    <w:rsid w:val="00E2689A"/>
    <w:rsid w:val="00E2698B"/>
    <w:rsid w:val="00E26B47"/>
    <w:rsid w:val="00E26BF2"/>
    <w:rsid w:val="00E26C07"/>
    <w:rsid w:val="00E3036E"/>
    <w:rsid w:val="00E3086E"/>
    <w:rsid w:val="00E30EE1"/>
    <w:rsid w:val="00E31D5A"/>
    <w:rsid w:val="00E31F9C"/>
    <w:rsid w:val="00E322D7"/>
    <w:rsid w:val="00E324A4"/>
    <w:rsid w:val="00E32627"/>
    <w:rsid w:val="00E33306"/>
    <w:rsid w:val="00E333E2"/>
    <w:rsid w:val="00E33679"/>
    <w:rsid w:val="00E34887"/>
    <w:rsid w:val="00E3510C"/>
    <w:rsid w:val="00E352D9"/>
    <w:rsid w:val="00E355E0"/>
    <w:rsid w:val="00E36194"/>
    <w:rsid w:val="00E365FB"/>
    <w:rsid w:val="00E37802"/>
    <w:rsid w:val="00E40403"/>
    <w:rsid w:val="00E4045F"/>
    <w:rsid w:val="00E4054E"/>
    <w:rsid w:val="00E411E3"/>
    <w:rsid w:val="00E41355"/>
    <w:rsid w:val="00E41415"/>
    <w:rsid w:val="00E41BC3"/>
    <w:rsid w:val="00E420FD"/>
    <w:rsid w:val="00E42A71"/>
    <w:rsid w:val="00E43080"/>
    <w:rsid w:val="00E431A9"/>
    <w:rsid w:val="00E43237"/>
    <w:rsid w:val="00E436E5"/>
    <w:rsid w:val="00E43CE8"/>
    <w:rsid w:val="00E44895"/>
    <w:rsid w:val="00E44D5B"/>
    <w:rsid w:val="00E451B6"/>
    <w:rsid w:val="00E4529B"/>
    <w:rsid w:val="00E45340"/>
    <w:rsid w:val="00E4541F"/>
    <w:rsid w:val="00E4546A"/>
    <w:rsid w:val="00E45522"/>
    <w:rsid w:val="00E45B98"/>
    <w:rsid w:val="00E45DE9"/>
    <w:rsid w:val="00E46033"/>
    <w:rsid w:val="00E46748"/>
    <w:rsid w:val="00E4680E"/>
    <w:rsid w:val="00E46C97"/>
    <w:rsid w:val="00E46DA3"/>
    <w:rsid w:val="00E471E2"/>
    <w:rsid w:val="00E473E2"/>
    <w:rsid w:val="00E50605"/>
    <w:rsid w:val="00E5096C"/>
    <w:rsid w:val="00E50D97"/>
    <w:rsid w:val="00E5134A"/>
    <w:rsid w:val="00E5284C"/>
    <w:rsid w:val="00E52B4D"/>
    <w:rsid w:val="00E53469"/>
    <w:rsid w:val="00E54D0F"/>
    <w:rsid w:val="00E55077"/>
    <w:rsid w:val="00E55244"/>
    <w:rsid w:val="00E556F1"/>
    <w:rsid w:val="00E5612A"/>
    <w:rsid w:val="00E5623F"/>
    <w:rsid w:val="00E57335"/>
    <w:rsid w:val="00E57712"/>
    <w:rsid w:val="00E577C5"/>
    <w:rsid w:val="00E57991"/>
    <w:rsid w:val="00E605BE"/>
    <w:rsid w:val="00E60769"/>
    <w:rsid w:val="00E60D41"/>
    <w:rsid w:val="00E61092"/>
    <w:rsid w:val="00E61122"/>
    <w:rsid w:val="00E617C5"/>
    <w:rsid w:val="00E61C3B"/>
    <w:rsid w:val="00E61EF6"/>
    <w:rsid w:val="00E6379B"/>
    <w:rsid w:val="00E63BAF"/>
    <w:rsid w:val="00E64343"/>
    <w:rsid w:val="00E6469D"/>
    <w:rsid w:val="00E65991"/>
    <w:rsid w:val="00E669E2"/>
    <w:rsid w:val="00E67559"/>
    <w:rsid w:val="00E67934"/>
    <w:rsid w:val="00E710B1"/>
    <w:rsid w:val="00E714BD"/>
    <w:rsid w:val="00E71D7E"/>
    <w:rsid w:val="00E71E4F"/>
    <w:rsid w:val="00E7201E"/>
    <w:rsid w:val="00E72464"/>
    <w:rsid w:val="00E7255D"/>
    <w:rsid w:val="00E72A8A"/>
    <w:rsid w:val="00E732C7"/>
    <w:rsid w:val="00E740F3"/>
    <w:rsid w:val="00E74577"/>
    <w:rsid w:val="00E748D2"/>
    <w:rsid w:val="00E74D4D"/>
    <w:rsid w:val="00E74E96"/>
    <w:rsid w:val="00E752BE"/>
    <w:rsid w:val="00E752F3"/>
    <w:rsid w:val="00E75739"/>
    <w:rsid w:val="00E76135"/>
    <w:rsid w:val="00E76C87"/>
    <w:rsid w:val="00E76E6B"/>
    <w:rsid w:val="00E76F71"/>
    <w:rsid w:val="00E77BA0"/>
    <w:rsid w:val="00E803E5"/>
    <w:rsid w:val="00E80A54"/>
    <w:rsid w:val="00E8114E"/>
    <w:rsid w:val="00E812D9"/>
    <w:rsid w:val="00E82276"/>
    <w:rsid w:val="00E82543"/>
    <w:rsid w:val="00E82EBF"/>
    <w:rsid w:val="00E82F4F"/>
    <w:rsid w:val="00E82F59"/>
    <w:rsid w:val="00E8337A"/>
    <w:rsid w:val="00E8356B"/>
    <w:rsid w:val="00E83C1F"/>
    <w:rsid w:val="00E84762"/>
    <w:rsid w:val="00E84BF8"/>
    <w:rsid w:val="00E850E6"/>
    <w:rsid w:val="00E853B6"/>
    <w:rsid w:val="00E8544D"/>
    <w:rsid w:val="00E85511"/>
    <w:rsid w:val="00E85EE6"/>
    <w:rsid w:val="00E86190"/>
    <w:rsid w:val="00E8627F"/>
    <w:rsid w:val="00E86573"/>
    <w:rsid w:val="00E865B3"/>
    <w:rsid w:val="00E8682B"/>
    <w:rsid w:val="00E87800"/>
    <w:rsid w:val="00E90231"/>
    <w:rsid w:val="00E914C7"/>
    <w:rsid w:val="00E91546"/>
    <w:rsid w:val="00E91635"/>
    <w:rsid w:val="00E91E43"/>
    <w:rsid w:val="00E92A8C"/>
    <w:rsid w:val="00E92BD7"/>
    <w:rsid w:val="00E9319F"/>
    <w:rsid w:val="00E94512"/>
    <w:rsid w:val="00E945FB"/>
    <w:rsid w:val="00E946E9"/>
    <w:rsid w:val="00E94B0A"/>
    <w:rsid w:val="00E9559F"/>
    <w:rsid w:val="00E9631A"/>
    <w:rsid w:val="00E9679E"/>
    <w:rsid w:val="00E96CC0"/>
    <w:rsid w:val="00E974DA"/>
    <w:rsid w:val="00E9783C"/>
    <w:rsid w:val="00EA0C56"/>
    <w:rsid w:val="00EA0E9A"/>
    <w:rsid w:val="00EA27B4"/>
    <w:rsid w:val="00EA4AB1"/>
    <w:rsid w:val="00EA4C83"/>
    <w:rsid w:val="00EA5FB2"/>
    <w:rsid w:val="00EA61CF"/>
    <w:rsid w:val="00EA6777"/>
    <w:rsid w:val="00EA6865"/>
    <w:rsid w:val="00EA68D5"/>
    <w:rsid w:val="00EA7280"/>
    <w:rsid w:val="00EB006E"/>
    <w:rsid w:val="00EB1174"/>
    <w:rsid w:val="00EB12BC"/>
    <w:rsid w:val="00EB15A2"/>
    <w:rsid w:val="00EB2448"/>
    <w:rsid w:val="00EB2D57"/>
    <w:rsid w:val="00EB3527"/>
    <w:rsid w:val="00EB35F8"/>
    <w:rsid w:val="00EB3B53"/>
    <w:rsid w:val="00EB3DA2"/>
    <w:rsid w:val="00EB49FC"/>
    <w:rsid w:val="00EB5174"/>
    <w:rsid w:val="00EB5620"/>
    <w:rsid w:val="00EB571A"/>
    <w:rsid w:val="00EB5825"/>
    <w:rsid w:val="00EB5D14"/>
    <w:rsid w:val="00EB6462"/>
    <w:rsid w:val="00EB74A6"/>
    <w:rsid w:val="00EC033A"/>
    <w:rsid w:val="00EC06D6"/>
    <w:rsid w:val="00EC17A2"/>
    <w:rsid w:val="00EC225E"/>
    <w:rsid w:val="00EC24B1"/>
    <w:rsid w:val="00EC2844"/>
    <w:rsid w:val="00EC2F24"/>
    <w:rsid w:val="00EC2FBA"/>
    <w:rsid w:val="00EC2FC9"/>
    <w:rsid w:val="00EC3537"/>
    <w:rsid w:val="00EC39C1"/>
    <w:rsid w:val="00EC408E"/>
    <w:rsid w:val="00EC43DB"/>
    <w:rsid w:val="00EC44CB"/>
    <w:rsid w:val="00EC5290"/>
    <w:rsid w:val="00EC5500"/>
    <w:rsid w:val="00EC6091"/>
    <w:rsid w:val="00EC630C"/>
    <w:rsid w:val="00EC6490"/>
    <w:rsid w:val="00EC64C0"/>
    <w:rsid w:val="00EC6673"/>
    <w:rsid w:val="00EC76CA"/>
    <w:rsid w:val="00ED0691"/>
    <w:rsid w:val="00ED0B8F"/>
    <w:rsid w:val="00ED0BFE"/>
    <w:rsid w:val="00ED18F8"/>
    <w:rsid w:val="00ED191B"/>
    <w:rsid w:val="00ED1A16"/>
    <w:rsid w:val="00ED1E97"/>
    <w:rsid w:val="00ED2EFD"/>
    <w:rsid w:val="00ED33E6"/>
    <w:rsid w:val="00ED3A68"/>
    <w:rsid w:val="00ED3B8D"/>
    <w:rsid w:val="00ED4285"/>
    <w:rsid w:val="00ED46CB"/>
    <w:rsid w:val="00ED47E0"/>
    <w:rsid w:val="00ED5409"/>
    <w:rsid w:val="00ED5430"/>
    <w:rsid w:val="00ED55EB"/>
    <w:rsid w:val="00ED5AAF"/>
    <w:rsid w:val="00ED6286"/>
    <w:rsid w:val="00ED635E"/>
    <w:rsid w:val="00ED6669"/>
    <w:rsid w:val="00ED6671"/>
    <w:rsid w:val="00ED66AF"/>
    <w:rsid w:val="00ED671A"/>
    <w:rsid w:val="00ED691A"/>
    <w:rsid w:val="00ED6AA2"/>
    <w:rsid w:val="00ED70C3"/>
    <w:rsid w:val="00ED7190"/>
    <w:rsid w:val="00ED7ACC"/>
    <w:rsid w:val="00ED7B52"/>
    <w:rsid w:val="00ED7B9B"/>
    <w:rsid w:val="00ED7D11"/>
    <w:rsid w:val="00ED7EC4"/>
    <w:rsid w:val="00EE09AA"/>
    <w:rsid w:val="00EE0AD1"/>
    <w:rsid w:val="00EE0F63"/>
    <w:rsid w:val="00EE15A9"/>
    <w:rsid w:val="00EE1C75"/>
    <w:rsid w:val="00EE2227"/>
    <w:rsid w:val="00EE2990"/>
    <w:rsid w:val="00EE30EF"/>
    <w:rsid w:val="00EE36FF"/>
    <w:rsid w:val="00EE37B8"/>
    <w:rsid w:val="00EE3CC1"/>
    <w:rsid w:val="00EE3D12"/>
    <w:rsid w:val="00EE3EA8"/>
    <w:rsid w:val="00EE4C1E"/>
    <w:rsid w:val="00EE5CDA"/>
    <w:rsid w:val="00EE61F9"/>
    <w:rsid w:val="00EE63DB"/>
    <w:rsid w:val="00EE6BBF"/>
    <w:rsid w:val="00EE6BF8"/>
    <w:rsid w:val="00EE7754"/>
    <w:rsid w:val="00EE7C35"/>
    <w:rsid w:val="00EE7E20"/>
    <w:rsid w:val="00EF02B9"/>
    <w:rsid w:val="00EF0779"/>
    <w:rsid w:val="00EF0F0F"/>
    <w:rsid w:val="00EF17F4"/>
    <w:rsid w:val="00EF1FBC"/>
    <w:rsid w:val="00EF241A"/>
    <w:rsid w:val="00EF26B2"/>
    <w:rsid w:val="00EF27BF"/>
    <w:rsid w:val="00EF2902"/>
    <w:rsid w:val="00EF2AFE"/>
    <w:rsid w:val="00EF323F"/>
    <w:rsid w:val="00EF32D0"/>
    <w:rsid w:val="00EF343B"/>
    <w:rsid w:val="00EF3813"/>
    <w:rsid w:val="00EF4173"/>
    <w:rsid w:val="00EF458C"/>
    <w:rsid w:val="00EF4706"/>
    <w:rsid w:val="00EF4943"/>
    <w:rsid w:val="00EF4C22"/>
    <w:rsid w:val="00EF4CE0"/>
    <w:rsid w:val="00EF5A5D"/>
    <w:rsid w:val="00EF6A7D"/>
    <w:rsid w:val="00EF6AE7"/>
    <w:rsid w:val="00EF6C6C"/>
    <w:rsid w:val="00EF72A2"/>
    <w:rsid w:val="00EF7314"/>
    <w:rsid w:val="00EF762B"/>
    <w:rsid w:val="00EF7EDC"/>
    <w:rsid w:val="00F00693"/>
    <w:rsid w:val="00F01689"/>
    <w:rsid w:val="00F01B8F"/>
    <w:rsid w:val="00F01EE7"/>
    <w:rsid w:val="00F0209F"/>
    <w:rsid w:val="00F0289F"/>
    <w:rsid w:val="00F03D8D"/>
    <w:rsid w:val="00F04718"/>
    <w:rsid w:val="00F04A58"/>
    <w:rsid w:val="00F04AD1"/>
    <w:rsid w:val="00F04B37"/>
    <w:rsid w:val="00F04F48"/>
    <w:rsid w:val="00F056FC"/>
    <w:rsid w:val="00F05886"/>
    <w:rsid w:val="00F05BB6"/>
    <w:rsid w:val="00F06755"/>
    <w:rsid w:val="00F069D7"/>
    <w:rsid w:val="00F06CE8"/>
    <w:rsid w:val="00F06CEA"/>
    <w:rsid w:val="00F07BE1"/>
    <w:rsid w:val="00F07FAC"/>
    <w:rsid w:val="00F10275"/>
    <w:rsid w:val="00F10476"/>
    <w:rsid w:val="00F10FAE"/>
    <w:rsid w:val="00F1119A"/>
    <w:rsid w:val="00F11587"/>
    <w:rsid w:val="00F1224B"/>
    <w:rsid w:val="00F1234A"/>
    <w:rsid w:val="00F12395"/>
    <w:rsid w:val="00F1268C"/>
    <w:rsid w:val="00F1306F"/>
    <w:rsid w:val="00F135B7"/>
    <w:rsid w:val="00F135D8"/>
    <w:rsid w:val="00F13BEB"/>
    <w:rsid w:val="00F13CDC"/>
    <w:rsid w:val="00F14165"/>
    <w:rsid w:val="00F14286"/>
    <w:rsid w:val="00F14314"/>
    <w:rsid w:val="00F1474C"/>
    <w:rsid w:val="00F14A8F"/>
    <w:rsid w:val="00F1539F"/>
    <w:rsid w:val="00F174C6"/>
    <w:rsid w:val="00F17F73"/>
    <w:rsid w:val="00F20375"/>
    <w:rsid w:val="00F21DE6"/>
    <w:rsid w:val="00F22D13"/>
    <w:rsid w:val="00F241FD"/>
    <w:rsid w:val="00F24504"/>
    <w:rsid w:val="00F24D09"/>
    <w:rsid w:val="00F24E4E"/>
    <w:rsid w:val="00F25175"/>
    <w:rsid w:val="00F25564"/>
    <w:rsid w:val="00F26C0F"/>
    <w:rsid w:val="00F26E4E"/>
    <w:rsid w:val="00F26E71"/>
    <w:rsid w:val="00F26EDB"/>
    <w:rsid w:val="00F27676"/>
    <w:rsid w:val="00F30B43"/>
    <w:rsid w:val="00F30CB4"/>
    <w:rsid w:val="00F31299"/>
    <w:rsid w:val="00F31591"/>
    <w:rsid w:val="00F317DB"/>
    <w:rsid w:val="00F31E19"/>
    <w:rsid w:val="00F31E37"/>
    <w:rsid w:val="00F323BF"/>
    <w:rsid w:val="00F3263E"/>
    <w:rsid w:val="00F327B7"/>
    <w:rsid w:val="00F32FB4"/>
    <w:rsid w:val="00F334AE"/>
    <w:rsid w:val="00F33F58"/>
    <w:rsid w:val="00F34996"/>
    <w:rsid w:val="00F3534A"/>
    <w:rsid w:val="00F354DE"/>
    <w:rsid w:val="00F35E2D"/>
    <w:rsid w:val="00F361C4"/>
    <w:rsid w:val="00F36213"/>
    <w:rsid w:val="00F36FB0"/>
    <w:rsid w:val="00F3726A"/>
    <w:rsid w:val="00F37D06"/>
    <w:rsid w:val="00F37F19"/>
    <w:rsid w:val="00F40745"/>
    <w:rsid w:val="00F40B29"/>
    <w:rsid w:val="00F40EFD"/>
    <w:rsid w:val="00F41A64"/>
    <w:rsid w:val="00F41BF4"/>
    <w:rsid w:val="00F41EC8"/>
    <w:rsid w:val="00F424D8"/>
    <w:rsid w:val="00F42714"/>
    <w:rsid w:val="00F42E98"/>
    <w:rsid w:val="00F42FB3"/>
    <w:rsid w:val="00F437D6"/>
    <w:rsid w:val="00F43971"/>
    <w:rsid w:val="00F43B71"/>
    <w:rsid w:val="00F43CC3"/>
    <w:rsid w:val="00F443A8"/>
    <w:rsid w:val="00F4451C"/>
    <w:rsid w:val="00F4452F"/>
    <w:rsid w:val="00F45062"/>
    <w:rsid w:val="00F458EE"/>
    <w:rsid w:val="00F45B7B"/>
    <w:rsid w:val="00F4632F"/>
    <w:rsid w:val="00F46E58"/>
    <w:rsid w:val="00F46F4B"/>
    <w:rsid w:val="00F47A49"/>
    <w:rsid w:val="00F47BFB"/>
    <w:rsid w:val="00F47C0F"/>
    <w:rsid w:val="00F50C00"/>
    <w:rsid w:val="00F51609"/>
    <w:rsid w:val="00F519E1"/>
    <w:rsid w:val="00F51AC5"/>
    <w:rsid w:val="00F51F23"/>
    <w:rsid w:val="00F52660"/>
    <w:rsid w:val="00F52D48"/>
    <w:rsid w:val="00F53C2C"/>
    <w:rsid w:val="00F53FAC"/>
    <w:rsid w:val="00F541F8"/>
    <w:rsid w:val="00F546B8"/>
    <w:rsid w:val="00F54D64"/>
    <w:rsid w:val="00F55544"/>
    <w:rsid w:val="00F55BB0"/>
    <w:rsid w:val="00F55BE2"/>
    <w:rsid w:val="00F55DDA"/>
    <w:rsid w:val="00F566D0"/>
    <w:rsid w:val="00F567A8"/>
    <w:rsid w:val="00F568E1"/>
    <w:rsid w:val="00F57A6B"/>
    <w:rsid w:val="00F57A7A"/>
    <w:rsid w:val="00F60026"/>
    <w:rsid w:val="00F6051A"/>
    <w:rsid w:val="00F6073F"/>
    <w:rsid w:val="00F60B05"/>
    <w:rsid w:val="00F60B60"/>
    <w:rsid w:val="00F6166A"/>
    <w:rsid w:val="00F61B1D"/>
    <w:rsid w:val="00F620F0"/>
    <w:rsid w:val="00F621F9"/>
    <w:rsid w:val="00F62BF7"/>
    <w:rsid w:val="00F63CA8"/>
    <w:rsid w:val="00F64618"/>
    <w:rsid w:val="00F649A1"/>
    <w:rsid w:val="00F65134"/>
    <w:rsid w:val="00F655BF"/>
    <w:rsid w:val="00F65AD4"/>
    <w:rsid w:val="00F67DD6"/>
    <w:rsid w:val="00F72DB6"/>
    <w:rsid w:val="00F73766"/>
    <w:rsid w:val="00F74341"/>
    <w:rsid w:val="00F743B6"/>
    <w:rsid w:val="00F7658D"/>
    <w:rsid w:val="00F81006"/>
    <w:rsid w:val="00F81420"/>
    <w:rsid w:val="00F849DC"/>
    <w:rsid w:val="00F84AC5"/>
    <w:rsid w:val="00F85325"/>
    <w:rsid w:val="00F85583"/>
    <w:rsid w:val="00F85948"/>
    <w:rsid w:val="00F8721A"/>
    <w:rsid w:val="00F8773C"/>
    <w:rsid w:val="00F87792"/>
    <w:rsid w:val="00F87925"/>
    <w:rsid w:val="00F87DE7"/>
    <w:rsid w:val="00F900AE"/>
    <w:rsid w:val="00F90329"/>
    <w:rsid w:val="00F90D64"/>
    <w:rsid w:val="00F90FA9"/>
    <w:rsid w:val="00F91CC9"/>
    <w:rsid w:val="00F92262"/>
    <w:rsid w:val="00F93654"/>
    <w:rsid w:val="00F93875"/>
    <w:rsid w:val="00F93D53"/>
    <w:rsid w:val="00F93F96"/>
    <w:rsid w:val="00F941A5"/>
    <w:rsid w:val="00F965AF"/>
    <w:rsid w:val="00F978A1"/>
    <w:rsid w:val="00FA09C3"/>
    <w:rsid w:val="00FA0DB7"/>
    <w:rsid w:val="00FA18E2"/>
    <w:rsid w:val="00FA1940"/>
    <w:rsid w:val="00FA26B0"/>
    <w:rsid w:val="00FA353E"/>
    <w:rsid w:val="00FA5107"/>
    <w:rsid w:val="00FA57AD"/>
    <w:rsid w:val="00FA5DD3"/>
    <w:rsid w:val="00FA6306"/>
    <w:rsid w:val="00FA6408"/>
    <w:rsid w:val="00FA7934"/>
    <w:rsid w:val="00FA7E06"/>
    <w:rsid w:val="00FA7E59"/>
    <w:rsid w:val="00FB077F"/>
    <w:rsid w:val="00FB0A95"/>
    <w:rsid w:val="00FB0B61"/>
    <w:rsid w:val="00FB0C93"/>
    <w:rsid w:val="00FB17F2"/>
    <w:rsid w:val="00FB1A9E"/>
    <w:rsid w:val="00FB2204"/>
    <w:rsid w:val="00FB251F"/>
    <w:rsid w:val="00FB2AE2"/>
    <w:rsid w:val="00FB30A5"/>
    <w:rsid w:val="00FB3951"/>
    <w:rsid w:val="00FB3C10"/>
    <w:rsid w:val="00FB3EC4"/>
    <w:rsid w:val="00FB434F"/>
    <w:rsid w:val="00FB510E"/>
    <w:rsid w:val="00FB568E"/>
    <w:rsid w:val="00FB6E3B"/>
    <w:rsid w:val="00FB75B4"/>
    <w:rsid w:val="00FB76E6"/>
    <w:rsid w:val="00FB7DB5"/>
    <w:rsid w:val="00FB7F8A"/>
    <w:rsid w:val="00FC0897"/>
    <w:rsid w:val="00FC0E37"/>
    <w:rsid w:val="00FC0EFD"/>
    <w:rsid w:val="00FC187C"/>
    <w:rsid w:val="00FC1E37"/>
    <w:rsid w:val="00FC2B7F"/>
    <w:rsid w:val="00FC2F68"/>
    <w:rsid w:val="00FC40E4"/>
    <w:rsid w:val="00FC4C5C"/>
    <w:rsid w:val="00FC53B5"/>
    <w:rsid w:val="00FC5EF1"/>
    <w:rsid w:val="00FC6643"/>
    <w:rsid w:val="00FC6AB6"/>
    <w:rsid w:val="00FD0F18"/>
    <w:rsid w:val="00FD0F6E"/>
    <w:rsid w:val="00FD1296"/>
    <w:rsid w:val="00FD1586"/>
    <w:rsid w:val="00FD22B1"/>
    <w:rsid w:val="00FD2371"/>
    <w:rsid w:val="00FD2E63"/>
    <w:rsid w:val="00FD3633"/>
    <w:rsid w:val="00FD3E98"/>
    <w:rsid w:val="00FD477B"/>
    <w:rsid w:val="00FD4C4C"/>
    <w:rsid w:val="00FD4D5B"/>
    <w:rsid w:val="00FD555C"/>
    <w:rsid w:val="00FD5888"/>
    <w:rsid w:val="00FD7568"/>
    <w:rsid w:val="00FD78CA"/>
    <w:rsid w:val="00FD7EB8"/>
    <w:rsid w:val="00FE1299"/>
    <w:rsid w:val="00FE1354"/>
    <w:rsid w:val="00FE163A"/>
    <w:rsid w:val="00FE1BF5"/>
    <w:rsid w:val="00FE23FC"/>
    <w:rsid w:val="00FE2ABA"/>
    <w:rsid w:val="00FE2CAF"/>
    <w:rsid w:val="00FE39DE"/>
    <w:rsid w:val="00FE4BF7"/>
    <w:rsid w:val="00FE523D"/>
    <w:rsid w:val="00FE5397"/>
    <w:rsid w:val="00FE5524"/>
    <w:rsid w:val="00FE5C77"/>
    <w:rsid w:val="00FE5D2A"/>
    <w:rsid w:val="00FE5D81"/>
    <w:rsid w:val="00FE5F50"/>
    <w:rsid w:val="00FE65C5"/>
    <w:rsid w:val="00FE670C"/>
    <w:rsid w:val="00FE67E8"/>
    <w:rsid w:val="00FE70D0"/>
    <w:rsid w:val="00FE7D5D"/>
    <w:rsid w:val="00FF03BA"/>
    <w:rsid w:val="00FF0AB5"/>
    <w:rsid w:val="00FF0BDA"/>
    <w:rsid w:val="00FF0CFA"/>
    <w:rsid w:val="00FF0F60"/>
    <w:rsid w:val="00FF2067"/>
    <w:rsid w:val="00FF2EA6"/>
    <w:rsid w:val="00FF36DD"/>
    <w:rsid w:val="00FF3EBC"/>
    <w:rsid w:val="00FF42C0"/>
    <w:rsid w:val="00FF4416"/>
    <w:rsid w:val="00FF4899"/>
    <w:rsid w:val="00FF4C47"/>
    <w:rsid w:val="00FF557F"/>
    <w:rsid w:val="00FF5E8E"/>
    <w:rsid w:val="00FF6A14"/>
    <w:rsid w:val="00FF7A3F"/>
    <w:rsid w:val="00FF7C8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2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86DAE"/>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basedOn w:val="DefaultParagraphFont"/>
    <w:link w:val="BodyText"/>
    <w:rsid w:val="003D5EC4"/>
    <w:rPr>
      <w:sz w:val="26"/>
    </w:rPr>
  </w:style>
  <w:style w:type="character" w:customStyle="1" w:styleId="FooterChar">
    <w:name w:val="Footer Char"/>
    <w:basedOn w:val="DefaultParagraphFont"/>
    <w:link w:val="Footer"/>
    <w:semiHidden/>
    <w:rsid w:val="007F30C3"/>
    <w:rPr>
      <w:caps/>
      <w:spacing w:val="-4"/>
      <w:sz w:val="16"/>
    </w:rPr>
  </w:style>
  <w:style w:type="character" w:styleId="Hyperlink">
    <w:name w:val="Hyperlink"/>
    <w:basedOn w:val="DefaultParagraphFont"/>
    <w:rsid w:val="000A1A1D"/>
    <w:rPr>
      <w:color w:val="0000FF" w:themeColor="hyperlink"/>
      <w:u w:val="single"/>
    </w:rPr>
  </w:style>
  <w:style w:type="character" w:customStyle="1" w:styleId="Heading3Char">
    <w:name w:val="Heading 3 Char"/>
    <w:basedOn w:val="DefaultParagraphFont"/>
    <w:link w:val="Heading3"/>
    <w:rsid w:val="005C75B2"/>
    <w:rPr>
      <w:rFonts w:ascii="Arial" w:hAnsi="Arial"/>
      <w:b/>
      <w:sz w:val="26"/>
      <w:szCs w:val="24"/>
    </w:rPr>
  </w:style>
  <w:style w:type="character" w:styleId="FollowedHyperlink">
    <w:name w:val="FollowedHyperlink"/>
    <w:basedOn w:val="DefaultParagraphFont"/>
    <w:rsid w:val="000C73B2"/>
    <w:rPr>
      <w:color w:val="800080" w:themeColor="followedHyperlink"/>
      <w:u w:val="single"/>
    </w:rPr>
  </w:style>
  <w:style w:type="character" w:customStyle="1" w:styleId="CommentTextChar">
    <w:name w:val="Comment Text Char"/>
    <w:basedOn w:val="DefaultParagraphFont"/>
    <w:link w:val="CommentText"/>
    <w:semiHidden/>
    <w:rsid w:val="0092458C"/>
    <w:rPr>
      <w:szCs w:val="24"/>
    </w:rPr>
  </w:style>
  <w:style w:type="character" w:customStyle="1" w:styleId="Heading2Char">
    <w:name w:val="Heading 2 Char"/>
    <w:basedOn w:val="DefaultParagraphFont"/>
    <w:link w:val="Heading2"/>
    <w:rsid w:val="00603597"/>
    <w:rPr>
      <w:rFonts w:ascii="Arial" w:hAnsi="Arial"/>
      <w:b/>
      <w:sz w:val="32"/>
      <w:szCs w:val="24"/>
    </w:rPr>
  </w:style>
  <w:style w:type="character" w:customStyle="1" w:styleId="FootnoteTextChar">
    <w:name w:val="Footnote Text Char"/>
    <w:basedOn w:val="DefaultParagraphFont"/>
    <w:link w:val="FootnoteText"/>
    <w:rsid w:val="00F620F0"/>
    <w:rPr>
      <w:sz w:val="22"/>
    </w:rPr>
  </w:style>
  <w:style w:type="paragraph" w:styleId="Revision">
    <w:name w:val="Revision"/>
    <w:hidden/>
    <w:uiPriority w:val="99"/>
    <w:semiHidden/>
    <w:rsid w:val="008B2C7F"/>
    <w:rPr>
      <w:sz w:val="2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86DAE"/>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basedOn w:val="DefaultParagraphFont"/>
    <w:link w:val="BodyText"/>
    <w:rsid w:val="003D5EC4"/>
    <w:rPr>
      <w:sz w:val="26"/>
    </w:rPr>
  </w:style>
  <w:style w:type="character" w:customStyle="1" w:styleId="FooterChar">
    <w:name w:val="Footer Char"/>
    <w:basedOn w:val="DefaultParagraphFont"/>
    <w:link w:val="Footer"/>
    <w:semiHidden/>
    <w:rsid w:val="007F30C3"/>
    <w:rPr>
      <w:caps/>
      <w:spacing w:val="-4"/>
      <w:sz w:val="16"/>
    </w:rPr>
  </w:style>
  <w:style w:type="character" w:styleId="Hyperlink">
    <w:name w:val="Hyperlink"/>
    <w:basedOn w:val="DefaultParagraphFont"/>
    <w:rsid w:val="000A1A1D"/>
    <w:rPr>
      <w:color w:val="0000FF" w:themeColor="hyperlink"/>
      <w:u w:val="single"/>
    </w:rPr>
  </w:style>
  <w:style w:type="character" w:customStyle="1" w:styleId="Heading3Char">
    <w:name w:val="Heading 3 Char"/>
    <w:basedOn w:val="DefaultParagraphFont"/>
    <w:link w:val="Heading3"/>
    <w:rsid w:val="005C75B2"/>
    <w:rPr>
      <w:rFonts w:ascii="Arial" w:hAnsi="Arial"/>
      <w:b/>
      <w:sz w:val="26"/>
      <w:szCs w:val="24"/>
    </w:rPr>
  </w:style>
  <w:style w:type="character" w:styleId="FollowedHyperlink">
    <w:name w:val="FollowedHyperlink"/>
    <w:basedOn w:val="DefaultParagraphFont"/>
    <w:rsid w:val="000C73B2"/>
    <w:rPr>
      <w:color w:val="800080" w:themeColor="followedHyperlink"/>
      <w:u w:val="single"/>
    </w:rPr>
  </w:style>
  <w:style w:type="character" w:customStyle="1" w:styleId="CommentTextChar">
    <w:name w:val="Comment Text Char"/>
    <w:basedOn w:val="DefaultParagraphFont"/>
    <w:link w:val="CommentText"/>
    <w:semiHidden/>
    <w:rsid w:val="0092458C"/>
    <w:rPr>
      <w:szCs w:val="24"/>
    </w:rPr>
  </w:style>
  <w:style w:type="character" w:customStyle="1" w:styleId="Heading2Char">
    <w:name w:val="Heading 2 Char"/>
    <w:basedOn w:val="DefaultParagraphFont"/>
    <w:link w:val="Heading2"/>
    <w:rsid w:val="00603597"/>
    <w:rPr>
      <w:rFonts w:ascii="Arial" w:hAnsi="Arial"/>
      <w:b/>
      <w:sz w:val="32"/>
      <w:szCs w:val="24"/>
    </w:rPr>
  </w:style>
  <w:style w:type="character" w:customStyle="1" w:styleId="FootnoteTextChar">
    <w:name w:val="Footnote Text Char"/>
    <w:basedOn w:val="DefaultParagraphFont"/>
    <w:link w:val="FootnoteText"/>
    <w:rsid w:val="00F620F0"/>
    <w:rPr>
      <w:sz w:val="22"/>
    </w:rPr>
  </w:style>
  <w:style w:type="paragraph" w:styleId="Revision">
    <w:name w:val="Revision"/>
    <w:hidden/>
    <w:uiPriority w:val="99"/>
    <w:semiHidden/>
    <w:rsid w:val="008B2C7F"/>
    <w:rPr>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828">
      <w:bodyDiv w:val="1"/>
      <w:marLeft w:val="0"/>
      <w:marRight w:val="0"/>
      <w:marTop w:val="0"/>
      <w:marBottom w:val="0"/>
      <w:divBdr>
        <w:top w:val="none" w:sz="0" w:space="0" w:color="auto"/>
        <w:left w:val="none" w:sz="0" w:space="0" w:color="auto"/>
        <w:bottom w:val="none" w:sz="0" w:space="0" w:color="auto"/>
        <w:right w:val="none" w:sz="0" w:space="0" w:color="auto"/>
      </w:divBdr>
    </w:div>
    <w:div w:id="3485677">
      <w:bodyDiv w:val="1"/>
      <w:marLeft w:val="0"/>
      <w:marRight w:val="0"/>
      <w:marTop w:val="0"/>
      <w:marBottom w:val="0"/>
      <w:divBdr>
        <w:top w:val="none" w:sz="0" w:space="0" w:color="auto"/>
        <w:left w:val="none" w:sz="0" w:space="0" w:color="auto"/>
        <w:bottom w:val="none" w:sz="0" w:space="0" w:color="auto"/>
        <w:right w:val="none" w:sz="0" w:space="0" w:color="auto"/>
      </w:divBdr>
    </w:div>
    <w:div w:id="4866610">
      <w:bodyDiv w:val="1"/>
      <w:marLeft w:val="0"/>
      <w:marRight w:val="0"/>
      <w:marTop w:val="0"/>
      <w:marBottom w:val="0"/>
      <w:divBdr>
        <w:top w:val="none" w:sz="0" w:space="0" w:color="auto"/>
        <w:left w:val="none" w:sz="0" w:space="0" w:color="auto"/>
        <w:bottom w:val="none" w:sz="0" w:space="0" w:color="auto"/>
        <w:right w:val="none" w:sz="0" w:space="0" w:color="auto"/>
      </w:divBdr>
    </w:div>
    <w:div w:id="9528105">
      <w:bodyDiv w:val="1"/>
      <w:marLeft w:val="0"/>
      <w:marRight w:val="0"/>
      <w:marTop w:val="0"/>
      <w:marBottom w:val="0"/>
      <w:divBdr>
        <w:top w:val="none" w:sz="0" w:space="0" w:color="auto"/>
        <w:left w:val="none" w:sz="0" w:space="0" w:color="auto"/>
        <w:bottom w:val="none" w:sz="0" w:space="0" w:color="auto"/>
        <w:right w:val="none" w:sz="0" w:space="0" w:color="auto"/>
      </w:divBdr>
    </w:div>
    <w:div w:id="20136014">
      <w:bodyDiv w:val="1"/>
      <w:marLeft w:val="0"/>
      <w:marRight w:val="0"/>
      <w:marTop w:val="0"/>
      <w:marBottom w:val="0"/>
      <w:divBdr>
        <w:top w:val="none" w:sz="0" w:space="0" w:color="auto"/>
        <w:left w:val="none" w:sz="0" w:space="0" w:color="auto"/>
        <w:bottom w:val="none" w:sz="0" w:space="0" w:color="auto"/>
        <w:right w:val="none" w:sz="0" w:space="0" w:color="auto"/>
      </w:divBdr>
    </w:div>
    <w:div w:id="36199287">
      <w:bodyDiv w:val="1"/>
      <w:marLeft w:val="0"/>
      <w:marRight w:val="0"/>
      <w:marTop w:val="0"/>
      <w:marBottom w:val="0"/>
      <w:divBdr>
        <w:top w:val="none" w:sz="0" w:space="0" w:color="auto"/>
        <w:left w:val="none" w:sz="0" w:space="0" w:color="auto"/>
        <w:bottom w:val="none" w:sz="0" w:space="0" w:color="auto"/>
        <w:right w:val="none" w:sz="0" w:space="0" w:color="auto"/>
      </w:divBdr>
    </w:div>
    <w:div w:id="41758582">
      <w:bodyDiv w:val="1"/>
      <w:marLeft w:val="0"/>
      <w:marRight w:val="0"/>
      <w:marTop w:val="0"/>
      <w:marBottom w:val="0"/>
      <w:divBdr>
        <w:top w:val="none" w:sz="0" w:space="0" w:color="auto"/>
        <w:left w:val="none" w:sz="0" w:space="0" w:color="auto"/>
        <w:bottom w:val="none" w:sz="0" w:space="0" w:color="auto"/>
        <w:right w:val="none" w:sz="0" w:space="0" w:color="auto"/>
      </w:divBdr>
    </w:div>
    <w:div w:id="42487309">
      <w:bodyDiv w:val="1"/>
      <w:marLeft w:val="0"/>
      <w:marRight w:val="0"/>
      <w:marTop w:val="0"/>
      <w:marBottom w:val="0"/>
      <w:divBdr>
        <w:top w:val="none" w:sz="0" w:space="0" w:color="auto"/>
        <w:left w:val="none" w:sz="0" w:space="0" w:color="auto"/>
        <w:bottom w:val="none" w:sz="0" w:space="0" w:color="auto"/>
        <w:right w:val="none" w:sz="0" w:space="0" w:color="auto"/>
      </w:divBdr>
    </w:div>
    <w:div w:id="48387702">
      <w:bodyDiv w:val="1"/>
      <w:marLeft w:val="0"/>
      <w:marRight w:val="0"/>
      <w:marTop w:val="0"/>
      <w:marBottom w:val="0"/>
      <w:divBdr>
        <w:top w:val="none" w:sz="0" w:space="0" w:color="auto"/>
        <w:left w:val="none" w:sz="0" w:space="0" w:color="auto"/>
        <w:bottom w:val="none" w:sz="0" w:space="0" w:color="auto"/>
        <w:right w:val="none" w:sz="0" w:space="0" w:color="auto"/>
      </w:divBdr>
    </w:div>
    <w:div w:id="50230086">
      <w:bodyDiv w:val="1"/>
      <w:marLeft w:val="0"/>
      <w:marRight w:val="0"/>
      <w:marTop w:val="0"/>
      <w:marBottom w:val="0"/>
      <w:divBdr>
        <w:top w:val="none" w:sz="0" w:space="0" w:color="auto"/>
        <w:left w:val="none" w:sz="0" w:space="0" w:color="auto"/>
        <w:bottom w:val="none" w:sz="0" w:space="0" w:color="auto"/>
        <w:right w:val="none" w:sz="0" w:space="0" w:color="auto"/>
      </w:divBdr>
    </w:div>
    <w:div w:id="55133439">
      <w:bodyDiv w:val="1"/>
      <w:marLeft w:val="0"/>
      <w:marRight w:val="0"/>
      <w:marTop w:val="0"/>
      <w:marBottom w:val="0"/>
      <w:divBdr>
        <w:top w:val="none" w:sz="0" w:space="0" w:color="auto"/>
        <w:left w:val="none" w:sz="0" w:space="0" w:color="auto"/>
        <w:bottom w:val="none" w:sz="0" w:space="0" w:color="auto"/>
        <w:right w:val="none" w:sz="0" w:space="0" w:color="auto"/>
      </w:divBdr>
    </w:div>
    <w:div w:id="63719668">
      <w:bodyDiv w:val="1"/>
      <w:marLeft w:val="0"/>
      <w:marRight w:val="0"/>
      <w:marTop w:val="0"/>
      <w:marBottom w:val="0"/>
      <w:divBdr>
        <w:top w:val="none" w:sz="0" w:space="0" w:color="auto"/>
        <w:left w:val="none" w:sz="0" w:space="0" w:color="auto"/>
        <w:bottom w:val="none" w:sz="0" w:space="0" w:color="auto"/>
        <w:right w:val="none" w:sz="0" w:space="0" w:color="auto"/>
      </w:divBdr>
    </w:div>
    <w:div w:id="73090211">
      <w:bodyDiv w:val="1"/>
      <w:marLeft w:val="0"/>
      <w:marRight w:val="0"/>
      <w:marTop w:val="0"/>
      <w:marBottom w:val="0"/>
      <w:divBdr>
        <w:top w:val="none" w:sz="0" w:space="0" w:color="auto"/>
        <w:left w:val="none" w:sz="0" w:space="0" w:color="auto"/>
        <w:bottom w:val="none" w:sz="0" w:space="0" w:color="auto"/>
        <w:right w:val="none" w:sz="0" w:space="0" w:color="auto"/>
      </w:divBdr>
    </w:div>
    <w:div w:id="78912975">
      <w:bodyDiv w:val="1"/>
      <w:marLeft w:val="0"/>
      <w:marRight w:val="0"/>
      <w:marTop w:val="0"/>
      <w:marBottom w:val="0"/>
      <w:divBdr>
        <w:top w:val="none" w:sz="0" w:space="0" w:color="auto"/>
        <w:left w:val="none" w:sz="0" w:space="0" w:color="auto"/>
        <w:bottom w:val="none" w:sz="0" w:space="0" w:color="auto"/>
        <w:right w:val="none" w:sz="0" w:space="0" w:color="auto"/>
      </w:divBdr>
    </w:div>
    <w:div w:id="84155662">
      <w:bodyDiv w:val="1"/>
      <w:marLeft w:val="0"/>
      <w:marRight w:val="0"/>
      <w:marTop w:val="0"/>
      <w:marBottom w:val="0"/>
      <w:divBdr>
        <w:top w:val="none" w:sz="0" w:space="0" w:color="auto"/>
        <w:left w:val="none" w:sz="0" w:space="0" w:color="auto"/>
        <w:bottom w:val="none" w:sz="0" w:space="0" w:color="auto"/>
        <w:right w:val="none" w:sz="0" w:space="0" w:color="auto"/>
      </w:divBdr>
    </w:div>
    <w:div w:id="85929981">
      <w:bodyDiv w:val="1"/>
      <w:marLeft w:val="0"/>
      <w:marRight w:val="0"/>
      <w:marTop w:val="0"/>
      <w:marBottom w:val="0"/>
      <w:divBdr>
        <w:top w:val="none" w:sz="0" w:space="0" w:color="auto"/>
        <w:left w:val="none" w:sz="0" w:space="0" w:color="auto"/>
        <w:bottom w:val="none" w:sz="0" w:space="0" w:color="auto"/>
        <w:right w:val="none" w:sz="0" w:space="0" w:color="auto"/>
      </w:divBdr>
    </w:div>
    <w:div w:id="88813111">
      <w:bodyDiv w:val="1"/>
      <w:marLeft w:val="0"/>
      <w:marRight w:val="0"/>
      <w:marTop w:val="0"/>
      <w:marBottom w:val="0"/>
      <w:divBdr>
        <w:top w:val="none" w:sz="0" w:space="0" w:color="auto"/>
        <w:left w:val="none" w:sz="0" w:space="0" w:color="auto"/>
        <w:bottom w:val="none" w:sz="0" w:space="0" w:color="auto"/>
        <w:right w:val="none" w:sz="0" w:space="0" w:color="auto"/>
      </w:divBdr>
    </w:div>
    <w:div w:id="97604036">
      <w:bodyDiv w:val="1"/>
      <w:marLeft w:val="0"/>
      <w:marRight w:val="0"/>
      <w:marTop w:val="0"/>
      <w:marBottom w:val="0"/>
      <w:divBdr>
        <w:top w:val="none" w:sz="0" w:space="0" w:color="auto"/>
        <w:left w:val="none" w:sz="0" w:space="0" w:color="auto"/>
        <w:bottom w:val="none" w:sz="0" w:space="0" w:color="auto"/>
        <w:right w:val="none" w:sz="0" w:space="0" w:color="auto"/>
      </w:divBdr>
    </w:div>
    <w:div w:id="99493077">
      <w:bodyDiv w:val="1"/>
      <w:marLeft w:val="0"/>
      <w:marRight w:val="0"/>
      <w:marTop w:val="0"/>
      <w:marBottom w:val="0"/>
      <w:divBdr>
        <w:top w:val="none" w:sz="0" w:space="0" w:color="auto"/>
        <w:left w:val="none" w:sz="0" w:space="0" w:color="auto"/>
        <w:bottom w:val="none" w:sz="0" w:space="0" w:color="auto"/>
        <w:right w:val="none" w:sz="0" w:space="0" w:color="auto"/>
      </w:divBdr>
    </w:div>
    <w:div w:id="102044445">
      <w:bodyDiv w:val="1"/>
      <w:marLeft w:val="0"/>
      <w:marRight w:val="0"/>
      <w:marTop w:val="0"/>
      <w:marBottom w:val="0"/>
      <w:divBdr>
        <w:top w:val="none" w:sz="0" w:space="0" w:color="auto"/>
        <w:left w:val="none" w:sz="0" w:space="0" w:color="auto"/>
        <w:bottom w:val="none" w:sz="0" w:space="0" w:color="auto"/>
        <w:right w:val="none" w:sz="0" w:space="0" w:color="auto"/>
      </w:divBdr>
    </w:div>
    <w:div w:id="110511980">
      <w:bodyDiv w:val="1"/>
      <w:marLeft w:val="0"/>
      <w:marRight w:val="0"/>
      <w:marTop w:val="0"/>
      <w:marBottom w:val="0"/>
      <w:divBdr>
        <w:top w:val="none" w:sz="0" w:space="0" w:color="auto"/>
        <w:left w:val="none" w:sz="0" w:space="0" w:color="auto"/>
        <w:bottom w:val="none" w:sz="0" w:space="0" w:color="auto"/>
        <w:right w:val="none" w:sz="0" w:space="0" w:color="auto"/>
      </w:divBdr>
    </w:div>
    <w:div w:id="111293166">
      <w:bodyDiv w:val="1"/>
      <w:marLeft w:val="0"/>
      <w:marRight w:val="0"/>
      <w:marTop w:val="0"/>
      <w:marBottom w:val="0"/>
      <w:divBdr>
        <w:top w:val="none" w:sz="0" w:space="0" w:color="auto"/>
        <w:left w:val="none" w:sz="0" w:space="0" w:color="auto"/>
        <w:bottom w:val="none" w:sz="0" w:space="0" w:color="auto"/>
        <w:right w:val="none" w:sz="0" w:space="0" w:color="auto"/>
      </w:divBdr>
    </w:div>
    <w:div w:id="114372553">
      <w:bodyDiv w:val="1"/>
      <w:marLeft w:val="0"/>
      <w:marRight w:val="0"/>
      <w:marTop w:val="0"/>
      <w:marBottom w:val="0"/>
      <w:divBdr>
        <w:top w:val="none" w:sz="0" w:space="0" w:color="auto"/>
        <w:left w:val="none" w:sz="0" w:space="0" w:color="auto"/>
        <w:bottom w:val="none" w:sz="0" w:space="0" w:color="auto"/>
        <w:right w:val="none" w:sz="0" w:space="0" w:color="auto"/>
      </w:divBdr>
    </w:div>
    <w:div w:id="116412705">
      <w:bodyDiv w:val="1"/>
      <w:marLeft w:val="0"/>
      <w:marRight w:val="0"/>
      <w:marTop w:val="0"/>
      <w:marBottom w:val="0"/>
      <w:divBdr>
        <w:top w:val="none" w:sz="0" w:space="0" w:color="auto"/>
        <w:left w:val="none" w:sz="0" w:space="0" w:color="auto"/>
        <w:bottom w:val="none" w:sz="0" w:space="0" w:color="auto"/>
        <w:right w:val="none" w:sz="0" w:space="0" w:color="auto"/>
      </w:divBdr>
    </w:div>
    <w:div w:id="120999694">
      <w:bodyDiv w:val="1"/>
      <w:marLeft w:val="0"/>
      <w:marRight w:val="0"/>
      <w:marTop w:val="0"/>
      <w:marBottom w:val="0"/>
      <w:divBdr>
        <w:top w:val="none" w:sz="0" w:space="0" w:color="auto"/>
        <w:left w:val="none" w:sz="0" w:space="0" w:color="auto"/>
        <w:bottom w:val="none" w:sz="0" w:space="0" w:color="auto"/>
        <w:right w:val="none" w:sz="0" w:space="0" w:color="auto"/>
      </w:divBdr>
    </w:div>
    <w:div w:id="121729638">
      <w:bodyDiv w:val="1"/>
      <w:marLeft w:val="0"/>
      <w:marRight w:val="0"/>
      <w:marTop w:val="0"/>
      <w:marBottom w:val="0"/>
      <w:divBdr>
        <w:top w:val="none" w:sz="0" w:space="0" w:color="auto"/>
        <w:left w:val="none" w:sz="0" w:space="0" w:color="auto"/>
        <w:bottom w:val="none" w:sz="0" w:space="0" w:color="auto"/>
        <w:right w:val="none" w:sz="0" w:space="0" w:color="auto"/>
      </w:divBdr>
    </w:div>
    <w:div w:id="125902318">
      <w:bodyDiv w:val="1"/>
      <w:marLeft w:val="0"/>
      <w:marRight w:val="0"/>
      <w:marTop w:val="0"/>
      <w:marBottom w:val="0"/>
      <w:divBdr>
        <w:top w:val="none" w:sz="0" w:space="0" w:color="auto"/>
        <w:left w:val="none" w:sz="0" w:space="0" w:color="auto"/>
        <w:bottom w:val="none" w:sz="0" w:space="0" w:color="auto"/>
        <w:right w:val="none" w:sz="0" w:space="0" w:color="auto"/>
      </w:divBdr>
    </w:div>
    <w:div w:id="132332665">
      <w:bodyDiv w:val="1"/>
      <w:marLeft w:val="0"/>
      <w:marRight w:val="0"/>
      <w:marTop w:val="0"/>
      <w:marBottom w:val="0"/>
      <w:divBdr>
        <w:top w:val="none" w:sz="0" w:space="0" w:color="auto"/>
        <w:left w:val="none" w:sz="0" w:space="0" w:color="auto"/>
        <w:bottom w:val="none" w:sz="0" w:space="0" w:color="auto"/>
        <w:right w:val="none" w:sz="0" w:space="0" w:color="auto"/>
      </w:divBdr>
    </w:div>
    <w:div w:id="138960749">
      <w:bodyDiv w:val="1"/>
      <w:marLeft w:val="0"/>
      <w:marRight w:val="0"/>
      <w:marTop w:val="0"/>
      <w:marBottom w:val="0"/>
      <w:divBdr>
        <w:top w:val="none" w:sz="0" w:space="0" w:color="auto"/>
        <w:left w:val="none" w:sz="0" w:space="0" w:color="auto"/>
        <w:bottom w:val="none" w:sz="0" w:space="0" w:color="auto"/>
        <w:right w:val="none" w:sz="0" w:space="0" w:color="auto"/>
      </w:divBdr>
    </w:div>
    <w:div w:id="143278370">
      <w:bodyDiv w:val="1"/>
      <w:marLeft w:val="0"/>
      <w:marRight w:val="0"/>
      <w:marTop w:val="0"/>
      <w:marBottom w:val="0"/>
      <w:divBdr>
        <w:top w:val="none" w:sz="0" w:space="0" w:color="auto"/>
        <w:left w:val="none" w:sz="0" w:space="0" w:color="auto"/>
        <w:bottom w:val="none" w:sz="0" w:space="0" w:color="auto"/>
        <w:right w:val="none" w:sz="0" w:space="0" w:color="auto"/>
      </w:divBdr>
      <w:divsChild>
        <w:div w:id="754130973">
          <w:marLeft w:val="0"/>
          <w:marRight w:val="0"/>
          <w:marTop w:val="0"/>
          <w:marBottom w:val="0"/>
          <w:divBdr>
            <w:top w:val="none" w:sz="0" w:space="0" w:color="auto"/>
            <w:left w:val="none" w:sz="0" w:space="0" w:color="auto"/>
            <w:bottom w:val="none" w:sz="0" w:space="0" w:color="auto"/>
            <w:right w:val="none" w:sz="0" w:space="0" w:color="auto"/>
          </w:divBdr>
          <w:divsChild>
            <w:div w:id="181476689">
              <w:marLeft w:val="0"/>
              <w:marRight w:val="0"/>
              <w:marTop w:val="0"/>
              <w:marBottom w:val="0"/>
              <w:divBdr>
                <w:top w:val="none" w:sz="0" w:space="0" w:color="auto"/>
                <w:left w:val="none" w:sz="0" w:space="0" w:color="auto"/>
                <w:bottom w:val="none" w:sz="0" w:space="0" w:color="auto"/>
                <w:right w:val="none" w:sz="0" w:space="0" w:color="auto"/>
              </w:divBdr>
              <w:divsChild>
                <w:div w:id="1770543921">
                  <w:marLeft w:val="0"/>
                  <w:marRight w:val="0"/>
                  <w:marTop w:val="0"/>
                  <w:marBottom w:val="0"/>
                  <w:divBdr>
                    <w:top w:val="none" w:sz="0" w:space="0" w:color="auto"/>
                    <w:left w:val="none" w:sz="0" w:space="0" w:color="auto"/>
                    <w:bottom w:val="none" w:sz="0" w:space="0" w:color="auto"/>
                    <w:right w:val="none" w:sz="0" w:space="0" w:color="auto"/>
                  </w:divBdr>
                  <w:divsChild>
                    <w:div w:id="566114254">
                      <w:marLeft w:val="0"/>
                      <w:marRight w:val="0"/>
                      <w:marTop w:val="0"/>
                      <w:marBottom w:val="0"/>
                      <w:divBdr>
                        <w:top w:val="none" w:sz="0" w:space="0" w:color="auto"/>
                        <w:left w:val="none" w:sz="0" w:space="0" w:color="auto"/>
                        <w:bottom w:val="none" w:sz="0" w:space="0" w:color="auto"/>
                        <w:right w:val="none" w:sz="0" w:space="0" w:color="auto"/>
                      </w:divBdr>
                      <w:divsChild>
                        <w:div w:id="980963514">
                          <w:marLeft w:val="0"/>
                          <w:marRight w:val="0"/>
                          <w:marTop w:val="0"/>
                          <w:marBottom w:val="0"/>
                          <w:divBdr>
                            <w:top w:val="single" w:sz="6" w:space="0" w:color="828282"/>
                            <w:left w:val="single" w:sz="6" w:space="0" w:color="828282"/>
                            <w:bottom w:val="single" w:sz="6" w:space="0" w:color="828282"/>
                            <w:right w:val="single" w:sz="6" w:space="0" w:color="828282"/>
                          </w:divBdr>
                          <w:divsChild>
                            <w:div w:id="422578031">
                              <w:marLeft w:val="0"/>
                              <w:marRight w:val="0"/>
                              <w:marTop w:val="0"/>
                              <w:marBottom w:val="0"/>
                              <w:divBdr>
                                <w:top w:val="none" w:sz="0" w:space="0" w:color="auto"/>
                                <w:left w:val="none" w:sz="0" w:space="0" w:color="auto"/>
                                <w:bottom w:val="none" w:sz="0" w:space="0" w:color="auto"/>
                                <w:right w:val="none" w:sz="0" w:space="0" w:color="auto"/>
                              </w:divBdr>
                              <w:divsChild>
                                <w:div w:id="1588071355">
                                  <w:marLeft w:val="0"/>
                                  <w:marRight w:val="0"/>
                                  <w:marTop w:val="0"/>
                                  <w:marBottom w:val="0"/>
                                  <w:divBdr>
                                    <w:top w:val="none" w:sz="0" w:space="0" w:color="auto"/>
                                    <w:left w:val="none" w:sz="0" w:space="0" w:color="auto"/>
                                    <w:bottom w:val="none" w:sz="0" w:space="0" w:color="auto"/>
                                    <w:right w:val="none" w:sz="0" w:space="0" w:color="auto"/>
                                  </w:divBdr>
                                  <w:divsChild>
                                    <w:div w:id="2140569371">
                                      <w:marLeft w:val="0"/>
                                      <w:marRight w:val="0"/>
                                      <w:marTop w:val="0"/>
                                      <w:marBottom w:val="0"/>
                                      <w:divBdr>
                                        <w:top w:val="none" w:sz="0" w:space="0" w:color="auto"/>
                                        <w:left w:val="none" w:sz="0" w:space="0" w:color="auto"/>
                                        <w:bottom w:val="none" w:sz="0" w:space="0" w:color="auto"/>
                                        <w:right w:val="none" w:sz="0" w:space="0" w:color="auto"/>
                                      </w:divBdr>
                                      <w:divsChild>
                                        <w:div w:id="354966374">
                                          <w:marLeft w:val="0"/>
                                          <w:marRight w:val="0"/>
                                          <w:marTop w:val="0"/>
                                          <w:marBottom w:val="0"/>
                                          <w:divBdr>
                                            <w:top w:val="none" w:sz="0" w:space="0" w:color="auto"/>
                                            <w:left w:val="none" w:sz="0" w:space="0" w:color="auto"/>
                                            <w:bottom w:val="none" w:sz="0" w:space="0" w:color="auto"/>
                                            <w:right w:val="none" w:sz="0" w:space="0" w:color="auto"/>
                                          </w:divBdr>
                                          <w:divsChild>
                                            <w:div w:id="165730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104010">
      <w:bodyDiv w:val="1"/>
      <w:marLeft w:val="0"/>
      <w:marRight w:val="0"/>
      <w:marTop w:val="0"/>
      <w:marBottom w:val="0"/>
      <w:divBdr>
        <w:top w:val="none" w:sz="0" w:space="0" w:color="auto"/>
        <w:left w:val="none" w:sz="0" w:space="0" w:color="auto"/>
        <w:bottom w:val="none" w:sz="0" w:space="0" w:color="auto"/>
        <w:right w:val="none" w:sz="0" w:space="0" w:color="auto"/>
      </w:divBdr>
    </w:div>
    <w:div w:id="158884235">
      <w:bodyDiv w:val="1"/>
      <w:marLeft w:val="0"/>
      <w:marRight w:val="0"/>
      <w:marTop w:val="0"/>
      <w:marBottom w:val="0"/>
      <w:divBdr>
        <w:top w:val="none" w:sz="0" w:space="0" w:color="auto"/>
        <w:left w:val="none" w:sz="0" w:space="0" w:color="auto"/>
        <w:bottom w:val="none" w:sz="0" w:space="0" w:color="auto"/>
        <w:right w:val="none" w:sz="0" w:space="0" w:color="auto"/>
      </w:divBdr>
    </w:div>
    <w:div w:id="165635830">
      <w:bodyDiv w:val="1"/>
      <w:marLeft w:val="0"/>
      <w:marRight w:val="0"/>
      <w:marTop w:val="0"/>
      <w:marBottom w:val="0"/>
      <w:divBdr>
        <w:top w:val="none" w:sz="0" w:space="0" w:color="auto"/>
        <w:left w:val="none" w:sz="0" w:space="0" w:color="auto"/>
        <w:bottom w:val="none" w:sz="0" w:space="0" w:color="auto"/>
        <w:right w:val="none" w:sz="0" w:space="0" w:color="auto"/>
      </w:divBdr>
    </w:div>
    <w:div w:id="170150755">
      <w:bodyDiv w:val="1"/>
      <w:marLeft w:val="0"/>
      <w:marRight w:val="0"/>
      <w:marTop w:val="0"/>
      <w:marBottom w:val="0"/>
      <w:divBdr>
        <w:top w:val="none" w:sz="0" w:space="0" w:color="auto"/>
        <w:left w:val="none" w:sz="0" w:space="0" w:color="auto"/>
        <w:bottom w:val="none" w:sz="0" w:space="0" w:color="auto"/>
        <w:right w:val="none" w:sz="0" w:space="0" w:color="auto"/>
      </w:divBdr>
    </w:div>
    <w:div w:id="171998516">
      <w:bodyDiv w:val="1"/>
      <w:marLeft w:val="0"/>
      <w:marRight w:val="0"/>
      <w:marTop w:val="0"/>
      <w:marBottom w:val="0"/>
      <w:divBdr>
        <w:top w:val="none" w:sz="0" w:space="0" w:color="auto"/>
        <w:left w:val="none" w:sz="0" w:space="0" w:color="auto"/>
        <w:bottom w:val="none" w:sz="0" w:space="0" w:color="auto"/>
        <w:right w:val="none" w:sz="0" w:space="0" w:color="auto"/>
      </w:divBdr>
    </w:div>
    <w:div w:id="180051985">
      <w:bodyDiv w:val="1"/>
      <w:marLeft w:val="0"/>
      <w:marRight w:val="0"/>
      <w:marTop w:val="0"/>
      <w:marBottom w:val="0"/>
      <w:divBdr>
        <w:top w:val="none" w:sz="0" w:space="0" w:color="auto"/>
        <w:left w:val="none" w:sz="0" w:space="0" w:color="auto"/>
        <w:bottom w:val="none" w:sz="0" w:space="0" w:color="auto"/>
        <w:right w:val="none" w:sz="0" w:space="0" w:color="auto"/>
      </w:divBdr>
    </w:div>
    <w:div w:id="180510349">
      <w:bodyDiv w:val="1"/>
      <w:marLeft w:val="0"/>
      <w:marRight w:val="0"/>
      <w:marTop w:val="0"/>
      <w:marBottom w:val="0"/>
      <w:divBdr>
        <w:top w:val="none" w:sz="0" w:space="0" w:color="auto"/>
        <w:left w:val="none" w:sz="0" w:space="0" w:color="auto"/>
        <w:bottom w:val="none" w:sz="0" w:space="0" w:color="auto"/>
        <w:right w:val="none" w:sz="0" w:space="0" w:color="auto"/>
      </w:divBdr>
    </w:div>
    <w:div w:id="187912244">
      <w:bodyDiv w:val="1"/>
      <w:marLeft w:val="0"/>
      <w:marRight w:val="0"/>
      <w:marTop w:val="0"/>
      <w:marBottom w:val="0"/>
      <w:divBdr>
        <w:top w:val="none" w:sz="0" w:space="0" w:color="auto"/>
        <w:left w:val="none" w:sz="0" w:space="0" w:color="auto"/>
        <w:bottom w:val="none" w:sz="0" w:space="0" w:color="auto"/>
        <w:right w:val="none" w:sz="0" w:space="0" w:color="auto"/>
      </w:divBdr>
    </w:div>
    <w:div w:id="188035509">
      <w:bodyDiv w:val="1"/>
      <w:marLeft w:val="0"/>
      <w:marRight w:val="0"/>
      <w:marTop w:val="0"/>
      <w:marBottom w:val="0"/>
      <w:divBdr>
        <w:top w:val="none" w:sz="0" w:space="0" w:color="auto"/>
        <w:left w:val="none" w:sz="0" w:space="0" w:color="auto"/>
        <w:bottom w:val="none" w:sz="0" w:space="0" w:color="auto"/>
        <w:right w:val="none" w:sz="0" w:space="0" w:color="auto"/>
      </w:divBdr>
    </w:div>
    <w:div w:id="191892159">
      <w:bodyDiv w:val="1"/>
      <w:marLeft w:val="0"/>
      <w:marRight w:val="0"/>
      <w:marTop w:val="0"/>
      <w:marBottom w:val="0"/>
      <w:divBdr>
        <w:top w:val="none" w:sz="0" w:space="0" w:color="auto"/>
        <w:left w:val="none" w:sz="0" w:space="0" w:color="auto"/>
        <w:bottom w:val="none" w:sz="0" w:space="0" w:color="auto"/>
        <w:right w:val="none" w:sz="0" w:space="0" w:color="auto"/>
      </w:divBdr>
    </w:div>
    <w:div w:id="203636509">
      <w:bodyDiv w:val="1"/>
      <w:marLeft w:val="0"/>
      <w:marRight w:val="0"/>
      <w:marTop w:val="0"/>
      <w:marBottom w:val="0"/>
      <w:divBdr>
        <w:top w:val="none" w:sz="0" w:space="0" w:color="auto"/>
        <w:left w:val="none" w:sz="0" w:space="0" w:color="auto"/>
        <w:bottom w:val="none" w:sz="0" w:space="0" w:color="auto"/>
        <w:right w:val="none" w:sz="0" w:space="0" w:color="auto"/>
      </w:divBdr>
    </w:div>
    <w:div w:id="206767229">
      <w:bodyDiv w:val="1"/>
      <w:marLeft w:val="0"/>
      <w:marRight w:val="0"/>
      <w:marTop w:val="0"/>
      <w:marBottom w:val="0"/>
      <w:divBdr>
        <w:top w:val="none" w:sz="0" w:space="0" w:color="auto"/>
        <w:left w:val="none" w:sz="0" w:space="0" w:color="auto"/>
        <w:bottom w:val="none" w:sz="0" w:space="0" w:color="auto"/>
        <w:right w:val="none" w:sz="0" w:space="0" w:color="auto"/>
      </w:divBdr>
    </w:div>
    <w:div w:id="207108269">
      <w:bodyDiv w:val="1"/>
      <w:marLeft w:val="0"/>
      <w:marRight w:val="0"/>
      <w:marTop w:val="0"/>
      <w:marBottom w:val="0"/>
      <w:divBdr>
        <w:top w:val="none" w:sz="0" w:space="0" w:color="auto"/>
        <w:left w:val="none" w:sz="0" w:space="0" w:color="auto"/>
        <w:bottom w:val="none" w:sz="0" w:space="0" w:color="auto"/>
        <w:right w:val="none" w:sz="0" w:space="0" w:color="auto"/>
      </w:divBdr>
    </w:div>
    <w:div w:id="209416767">
      <w:bodyDiv w:val="1"/>
      <w:marLeft w:val="0"/>
      <w:marRight w:val="0"/>
      <w:marTop w:val="0"/>
      <w:marBottom w:val="0"/>
      <w:divBdr>
        <w:top w:val="none" w:sz="0" w:space="0" w:color="auto"/>
        <w:left w:val="none" w:sz="0" w:space="0" w:color="auto"/>
        <w:bottom w:val="none" w:sz="0" w:space="0" w:color="auto"/>
        <w:right w:val="none" w:sz="0" w:space="0" w:color="auto"/>
      </w:divBdr>
    </w:div>
    <w:div w:id="210000095">
      <w:bodyDiv w:val="1"/>
      <w:marLeft w:val="0"/>
      <w:marRight w:val="0"/>
      <w:marTop w:val="0"/>
      <w:marBottom w:val="0"/>
      <w:divBdr>
        <w:top w:val="none" w:sz="0" w:space="0" w:color="auto"/>
        <w:left w:val="none" w:sz="0" w:space="0" w:color="auto"/>
        <w:bottom w:val="none" w:sz="0" w:space="0" w:color="auto"/>
        <w:right w:val="none" w:sz="0" w:space="0" w:color="auto"/>
      </w:divBdr>
    </w:div>
    <w:div w:id="211163196">
      <w:bodyDiv w:val="1"/>
      <w:marLeft w:val="0"/>
      <w:marRight w:val="0"/>
      <w:marTop w:val="0"/>
      <w:marBottom w:val="0"/>
      <w:divBdr>
        <w:top w:val="none" w:sz="0" w:space="0" w:color="auto"/>
        <w:left w:val="none" w:sz="0" w:space="0" w:color="auto"/>
        <w:bottom w:val="none" w:sz="0" w:space="0" w:color="auto"/>
        <w:right w:val="none" w:sz="0" w:space="0" w:color="auto"/>
      </w:divBdr>
    </w:div>
    <w:div w:id="221454502">
      <w:bodyDiv w:val="1"/>
      <w:marLeft w:val="0"/>
      <w:marRight w:val="0"/>
      <w:marTop w:val="0"/>
      <w:marBottom w:val="0"/>
      <w:divBdr>
        <w:top w:val="none" w:sz="0" w:space="0" w:color="auto"/>
        <w:left w:val="none" w:sz="0" w:space="0" w:color="auto"/>
        <w:bottom w:val="none" w:sz="0" w:space="0" w:color="auto"/>
        <w:right w:val="none" w:sz="0" w:space="0" w:color="auto"/>
      </w:divBdr>
    </w:div>
    <w:div w:id="228082730">
      <w:bodyDiv w:val="1"/>
      <w:marLeft w:val="0"/>
      <w:marRight w:val="0"/>
      <w:marTop w:val="0"/>
      <w:marBottom w:val="0"/>
      <w:divBdr>
        <w:top w:val="none" w:sz="0" w:space="0" w:color="auto"/>
        <w:left w:val="none" w:sz="0" w:space="0" w:color="auto"/>
        <w:bottom w:val="none" w:sz="0" w:space="0" w:color="auto"/>
        <w:right w:val="none" w:sz="0" w:space="0" w:color="auto"/>
      </w:divBdr>
    </w:div>
    <w:div w:id="229119792">
      <w:bodyDiv w:val="1"/>
      <w:marLeft w:val="0"/>
      <w:marRight w:val="0"/>
      <w:marTop w:val="0"/>
      <w:marBottom w:val="0"/>
      <w:divBdr>
        <w:top w:val="none" w:sz="0" w:space="0" w:color="auto"/>
        <w:left w:val="none" w:sz="0" w:space="0" w:color="auto"/>
        <w:bottom w:val="none" w:sz="0" w:space="0" w:color="auto"/>
        <w:right w:val="none" w:sz="0" w:space="0" w:color="auto"/>
      </w:divBdr>
    </w:div>
    <w:div w:id="230123994">
      <w:bodyDiv w:val="1"/>
      <w:marLeft w:val="0"/>
      <w:marRight w:val="0"/>
      <w:marTop w:val="0"/>
      <w:marBottom w:val="0"/>
      <w:divBdr>
        <w:top w:val="none" w:sz="0" w:space="0" w:color="auto"/>
        <w:left w:val="none" w:sz="0" w:space="0" w:color="auto"/>
        <w:bottom w:val="none" w:sz="0" w:space="0" w:color="auto"/>
        <w:right w:val="none" w:sz="0" w:space="0" w:color="auto"/>
      </w:divBdr>
    </w:div>
    <w:div w:id="232281319">
      <w:bodyDiv w:val="1"/>
      <w:marLeft w:val="0"/>
      <w:marRight w:val="0"/>
      <w:marTop w:val="0"/>
      <w:marBottom w:val="0"/>
      <w:divBdr>
        <w:top w:val="none" w:sz="0" w:space="0" w:color="auto"/>
        <w:left w:val="none" w:sz="0" w:space="0" w:color="auto"/>
        <w:bottom w:val="none" w:sz="0" w:space="0" w:color="auto"/>
        <w:right w:val="none" w:sz="0" w:space="0" w:color="auto"/>
      </w:divBdr>
    </w:div>
    <w:div w:id="236866837">
      <w:bodyDiv w:val="1"/>
      <w:marLeft w:val="0"/>
      <w:marRight w:val="0"/>
      <w:marTop w:val="0"/>
      <w:marBottom w:val="0"/>
      <w:divBdr>
        <w:top w:val="none" w:sz="0" w:space="0" w:color="auto"/>
        <w:left w:val="none" w:sz="0" w:space="0" w:color="auto"/>
        <w:bottom w:val="none" w:sz="0" w:space="0" w:color="auto"/>
        <w:right w:val="none" w:sz="0" w:space="0" w:color="auto"/>
      </w:divBdr>
    </w:div>
    <w:div w:id="242493911">
      <w:bodyDiv w:val="1"/>
      <w:marLeft w:val="0"/>
      <w:marRight w:val="0"/>
      <w:marTop w:val="0"/>
      <w:marBottom w:val="0"/>
      <w:divBdr>
        <w:top w:val="none" w:sz="0" w:space="0" w:color="auto"/>
        <w:left w:val="none" w:sz="0" w:space="0" w:color="auto"/>
        <w:bottom w:val="none" w:sz="0" w:space="0" w:color="auto"/>
        <w:right w:val="none" w:sz="0" w:space="0" w:color="auto"/>
      </w:divBdr>
    </w:div>
    <w:div w:id="254286679">
      <w:bodyDiv w:val="1"/>
      <w:marLeft w:val="0"/>
      <w:marRight w:val="0"/>
      <w:marTop w:val="0"/>
      <w:marBottom w:val="0"/>
      <w:divBdr>
        <w:top w:val="none" w:sz="0" w:space="0" w:color="auto"/>
        <w:left w:val="none" w:sz="0" w:space="0" w:color="auto"/>
        <w:bottom w:val="none" w:sz="0" w:space="0" w:color="auto"/>
        <w:right w:val="none" w:sz="0" w:space="0" w:color="auto"/>
      </w:divBdr>
    </w:div>
    <w:div w:id="255556730">
      <w:bodyDiv w:val="1"/>
      <w:marLeft w:val="0"/>
      <w:marRight w:val="0"/>
      <w:marTop w:val="0"/>
      <w:marBottom w:val="0"/>
      <w:divBdr>
        <w:top w:val="none" w:sz="0" w:space="0" w:color="auto"/>
        <w:left w:val="none" w:sz="0" w:space="0" w:color="auto"/>
        <w:bottom w:val="none" w:sz="0" w:space="0" w:color="auto"/>
        <w:right w:val="none" w:sz="0" w:space="0" w:color="auto"/>
      </w:divBdr>
    </w:div>
    <w:div w:id="255863742">
      <w:bodyDiv w:val="1"/>
      <w:marLeft w:val="0"/>
      <w:marRight w:val="0"/>
      <w:marTop w:val="0"/>
      <w:marBottom w:val="0"/>
      <w:divBdr>
        <w:top w:val="none" w:sz="0" w:space="0" w:color="auto"/>
        <w:left w:val="none" w:sz="0" w:space="0" w:color="auto"/>
        <w:bottom w:val="none" w:sz="0" w:space="0" w:color="auto"/>
        <w:right w:val="none" w:sz="0" w:space="0" w:color="auto"/>
      </w:divBdr>
    </w:div>
    <w:div w:id="291207951">
      <w:bodyDiv w:val="1"/>
      <w:marLeft w:val="0"/>
      <w:marRight w:val="0"/>
      <w:marTop w:val="0"/>
      <w:marBottom w:val="0"/>
      <w:divBdr>
        <w:top w:val="none" w:sz="0" w:space="0" w:color="auto"/>
        <w:left w:val="none" w:sz="0" w:space="0" w:color="auto"/>
        <w:bottom w:val="none" w:sz="0" w:space="0" w:color="auto"/>
        <w:right w:val="none" w:sz="0" w:space="0" w:color="auto"/>
      </w:divBdr>
    </w:div>
    <w:div w:id="296380837">
      <w:bodyDiv w:val="1"/>
      <w:marLeft w:val="0"/>
      <w:marRight w:val="0"/>
      <w:marTop w:val="0"/>
      <w:marBottom w:val="0"/>
      <w:divBdr>
        <w:top w:val="none" w:sz="0" w:space="0" w:color="auto"/>
        <w:left w:val="none" w:sz="0" w:space="0" w:color="auto"/>
        <w:bottom w:val="none" w:sz="0" w:space="0" w:color="auto"/>
        <w:right w:val="none" w:sz="0" w:space="0" w:color="auto"/>
      </w:divBdr>
    </w:div>
    <w:div w:id="304505663">
      <w:bodyDiv w:val="1"/>
      <w:marLeft w:val="0"/>
      <w:marRight w:val="0"/>
      <w:marTop w:val="0"/>
      <w:marBottom w:val="0"/>
      <w:divBdr>
        <w:top w:val="none" w:sz="0" w:space="0" w:color="auto"/>
        <w:left w:val="none" w:sz="0" w:space="0" w:color="auto"/>
        <w:bottom w:val="none" w:sz="0" w:space="0" w:color="auto"/>
        <w:right w:val="none" w:sz="0" w:space="0" w:color="auto"/>
      </w:divBdr>
    </w:div>
    <w:div w:id="306083648">
      <w:bodyDiv w:val="1"/>
      <w:marLeft w:val="0"/>
      <w:marRight w:val="0"/>
      <w:marTop w:val="0"/>
      <w:marBottom w:val="0"/>
      <w:divBdr>
        <w:top w:val="none" w:sz="0" w:space="0" w:color="auto"/>
        <w:left w:val="none" w:sz="0" w:space="0" w:color="auto"/>
        <w:bottom w:val="none" w:sz="0" w:space="0" w:color="auto"/>
        <w:right w:val="none" w:sz="0" w:space="0" w:color="auto"/>
      </w:divBdr>
    </w:div>
    <w:div w:id="320668463">
      <w:bodyDiv w:val="1"/>
      <w:marLeft w:val="0"/>
      <w:marRight w:val="0"/>
      <w:marTop w:val="0"/>
      <w:marBottom w:val="0"/>
      <w:divBdr>
        <w:top w:val="none" w:sz="0" w:space="0" w:color="auto"/>
        <w:left w:val="none" w:sz="0" w:space="0" w:color="auto"/>
        <w:bottom w:val="none" w:sz="0" w:space="0" w:color="auto"/>
        <w:right w:val="none" w:sz="0" w:space="0" w:color="auto"/>
      </w:divBdr>
    </w:div>
    <w:div w:id="322273099">
      <w:bodyDiv w:val="1"/>
      <w:marLeft w:val="0"/>
      <w:marRight w:val="0"/>
      <w:marTop w:val="0"/>
      <w:marBottom w:val="0"/>
      <w:divBdr>
        <w:top w:val="none" w:sz="0" w:space="0" w:color="auto"/>
        <w:left w:val="none" w:sz="0" w:space="0" w:color="auto"/>
        <w:bottom w:val="none" w:sz="0" w:space="0" w:color="auto"/>
        <w:right w:val="none" w:sz="0" w:space="0" w:color="auto"/>
      </w:divBdr>
    </w:div>
    <w:div w:id="324286177">
      <w:bodyDiv w:val="1"/>
      <w:marLeft w:val="0"/>
      <w:marRight w:val="0"/>
      <w:marTop w:val="0"/>
      <w:marBottom w:val="0"/>
      <w:divBdr>
        <w:top w:val="none" w:sz="0" w:space="0" w:color="auto"/>
        <w:left w:val="none" w:sz="0" w:space="0" w:color="auto"/>
        <w:bottom w:val="none" w:sz="0" w:space="0" w:color="auto"/>
        <w:right w:val="none" w:sz="0" w:space="0" w:color="auto"/>
      </w:divBdr>
    </w:div>
    <w:div w:id="324867128">
      <w:bodyDiv w:val="1"/>
      <w:marLeft w:val="0"/>
      <w:marRight w:val="0"/>
      <w:marTop w:val="0"/>
      <w:marBottom w:val="0"/>
      <w:divBdr>
        <w:top w:val="none" w:sz="0" w:space="0" w:color="auto"/>
        <w:left w:val="none" w:sz="0" w:space="0" w:color="auto"/>
        <w:bottom w:val="none" w:sz="0" w:space="0" w:color="auto"/>
        <w:right w:val="none" w:sz="0" w:space="0" w:color="auto"/>
      </w:divBdr>
    </w:div>
    <w:div w:id="345525773">
      <w:bodyDiv w:val="1"/>
      <w:marLeft w:val="0"/>
      <w:marRight w:val="0"/>
      <w:marTop w:val="0"/>
      <w:marBottom w:val="0"/>
      <w:divBdr>
        <w:top w:val="none" w:sz="0" w:space="0" w:color="auto"/>
        <w:left w:val="none" w:sz="0" w:space="0" w:color="auto"/>
        <w:bottom w:val="none" w:sz="0" w:space="0" w:color="auto"/>
        <w:right w:val="none" w:sz="0" w:space="0" w:color="auto"/>
      </w:divBdr>
    </w:div>
    <w:div w:id="345987005">
      <w:bodyDiv w:val="1"/>
      <w:marLeft w:val="0"/>
      <w:marRight w:val="0"/>
      <w:marTop w:val="0"/>
      <w:marBottom w:val="0"/>
      <w:divBdr>
        <w:top w:val="none" w:sz="0" w:space="0" w:color="auto"/>
        <w:left w:val="none" w:sz="0" w:space="0" w:color="auto"/>
        <w:bottom w:val="none" w:sz="0" w:space="0" w:color="auto"/>
        <w:right w:val="none" w:sz="0" w:space="0" w:color="auto"/>
      </w:divBdr>
    </w:div>
    <w:div w:id="350883382">
      <w:bodyDiv w:val="1"/>
      <w:marLeft w:val="0"/>
      <w:marRight w:val="0"/>
      <w:marTop w:val="0"/>
      <w:marBottom w:val="0"/>
      <w:divBdr>
        <w:top w:val="none" w:sz="0" w:space="0" w:color="auto"/>
        <w:left w:val="none" w:sz="0" w:space="0" w:color="auto"/>
        <w:bottom w:val="none" w:sz="0" w:space="0" w:color="auto"/>
        <w:right w:val="none" w:sz="0" w:space="0" w:color="auto"/>
      </w:divBdr>
    </w:div>
    <w:div w:id="358435308">
      <w:bodyDiv w:val="1"/>
      <w:marLeft w:val="0"/>
      <w:marRight w:val="0"/>
      <w:marTop w:val="0"/>
      <w:marBottom w:val="0"/>
      <w:divBdr>
        <w:top w:val="none" w:sz="0" w:space="0" w:color="auto"/>
        <w:left w:val="none" w:sz="0" w:space="0" w:color="auto"/>
        <w:bottom w:val="none" w:sz="0" w:space="0" w:color="auto"/>
        <w:right w:val="none" w:sz="0" w:space="0" w:color="auto"/>
      </w:divBdr>
      <w:divsChild>
        <w:div w:id="791827095">
          <w:marLeft w:val="0"/>
          <w:marRight w:val="0"/>
          <w:marTop w:val="0"/>
          <w:marBottom w:val="0"/>
          <w:divBdr>
            <w:top w:val="none" w:sz="0" w:space="0" w:color="auto"/>
            <w:left w:val="none" w:sz="0" w:space="0" w:color="auto"/>
            <w:bottom w:val="none" w:sz="0" w:space="0" w:color="auto"/>
            <w:right w:val="none" w:sz="0" w:space="0" w:color="auto"/>
          </w:divBdr>
          <w:divsChild>
            <w:div w:id="1421214111">
              <w:marLeft w:val="0"/>
              <w:marRight w:val="0"/>
              <w:marTop w:val="0"/>
              <w:marBottom w:val="0"/>
              <w:divBdr>
                <w:top w:val="none" w:sz="0" w:space="0" w:color="auto"/>
                <w:left w:val="none" w:sz="0" w:space="0" w:color="auto"/>
                <w:bottom w:val="none" w:sz="0" w:space="0" w:color="auto"/>
                <w:right w:val="none" w:sz="0" w:space="0" w:color="auto"/>
              </w:divBdr>
              <w:divsChild>
                <w:div w:id="1149244810">
                  <w:marLeft w:val="0"/>
                  <w:marRight w:val="0"/>
                  <w:marTop w:val="0"/>
                  <w:marBottom w:val="0"/>
                  <w:divBdr>
                    <w:top w:val="none" w:sz="0" w:space="0" w:color="auto"/>
                    <w:left w:val="none" w:sz="0" w:space="0" w:color="auto"/>
                    <w:bottom w:val="none" w:sz="0" w:space="0" w:color="auto"/>
                    <w:right w:val="none" w:sz="0" w:space="0" w:color="auto"/>
                  </w:divBdr>
                  <w:divsChild>
                    <w:div w:id="819272507">
                      <w:marLeft w:val="240"/>
                      <w:marRight w:val="240"/>
                      <w:marTop w:val="0"/>
                      <w:marBottom w:val="0"/>
                      <w:divBdr>
                        <w:top w:val="none" w:sz="0" w:space="0" w:color="auto"/>
                        <w:left w:val="none" w:sz="0" w:space="0" w:color="auto"/>
                        <w:bottom w:val="none" w:sz="0" w:space="0" w:color="auto"/>
                        <w:right w:val="none" w:sz="0" w:space="0" w:color="auto"/>
                      </w:divBdr>
                      <w:divsChild>
                        <w:div w:id="1319190173">
                          <w:marLeft w:val="150"/>
                          <w:marRight w:val="150"/>
                          <w:marTop w:val="150"/>
                          <w:marBottom w:val="150"/>
                          <w:divBdr>
                            <w:top w:val="none" w:sz="0" w:space="0" w:color="auto"/>
                            <w:left w:val="none" w:sz="0" w:space="0" w:color="auto"/>
                            <w:bottom w:val="none" w:sz="0" w:space="0" w:color="auto"/>
                            <w:right w:val="none" w:sz="0" w:space="0" w:color="auto"/>
                          </w:divBdr>
                          <w:divsChild>
                            <w:div w:id="2124421990">
                              <w:marLeft w:val="0"/>
                              <w:marRight w:val="0"/>
                              <w:marTop w:val="0"/>
                              <w:marBottom w:val="0"/>
                              <w:divBdr>
                                <w:top w:val="none" w:sz="0" w:space="0" w:color="auto"/>
                                <w:left w:val="none" w:sz="0" w:space="0" w:color="auto"/>
                                <w:bottom w:val="none" w:sz="0" w:space="0" w:color="auto"/>
                                <w:right w:val="none" w:sz="0" w:space="0" w:color="auto"/>
                              </w:divBdr>
                              <w:divsChild>
                                <w:div w:id="1132483276">
                                  <w:marLeft w:val="0"/>
                                  <w:marRight w:val="0"/>
                                  <w:marTop w:val="0"/>
                                  <w:marBottom w:val="0"/>
                                  <w:divBdr>
                                    <w:top w:val="none" w:sz="0" w:space="0" w:color="auto"/>
                                    <w:left w:val="none" w:sz="0" w:space="0" w:color="auto"/>
                                    <w:bottom w:val="none" w:sz="0" w:space="0" w:color="auto"/>
                                    <w:right w:val="none" w:sz="0" w:space="0" w:color="auto"/>
                                  </w:divBdr>
                                  <w:divsChild>
                                    <w:div w:id="1017073298">
                                      <w:marLeft w:val="0"/>
                                      <w:marRight w:val="0"/>
                                      <w:marTop w:val="0"/>
                                      <w:marBottom w:val="0"/>
                                      <w:divBdr>
                                        <w:top w:val="none" w:sz="0" w:space="0" w:color="auto"/>
                                        <w:left w:val="none" w:sz="0" w:space="0" w:color="auto"/>
                                        <w:bottom w:val="none" w:sz="0" w:space="0" w:color="auto"/>
                                        <w:right w:val="none" w:sz="0" w:space="0" w:color="auto"/>
                                      </w:divBdr>
                                      <w:divsChild>
                                        <w:div w:id="212541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65522686">
      <w:bodyDiv w:val="1"/>
      <w:marLeft w:val="0"/>
      <w:marRight w:val="0"/>
      <w:marTop w:val="0"/>
      <w:marBottom w:val="0"/>
      <w:divBdr>
        <w:top w:val="none" w:sz="0" w:space="0" w:color="auto"/>
        <w:left w:val="none" w:sz="0" w:space="0" w:color="auto"/>
        <w:bottom w:val="none" w:sz="0" w:space="0" w:color="auto"/>
        <w:right w:val="none" w:sz="0" w:space="0" w:color="auto"/>
      </w:divBdr>
    </w:div>
    <w:div w:id="368456854">
      <w:bodyDiv w:val="1"/>
      <w:marLeft w:val="0"/>
      <w:marRight w:val="0"/>
      <w:marTop w:val="0"/>
      <w:marBottom w:val="0"/>
      <w:divBdr>
        <w:top w:val="none" w:sz="0" w:space="0" w:color="auto"/>
        <w:left w:val="none" w:sz="0" w:space="0" w:color="auto"/>
        <w:bottom w:val="none" w:sz="0" w:space="0" w:color="auto"/>
        <w:right w:val="none" w:sz="0" w:space="0" w:color="auto"/>
      </w:divBdr>
    </w:div>
    <w:div w:id="385226667">
      <w:bodyDiv w:val="1"/>
      <w:marLeft w:val="0"/>
      <w:marRight w:val="0"/>
      <w:marTop w:val="0"/>
      <w:marBottom w:val="0"/>
      <w:divBdr>
        <w:top w:val="none" w:sz="0" w:space="0" w:color="auto"/>
        <w:left w:val="none" w:sz="0" w:space="0" w:color="auto"/>
        <w:bottom w:val="none" w:sz="0" w:space="0" w:color="auto"/>
        <w:right w:val="none" w:sz="0" w:space="0" w:color="auto"/>
      </w:divBdr>
    </w:div>
    <w:div w:id="412972824">
      <w:bodyDiv w:val="1"/>
      <w:marLeft w:val="0"/>
      <w:marRight w:val="0"/>
      <w:marTop w:val="0"/>
      <w:marBottom w:val="0"/>
      <w:divBdr>
        <w:top w:val="none" w:sz="0" w:space="0" w:color="auto"/>
        <w:left w:val="none" w:sz="0" w:space="0" w:color="auto"/>
        <w:bottom w:val="none" w:sz="0" w:space="0" w:color="auto"/>
        <w:right w:val="none" w:sz="0" w:space="0" w:color="auto"/>
      </w:divBdr>
    </w:div>
    <w:div w:id="421487473">
      <w:bodyDiv w:val="1"/>
      <w:marLeft w:val="0"/>
      <w:marRight w:val="0"/>
      <w:marTop w:val="0"/>
      <w:marBottom w:val="0"/>
      <w:divBdr>
        <w:top w:val="none" w:sz="0" w:space="0" w:color="auto"/>
        <w:left w:val="none" w:sz="0" w:space="0" w:color="auto"/>
        <w:bottom w:val="none" w:sz="0" w:space="0" w:color="auto"/>
        <w:right w:val="none" w:sz="0" w:space="0" w:color="auto"/>
      </w:divBdr>
    </w:div>
    <w:div w:id="430706949">
      <w:bodyDiv w:val="1"/>
      <w:marLeft w:val="0"/>
      <w:marRight w:val="0"/>
      <w:marTop w:val="0"/>
      <w:marBottom w:val="0"/>
      <w:divBdr>
        <w:top w:val="none" w:sz="0" w:space="0" w:color="auto"/>
        <w:left w:val="none" w:sz="0" w:space="0" w:color="auto"/>
        <w:bottom w:val="none" w:sz="0" w:space="0" w:color="auto"/>
        <w:right w:val="none" w:sz="0" w:space="0" w:color="auto"/>
      </w:divBdr>
    </w:div>
    <w:div w:id="431055049">
      <w:bodyDiv w:val="1"/>
      <w:marLeft w:val="0"/>
      <w:marRight w:val="0"/>
      <w:marTop w:val="0"/>
      <w:marBottom w:val="0"/>
      <w:divBdr>
        <w:top w:val="none" w:sz="0" w:space="0" w:color="auto"/>
        <w:left w:val="none" w:sz="0" w:space="0" w:color="auto"/>
        <w:bottom w:val="none" w:sz="0" w:space="0" w:color="auto"/>
        <w:right w:val="none" w:sz="0" w:space="0" w:color="auto"/>
      </w:divBdr>
    </w:div>
    <w:div w:id="433981126">
      <w:bodyDiv w:val="1"/>
      <w:marLeft w:val="0"/>
      <w:marRight w:val="0"/>
      <w:marTop w:val="0"/>
      <w:marBottom w:val="0"/>
      <w:divBdr>
        <w:top w:val="none" w:sz="0" w:space="0" w:color="auto"/>
        <w:left w:val="none" w:sz="0" w:space="0" w:color="auto"/>
        <w:bottom w:val="none" w:sz="0" w:space="0" w:color="auto"/>
        <w:right w:val="none" w:sz="0" w:space="0" w:color="auto"/>
      </w:divBdr>
      <w:divsChild>
        <w:div w:id="543949561">
          <w:marLeft w:val="0"/>
          <w:marRight w:val="0"/>
          <w:marTop w:val="0"/>
          <w:marBottom w:val="0"/>
          <w:divBdr>
            <w:top w:val="none" w:sz="0" w:space="0" w:color="auto"/>
            <w:left w:val="none" w:sz="0" w:space="0" w:color="auto"/>
            <w:bottom w:val="none" w:sz="0" w:space="0" w:color="auto"/>
            <w:right w:val="none" w:sz="0" w:space="0" w:color="auto"/>
          </w:divBdr>
          <w:divsChild>
            <w:div w:id="1914388448">
              <w:marLeft w:val="0"/>
              <w:marRight w:val="0"/>
              <w:marTop w:val="0"/>
              <w:marBottom w:val="0"/>
              <w:divBdr>
                <w:top w:val="none" w:sz="0" w:space="0" w:color="auto"/>
                <w:left w:val="none" w:sz="0" w:space="0" w:color="auto"/>
                <w:bottom w:val="none" w:sz="0" w:space="0" w:color="auto"/>
                <w:right w:val="none" w:sz="0" w:space="0" w:color="auto"/>
              </w:divBdr>
              <w:divsChild>
                <w:div w:id="301812027">
                  <w:marLeft w:val="0"/>
                  <w:marRight w:val="0"/>
                  <w:marTop w:val="0"/>
                  <w:marBottom w:val="0"/>
                  <w:divBdr>
                    <w:top w:val="none" w:sz="0" w:space="0" w:color="auto"/>
                    <w:left w:val="none" w:sz="0" w:space="0" w:color="auto"/>
                    <w:bottom w:val="none" w:sz="0" w:space="0" w:color="auto"/>
                    <w:right w:val="none" w:sz="0" w:space="0" w:color="auto"/>
                  </w:divBdr>
                  <w:divsChild>
                    <w:div w:id="1290430108">
                      <w:marLeft w:val="0"/>
                      <w:marRight w:val="0"/>
                      <w:marTop w:val="0"/>
                      <w:marBottom w:val="0"/>
                      <w:divBdr>
                        <w:top w:val="none" w:sz="0" w:space="0" w:color="auto"/>
                        <w:left w:val="none" w:sz="0" w:space="0" w:color="auto"/>
                        <w:bottom w:val="none" w:sz="0" w:space="0" w:color="auto"/>
                        <w:right w:val="none" w:sz="0" w:space="0" w:color="auto"/>
                      </w:divBdr>
                      <w:divsChild>
                        <w:div w:id="1898198135">
                          <w:marLeft w:val="0"/>
                          <w:marRight w:val="0"/>
                          <w:marTop w:val="45"/>
                          <w:marBottom w:val="0"/>
                          <w:divBdr>
                            <w:top w:val="none" w:sz="0" w:space="0" w:color="auto"/>
                            <w:left w:val="none" w:sz="0" w:space="0" w:color="auto"/>
                            <w:bottom w:val="none" w:sz="0" w:space="0" w:color="auto"/>
                            <w:right w:val="none" w:sz="0" w:space="0" w:color="auto"/>
                          </w:divBdr>
                          <w:divsChild>
                            <w:div w:id="111482581">
                              <w:marLeft w:val="1800"/>
                              <w:marRight w:val="3810"/>
                              <w:marTop w:val="0"/>
                              <w:marBottom w:val="0"/>
                              <w:divBdr>
                                <w:top w:val="none" w:sz="0" w:space="0" w:color="auto"/>
                                <w:left w:val="none" w:sz="0" w:space="0" w:color="auto"/>
                                <w:bottom w:val="none" w:sz="0" w:space="0" w:color="auto"/>
                                <w:right w:val="none" w:sz="0" w:space="0" w:color="auto"/>
                              </w:divBdr>
                              <w:divsChild>
                                <w:div w:id="1794711925">
                                  <w:marLeft w:val="0"/>
                                  <w:marRight w:val="0"/>
                                  <w:marTop w:val="0"/>
                                  <w:marBottom w:val="0"/>
                                  <w:divBdr>
                                    <w:top w:val="none" w:sz="0" w:space="0" w:color="auto"/>
                                    <w:left w:val="none" w:sz="0" w:space="0" w:color="auto"/>
                                    <w:bottom w:val="none" w:sz="0" w:space="0" w:color="auto"/>
                                    <w:right w:val="none" w:sz="0" w:space="0" w:color="auto"/>
                                  </w:divBdr>
                                  <w:divsChild>
                                    <w:div w:id="454062481">
                                      <w:marLeft w:val="0"/>
                                      <w:marRight w:val="0"/>
                                      <w:marTop w:val="0"/>
                                      <w:marBottom w:val="0"/>
                                      <w:divBdr>
                                        <w:top w:val="none" w:sz="0" w:space="0" w:color="auto"/>
                                        <w:left w:val="none" w:sz="0" w:space="0" w:color="auto"/>
                                        <w:bottom w:val="none" w:sz="0" w:space="0" w:color="auto"/>
                                        <w:right w:val="none" w:sz="0" w:space="0" w:color="auto"/>
                                      </w:divBdr>
                                      <w:divsChild>
                                        <w:div w:id="725184794">
                                          <w:marLeft w:val="0"/>
                                          <w:marRight w:val="0"/>
                                          <w:marTop w:val="0"/>
                                          <w:marBottom w:val="0"/>
                                          <w:divBdr>
                                            <w:top w:val="none" w:sz="0" w:space="0" w:color="auto"/>
                                            <w:left w:val="none" w:sz="0" w:space="0" w:color="auto"/>
                                            <w:bottom w:val="none" w:sz="0" w:space="0" w:color="auto"/>
                                            <w:right w:val="none" w:sz="0" w:space="0" w:color="auto"/>
                                          </w:divBdr>
                                          <w:divsChild>
                                            <w:div w:id="769084813">
                                              <w:marLeft w:val="0"/>
                                              <w:marRight w:val="0"/>
                                              <w:marTop w:val="0"/>
                                              <w:marBottom w:val="0"/>
                                              <w:divBdr>
                                                <w:top w:val="none" w:sz="0" w:space="0" w:color="auto"/>
                                                <w:left w:val="none" w:sz="0" w:space="0" w:color="auto"/>
                                                <w:bottom w:val="none" w:sz="0" w:space="0" w:color="auto"/>
                                                <w:right w:val="none" w:sz="0" w:space="0" w:color="auto"/>
                                              </w:divBdr>
                                              <w:divsChild>
                                                <w:div w:id="596332914">
                                                  <w:marLeft w:val="0"/>
                                                  <w:marRight w:val="0"/>
                                                  <w:marTop w:val="0"/>
                                                  <w:marBottom w:val="0"/>
                                                  <w:divBdr>
                                                    <w:top w:val="none" w:sz="0" w:space="0" w:color="auto"/>
                                                    <w:left w:val="none" w:sz="0" w:space="0" w:color="auto"/>
                                                    <w:bottom w:val="none" w:sz="0" w:space="0" w:color="auto"/>
                                                    <w:right w:val="none" w:sz="0" w:space="0" w:color="auto"/>
                                                  </w:divBdr>
                                                  <w:divsChild>
                                                    <w:div w:id="1504978767">
                                                      <w:marLeft w:val="0"/>
                                                      <w:marRight w:val="0"/>
                                                      <w:marTop w:val="0"/>
                                                      <w:marBottom w:val="0"/>
                                                      <w:divBdr>
                                                        <w:top w:val="none" w:sz="0" w:space="0" w:color="auto"/>
                                                        <w:left w:val="none" w:sz="0" w:space="0" w:color="auto"/>
                                                        <w:bottom w:val="none" w:sz="0" w:space="0" w:color="auto"/>
                                                        <w:right w:val="none" w:sz="0" w:space="0" w:color="auto"/>
                                                      </w:divBdr>
                                                      <w:divsChild>
                                                        <w:div w:id="158900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35297291">
      <w:bodyDiv w:val="1"/>
      <w:marLeft w:val="0"/>
      <w:marRight w:val="0"/>
      <w:marTop w:val="0"/>
      <w:marBottom w:val="0"/>
      <w:divBdr>
        <w:top w:val="none" w:sz="0" w:space="0" w:color="auto"/>
        <w:left w:val="none" w:sz="0" w:space="0" w:color="auto"/>
        <w:bottom w:val="none" w:sz="0" w:space="0" w:color="auto"/>
        <w:right w:val="none" w:sz="0" w:space="0" w:color="auto"/>
      </w:divBdr>
      <w:divsChild>
        <w:div w:id="1651130373">
          <w:marLeft w:val="0"/>
          <w:marRight w:val="0"/>
          <w:marTop w:val="0"/>
          <w:marBottom w:val="0"/>
          <w:divBdr>
            <w:top w:val="none" w:sz="0" w:space="0" w:color="auto"/>
            <w:left w:val="none" w:sz="0" w:space="0" w:color="auto"/>
            <w:bottom w:val="none" w:sz="0" w:space="0" w:color="auto"/>
            <w:right w:val="none" w:sz="0" w:space="0" w:color="auto"/>
          </w:divBdr>
          <w:divsChild>
            <w:div w:id="936256520">
              <w:marLeft w:val="0"/>
              <w:marRight w:val="0"/>
              <w:marTop w:val="0"/>
              <w:marBottom w:val="0"/>
              <w:divBdr>
                <w:top w:val="none" w:sz="0" w:space="0" w:color="auto"/>
                <w:left w:val="none" w:sz="0" w:space="0" w:color="auto"/>
                <w:bottom w:val="none" w:sz="0" w:space="0" w:color="auto"/>
                <w:right w:val="none" w:sz="0" w:space="0" w:color="auto"/>
              </w:divBdr>
              <w:divsChild>
                <w:div w:id="401218563">
                  <w:marLeft w:val="150"/>
                  <w:marRight w:val="150"/>
                  <w:marTop w:val="0"/>
                  <w:marBottom w:val="0"/>
                  <w:divBdr>
                    <w:top w:val="none" w:sz="0" w:space="0" w:color="auto"/>
                    <w:left w:val="none" w:sz="0" w:space="0" w:color="auto"/>
                    <w:bottom w:val="none" w:sz="0" w:space="0" w:color="auto"/>
                    <w:right w:val="none" w:sz="0" w:space="0" w:color="auto"/>
                  </w:divBdr>
                  <w:divsChild>
                    <w:div w:id="74477977">
                      <w:marLeft w:val="0"/>
                      <w:marRight w:val="0"/>
                      <w:marTop w:val="0"/>
                      <w:marBottom w:val="0"/>
                      <w:divBdr>
                        <w:top w:val="none" w:sz="0" w:space="0" w:color="auto"/>
                        <w:left w:val="none" w:sz="0" w:space="0" w:color="auto"/>
                        <w:bottom w:val="none" w:sz="0" w:space="0" w:color="auto"/>
                        <w:right w:val="none" w:sz="0" w:space="0" w:color="auto"/>
                      </w:divBdr>
                      <w:divsChild>
                        <w:div w:id="1772433408">
                          <w:marLeft w:val="0"/>
                          <w:marRight w:val="0"/>
                          <w:marTop w:val="0"/>
                          <w:marBottom w:val="180"/>
                          <w:divBdr>
                            <w:top w:val="none" w:sz="0" w:space="0" w:color="auto"/>
                            <w:left w:val="none" w:sz="0" w:space="0" w:color="auto"/>
                            <w:bottom w:val="none" w:sz="0" w:space="0" w:color="auto"/>
                            <w:right w:val="none" w:sz="0" w:space="0" w:color="auto"/>
                          </w:divBdr>
                          <w:divsChild>
                            <w:div w:id="132639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3886368">
      <w:bodyDiv w:val="1"/>
      <w:marLeft w:val="0"/>
      <w:marRight w:val="0"/>
      <w:marTop w:val="0"/>
      <w:marBottom w:val="0"/>
      <w:divBdr>
        <w:top w:val="none" w:sz="0" w:space="0" w:color="auto"/>
        <w:left w:val="none" w:sz="0" w:space="0" w:color="auto"/>
        <w:bottom w:val="none" w:sz="0" w:space="0" w:color="auto"/>
        <w:right w:val="none" w:sz="0" w:space="0" w:color="auto"/>
      </w:divBdr>
    </w:div>
    <w:div w:id="467630988">
      <w:bodyDiv w:val="1"/>
      <w:marLeft w:val="0"/>
      <w:marRight w:val="0"/>
      <w:marTop w:val="0"/>
      <w:marBottom w:val="0"/>
      <w:divBdr>
        <w:top w:val="none" w:sz="0" w:space="0" w:color="auto"/>
        <w:left w:val="none" w:sz="0" w:space="0" w:color="auto"/>
        <w:bottom w:val="none" w:sz="0" w:space="0" w:color="auto"/>
        <w:right w:val="none" w:sz="0" w:space="0" w:color="auto"/>
      </w:divBdr>
    </w:div>
    <w:div w:id="470363623">
      <w:bodyDiv w:val="1"/>
      <w:marLeft w:val="0"/>
      <w:marRight w:val="0"/>
      <w:marTop w:val="0"/>
      <w:marBottom w:val="0"/>
      <w:divBdr>
        <w:top w:val="none" w:sz="0" w:space="0" w:color="auto"/>
        <w:left w:val="none" w:sz="0" w:space="0" w:color="auto"/>
        <w:bottom w:val="none" w:sz="0" w:space="0" w:color="auto"/>
        <w:right w:val="none" w:sz="0" w:space="0" w:color="auto"/>
      </w:divBdr>
    </w:div>
    <w:div w:id="477109482">
      <w:bodyDiv w:val="1"/>
      <w:marLeft w:val="0"/>
      <w:marRight w:val="0"/>
      <w:marTop w:val="0"/>
      <w:marBottom w:val="0"/>
      <w:divBdr>
        <w:top w:val="none" w:sz="0" w:space="0" w:color="auto"/>
        <w:left w:val="none" w:sz="0" w:space="0" w:color="auto"/>
        <w:bottom w:val="none" w:sz="0" w:space="0" w:color="auto"/>
        <w:right w:val="none" w:sz="0" w:space="0" w:color="auto"/>
      </w:divBdr>
    </w:div>
    <w:div w:id="479155433">
      <w:bodyDiv w:val="1"/>
      <w:marLeft w:val="0"/>
      <w:marRight w:val="0"/>
      <w:marTop w:val="0"/>
      <w:marBottom w:val="0"/>
      <w:divBdr>
        <w:top w:val="none" w:sz="0" w:space="0" w:color="auto"/>
        <w:left w:val="none" w:sz="0" w:space="0" w:color="auto"/>
        <w:bottom w:val="none" w:sz="0" w:space="0" w:color="auto"/>
        <w:right w:val="none" w:sz="0" w:space="0" w:color="auto"/>
      </w:divBdr>
    </w:div>
    <w:div w:id="490679710">
      <w:bodyDiv w:val="1"/>
      <w:marLeft w:val="0"/>
      <w:marRight w:val="0"/>
      <w:marTop w:val="0"/>
      <w:marBottom w:val="0"/>
      <w:divBdr>
        <w:top w:val="none" w:sz="0" w:space="0" w:color="auto"/>
        <w:left w:val="none" w:sz="0" w:space="0" w:color="auto"/>
        <w:bottom w:val="none" w:sz="0" w:space="0" w:color="auto"/>
        <w:right w:val="none" w:sz="0" w:space="0" w:color="auto"/>
      </w:divBdr>
    </w:div>
    <w:div w:id="491142906">
      <w:bodyDiv w:val="1"/>
      <w:marLeft w:val="0"/>
      <w:marRight w:val="0"/>
      <w:marTop w:val="0"/>
      <w:marBottom w:val="0"/>
      <w:divBdr>
        <w:top w:val="none" w:sz="0" w:space="0" w:color="auto"/>
        <w:left w:val="none" w:sz="0" w:space="0" w:color="auto"/>
        <w:bottom w:val="none" w:sz="0" w:space="0" w:color="auto"/>
        <w:right w:val="none" w:sz="0" w:space="0" w:color="auto"/>
      </w:divBdr>
    </w:div>
    <w:div w:id="508259761">
      <w:bodyDiv w:val="1"/>
      <w:marLeft w:val="0"/>
      <w:marRight w:val="0"/>
      <w:marTop w:val="0"/>
      <w:marBottom w:val="0"/>
      <w:divBdr>
        <w:top w:val="none" w:sz="0" w:space="0" w:color="auto"/>
        <w:left w:val="none" w:sz="0" w:space="0" w:color="auto"/>
        <w:bottom w:val="none" w:sz="0" w:space="0" w:color="auto"/>
        <w:right w:val="none" w:sz="0" w:space="0" w:color="auto"/>
      </w:divBdr>
    </w:div>
    <w:div w:id="514655648">
      <w:bodyDiv w:val="1"/>
      <w:marLeft w:val="0"/>
      <w:marRight w:val="0"/>
      <w:marTop w:val="0"/>
      <w:marBottom w:val="0"/>
      <w:divBdr>
        <w:top w:val="none" w:sz="0" w:space="0" w:color="auto"/>
        <w:left w:val="none" w:sz="0" w:space="0" w:color="auto"/>
        <w:bottom w:val="none" w:sz="0" w:space="0" w:color="auto"/>
        <w:right w:val="none" w:sz="0" w:space="0" w:color="auto"/>
      </w:divBdr>
    </w:div>
    <w:div w:id="521020675">
      <w:bodyDiv w:val="1"/>
      <w:marLeft w:val="0"/>
      <w:marRight w:val="0"/>
      <w:marTop w:val="0"/>
      <w:marBottom w:val="0"/>
      <w:divBdr>
        <w:top w:val="none" w:sz="0" w:space="0" w:color="auto"/>
        <w:left w:val="none" w:sz="0" w:space="0" w:color="auto"/>
        <w:bottom w:val="none" w:sz="0" w:space="0" w:color="auto"/>
        <w:right w:val="none" w:sz="0" w:space="0" w:color="auto"/>
      </w:divBdr>
    </w:div>
    <w:div w:id="521553109">
      <w:bodyDiv w:val="1"/>
      <w:marLeft w:val="0"/>
      <w:marRight w:val="0"/>
      <w:marTop w:val="0"/>
      <w:marBottom w:val="0"/>
      <w:divBdr>
        <w:top w:val="none" w:sz="0" w:space="0" w:color="auto"/>
        <w:left w:val="none" w:sz="0" w:space="0" w:color="auto"/>
        <w:bottom w:val="none" w:sz="0" w:space="0" w:color="auto"/>
        <w:right w:val="none" w:sz="0" w:space="0" w:color="auto"/>
      </w:divBdr>
    </w:div>
    <w:div w:id="528420185">
      <w:bodyDiv w:val="1"/>
      <w:marLeft w:val="0"/>
      <w:marRight w:val="0"/>
      <w:marTop w:val="0"/>
      <w:marBottom w:val="0"/>
      <w:divBdr>
        <w:top w:val="none" w:sz="0" w:space="0" w:color="auto"/>
        <w:left w:val="none" w:sz="0" w:space="0" w:color="auto"/>
        <w:bottom w:val="none" w:sz="0" w:space="0" w:color="auto"/>
        <w:right w:val="none" w:sz="0" w:space="0" w:color="auto"/>
      </w:divBdr>
    </w:div>
    <w:div w:id="531845537">
      <w:bodyDiv w:val="1"/>
      <w:marLeft w:val="0"/>
      <w:marRight w:val="0"/>
      <w:marTop w:val="0"/>
      <w:marBottom w:val="0"/>
      <w:divBdr>
        <w:top w:val="none" w:sz="0" w:space="0" w:color="auto"/>
        <w:left w:val="none" w:sz="0" w:space="0" w:color="auto"/>
        <w:bottom w:val="none" w:sz="0" w:space="0" w:color="auto"/>
        <w:right w:val="none" w:sz="0" w:space="0" w:color="auto"/>
      </w:divBdr>
    </w:div>
    <w:div w:id="537395725">
      <w:bodyDiv w:val="1"/>
      <w:marLeft w:val="0"/>
      <w:marRight w:val="0"/>
      <w:marTop w:val="0"/>
      <w:marBottom w:val="0"/>
      <w:divBdr>
        <w:top w:val="none" w:sz="0" w:space="0" w:color="auto"/>
        <w:left w:val="none" w:sz="0" w:space="0" w:color="auto"/>
        <w:bottom w:val="none" w:sz="0" w:space="0" w:color="auto"/>
        <w:right w:val="none" w:sz="0" w:space="0" w:color="auto"/>
      </w:divBdr>
    </w:div>
    <w:div w:id="545265984">
      <w:bodyDiv w:val="1"/>
      <w:marLeft w:val="0"/>
      <w:marRight w:val="0"/>
      <w:marTop w:val="0"/>
      <w:marBottom w:val="0"/>
      <w:divBdr>
        <w:top w:val="none" w:sz="0" w:space="0" w:color="auto"/>
        <w:left w:val="none" w:sz="0" w:space="0" w:color="auto"/>
        <w:bottom w:val="none" w:sz="0" w:space="0" w:color="auto"/>
        <w:right w:val="none" w:sz="0" w:space="0" w:color="auto"/>
      </w:divBdr>
    </w:div>
    <w:div w:id="546792974">
      <w:bodyDiv w:val="1"/>
      <w:marLeft w:val="0"/>
      <w:marRight w:val="0"/>
      <w:marTop w:val="0"/>
      <w:marBottom w:val="0"/>
      <w:divBdr>
        <w:top w:val="none" w:sz="0" w:space="0" w:color="auto"/>
        <w:left w:val="none" w:sz="0" w:space="0" w:color="auto"/>
        <w:bottom w:val="none" w:sz="0" w:space="0" w:color="auto"/>
        <w:right w:val="none" w:sz="0" w:space="0" w:color="auto"/>
      </w:divBdr>
    </w:div>
    <w:div w:id="558322580">
      <w:bodyDiv w:val="1"/>
      <w:marLeft w:val="0"/>
      <w:marRight w:val="0"/>
      <w:marTop w:val="0"/>
      <w:marBottom w:val="0"/>
      <w:divBdr>
        <w:top w:val="none" w:sz="0" w:space="0" w:color="auto"/>
        <w:left w:val="none" w:sz="0" w:space="0" w:color="auto"/>
        <w:bottom w:val="none" w:sz="0" w:space="0" w:color="auto"/>
        <w:right w:val="none" w:sz="0" w:space="0" w:color="auto"/>
      </w:divBdr>
    </w:div>
    <w:div w:id="558636572">
      <w:bodyDiv w:val="1"/>
      <w:marLeft w:val="0"/>
      <w:marRight w:val="0"/>
      <w:marTop w:val="0"/>
      <w:marBottom w:val="0"/>
      <w:divBdr>
        <w:top w:val="none" w:sz="0" w:space="0" w:color="auto"/>
        <w:left w:val="none" w:sz="0" w:space="0" w:color="auto"/>
        <w:bottom w:val="none" w:sz="0" w:space="0" w:color="auto"/>
        <w:right w:val="none" w:sz="0" w:space="0" w:color="auto"/>
      </w:divBdr>
    </w:div>
    <w:div w:id="563029665">
      <w:bodyDiv w:val="1"/>
      <w:marLeft w:val="0"/>
      <w:marRight w:val="0"/>
      <w:marTop w:val="0"/>
      <w:marBottom w:val="0"/>
      <w:divBdr>
        <w:top w:val="none" w:sz="0" w:space="0" w:color="auto"/>
        <w:left w:val="none" w:sz="0" w:space="0" w:color="auto"/>
        <w:bottom w:val="none" w:sz="0" w:space="0" w:color="auto"/>
        <w:right w:val="none" w:sz="0" w:space="0" w:color="auto"/>
      </w:divBdr>
    </w:div>
    <w:div w:id="564532690">
      <w:bodyDiv w:val="1"/>
      <w:marLeft w:val="0"/>
      <w:marRight w:val="0"/>
      <w:marTop w:val="0"/>
      <w:marBottom w:val="0"/>
      <w:divBdr>
        <w:top w:val="none" w:sz="0" w:space="0" w:color="auto"/>
        <w:left w:val="none" w:sz="0" w:space="0" w:color="auto"/>
        <w:bottom w:val="none" w:sz="0" w:space="0" w:color="auto"/>
        <w:right w:val="none" w:sz="0" w:space="0" w:color="auto"/>
      </w:divBdr>
    </w:div>
    <w:div w:id="573247366">
      <w:bodyDiv w:val="1"/>
      <w:marLeft w:val="0"/>
      <w:marRight w:val="0"/>
      <w:marTop w:val="0"/>
      <w:marBottom w:val="0"/>
      <w:divBdr>
        <w:top w:val="none" w:sz="0" w:space="0" w:color="auto"/>
        <w:left w:val="none" w:sz="0" w:space="0" w:color="auto"/>
        <w:bottom w:val="none" w:sz="0" w:space="0" w:color="auto"/>
        <w:right w:val="none" w:sz="0" w:space="0" w:color="auto"/>
      </w:divBdr>
    </w:div>
    <w:div w:id="577324560">
      <w:bodyDiv w:val="1"/>
      <w:marLeft w:val="0"/>
      <w:marRight w:val="0"/>
      <w:marTop w:val="0"/>
      <w:marBottom w:val="0"/>
      <w:divBdr>
        <w:top w:val="none" w:sz="0" w:space="0" w:color="auto"/>
        <w:left w:val="none" w:sz="0" w:space="0" w:color="auto"/>
        <w:bottom w:val="none" w:sz="0" w:space="0" w:color="auto"/>
        <w:right w:val="none" w:sz="0" w:space="0" w:color="auto"/>
      </w:divBdr>
    </w:div>
    <w:div w:id="589773649">
      <w:bodyDiv w:val="1"/>
      <w:marLeft w:val="0"/>
      <w:marRight w:val="0"/>
      <w:marTop w:val="0"/>
      <w:marBottom w:val="0"/>
      <w:divBdr>
        <w:top w:val="none" w:sz="0" w:space="0" w:color="auto"/>
        <w:left w:val="none" w:sz="0" w:space="0" w:color="auto"/>
        <w:bottom w:val="none" w:sz="0" w:space="0" w:color="auto"/>
        <w:right w:val="none" w:sz="0" w:space="0" w:color="auto"/>
      </w:divBdr>
    </w:div>
    <w:div w:id="606347902">
      <w:bodyDiv w:val="1"/>
      <w:marLeft w:val="0"/>
      <w:marRight w:val="0"/>
      <w:marTop w:val="0"/>
      <w:marBottom w:val="0"/>
      <w:divBdr>
        <w:top w:val="none" w:sz="0" w:space="0" w:color="auto"/>
        <w:left w:val="none" w:sz="0" w:space="0" w:color="auto"/>
        <w:bottom w:val="none" w:sz="0" w:space="0" w:color="auto"/>
        <w:right w:val="none" w:sz="0" w:space="0" w:color="auto"/>
      </w:divBdr>
    </w:div>
    <w:div w:id="613441246">
      <w:bodyDiv w:val="1"/>
      <w:marLeft w:val="0"/>
      <w:marRight w:val="0"/>
      <w:marTop w:val="0"/>
      <w:marBottom w:val="0"/>
      <w:divBdr>
        <w:top w:val="none" w:sz="0" w:space="0" w:color="auto"/>
        <w:left w:val="none" w:sz="0" w:space="0" w:color="auto"/>
        <w:bottom w:val="none" w:sz="0" w:space="0" w:color="auto"/>
        <w:right w:val="none" w:sz="0" w:space="0" w:color="auto"/>
      </w:divBdr>
    </w:div>
    <w:div w:id="626621089">
      <w:bodyDiv w:val="1"/>
      <w:marLeft w:val="0"/>
      <w:marRight w:val="0"/>
      <w:marTop w:val="0"/>
      <w:marBottom w:val="0"/>
      <w:divBdr>
        <w:top w:val="none" w:sz="0" w:space="0" w:color="auto"/>
        <w:left w:val="none" w:sz="0" w:space="0" w:color="auto"/>
        <w:bottom w:val="none" w:sz="0" w:space="0" w:color="auto"/>
        <w:right w:val="none" w:sz="0" w:space="0" w:color="auto"/>
      </w:divBdr>
    </w:div>
    <w:div w:id="629021856">
      <w:bodyDiv w:val="1"/>
      <w:marLeft w:val="0"/>
      <w:marRight w:val="0"/>
      <w:marTop w:val="0"/>
      <w:marBottom w:val="0"/>
      <w:divBdr>
        <w:top w:val="none" w:sz="0" w:space="0" w:color="auto"/>
        <w:left w:val="none" w:sz="0" w:space="0" w:color="auto"/>
        <w:bottom w:val="none" w:sz="0" w:space="0" w:color="auto"/>
        <w:right w:val="none" w:sz="0" w:space="0" w:color="auto"/>
      </w:divBdr>
    </w:div>
    <w:div w:id="629750969">
      <w:bodyDiv w:val="1"/>
      <w:marLeft w:val="0"/>
      <w:marRight w:val="0"/>
      <w:marTop w:val="0"/>
      <w:marBottom w:val="0"/>
      <w:divBdr>
        <w:top w:val="none" w:sz="0" w:space="0" w:color="auto"/>
        <w:left w:val="none" w:sz="0" w:space="0" w:color="auto"/>
        <w:bottom w:val="none" w:sz="0" w:space="0" w:color="auto"/>
        <w:right w:val="none" w:sz="0" w:space="0" w:color="auto"/>
      </w:divBdr>
    </w:div>
    <w:div w:id="631062271">
      <w:bodyDiv w:val="1"/>
      <w:marLeft w:val="0"/>
      <w:marRight w:val="0"/>
      <w:marTop w:val="0"/>
      <w:marBottom w:val="0"/>
      <w:divBdr>
        <w:top w:val="none" w:sz="0" w:space="0" w:color="auto"/>
        <w:left w:val="none" w:sz="0" w:space="0" w:color="auto"/>
        <w:bottom w:val="none" w:sz="0" w:space="0" w:color="auto"/>
        <w:right w:val="none" w:sz="0" w:space="0" w:color="auto"/>
      </w:divBdr>
    </w:div>
    <w:div w:id="658920159">
      <w:bodyDiv w:val="1"/>
      <w:marLeft w:val="0"/>
      <w:marRight w:val="0"/>
      <w:marTop w:val="0"/>
      <w:marBottom w:val="0"/>
      <w:divBdr>
        <w:top w:val="none" w:sz="0" w:space="0" w:color="auto"/>
        <w:left w:val="none" w:sz="0" w:space="0" w:color="auto"/>
        <w:bottom w:val="none" w:sz="0" w:space="0" w:color="auto"/>
        <w:right w:val="none" w:sz="0" w:space="0" w:color="auto"/>
      </w:divBdr>
    </w:div>
    <w:div w:id="660695887">
      <w:bodyDiv w:val="1"/>
      <w:marLeft w:val="0"/>
      <w:marRight w:val="0"/>
      <w:marTop w:val="0"/>
      <w:marBottom w:val="0"/>
      <w:divBdr>
        <w:top w:val="none" w:sz="0" w:space="0" w:color="auto"/>
        <w:left w:val="none" w:sz="0" w:space="0" w:color="auto"/>
        <w:bottom w:val="none" w:sz="0" w:space="0" w:color="auto"/>
        <w:right w:val="none" w:sz="0" w:space="0" w:color="auto"/>
      </w:divBdr>
    </w:div>
    <w:div w:id="663898064">
      <w:bodyDiv w:val="1"/>
      <w:marLeft w:val="0"/>
      <w:marRight w:val="0"/>
      <w:marTop w:val="0"/>
      <w:marBottom w:val="0"/>
      <w:divBdr>
        <w:top w:val="none" w:sz="0" w:space="0" w:color="auto"/>
        <w:left w:val="none" w:sz="0" w:space="0" w:color="auto"/>
        <w:bottom w:val="none" w:sz="0" w:space="0" w:color="auto"/>
        <w:right w:val="none" w:sz="0" w:space="0" w:color="auto"/>
      </w:divBdr>
    </w:div>
    <w:div w:id="671833214">
      <w:bodyDiv w:val="1"/>
      <w:marLeft w:val="0"/>
      <w:marRight w:val="0"/>
      <w:marTop w:val="0"/>
      <w:marBottom w:val="0"/>
      <w:divBdr>
        <w:top w:val="none" w:sz="0" w:space="0" w:color="auto"/>
        <w:left w:val="none" w:sz="0" w:space="0" w:color="auto"/>
        <w:bottom w:val="none" w:sz="0" w:space="0" w:color="auto"/>
        <w:right w:val="none" w:sz="0" w:space="0" w:color="auto"/>
      </w:divBdr>
    </w:div>
    <w:div w:id="681009024">
      <w:bodyDiv w:val="1"/>
      <w:marLeft w:val="0"/>
      <w:marRight w:val="0"/>
      <w:marTop w:val="0"/>
      <w:marBottom w:val="0"/>
      <w:divBdr>
        <w:top w:val="none" w:sz="0" w:space="0" w:color="auto"/>
        <w:left w:val="none" w:sz="0" w:space="0" w:color="auto"/>
        <w:bottom w:val="none" w:sz="0" w:space="0" w:color="auto"/>
        <w:right w:val="none" w:sz="0" w:space="0" w:color="auto"/>
      </w:divBdr>
    </w:div>
    <w:div w:id="681668182">
      <w:bodyDiv w:val="1"/>
      <w:marLeft w:val="0"/>
      <w:marRight w:val="0"/>
      <w:marTop w:val="0"/>
      <w:marBottom w:val="0"/>
      <w:divBdr>
        <w:top w:val="none" w:sz="0" w:space="0" w:color="auto"/>
        <w:left w:val="none" w:sz="0" w:space="0" w:color="auto"/>
        <w:bottom w:val="none" w:sz="0" w:space="0" w:color="auto"/>
        <w:right w:val="none" w:sz="0" w:space="0" w:color="auto"/>
      </w:divBdr>
      <w:divsChild>
        <w:div w:id="1245917031">
          <w:marLeft w:val="0"/>
          <w:marRight w:val="0"/>
          <w:marTop w:val="0"/>
          <w:marBottom w:val="0"/>
          <w:divBdr>
            <w:top w:val="none" w:sz="0" w:space="0" w:color="auto"/>
            <w:left w:val="none" w:sz="0" w:space="0" w:color="auto"/>
            <w:bottom w:val="none" w:sz="0" w:space="0" w:color="auto"/>
            <w:right w:val="none" w:sz="0" w:space="0" w:color="auto"/>
          </w:divBdr>
          <w:divsChild>
            <w:div w:id="1248538032">
              <w:marLeft w:val="0"/>
              <w:marRight w:val="0"/>
              <w:marTop w:val="0"/>
              <w:marBottom w:val="0"/>
              <w:divBdr>
                <w:top w:val="none" w:sz="0" w:space="0" w:color="auto"/>
                <w:left w:val="none" w:sz="0" w:space="0" w:color="auto"/>
                <w:bottom w:val="none" w:sz="0" w:space="0" w:color="auto"/>
                <w:right w:val="none" w:sz="0" w:space="0" w:color="auto"/>
              </w:divBdr>
              <w:divsChild>
                <w:div w:id="39405985">
                  <w:marLeft w:val="0"/>
                  <w:marRight w:val="0"/>
                  <w:marTop w:val="0"/>
                  <w:marBottom w:val="0"/>
                  <w:divBdr>
                    <w:top w:val="none" w:sz="0" w:space="0" w:color="auto"/>
                    <w:left w:val="none" w:sz="0" w:space="0" w:color="auto"/>
                    <w:bottom w:val="none" w:sz="0" w:space="0" w:color="auto"/>
                    <w:right w:val="none" w:sz="0" w:space="0" w:color="auto"/>
                  </w:divBdr>
                  <w:divsChild>
                    <w:div w:id="79759544">
                      <w:marLeft w:val="0"/>
                      <w:marRight w:val="0"/>
                      <w:marTop w:val="0"/>
                      <w:marBottom w:val="0"/>
                      <w:divBdr>
                        <w:top w:val="none" w:sz="0" w:space="0" w:color="auto"/>
                        <w:left w:val="none" w:sz="0" w:space="0" w:color="auto"/>
                        <w:bottom w:val="none" w:sz="0" w:space="0" w:color="auto"/>
                        <w:right w:val="none" w:sz="0" w:space="0" w:color="auto"/>
                      </w:divBdr>
                      <w:divsChild>
                        <w:div w:id="1164860639">
                          <w:marLeft w:val="0"/>
                          <w:marRight w:val="0"/>
                          <w:marTop w:val="100"/>
                          <w:marBottom w:val="100"/>
                          <w:divBdr>
                            <w:top w:val="none" w:sz="0" w:space="0" w:color="auto"/>
                            <w:left w:val="none" w:sz="0" w:space="0" w:color="auto"/>
                            <w:bottom w:val="none" w:sz="0" w:space="0" w:color="auto"/>
                            <w:right w:val="none" w:sz="0" w:space="0" w:color="auto"/>
                          </w:divBdr>
                          <w:divsChild>
                            <w:div w:id="1170177325">
                              <w:marLeft w:val="0"/>
                              <w:marRight w:val="0"/>
                              <w:marTop w:val="0"/>
                              <w:marBottom w:val="0"/>
                              <w:divBdr>
                                <w:top w:val="none" w:sz="0" w:space="0" w:color="auto"/>
                                <w:left w:val="none" w:sz="0" w:space="0" w:color="auto"/>
                                <w:bottom w:val="none" w:sz="0" w:space="0" w:color="auto"/>
                                <w:right w:val="none" w:sz="0" w:space="0" w:color="auto"/>
                              </w:divBdr>
                              <w:divsChild>
                                <w:div w:id="594704748">
                                  <w:marLeft w:val="0"/>
                                  <w:marRight w:val="0"/>
                                  <w:marTop w:val="0"/>
                                  <w:marBottom w:val="0"/>
                                  <w:divBdr>
                                    <w:top w:val="none" w:sz="0" w:space="0" w:color="auto"/>
                                    <w:left w:val="none" w:sz="0" w:space="0" w:color="auto"/>
                                    <w:bottom w:val="none" w:sz="0" w:space="0" w:color="auto"/>
                                    <w:right w:val="none" w:sz="0" w:space="0" w:color="auto"/>
                                  </w:divBdr>
                                  <w:divsChild>
                                    <w:div w:id="1866016415">
                                      <w:marLeft w:val="0"/>
                                      <w:marRight w:val="0"/>
                                      <w:marTop w:val="75"/>
                                      <w:marBottom w:val="0"/>
                                      <w:divBdr>
                                        <w:top w:val="none" w:sz="0" w:space="0" w:color="auto"/>
                                        <w:left w:val="none" w:sz="0" w:space="0" w:color="auto"/>
                                        <w:bottom w:val="none" w:sz="0" w:space="0" w:color="auto"/>
                                        <w:right w:val="none" w:sz="0" w:space="0" w:color="auto"/>
                                      </w:divBdr>
                                      <w:divsChild>
                                        <w:div w:id="95369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7373913">
      <w:bodyDiv w:val="1"/>
      <w:marLeft w:val="0"/>
      <w:marRight w:val="0"/>
      <w:marTop w:val="0"/>
      <w:marBottom w:val="0"/>
      <w:divBdr>
        <w:top w:val="none" w:sz="0" w:space="0" w:color="auto"/>
        <w:left w:val="none" w:sz="0" w:space="0" w:color="auto"/>
        <w:bottom w:val="none" w:sz="0" w:space="0" w:color="auto"/>
        <w:right w:val="none" w:sz="0" w:space="0" w:color="auto"/>
      </w:divBdr>
    </w:div>
    <w:div w:id="687491072">
      <w:bodyDiv w:val="1"/>
      <w:marLeft w:val="0"/>
      <w:marRight w:val="0"/>
      <w:marTop w:val="0"/>
      <w:marBottom w:val="0"/>
      <w:divBdr>
        <w:top w:val="none" w:sz="0" w:space="0" w:color="auto"/>
        <w:left w:val="none" w:sz="0" w:space="0" w:color="auto"/>
        <w:bottom w:val="none" w:sz="0" w:space="0" w:color="auto"/>
        <w:right w:val="none" w:sz="0" w:space="0" w:color="auto"/>
      </w:divBdr>
    </w:div>
    <w:div w:id="690034285">
      <w:bodyDiv w:val="1"/>
      <w:marLeft w:val="0"/>
      <w:marRight w:val="0"/>
      <w:marTop w:val="0"/>
      <w:marBottom w:val="0"/>
      <w:divBdr>
        <w:top w:val="none" w:sz="0" w:space="0" w:color="auto"/>
        <w:left w:val="none" w:sz="0" w:space="0" w:color="auto"/>
        <w:bottom w:val="none" w:sz="0" w:space="0" w:color="auto"/>
        <w:right w:val="none" w:sz="0" w:space="0" w:color="auto"/>
      </w:divBdr>
    </w:div>
    <w:div w:id="728958695">
      <w:bodyDiv w:val="1"/>
      <w:marLeft w:val="0"/>
      <w:marRight w:val="0"/>
      <w:marTop w:val="0"/>
      <w:marBottom w:val="0"/>
      <w:divBdr>
        <w:top w:val="none" w:sz="0" w:space="0" w:color="auto"/>
        <w:left w:val="none" w:sz="0" w:space="0" w:color="auto"/>
        <w:bottom w:val="none" w:sz="0" w:space="0" w:color="auto"/>
        <w:right w:val="none" w:sz="0" w:space="0" w:color="auto"/>
      </w:divBdr>
    </w:div>
    <w:div w:id="738865856">
      <w:bodyDiv w:val="1"/>
      <w:marLeft w:val="0"/>
      <w:marRight w:val="0"/>
      <w:marTop w:val="0"/>
      <w:marBottom w:val="0"/>
      <w:divBdr>
        <w:top w:val="none" w:sz="0" w:space="0" w:color="auto"/>
        <w:left w:val="none" w:sz="0" w:space="0" w:color="auto"/>
        <w:bottom w:val="none" w:sz="0" w:space="0" w:color="auto"/>
        <w:right w:val="none" w:sz="0" w:space="0" w:color="auto"/>
      </w:divBdr>
    </w:div>
    <w:div w:id="741412860">
      <w:bodyDiv w:val="1"/>
      <w:marLeft w:val="0"/>
      <w:marRight w:val="0"/>
      <w:marTop w:val="0"/>
      <w:marBottom w:val="0"/>
      <w:divBdr>
        <w:top w:val="none" w:sz="0" w:space="0" w:color="auto"/>
        <w:left w:val="none" w:sz="0" w:space="0" w:color="auto"/>
        <w:bottom w:val="none" w:sz="0" w:space="0" w:color="auto"/>
        <w:right w:val="none" w:sz="0" w:space="0" w:color="auto"/>
      </w:divBdr>
    </w:div>
    <w:div w:id="744306515">
      <w:bodyDiv w:val="1"/>
      <w:marLeft w:val="0"/>
      <w:marRight w:val="0"/>
      <w:marTop w:val="0"/>
      <w:marBottom w:val="0"/>
      <w:divBdr>
        <w:top w:val="none" w:sz="0" w:space="0" w:color="auto"/>
        <w:left w:val="none" w:sz="0" w:space="0" w:color="auto"/>
        <w:bottom w:val="none" w:sz="0" w:space="0" w:color="auto"/>
        <w:right w:val="none" w:sz="0" w:space="0" w:color="auto"/>
      </w:divBdr>
    </w:div>
    <w:div w:id="758526509">
      <w:bodyDiv w:val="1"/>
      <w:marLeft w:val="0"/>
      <w:marRight w:val="0"/>
      <w:marTop w:val="0"/>
      <w:marBottom w:val="0"/>
      <w:divBdr>
        <w:top w:val="none" w:sz="0" w:space="0" w:color="auto"/>
        <w:left w:val="none" w:sz="0" w:space="0" w:color="auto"/>
        <w:bottom w:val="none" w:sz="0" w:space="0" w:color="auto"/>
        <w:right w:val="none" w:sz="0" w:space="0" w:color="auto"/>
      </w:divBdr>
    </w:div>
    <w:div w:id="760836946">
      <w:bodyDiv w:val="1"/>
      <w:marLeft w:val="0"/>
      <w:marRight w:val="0"/>
      <w:marTop w:val="0"/>
      <w:marBottom w:val="0"/>
      <w:divBdr>
        <w:top w:val="none" w:sz="0" w:space="0" w:color="auto"/>
        <w:left w:val="none" w:sz="0" w:space="0" w:color="auto"/>
        <w:bottom w:val="none" w:sz="0" w:space="0" w:color="auto"/>
        <w:right w:val="none" w:sz="0" w:space="0" w:color="auto"/>
      </w:divBdr>
    </w:div>
    <w:div w:id="763649400">
      <w:bodyDiv w:val="1"/>
      <w:marLeft w:val="0"/>
      <w:marRight w:val="0"/>
      <w:marTop w:val="0"/>
      <w:marBottom w:val="0"/>
      <w:divBdr>
        <w:top w:val="none" w:sz="0" w:space="0" w:color="auto"/>
        <w:left w:val="none" w:sz="0" w:space="0" w:color="auto"/>
        <w:bottom w:val="none" w:sz="0" w:space="0" w:color="auto"/>
        <w:right w:val="none" w:sz="0" w:space="0" w:color="auto"/>
      </w:divBdr>
      <w:divsChild>
        <w:div w:id="2033876118">
          <w:marLeft w:val="0"/>
          <w:marRight w:val="0"/>
          <w:marTop w:val="0"/>
          <w:marBottom w:val="0"/>
          <w:divBdr>
            <w:top w:val="none" w:sz="0" w:space="0" w:color="auto"/>
            <w:left w:val="none" w:sz="0" w:space="0" w:color="auto"/>
            <w:bottom w:val="none" w:sz="0" w:space="0" w:color="auto"/>
            <w:right w:val="none" w:sz="0" w:space="0" w:color="auto"/>
          </w:divBdr>
          <w:divsChild>
            <w:div w:id="131993230">
              <w:marLeft w:val="0"/>
              <w:marRight w:val="0"/>
              <w:marTop w:val="0"/>
              <w:marBottom w:val="0"/>
              <w:divBdr>
                <w:top w:val="none" w:sz="0" w:space="0" w:color="auto"/>
                <w:left w:val="none" w:sz="0" w:space="0" w:color="auto"/>
                <w:bottom w:val="none" w:sz="0" w:space="0" w:color="auto"/>
                <w:right w:val="none" w:sz="0" w:space="0" w:color="auto"/>
              </w:divBdr>
              <w:divsChild>
                <w:div w:id="394861890">
                  <w:marLeft w:val="0"/>
                  <w:marRight w:val="0"/>
                  <w:marTop w:val="0"/>
                  <w:marBottom w:val="0"/>
                  <w:divBdr>
                    <w:top w:val="none" w:sz="0" w:space="0" w:color="auto"/>
                    <w:left w:val="none" w:sz="0" w:space="0" w:color="auto"/>
                    <w:bottom w:val="none" w:sz="0" w:space="0" w:color="auto"/>
                    <w:right w:val="none" w:sz="0" w:space="0" w:color="auto"/>
                  </w:divBdr>
                  <w:divsChild>
                    <w:div w:id="2003461141">
                      <w:marLeft w:val="0"/>
                      <w:marRight w:val="0"/>
                      <w:marTop w:val="0"/>
                      <w:marBottom w:val="0"/>
                      <w:divBdr>
                        <w:top w:val="none" w:sz="0" w:space="0" w:color="auto"/>
                        <w:left w:val="none" w:sz="0" w:space="0" w:color="auto"/>
                        <w:bottom w:val="none" w:sz="0" w:space="0" w:color="auto"/>
                        <w:right w:val="none" w:sz="0" w:space="0" w:color="auto"/>
                      </w:divBdr>
                      <w:divsChild>
                        <w:div w:id="1140852109">
                          <w:marLeft w:val="0"/>
                          <w:marRight w:val="0"/>
                          <w:marTop w:val="100"/>
                          <w:marBottom w:val="100"/>
                          <w:divBdr>
                            <w:top w:val="none" w:sz="0" w:space="0" w:color="auto"/>
                            <w:left w:val="none" w:sz="0" w:space="0" w:color="auto"/>
                            <w:bottom w:val="none" w:sz="0" w:space="0" w:color="auto"/>
                            <w:right w:val="none" w:sz="0" w:space="0" w:color="auto"/>
                          </w:divBdr>
                          <w:divsChild>
                            <w:div w:id="411702145">
                              <w:marLeft w:val="0"/>
                              <w:marRight w:val="0"/>
                              <w:marTop w:val="0"/>
                              <w:marBottom w:val="0"/>
                              <w:divBdr>
                                <w:top w:val="none" w:sz="0" w:space="0" w:color="auto"/>
                                <w:left w:val="none" w:sz="0" w:space="0" w:color="auto"/>
                                <w:bottom w:val="none" w:sz="0" w:space="0" w:color="auto"/>
                                <w:right w:val="none" w:sz="0" w:space="0" w:color="auto"/>
                              </w:divBdr>
                              <w:divsChild>
                                <w:div w:id="1143040295">
                                  <w:marLeft w:val="0"/>
                                  <w:marRight w:val="0"/>
                                  <w:marTop w:val="0"/>
                                  <w:marBottom w:val="0"/>
                                  <w:divBdr>
                                    <w:top w:val="none" w:sz="0" w:space="0" w:color="auto"/>
                                    <w:left w:val="none" w:sz="0" w:space="0" w:color="auto"/>
                                    <w:bottom w:val="none" w:sz="0" w:space="0" w:color="auto"/>
                                    <w:right w:val="none" w:sz="0" w:space="0" w:color="auto"/>
                                  </w:divBdr>
                                  <w:divsChild>
                                    <w:div w:id="1970282103">
                                      <w:marLeft w:val="0"/>
                                      <w:marRight w:val="0"/>
                                      <w:marTop w:val="75"/>
                                      <w:marBottom w:val="0"/>
                                      <w:divBdr>
                                        <w:top w:val="none" w:sz="0" w:space="0" w:color="auto"/>
                                        <w:left w:val="none" w:sz="0" w:space="0" w:color="auto"/>
                                        <w:bottom w:val="none" w:sz="0" w:space="0" w:color="auto"/>
                                        <w:right w:val="none" w:sz="0" w:space="0" w:color="auto"/>
                                      </w:divBdr>
                                      <w:divsChild>
                                        <w:div w:id="192761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6344818">
      <w:bodyDiv w:val="1"/>
      <w:marLeft w:val="0"/>
      <w:marRight w:val="0"/>
      <w:marTop w:val="0"/>
      <w:marBottom w:val="0"/>
      <w:divBdr>
        <w:top w:val="none" w:sz="0" w:space="0" w:color="auto"/>
        <w:left w:val="none" w:sz="0" w:space="0" w:color="auto"/>
        <w:bottom w:val="none" w:sz="0" w:space="0" w:color="auto"/>
        <w:right w:val="none" w:sz="0" w:space="0" w:color="auto"/>
      </w:divBdr>
    </w:div>
    <w:div w:id="785319774">
      <w:bodyDiv w:val="1"/>
      <w:marLeft w:val="0"/>
      <w:marRight w:val="0"/>
      <w:marTop w:val="0"/>
      <w:marBottom w:val="0"/>
      <w:divBdr>
        <w:top w:val="none" w:sz="0" w:space="0" w:color="auto"/>
        <w:left w:val="none" w:sz="0" w:space="0" w:color="auto"/>
        <w:bottom w:val="none" w:sz="0" w:space="0" w:color="auto"/>
        <w:right w:val="none" w:sz="0" w:space="0" w:color="auto"/>
      </w:divBdr>
    </w:div>
    <w:div w:id="787311962">
      <w:bodyDiv w:val="1"/>
      <w:marLeft w:val="0"/>
      <w:marRight w:val="0"/>
      <w:marTop w:val="0"/>
      <w:marBottom w:val="0"/>
      <w:divBdr>
        <w:top w:val="none" w:sz="0" w:space="0" w:color="auto"/>
        <w:left w:val="none" w:sz="0" w:space="0" w:color="auto"/>
        <w:bottom w:val="none" w:sz="0" w:space="0" w:color="auto"/>
        <w:right w:val="none" w:sz="0" w:space="0" w:color="auto"/>
      </w:divBdr>
    </w:div>
    <w:div w:id="788355784">
      <w:bodyDiv w:val="1"/>
      <w:marLeft w:val="0"/>
      <w:marRight w:val="0"/>
      <w:marTop w:val="0"/>
      <w:marBottom w:val="0"/>
      <w:divBdr>
        <w:top w:val="none" w:sz="0" w:space="0" w:color="auto"/>
        <w:left w:val="none" w:sz="0" w:space="0" w:color="auto"/>
        <w:bottom w:val="none" w:sz="0" w:space="0" w:color="auto"/>
        <w:right w:val="none" w:sz="0" w:space="0" w:color="auto"/>
      </w:divBdr>
      <w:divsChild>
        <w:div w:id="1226840597">
          <w:marLeft w:val="0"/>
          <w:marRight w:val="0"/>
          <w:marTop w:val="0"/>
          <w:marBottom w:val="0"/>
          <w:divBdr>
            <w:top w:val="none" w:sz="0" w:space="0" w:color="auto"/>
            <w:left w:val="none" w:sz="0" w:space="0" w:color="auto"/>
            <w:bottom w:val="none" w:sz="0" w:space="0" w:color="auto"/>
            <w:right w:val="none" w:sz="0" w:space="0" w:color="auto"/>
          </w:divBdr>
          <w:divsChild>
            <w:div w:id="1599408921">
              <w:marLeft w:val="0"/>
              <w:marRight w:val="0"/>
              <w:marTop w:val="0"/>
              <w:marBottom w:val="0"/>
              <w:divBdr>
                <w:top w:val="none" w:sz="0" w:space="0" w:color="auto"/>
                <w:left w:val="none" w:sz="0" w:space="0" w:color="auto"/>
                <w:bottom w:val="none" w:sz="0" w:space="0" w:color="auto"/>
                <w:right w:val="none" w:sz="0" w:space="0" w:color="auto"/>
              </w:divBdr>
              <w:divsChild>
                <w:div w:id="1821581984">
                  <w:marLeft w:val="3870"/>
                  <w:marRight w:val="0"/>
                  <w:marTop w:val="0"/>
                  <w:marBottom w:val="0"/>
                  <w:divBdr>
                    <w:top w:val="none" w:sz="0" w:space="0" w:color="auto"/>
                    <w:left w:val="none" w:sz="0" w:space="0" w:color="auto"/>
                    <w:bottom w:val="none" w:sz="0" w:space="0" w:color="auto"/>
                    <w:right w:val="none" w:sz="0" w:space="0" w:color="auto"/>
                  </w:divBdr>
                  <w:divsChild>
                    <w:div w:id="1280599250">
                      <w:marLeft w:val="0"/>
                      <w:marRight w:val="0"/>
                      <w:marTop w:val="0"/>
                      <w:marBottom w:val="300"/>
                      <w:divBdr>
                        <w:top w:val="none" w:sz="0" w:space="0" w:color="auto"/>
                        <w:left w:val="none" w:sz="0" w:space="0" w:color="auto"/>
                        <w:bottom w:val="none" w:sz="0" w:space="0" w:color="auto"/>
                        <w:right w:val="none" w:sz="0" w:space="0" w:color="auto"/>
                      </w:divBdr>
                      <w:divsChild>
                        <w:div w:id="69006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6825447">
      <w:bodyDiv w:val="1"/>
      <w:marLeft w:val="0"/>
      <w:marRight w:val="0"/>
      <w:marTop w:val="0"/>
      <w:marBottom w:val="0"/>
      <w:divBdr>
        <w:top w:val="none" w:sz="0" w:space="0" w:color="auto"/>
        <w:left w:val="none" w:sz="0" w:space="0" w:color="auto"/>
        <w:bottom w:val="none" w:sz="0" w:space="0" w:color="auto"/>
        <w:right w:val="none" w:sz="0" w:space="0" w:color="auto"/>
      </w:divBdr>
    </w:div>
    <w:div w:id="812597768">
      <w:bodyDiv w:val="1"/>
      <w:marLeft w:val="0"/>
      <w:marRight w:val="0"/>
      <w:marTop w:val="0"/>
      <w:marBottom w:val="0"/>
      <w:divBdr>
        <w:top w:val="none" w:sz="0" w:space="0" w:color="auto"/>
        <w:left w:val="none" w:sz="0" w:space="0" w:color="auto"/>
        <w:bottom w:val="none" w:sz="0" w:space="0" w:color="auto"/>
        <w:right w:val="none" w:sz="0" w:space="0" w:color="auto"/>
      </w:divBdr>
    </w:div>
    <w:div w:id="813134229">
      <w:bodyDiv w:val="1"/>
      <w:marLeft w:val="0"/>
      <w:marRight w:val="0"/>
      <w:marTop w:val="0"/>
      <w:marBottom w:val="0"/>
      <w:divBdr>
        <w:top w:val="none" w:sz="0" w:space="0" w:color="auto"/>
        <w:left w:val="none" w:sz="0" w:space="0" w:color="auto"/>
        <w:bottom w:val="none" w:sz="0" w:space="0" w:color="auto"/>
        <w:right w:val="none" w:sz="0" w:space="0" w:color="auto"/>
      </w:divBdr>
    </w:div>
    <w:div w:id="818350115">
      <w:bodyDiv w:val="1"/>
      <w:marLeft w:val="0"/>
      <w:marRight w:val="0"/>
      <w:marTop w:val="0"/>
      <w:marBottom w:val="0"/>
      <w:divBdr>
        <w:top w:val="none" w:sz="0" w:space="0" w:color="auto"/>
        <w:left w:val="none" w:sz="0" w:space="0" w:color="auto"/>
        <w:bottom w:val="none" w:sz="0" w:space="0" w:color="auto"/>
        <w:right w:val="none" w:sz="0" w:space="0" w:color="auto"/>
      </w:divBdr>
    </w:div>
    <w:div w:id="837229894">
      <w:bodyDiv w:val="1"/>
      <w:marLeft w:val="0"/>
      <w:marRight w:val="0"/>
      <w:marTop w:val="0"/>
      <w:marBottom w:val="0"/>
      <w:divBdr>
        <w:top w:val="none" w:sz="0" w:space="0" w:color="auto"/>
        <w:left w:val="none" w:sz="0" w:space="0" w:color="auto"/>
        <w:bottom w:val="none" w:sz="0" w:space="0" w:color="auto"/>
        <w:right w:val="none" w:sz="0" w:space="0" w:color="auto"/>
      </w:divBdr>
    </w:div>
    <w:div w:id="847330035">
      <w:bodyDiv w:val="1"/>
      <w:marLeft w:val="0"/>
      <w:marRight w:val="0"/>
      <w:marTop w:val="0"/>
      <w:marBottom w:val="0"/>
      <w:divBdr>
        <w:top w:val="none" w:sz="0" w:space="0" w:color="auto"/>
        <w:left w:val="none" w:sz="0" w:space="0" w:color="auto"/>
        <w:bottom w:val="none" w:sz="0" w:space="0" w:color="auto"/>
        <w:right w:val="none" w:sz="0" w:space="0" w:color="auto"/>
      </w:divBdr>
    </w:div>
    <w:div w:id="855190209">
      <w:bodyDiv w:val="1"/>
      <w:marLeft w:val="0"/>
      <w:marRight w:val="0"/>
      <w:marTop w:val="0"/>
      <w:marBottom w:val="0"/>
      <w:divBdr>
        <w:top w:val="none" w:sz="0" w:space="0" w:color="auto"/>
        <w:left w:val="none" w:sz="0" w:space="0" w:color="auto"/>
        <w:bottom w:val="none" w:sz="0" w:space="0" w:color="auto"/>
        <w:right w:val="none" w:sz="0" w:space="0" w:color="auto"/>
      </w:divBdr>
    </w:div>
    <w:div w:id="856501518">
      <w:bodyDiv w:val="1"/>
      <w:marLeft w:val="0"/>
      <w:marRight w:val="0"/>
      <w:marTop w:val="0"/>
      <w:marBottom w:val="0"/>
      <w:divBdr>
        <w:top w:val="none" w:sz="0" w:space="0" w:color="auto"/>
        <w:left w:val="none" w:sz="0" w:space="0" w:color="auto"/>
        <w:bottom w:val="none" w:sz="0" w:space="0" w:color="auto"/>
        <w:right w:val="none" w:sz="0" w:space="0" w:color="auto"/>
      </w:divBdr>
    </w:div>
    <w:div w:id="866333278">
      <w:bodyDiv w:val="1"/>
      <w:marLeft w:val="0"/>
      <w:marRight w:val="0"/>
      <w:marTop w:val="0"/>
      <w:marBottom w:val="0"/>
      <w:divBdr>
        <w:top w:val="none" w:sz="0" w:space="0" w:color="auto"/>
        <w:left w:val="none" w:sz="0" w:space="0" w:color="auto"/>
        <w:bottom w:val="none" w:sz="0" w:space="0" w:color="auto"/>
        <w:right w:val="none" w:sz="0" w:space="0" w:color="auto"/>
      </w:divBdr>
    </w:div>
    <w:div w:id="866724335">
      <w:bodyDiv w:val="1"/>
      <w:marLeft w:val="0"/>
      <w:marRight w:val="0"/>
      <w:marTop w:val="0"/>
      <w:marBottom w:val="0"/>
      <w:divBdr>
        <w:top w:val="none" w:sz="0" w:space="0" w:color="auto"/>
        <w:left w:val="none" w:sz="0" w:space="0" w:color="auto"/>
        <w:bottom w:val="none" w:sz="0" w:space="0" w:color="auto"/>
        <w:right w:val="none" w:sz="0" w:space="0" w:color="auto"/>
      </w:divBdr>
    </w:div>
    <w:div w:id="867068452">
      <w:bodyDiv w:val="1"/>
      <w:marLeft w:val="0"/>
      <w:marRight w:val="0"/>
      <w:marTop w:val="0"/>
      <w:marBottom w:val="0"/>
      <w:divBdr>
        <w:top w:val="none" w:sz="0" w:space="0" w:color="auto"/>
        <w:left w:val="none" w:sz="0" w:space="0" w:color="auto"/>
        <w:bottom w:val="none" w:sz="0" w:space="0" w:color="auto"/>
        <w:right w:val="none" w:sz="0" w:space="0" w:color="auto"/>
      </w:divBdr>
    </w:div>
    <w:div w:id="875193036">
      <w:bodyDiv w:val="1"/>
      <w:marLeft w:val="0"/>
      <w:marRight w:val="0"/>
      <w:marTop w:val="0"/>
      <w:marBottom w:val="0"/>
      <w:divBdr>
        <w:top w:val="none" w:sz="0" w:space="0" w:color="auto"/>
        <w:left w:val="none" w:sz="0" w:space="0" w:color="auto"/>
        <w:bottom w:val="none" w:sz="0" w:space="0" w:color="auto"/>
        <w:right w:val="none" w:sz="0" w:space="0" w:color="auto"/>
      </w:divBdr>
    </w:div>
    <w:div w:id="877163976">
      <w:bodyDiv w:val="1"/>
      <w:marLeft w:val="0"/>
      <w:marRight w:val="0"/>
      <w:marTop w:val="0"/>
      <w:marBottom w:val="0"/>
      <w:divBdr>
        <w:top w:val="none" w:sz="0" w:space="0" w:color="auto"/>
        <w:left w:val="none" w:sz="0" w:space="0" w:color="auto"/>
        <w:bottom w:val="none" w:sz="0" w:space="0" w:color="auto"/>
        <w:right w:val="none" w:sz="0" w:space="0" w:color="auto"/>
      </w:divBdr>
    </w:div>
    <w:div w:id="886185235">
      <w:bodyDiv w:val="1"/>
      <w:marLeft w:val="0"/>
      <w:marRight w:val="0"/>
      <w:marTop w:val="0"/>
      <w:marBottom w:val="0"/>
      <w:divBdr>
        <w:top w:val="none" w:sz="0" w:space="0" w:color="auto"/>
        <w:left w:val="none" w:sz="0" w:space="0" w:color="auto"/>
        <w:bottom w:val="none" w:sz="0" w:space="0" w:color="auto"/>
        <w:right w:val="none" w:sz="0" w:space="0" w:color="auto"/>
      </w:divBdr>
    </w:div>
    <w:div w:id="902061939">
      <w:bodyDiv w:val="1"/>
      <w:marLeft w:val="0"/>
      <w:marRight w:val="0"/>
      <w:marTop w:val="0"/>
      <w:marBottom w:val="0"/>
      <w:divBdr>
        <w:top w:val="none" w:sz="0" w:space="0" w:color="auto"/>
        <w:left w:val="none" w:sz="0" w:space="0" w:color="auto"/>
        <w:bottom w:val="none" w:sz="0" w:space="0" w:color="auto"/>
        <w:right w:val="none" w:sz="0" w:space="0" w:color="auto"/>
      </w:divBdr>
    </w:div>
    <w:div w:id="910963243">
      <w:bodyDiv w:val="1"/>
      <w:marLeft w:val="0"/>
      <w:marRight w:val="0"/>
      <w:marTop w:val="0"/>
      <w:marBottom w:val="0"/>
      <w:divBdr>
        <w:top w:val="none" w:sz="0" w:space="0" w:color="auto"/>
        <w:left w:val="none" w:sz="0" w:space="0" w:color="auto"/>
        <w:bottom w:val="none" w:sz="0" w:space="0" w:color="auto"/>
        <w:right w:val="none" w:sz="0" w:space="0" w:color="auto"/>
      </w:divBdr>
    </w:div>
    <w:div w:id="916402209">
      <w:bodyDiv w:val="1"/>
      <w:marLeft w:val="0"/>
      <w:marRight w:val="0"/>
      <w:marTop w:val="0"/>
      <w:marBottom w:val="0"/>
      <w:divBdr>
        <w:top w:val="none" w:sz="0" w:space="0" w:color="auto"/>
        <w:left w:val="none" w:sz="0" w:space="0" w:color="auto"/>
        <w:bottom w:val="none" w:sz="0" w:space="0" w:color="auto"/>
        <w:right w:val="none" w:sz="0" w:space="0" w:color="auto"/>
      </w:divBdr>
    </w:div>
    <w:div w:id="917981950">
      <w:bodyDiv w:val="1"/>
      <w:marLeft w:val="0"/>
      <w:marRight w:val="0"/>
      <w:marTop w:val="0"/>
      <w:marBottom w:val="0"/>
      <w:divBdr>
        <w:top w:val="none" w:sz="0" w:space="0" w:color="auto"/>
        <w:left w:val="none" w:sz="0" w:space="0" w:color="auto"/>
        <w:bottom w:val="none" w:sz="0" w:space="0" w:color="auto"/>
        <w:right w:val="none" w:sz="0" w:space="0" w:color="auto"/>
      </w:divBdr>
    </w:div>
    <w:div w:id="920333452">
      <w:bodyDiv w:val="1"/>
      <w:marLeft w:val="0"/>
      <w:marRight w:val="0"/>
      <w:marTop w:val="0"/>
      <w:marBottom w:val="0"/>
      <w:divBdr>
        <w:top w:val="none" w:sz="0" w:space="0" w:color="auto"/>
        <w:left w:val="none" w:sz="0" w:space="0" w:color="auto"/>
        <w:bottom w:val="none" w:sz="0" w:space="0" w:color="auto"/>
        <w:right w:val="none" w:sz="0" w:space="0" w:color="auto"/>
      </w:divBdr>
    </w:div>
    <w:div w:id="939992865">
      <w:bodyDiv w:val="1"/>
      <w:marLeft w:val="0"/>
      <w:marRight w:val="0"/>
      <w:marTop w:val="0"/>
      <w:marBottom w:val="0"/>
      <w:divBdr>
        <w:top w:val="none" w:sz="0" w:space="0" w:color="auto"/>
        <w:left w:val="none" w:sz="0" w:space="0" w:color="auto"/>
        <w:bottom w:val="none" w:sz="0" w:space="0" w:color="auto"/>
        <w:right w:val="none" w:sz="0" w:space="0" w:color="auto"/>
      </w:divBdr>
    </w:div>
    <w:div w:id="949241407">
      <w:bodyDiv w:val="1"/>
      <w:marLeft w:val="0"/>
      <w:marRight w:val="0"/>
      <w:marTop w:val="0"/>
      <w:marBottom w:val="0"/>
      <w:divBdr>
        <w:top w:val="none" w:sz="0" w:space="0" w:color="auto"/>
        <w:left w:val="none" w:sz="0" w:space="0" w:color="auto"/>
        <w:bottom w:val="none" w:sz="0" w:space="0" w:color="auto"/>
        <w:right w:val="none" w:sz="0" w:space="0" w:color="auto"/>
      </w:divBdr>
    </w:div>
    <w:div w:id="991565049">
      <w:bodyDiv w:val="1"/>
      <w:marLeft w:val="0"/>
      <w:marRight w:val="0"/>
      <w:marTop w:val="0"/>
      <w:marBottom w:val="0"/>
      <w:divBdr>
        <w:top w:val="none" w:sz="0" w:space="0" w:color="auto"/>
        <w:left w:val="none" w:sz="0" w:space="0" w:color="auto"/>
        <w:bottom w:val="none" w:sz="0" w:space="0" w:color="auto"/>
        <w:right w:val="none" w:sz="0" w:space="0" w:color="auto"/>
      </w:divBdr>
    </w:div>
    <w:div w:id="994186038">
      <w:bodyDiv w:val="1"/>
      <w:marLeft w:val="0"/>
      <w:marRight w:val="0"/>
      <w:marTop w:val="0"/>
      <w:marBottom w:val="0"/>
      <w:divBdr>
        <w:top w:val="none" w:sz="0" w:space="0" w:color="auto"/>
        <w:left w:val="none" w:sz="0" w:space="0" w:color="auto"/>
        <w:bottom w:val="none" w:sz="0" w:space="0" w:color="auto"/>
        <w:right w:val="none" w:sz="0" w:space="0" w:color="auto"/>
      </w:divBdr>
      <w:divsChild>
        <w:div w:id="1687438506">
          <w:marLeft w:val="0"/>
          <w:marRight w:val="0"/>
          <w:marTop w:val="0"/>
          <w:marBottom w:val="0"/>
          <w:divBdr>
            <w:top w:val="none" w:sz="0" w:space="0" w:color="auto"/>
            <w:left w:val="none" w:sz="0" w:space="0" w:color="auto"/>
            <w:bottom w:val="none" w:sz="0" w:space="0" w:color="auto"/>
            <w:right w:val="none" w:sz="0" w:space="0" w:color="auto"/>
          </w:divBdr>
          <w:divsChild>
            <w:div w:id="1678730783">
              <w:marLeft w:val="0"/>
              <w:marRight w:val="0"/>
              <w:marTop w:val="0"/>
              <w:marBottom w:val="0"/>
              <w:divBdr>
                <w:top w:val="none" w:sz="0" w:space="0" w:color="auto"/>
                <w:left w:val="none" w:sz="0" w:space="0" w:color="auto"/>
                <w:bottom w:val="none" w:sz="0" w:space="0" w:color="auto"/>
                <w:right w:val="none" w:sz="0" w:space="0" w:color="auto"/>
              </w:divBdr>
              <w:divsChild>
                <w:div w:id="1660619539">
                  <w:marLeft w:val="150"/>
                  <w:marRight w:val="150"/>
                  <w:marTop w:val="0"/>
                  <w:marBottom w:val="0"/>
                  <w:divBdr>
                    <w:top w:val="none" w:sz="0" w:space="0" w:color="auto"/>
                    <w:left w:val="none" w:sz="0" w:space="0" w:color="auto"/>
                    <w:bottom w:val="none" w:sz="0" w:space="0" w:color="auto"/>
                    <w:right w:val="none" w:sz="0" w:space="0" w:color="auto"/>
                  </w:divBdr>
                  <w:divsChild>
                    <w:div w:id="2023701741">
                      <w:marLeft w:val="0"/>
                      <w:marRight w:val="0"/>
                      <w:marTop w:val="0"/>
                      <w:marBottom w:val="0"/>
                      <w:divBdr>
                        <w:top w:val="none" w:sz="0" w:space="0" w:color="auto"/>
                        <w:left w:val="none" w:sz="0" w:space="0" w:color="auto"/>
                        <w:bottom w:val="none" w:sz="0" w:space="0" w:color="auto"/>
                        <w:right w:val="none" w:sz="0" w:space="0" w:color="auto"/>
                      </w:divBdr>
                      <w:divsChild>
                        <w:div w:id="1938555687">
                          <w:marLeft w:val="0"/>
                          <w:marRight w:val="0"/>
                          <w:marTop w:val="0"/>
                          <w:marBottom w:val="180"/>
                          <w:divBdr>
                            <w:top w:val="none" w:sz="0" w:space="0" w:color="auto"/>
                            <w:left w:val="none" w:sz="0" w:space="0" w:color="auto"/>
                            <w:bottom w:val="none" w:sz="0" w:space="0" w:color="auto"/>
                            <w:right w:val="none" w:sz="0" w:space="0" w:color="auto"/>
                          </w:divBdr>
                          <w:divsChild>
                            <w:div w:id="128936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6104973">
      <w:bodyDiv w:val="1"/>
      <w:marLeft w:val="0"/>
      <w:marRight w:val="0"/>
      <w:marTop w:val="0"/>
      <w:marBottom w:val="0"/>
      <w:divBdr>
        <w:top w:val="none" w:sz="0" w:space="0" w:color="auto"/>
        <w:left w:val="none" w:sz="0" w:space="0" w:color="auto"/>
        <w:bottom w:val="none" w:sz="0" w:space="0" w:color="auto"/>
        <w:right w:val="none" w:sz="0" w:space="0" w:color="auto"/>
      </w:divBdr>
    </w:div>
    <w:div w:id="1001278055">
      <w:bodyDiv w:val="1"/>
      <w:marLeft w:val="0"/>
      <w:marRight w:val="0"/>
      <w:marTop w:val="0"/>
      <w:marBottom w:val="0"/>
      <w:divBdr>
        <w:top w:val="none" w:sz="0" w:space="0" w:color="auto"/>
        <w:left w:val="none" w:sz="0" w:space="0" w:color="auto"/>
        <w:bottom w:val="none" w:sz="0" w:space="0" w:color="auto"/>
        <w:right w:val="none" w:sz="0" w:space="0" w:color="auto"/>
      </w:divBdr>
    </w:div>
    <w:div w:id="1007708763">
      <w:bodyDiv w:val="1"/>
      <w:marLeft w:val="0"/>
      <w:marRight w:val="0"/>
      <w:marTop w:val="0"/>
      <w:marBottom w:val="0"/>
      <w:divBdr>
        <w:top w:val="none" w:sz="0" w:space="0" w:color="auto"/>
        <w:left w:val="none" w:sz="0" w:space="0" w:color="auto"/>
        <w:bottom w:val="none" w:sz="0" w:space="0" w:color="auto"/>
        <w:right w:val="none" w:sz="0" w:space="0" w:color="auto"/>
      </w:divBdr>
    </w:div>
    <w:div w:id="1031960374">
      <w:bodyDiv w:val="1"/>
      <w:marLeft w:val="0"/>
      <w:marRight w:val="0"/>
      <w:marTop w:val="0"/>
      <w:marBottom w:val="0"/>
      <w:divBdr>
        <w:top w:val="none" w:sz="0" w:space="0" w:color="auto"/>
        <w:left w:val="none" w:sz="0" w:space="0" w:color="auto"/>
        <w:bottom w:val="none" w:sz="0" w:space="0" w:color="auto"/>
        <w:right w:val="none" w:sz="0" w:space="0" w:color="auto"/>
      </w:divBdr>
    </w:div>
    <w:div w:id="1034574236">
      <w:bodyDiv w:val="1"/>
      <w:marLeft w:val="0"/>
      <w:marRight w:val="0"/>
      <w:marTop w:val="0"/>
      <w:marBottom w:val="0"/>
      <w:divBdr>
        <w:top w:val="none" w:sz="0" w:space="0" w:color="auto"/>
        <w:left w:val="none" w:sz="0" w:space="0" w:color="auto"/>
        <w:bottom w:val="none" w:sz="0" w:space="0" w:color="auto"/>
        <w:right w:val="none" w:sz="0" w:space="0" w:color="auto"/>
      </w:divBdr>
    </w:div>
    <w:div w:id="1048335735">
      <w:bodyDiv w:val="1"/>
      <w:marLeft w:val="0"/>
      <w:marRight w:val="0"/>
      <w:marTop w:val="0"/>
      <w:marBottom w:val="0"/>
      <w:divBdr>
        <w:top w:val="none" w:sz="0" w:space="0" w:color="auto"/>
        <w:left w:val="none" w:sz="0" w:space="0" w:color="auto"/>
        <w:bottom w:val="none" w:sz="0" w:space="0" w:color="auto"/>
        <w:right w:val="none" w:sz="0" w:space="0" w:color="auto"/>
      </w:divBdr>
    </w:div>
    <w:div w:id="1055352312">
      <w:bodyDiv w:val="1"/>
      <w:marLeft w:val="0"/>
      <w:marRight w:val="0"/>
      <w:marTop w:val="0"/>
      <w:marBottom w:val="0"/>
      <w:divBdr>
        <w:top w:val="none" w:sz="0" w:space="0" w:color="auto"/>
        <w:left w:val="none" w:sz="0" w:space="0" w:color="auto"/>
        <w:bottom w:val="none" w:sz="0" w:space="0" w:color="auto"/>
        <w:right w:val="none" w:sz="0" w:space="0" w:color="auto"/>
      </w:divBdr>
      <w:divsChild>
        <w:div w:id="1937206328">
          <w:marLeft w:val="0"/>
          <w:marRight w:val="0"/>
          <w:marTop w:val="0"/>
          <w:marBottom w:val="0"/>
          <w:divBdr>
            <w:top w:val="none" w:sz="0" w:space="0" w:color="auto"/>
            <w:left w:val="none" w:sz="0" w:space="0" w:color="auto"/>
            <w:bottom w:val="none" w:sz="0" w:space="0" w:color="auto"/>
            <w:right w:val="none" w:sz="0" w:space="0" w:color="auto"/>
          </w:divBdr>
          <w:divsChild>
            <w:div w:id="1520269090">
              <w:marLeft w:val="0"/>
              <w:marRight w:val="0"/>
              <w:marTop w:val="0"/>
              <w:marBottom w:val="0"/>
              <w:divBdr>
                <w:top w:val="none" w:sz="0" w:space="0" w:color="auto"/>
                <w:left w:val="none" w:sz="0" w:space="0" w:color="auto"/>
                <w:bottom w:val="none" w:sz="0" w:space="0" w:color="auto"/>
                <w:right w:val="none" w:sz="0" w:space="0" w:color="auto"/>
              </w:divBdr>
              <w:divsChild>
                <w:div w:id="212345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491925">
      <w:bodyDiv w:val="1"/>
      <w:marLeft w:val="0"/>
      <w:marRight w:val="0"/>
      <w:marTop w:val="0"/>
      <w:marBottom w:val="0"/>
      <w:divBdr>
        <w:top w:val="none" w:sz="0" w:space="0" w:color="auto"/>
        <w:left w:val="none" w:sz="0" w:space="0" w:color="auto"/>
        <w:bottom w:val="none" w:sz="0" w:space="0" w:color="auto"/>
        <w:right w:val="none" w:sz="0" w:space="0" w:color="auto"/>
      </w:divBdr>
    </w:div>
    <w:div w:id="1082294150">
      <w:bodyDiv w:val="1"/>
      <w:marLeft w:val="0"/>
      <w:marRight w:val="0"/>
      <w:marTop w:val="0"/>
      <w:marBottom w:val="0"/>
      <w:divBdr>
        <w:top w:val="none" w:sz="0" w:space="0" w:color="auto"/>
        <w:left w:val="none" w:sz="0" w:space="0" w:color="auto"/>
        <w:bottom w:val="none" w:sz="0" w:space="0" w:color="auto"/>
        <w:right w:val="none" w:sz="0" w:space="0" w:color="auto"/>
      </w:divBdr>
      <w:divsChild>
        <w:div w:id="1717967128">
          <w:marLeft w:val="0"/>
          <w:marRight w:val="0"/>
          <w:marTop w:val="0"/>
          <w:marBottom w:val="0"/>
          <w:divBdr>
            <w:top w:val="none" w:sz="0" w:space="0" w:color="auto"/>
            <w:left w:val="none" w:sz="0" w:space="0" w:color="auto"/>
            <w:bottom w:val="none" w:sz="0" w:space="0" w:color="auto"/>
            <w:right w:val="none" w:sz="0" w:space="0" w:color="auto"/>
          </w:divBdr>
          <w:divsChild>
            <w:div w:id="186067753">
              <w:marLeft w:val="0"/>
              <w:marRight w:val="0"/>
              <w:marTop w:val="0"/>
              <w:marBottom w:val="0"/>
              <w:divBdr>
                <w:top w:val="none" w:sz="0" w:space="0" w:color="auto"/>
                <w:left w:val="none" w:sz="0" w:space="0" w:color="auto"/>
                <w:bottom w:val="none" w:sz="0" w:space="0" w:color="auto"/>
                <w:right w:val="none" w:sz="0" w:space="0" w:color="auto"/>
              </w:divBdr>
              <w:divsChild>
                <w:div w:id="1032075962">
                  <w:marLeft w:val="0"/>
                  <w:marRight w:val="0"/>
                  <w:marTop w:val="0"/>
                  <w:marBottom w:val="0"/>
                  <w:divBdr>
                    <w:top w:val="none" w:sz="0" w:space="0" w:color="auto"/>
                    <w:left w:val="none" w:sz="0" w:space="0" w:color="auto"/>
                    <w:bottom w:val="none" w:sz="0" w:space="0" w:color="auto"/>
                    <w:right w:val="none" w:sz="0" w:space="0" w:color="auto"/>
                  </w:divBdr>
                  <w:divsChild>
                    <w:div w:id="421296411">
                      <w:marLeft w:val="0"/>
                      <w:marRight w:val="0"/>
                      <w:marTop w:val="0"/>
                      <w:marBottom w:val="0"/>
                      <w:divBdr>
                        <w:top w:val="none" w:sz="0" w:space="0" w:color="auto"/>
                        <w:left w:val="none" w:sz="0" w:space="0" w:color="auto"/>
                        <w:bottom w:val="none" w:sz="0" w:space="0" w:color="auto"/>
                        <w:right w:val="none" w:sz="0" w:space="0" w:color="auto"/>
                      </w:divBdr>
                      <w:divsChild>
                        <w:div w:id="1330139015">
                          <w:marLeft w:val="0"/>
                          <w:marRight w:val="0"/>
                          <w:marTop w:val="100"/>
                          <w:marBottom w:val="100"/>
                          <w:divBdr>
                            <w:top w:val="none" w:sz="0" w:space="0" w:color="auto"/>
                            <w:left w:val="none" w:sz="0" w:space="0" w:color="auto"/>
                            <w:bottom w:val="none" w:sz="0" w:space="0" w:color="auto"/>
                            <w:right w:val="none" w:sz="0" w:space="0" w:color="auto"/>
                          </w:divBdr>
                          <w:divsChild>
                            <w:div w:id="1531071645">
                              <w:marLeft w:val="0"/>
                              <w:marRight w:val="0"/>
                              <w:marTop w:val="0"/>
                              <w:marBottom w:val="0"/>
                              <w:divBdr>
                                <w:top w:val="none" w:sz="0" w:space="0" w:color="auto"/>
                                <w:left w:val="none" w:sz="0" w:space="0" w:color="auto"/>
                                <w:bottom w:val="none" w:sz="0" w:space="0" w:color="auto"/>
                                <w:right w:val="none" w:sz="0" w:space="0" w:color="auto"/>
                              </w:divBdr>
                              <w:divsChild>
                                <w:div w:id="412436511">
                                  <w:marLeft w:val="0"/>
                                  <w:marRight w:val="0"/>
                                  <w:marTop w:val="0"/>
                                  <w:marBottom w:val="0"/>
                                  <w:divBdr>
                                    <w:top w:val="none" w:sz="0" w:space="0" w:color="auto"/>
                                    <w:left w:val="none" w:sz="0" w:space="0" w:color="auto"/>
                                    <w:bottom w:val="none" w:sz="0" w:space="0" w:color="auto"/>
                                    <w:right w:val="none" w:sz="0" w:space="0" w:color="auto"/>
                                  </w:divBdr>
                                  <w:divsChild>
                                    <w:div w:id="894926187">
                                      <w:marLeft w:val="0"/>
                                      <w:marRight w:val="0"/>
                                      <w:marTop w:val="75"/>
                                      <w:marBottom w:val="0"/>
                                      <w:divBdr>
                                        <w:top w:val="none" w:sz="0" w:space="0" w:color="auto"/>
                                        <w:left w:val="none" w:sz="0" w:space="0" w:color="auto"/>
                                        <w:bottom w:val="none" w:sz="0" w:space="0" w:color="auto"/>
                                        <w:right w:val="none" w:sz="0" w:space="0" w:color="auto"/>
                                      </w:divBdr>
                                      <w:divsChild>
                                        <w:div w:id="28423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3451936">
      <w:bodyDiv w:val="1"/>
      <w:marLeft w:val="0"/>
      <w:marRight w:val="0"/>
      <w:marTop w:val="0"/>
      <w:marBottom w:val="0"/>
      <w:divBdr>
        <w:top w:val="none" w:sz="0" w:space="0" w:color="auto"/>
        <w:left w:val="none" w:sz="0" w:space="0" w:color="auto"/>
        <w:bottom w:val="none" w:sz="0" w:space="0" w:color="auto"/>
        <w:right w:val="none" w:sz="0" w:space="0" w:color="auto"/>
      </w:divBdr>
    </w:div>
    <w:div w:id="1095056102">
      <w:bodyDiv w:val="1"/>
      <w:marLeft w:val="0"/>
      <w:marRight w:val="0"/>
      <w:marTop w:val="0"/>
      <w:marBottom w:val="0"/>
      <w:divBdr>
        <w:top w:val="none" w:sz="0" w:space="0" w:color="auto"/>
        <w:left w:val="none" w:sz="0" w:space="0" w:color="auto"/>
        <w:bottom w:val="none" w:sz="0" w:space="0" w:color="auto"/>
        <w:right w:val="none" w:sz="0" w:space="0" w:color="auto"/>
      </w:divBdr>
    </w:div>
    <w:div w:id="1105345153">
      <w:bodyDiv w:val="1"/>
      <w:marLeft w:val="0"/>
      <w:marRight w:val="0"/>
      <w:marTop w:val="0"/>
      <w:marBottom w:val="0"/>
      <w:divBdr>
        <w:top w:val="none" w:sz="0" w:space="0" w:color="auto"/>
        <w:left w:val="none" w:sz="0" w:space="0" w:color="auto"/>
        <w:bottom w:val="none" w:sz="0" w:space="0" w:color="auto"/>
        <w:right w:val="none" w:sz="0" w:space="0" w:color="auto"/>
      </w:divBdr>
    </w:div>
    <w:div w:id="1113204570">
      <w:bodyDiv w:val="1"/>
      <w:marLeft w:val="0"/>
      <w:marRight w:val="0"/>
      <w:marTop w:val="0"/>
      <w:marBottom w:val="0"/>
      <w:divBdr>
        <w:top w:val="none" w:sz="0" w:space="0" w:color="auto"/>
        <w:left w:val="none" w:sz="0" w:space="0" w:color="auto"/>
        <w:bottom w:val="none" w:sz="0" w:space="0" w:color="auto"/>
        <w:right w:val="none" w:sz="0" w:space="0" w:color="auto"/>
      </w:divBdr>
    </w:div>
    <w:div w:id="1118990753">
      <w:bodyDiv w:val="1"/>
      <w:marLeft w:val="0"/>
      <w:marRight w:val="0"/>
      <w:marTop w:val="0"/>
      <w:marBottom w:val="0"/>
      <w:divBdr>
        <w:top w:val="none" w:sz="0" w:space="0" w:color="auto"/>
        <w:left w:val="none" w:sz="0" w:space="0" w:color="auto"/>
        <w:bottom w:val="none" w:sz="0" w:space="0" w:color="auto"/>
        <w:right w:val="none" w:sz="0" w:space="0" w:color="auto"/>
      </w:divBdr>
    </w:div>
    <w:div w:id="1129782491">
      <w:bodyDiv w:val="1"/>
      <w:marLeft w:val="0"/>
      <w:marRight w:val="0"/>
      <w:marTop w:val="0"/>
      <w:marBottom w:val="0"/>
      <w:divBdr>
        <w:top w:val="none" w:sz="0" w:space="0" w:color="auto"/>
        <w:left w:val="none" w:sz="0" w:space="0" w:color="auto"/>
        <w:bottom w:val="none" w:sz="0" w:space="0" w:color="auto"/>
        <w:right w:val="none" w:sz="0" w:space="0" w:color="auto"/>
      </w:divBdr>
    </w:div>
    <w:div w:id="1132559361">
      <w:bodyDiv w:val="1"/>
      <w:marLeft w:val="0"/>
      <w:marRight w:val="0"/>
      <w:marTop w:val="0"/>
      <w:marBottom w:val="0"/>
      <w:divBdr>
        <w:top w:val="none" w:sz="0" w:space="0" w:color="auto"/>
        <w:left w:val="none" w:sz="0" w:space="0" w:color="auto"/>
        <w:bottom w:val="none" w:sz="0" w:space="0" w:color="auto"/>
        <w:right w:val="none" w:sz="0" w:space="0" w:color="auto"/>
      </w:divBdr>
    </w:div>
    <w:div w:id="1133861696">
      <w:bodyDiv w:val="1"/>
      <w:marLeft w:val="0"/>
      <w:marRight w:val="0"/>
      <w:marTop w:val="0"/>
      <w:marBottom w:val="0"/>
      <w:divBdr>
        <w:top w:val="none" w:sz="0" w:space="0" w:color="auto"/>
        <w:left w:val="none" w:sz="0" w:space="0" w:color="auto"/>
        <w:bottom w:val="none" w:sz="0" w:space="0" w:color="auto"/>
        <w:right w:val="none" w:sz="0" w:space="0" w:color="auto"/>
      </w:divBdr>
    </w:div>
    <w:div w:id="1139036798">
      <w:bodyDiv w:val="1"/>
      <w:marLeft w:val="0"/>
      <w:marRight w:val="0"/>
      <w:marTop w:val="0"/>
      <w:marBottom w:val="0"/>
      <w:divBdr>
        <w:top w:val="none" w:sz="0" w:space="0" w:color="auto"/>
        <w:left w:val="none" w:sz="0" w:space="0" w:color="auto"/>
        <w:bottom w:val="none" w:sz="0" w:space="0" w:color="auto"/>
        <w:right w:val="none" w:sz="0" w:space="0" w:color="auto"/>
      </w:divBdr>
    </w:div>
    <w:div w:id="1149903547">
      <w:bodyDiv w:val="1"/>
      <w:marLeft w:val="0"/>
      <w:marRight w:val="0"/>
      <w:marTop w:val="0"/>
      <w:marBottom w:val="0"/>
      <w:divBdr>
        <w:top w:val="none" w:sz="0" w:space="0" w:color="auto"/>
        <w:left w:val="none" w:sz="0" w:space="0" w:color="auto"/>
        <w:bottom w:val="none" w:sz="0" w:space="0" w:color="auto"/>
        <w:right w:val="none" w:sz="0" w:space="0" w:color="auto"/>
      </w:divBdr>
    </w:div>
    <w:div w:id="1158158690">
      <w:bodyDiv w:val="1"/>
      <w:marLeft w:val="0"/>
      <w:marRight w:val="0"/>
      <w:marTop w:val="0"/>
      <w:marBottom w:val="0"/>
      <w:divBdr>
        <w:top w:val="none" w:sz="0" w:space="0" w:color="auto"/>
        <w:left w:val="none" w:sz="0" w:space="0" w:color="auto"/>
        <w:bottom w:val="none" w:sz="0" w:space="0" w:color="auto"/>
        <w:right w:val="none" w:sz="0" w:space="0" w:color="auto"/>
      </w:divBdr>
    </w:div>
    <w:div w:id="1166438923">
      <w:bodyDiv w:val="1"/>
      <w:marLeft w:val="0"/>
      <w:marRight w:val="0"/>
      <w:marTop w:val="0"/>
      <w:marBottom w:val="0"/>
      <w:divBdr>
        <w:top w:val="none" w:sz="0" w:space="0" w:color="auto"/>
        <w:left w:val="none" w:sz="0" w:space="0" w:color="auto"/>
        <w:bottom w:val="none" w:sz="0" w:space="0" w:color="auto"/>
        <w:right w:val="none" w:sz="0" w:space="0" w:color="auto"/>
      </w:divBdr>
    </w:div>
    <w:div w:id="1191532429">
      <w:bodyDiv w:val="1"/>
      <w:marLeft w:val="0"/>
      <w:marRight w:val="0"/>
      <w:marTop w:val="0"/>
      <w:marBottom w:val="0"/>
      <w:divBdr>
        <w:top w:val="none" w:sz="0" w:space="0" w:color="auto"/>
        <w:left w:val="none" w:sz="0" w:space="0" w:color="auto"/>
        <w:bottom w:val="none" w:sz="0" w:space="0" w:color="auto"/>
        <w:right w:val="none" w:sz="0" w:space="0" w:color="auto"/>
      </w:divBdr>
    </w:div>
    <w:div w:id="1193962449">
      <w:bodyDiv w:val="1"/>
      <w:marLeft w:val="0"/>
      <w:marRight w:val="0"/>
      <w:marTop w:val="0"/>
      <w:marBottom w:val="0"/>
      <w:divBdr>
        <w:top w:val="none" w:sz="0" w:space="0" w:color="auto"/>
        <w:left w:val="none" w:sz="0" w:space="0" w:color="auto"/>
        <w:bottom w:val="none" w:sz="0" w:space="0" w:color="auto"/>
        <w:right w:val="none" w:sz="0" w:space="0" w:color="auto"/>
      </w:divBdr>
    </w:div>
    <w:div w:id="1207253745">
      <w:bodyDiv w:val="1"/>
      <w:marLeft w:val="0"/>
      <w:marRight w:val="0"/>
      <w:marTop w:val="0"/>
      <w:marBottom w:val="0"/>
      <w:divBdr>
        <w:top w:val="none" w:sz="0" w:space="0" w:color="auto"/>
        <w:left w:val="none" w:sz="0" w:space="0" w:color="auto"/>
        <w:bottom w:val="none" w:sz="0" w:space="0" w:color="auto"/>
        <w:right w:val="none" w:sz="0" w:space="0" w:color="auto"/>
      </w:divBdr>
    </w:div>
    <w:div w:id="1240556480">
      <w:bodyDiv w:val="1"/>
      <w:marLeft w:val="0"/>
      <w:marRight w:val="0"/>
      <w:marTop w:val="0"/>
      <w:marBottom w:val="0"/>
      <w:divBdr>
        <w:top w:val="none" w:sz="0" w:space="0" w:color="auto"/>
        <w:left w:val="none" w:sz="0" w:space="0" w:color="auto"/>
        <w:bottom w:val="none" w:sz="0" w:space="0" w:color="auto"/>
        <w:right w:val="none" w:sz="0" w:space="0" w:color="auto"/>
      </w:divBdr>
    </w:div>
    <w:div w:id="1240793249">
      <w:bodyDiv w:val="1"/>
      <w:marLeft w:val="0"/>
      <w:marRight w:val="0"/>
      <w:marTop w:val="0"/>
      <w:marBottom w:val="0"/>
      <w:divBdr>
        <w:top w:val="none" w:sz="0" w:space="0" w:color="auto"/>
        <w:left w:val="none" w:sz="0" w:space="0" w:color="auto"/>
        <w:bottom w:val="none" w:sz="0" w:space="0" w:color="auto"/>
        <w:right w:val="none" w:sz="0" w:space="0" w:color="auto"/>
      </w:divBdr>
    </w:div>
    <w:div w:id="1241021294">
      <w:bodyDiv w:val="1"/>
      <w:marLeft w:val="0"/>
      <w:marRight w:val="0"/>
      <w:marTop w:val="0"/>
      <w:marBottom w:val="0"/>
      <w:divBdr>
        <w:top w:val="none" w:sz="0" w:space="0" w:color="auto"/>
        <w:left w:val="none" w:sz="0" w:space="0" w:color="auto"/>
        <w:bottom w:val="none" w:sz="0" w:space="0" w:color="auto"/>
        <w:right w:val="none" w:sz="0" w:space="0" w:color="auto"/>
      </w:divBdr>
    </w:div>
    <w:div w:id="1241252703">
      <w:bodyDiv w:val="1"/>
      <w:marLeft w:val="0"/>
      <w:marRight w:val="0"/>
      <w:marTop w:val="0"/>
      <w:marBottom w:val="0"/>
      <w:divBdr>
        <w:top w:val="none" w:sz="0" w:space="0" w:color="auto"/>
        <w:left w:val="none" w:sz="0" w:space="0" w:color="auto"/>
        <w:bottom w:val="none" w:sz="0" w:space="0" w:color="auto"/>
        <w:right w:val="none" w:sz="0" w:space="0" w:color="auto"/>
      </w:divBdr>
    </w:div>
    <w:div w:id="1248686031">
      <w:bodyDiv w:val="1"/>
      <w:marLeft w:val="0"/>
      <w:marRight w:val="0"/>
      <w:marTop w:val="0"/>
      <w:marBottom w:val="0"/>
      <w:divBdr>
        <w:top w:val="none" w:sz="0" w:space="0" w:color="auto"/>
        <w:left w:val="none" w:sz="0" w:space="0" w:color="auto"/>
        <w:bottom w:val="none" w:sz="0" w:space="0" w:color="auto"/>
        <w:right w:val="none" w:sz="0" w:space="0" w:color="auto"/>
      </w:divBdr>
    </w:div>
    <w:div w:id="1262253652">
      <w:bodyDiv w:val="1"/>
      <w:marLeft w:val="0"/>
      <w:marRight w:val="0"/>
      <w:marTop w:val="0"/>
      <w:marBottom w:val="0"/>
      <w:divBdr>
        <w:top w:val="none" w:sz="0" w:space="0" w:color="auto"/>
        <w:left w:val="none" w:sz="0" w:space="0" w:color="auto"/>
        <w:bottom w:val="none" w:sz="0" w:space="0" w:color="auto"/>
        <w:right w:val="none" w:sz="0" w:space="0" w:color="auto"/>
      </w:divBdr>
    </w:div>
    <w:div w:id="1273437003">
      <w:bodyDiv w:val="1"/>
      <w:marLeft w:val="0"/>
      <w:marRight w:val="0"/>
      <w:marTop w:val="0"/>
      <w:marBottom w:val="0"/>
      <w:divBdr>
        <w:top w:val="none" w:sz="0" w:space="0" w:color="auto"/>
        <w:left w:val="none" w:sz="0" w:space="0" w:color="auto"/>
        <w:bottom w:val="none" w:sz="0" w:space="0" w:color="auto"/>
        <w:right w:val="none" w:sz="0" w:space="0" w:color="auto"/>
      </w:divBdr>
    </w:div>
    <w:div w:id="1325015623">
      <w:bodyDiv w:val="1"/>
      <w:marLeft w:val="0"/>
      <w:marRight w:val="0"/>
      <w:marTop w:val="0"/>
      <w:marBottom w:val="0"/>
      <w:divBdr>
        <w:top w:val="none" w:sz="0" w:space="0" w:color="auto"/>
        <w:left w:val="none" w:sz="0" w:space="0" w:color="auto"/>
        <w:bottom w:val="none" w:sz="0" w:space="0" w:color="auto"/>
        <w:right w:val="none" w:sz="0" w:space="0" w:color="auto"/>
      </w:divBdr>
      <w:divsChild>
        <w:div w:id="1268390936">
          <w:marLeft w:val="0"/>
          <w:marRight w:val="0"/>
          <w:marTop w:val="0"/>
          <w:marBottom w:val="0"/>
          <w:divBdr>
            <w:top w:val="none" w:sz="0" w:space="0" w:color="auto"/>
            <w:left w:val="none" w:sz="0" w:space="0" w:color="auto"/>
            <w:bottom w:val="none" w:sz="0" w:space="0" w:color="auto"/>
            <w:right w:val="none" w:sz="0" w:space="0" w:color="auto"/>
          </w:divBdr>
          <w:divsChild>
            <w:div w:id="720129648">
              <w:marLeft w:val="0"/>
              <w:marRight w:val="0"/>
              <w:marTop w:val="0"/>
              <w:marBottom w:val="0"/>
              <w:divBdr>
                <w:top w:val="none" w:sz="0" w:space="0" w:color="auto"/>
                <w:left w:val="none" w:sz="0" w:space="0" w:color="auto"/>
                <w:bottom w:val="none" w:sz="0" w:space="0" w:color="auto"/>
                <w:right w:val="none" w:sz="0" w:space="0" w:color="auto"/>
              </w:divBdr>
              <w:divsChild>
                <w:div w:id="264846968">
                  <w:marLeft w:val="3870"/>
                  <w:marRight w:val="0"/>
                  <w:marTop w:val="0"/>
                  <w:marBottom w:val="0"/>
                  <w:divBdr>
                    <w:top w:val="none" w:sz="0" w:space="0" w:color="auto"/>
                    <w:left w:val="none" w:sz="0" w:space="0" w:color="auto"/>
                    <w:bottom w:val="none" w:sz="0" w:space="0" w:color="auto"/>
                    <w:right w:val="none" w:sz="0" w:space="0" w:color="auto"/>
                  </w:divBdr>
                  <w:divsChild>
                    <w:div w:id="732701839">
                      <w:marLeft w:val="0"/>
                      <w:marRight w:val="0"/>
                      <w:marTop w:val="0"/>
                      <w:marBottom w:val="300"/>
                      <w:divBdr>
                        <w:top w:val="none" w:sz="0" w:space="0" w:color="auto"/>
                        <w:left w:val="none" w:sz="0" w:space="0" w:color="auto"/>
                        <w:bottom w:val="none" w:sz="0" w:space="0" w:color="auto"/>
                        <w:right w:val="none" w:sz="0" w:space="0" w:color="auto"/>
                      </w:divBdr>
                      <w:divsChild>
                        <w:div w:id="421146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871344">
      <w:bodyDiv w:val="1"/>
      <w:marLeft w:val="0"/>
      <w:marRight w:val="0"/>
      <w:marTop w:val="0"/>
      <w:marBottom w:val="0"/>
      <w:divBdr>
        <w:top w:val="none" w:sz="0" w:space="0" w:color="auto"/>
        <w:left w:val="none" w:sz="0" w:space="0" w:color="auto"/>
        <w:bottom w:val="none" w:sz="0" w:space="0" w:color="auto"/>
        <w:right w:val="none" w:sz="0" w:space="0" w:color="auto"/>
      </w:divBdr>
    </w:div>
    <w:div w:id="1337076669">
      <w:bodyDiv w:val="1"/>
      <w:marLeft w:val="0"/>
      <w:marRight w:val="0"/>
      <w:marTop w:val="0"/>
      <w:marBottom w:val="0"/>
      <w:divBdr>
        <w:top w:val="none" w:sz="0" w:space="0" w:color="auto"/>
        <w:left w:val="none" w:sz="0" w:space="0" w:color="auto"/>
        <w:bottom w:val="none" w:sz="0" w:space="0" w:color="auto"/>
        <w:right w:val="none" w:sz="0" w:space="0" w:color="auto"/>
      </w:divBdr>
    </w:div>
    <w:div w:id="1337465296">
      <w:bodyDiv w:val="1"/>
      <w:marLeft w:val="0"/>
      <w:marRight w:val="0"/>
      <w:marTop w:val="0"/>
      <w:marBottom w:val="0"/>
      <w:divBdr>
        <w:top w:val="none" w:sz="0" w:space="0" w:color="auto"/>
        <w:left w:val="none" w:sz="0" w:space="0" w:color="auto"/>
        <w:bottom w:val="none" w:sz="0" w:space="0" w:color="auto"/>
        <w:right w:val="none" w:sz="0" w:space="0" w:color="auto"/>
      </w:divBdr>
    </w:div>
    <w:div w:id="1352563325">
      <w:bodyDiv w:val="1"/>
      <w:marLeft w:val="0"/>
      <w:marRight w:val="0"/>
      <w:marTop w:val="0"/>
      <w:marBottom w:val="0"/>
      <w:divBdr>
        <w:top w:val="none" w:sz="0" w:space="0" w:color="auto"/>
        <w:left w:val="none" w:sz="0" w:space="0" w:color="auto"/>
        <w:bottom w:val="none" w:sz="0" w:space="0" w:color="auto"/>
        <w:right w:val="none" w:sz="0" w:space="0" w:color="auto"/>
      </w:divBdr>
    </w:div>
    <w:div w:id="1354988661">
      <w:bodyDiv w:val="1"/>
      <w:marLeft w:val="0"/>
      <w:marRight w:val="0"/>
      <w:marTop w:val="0"/>
      <w:marBottom w:val="0"/>
      <w:divBdr>
        <w:top w:val="none" w:sz="0" w:space="0" w:color="auto"/>
        <w:left w:val="none" w:sz="0" w:space="0" w:color="auto"/>
        <w:bottom w:val="none" w:sz="0" w:space="0" w:color="auto"/>
        <w:right w:val="none" w:sz="0" w:space="0" w:color="auto"/>
      </w:divBdr>
    </w:div>
    <w:div w:id="1380939360">
      <w:bodyDiv w:val="1"/>
      <w:marLeft w:val="0"/>
      <w:marRight w:val="0"/>
      <w:marTop w:val="0"/>
      <w:marBottom w:val="0"/>
      <w:divBdr>
        <w:top w:val="none" w:sz="0" w:space="0" w:color="auto"/>
        <w:left w:val="none" w:sz="0" w:space="0" w:color="auto"/>
        <w:bottom w:val="none" w:sz="0" w:space="0" w:color="auto"/>
        <w:right w:val="none" w:sz="0" w:space="0" w:color="auto"/>
      </w:divBdr>
    </w:div>
    <w:div w:id="1390880780">
      <w:bodyDiv w:val="1"/>
      <w:marLeft w:val="0"/>
      <w:marRight w:val="0"/>
      <w:marTop w:val="0"/>
      <w:marBottom w:val="0"/>
      <w:divBdr>
        <w:top w:val="none" w:sz="0" w:space="0" w:color="auto"/>
        <w:left w:val="none" w:sz="0" w:space="0" w:color="auto"/>
        <w:bottom w:val="none" w:sz="0" w:space="0" w:color="auto"/>
        <w:right w:val="none" w:sz="0" w:space="0" w:color="auto"/>
      </w:divBdr>
    </w:div>
    <w:div w:id="1392462019">
      <w:bodyDiv w:val="1"/>
      <w:marLeft w:val="0"/>
      <w:marRight w:val="0"/>
      <w:marTop w:val="0"/>
      <w:marBottom w:val="0"/>
      <w:divBdr>
        <w:top w:val="none" w:sz="0" w:space="0" w:color="auto"/>
        <w:left w:val="none" w:sz="0" w:space="0" w:color="auto"/>
        <w:bottom w:val="none" w:sz="0" w:space="0" w:color="auto"/>
        <w:right w:val="none" w:sz="0" w:space="0" w:color="auto"/>
      </w:divBdr>
    </w:div>
    <w:div w:id="1395541632">
      <w:bodyDiv w:val="1"/>
      <w:marLeft w:val="0"/>
      <w:marRight w:val="0"/>
      <w:marTop w:val="0"/>
      <w:marBottom w:val="0"/>
      <w:divBdr>
        <w:top w:val="none" w:sz="0" w:space="0" w:color="auto"/>
        <w:left w:val="none" w:sz="0" w:space="0" w:color="auto"/>
        <w:bottom w:val="none" w:sz="0" w:space="0" w:color="auto"/>
        <w:right w:val="none" w:sz="0" w:space="0" w:color="auto"/>
      </w:divBdr>
    </w:div>
    <w:div w:id="1399589727">
      <w:bodyDiv w:val="1"/>
      <w:marLeft w:val="0"/>
      <w:marRight w:val="0"/>
      <w:marTop w:val="0"/>
      <w:marBottom w:val="0"/>
      <w:divBdr>
        <w:top w:val="none" w:sz="0" w:space="0" w:color="auto"/>
        <w:left w:val="none" w:sz="0" w:space="0" w:color="auto"/>
        <w:bottom w:val="none" w:sz="0" w:space="0" w:color="auto"/>
        <w:right w:val="none" w:sz="0" w:space="0" w:color="auto"/>
      </w:divBdr>
    </w:div>
    <w:div w:id="1399785810">
      <w:bodyDiv w:val="1"/>
      <w:marLeft w:val="0"/>
      <w:marRight w:val="0"/>
      <w:marTop w:val="0"/>
      <w:marBottom w:val="0"/>
      <w:divBdr>
        <w:top w:val="none" w:sz="0" w:space="0" w:color="auto"/>
        <w:left w:val="none" w:sz="0" w:space="0" w:color="auto"/>
        <w:bottom w:val="none" w:sz="0" w:space="0" w:color="auto"/>
        <w:right w:val="none" w:sz="0" w:space="0" w:color="auto"/>
      </w:divBdr>
    </w:div>
    <w:div w:id="1407915981">
      <w:bodyDiv w:val="1"/>
      <w:marLeft w:val="0"/>
      <w:marRight w:val="0"/>
      <w:marTop w:val="0"/>
      <w:marBottom w:val="0"/>
      <w:divBdr>
        <w:top w:val="none" w:sz="0" w:space="0" w:color="auto"/>
        <w:left w:val="none" w:sz="0" w:space="0" w:color="auto"/>
        <w:bottom w:val="none" w:sz="0" w:space="0" w:color="auto"/>
        <w:right w:val="none" w:sz="0" w:space="0" w:color="auto"/>
      </w:divBdr>
    </w:div>
    <w:div w:id="1419643508">
      <w:bodyDiv w:val="1"/>
      <w:marLeft w:val="0"/>
      <w:marRight w:val="0"/>
      <w:marTop w:val="0"/>
      <w:marBottom w:val="0"/>
      <w:divBdr>
        <w:top w:val="none" w:sz="0" w:space="0" w:color="auto"/>
        <w:left w:val="none" w:sz="0" w:space="0" w:color="auto"/>
        <w:bottom w:val="none" w:sz="0" w:space="0" w:color="auto"/>
        <w:right w:val="none" w:sz="0" w:space="0" w:color="auto"/>
      </w:divBdr>
    </w:div>
    <w:div w:id="1427580942">
      <w:bodyDiv w:val="1"/>
      <w:marLeft w:val="0"/>
      <w:marRight w:val="0"/>
      <w:marTop w:val="0"/>
      <w:marBottom w:val="0"/>
      <w:divBdr>
        <w:top w:val="none" w:sz="0" w:space="0" w:color="auto"/>
        <w:left w:val="none" w:sz="0" w:space="0" w:color="auto"/>
        <w:bottom w:val="none" w:sz="0" w:space="0" w:color="auto"/>
        <w:right w:val="none" w:sz="0" w:space="0" w:color="auto"/>
      </w:divBdr>
    </w:div>
    <w:div w:id="1433092496">
      <w:bodyDiv w:val="1"/>
      <w:marLeft w:val="0"/>
      <w:marRight w:val="0"/>
      <w:marTop w:val="0"/>
      <w:marBottom w:val="0"/>
      <w:divBdr>
        <w:top w:val="none" w:sz="0" w:space="0" w:color="auto"/>
        <w:left w:val="none" w:sz="0" w:space="0" w:color="auto"/>
        <w:bottom w:val="none" w:sz="0" w:space="0" w:color="auto"/>
        <w:right w:val="none" w:sz="0" w:space="0" w:color="auto"/>
      </w:divBdr>
    </w:div>
    <w:div w:id="1437406645">
      <w:bodyDiv w:val="1"/>
      <w:marLeft w:val="0"/>
      <w:marRight w:val="0"/>
      <w:marTop w:val="0"/>
      <w:marBottom w:val="0"/>
      <w:divBdr>
        <w:top w:val="none" w:sz="0" w:space="0" w:color="auto"/>
        <w:left w:val="none" w:sz="0" w:space="0" w:color="auto"/>
        <w:bottom w:val="none" w:sz="0" w:space="0" w:color="auto"/>
        <w:right w:val="none" w:sz="0" w:space="0" w:color="auto"/>
      </w:divBdr>
    </w:div>
    <w:div w:id="1440564667">
      <w:bodyDiv w:val="1"/>
      <w:marLeft w:val="0"/>
      <w:marRight w:val="0"/>
      <w:marTop w:val="0"/>
      <w:marBottom w:val="0"/>
      <w:divBdr>
        <w:top w:val="none" w:sz="0" w:space="0" w:color="auto"/>
        <w:left w:val="none" w:sz="0" w:space="0" w:color="auto"/>
        <w:bottom w:val="none" w:sz="0" w:space="0" w:color="auto"/>
        <w:right w:val="none" w:sz="0" w:space="0" w:color="auto"/>
      </w:divBdr>
    </w:div>
    <w:div w:id="1449816797">
      <w:bodyDiv w:val="1"/>
      <w:marLeft w:val="0"/>
      <w:marRight w:val="0"/>
      <w:marTop w:val="0"/>
      <w:marBottom w:val="0"/>
      <w:divBdr>
        <w:top w:val="none" w:sz="0" w:space="0" w:color="auto"/>
        <w:left w:val="none" w:sz="0" w:space="0" w:color="auto"/>
        <w:bottom w:val="none" w:sz="0" w:space="0" w:color="auto"/>
        <w:right w:val="none" w:sz="0" w:space="0" w:color="auto"/>
      </w:divBdr>
    </w:div>
    <w:div w:id="1474524747">
      <w:bodyDiv w:val="1"/>
      <w:marLeft w:val="0"/>
      <w:marRight w:val="0"/>
      <w:marTop w:val="0"/>
      <w:marBottom w:val="0"/>
      <w:divBdr>
        <w:top w:val="none" w:sz="0" w:space="0" w:color="auto"/>
        <w:left w:val="none" w:sz="0" w:space="0" w:color="auto"/>
        <w:bottom w:val="none" w:sz="0" w:space="0" w:color="auto"/>
        <w:right w:val="none" w:sz="0" w:space="0" w:color="auto"/>
      </w:divBdr>
    </w:div>
    <w:div w:id="1480537897">
      <w:bodyDiv w:val="1"/>
      <w:marLeft w:val="0"/>
      <w:marRight w:val="0"/>
      <w:marTop w:val="0"/>
      <w:marBottom w:val="0"/>
      <w:divBdr>
        <w:top w:val="none" w:sz="0" w:space="0" w:color="auto"/>
        <w:left w:val="none" w:sz="0" w:space="0" w:color="auto"/>
        <w:bottom w:val="none" w:sz="0" w:space="0" w:color="auto"/>
        <w:right w:val="none" w:sz="0" w:space="0" w:color="auto"/>
      </w:divBdr>
    </w:div>
    <w:div w:id="1489130717">
      <w:bodyDiv w:val="1"/>
      <w:marLeft w:val="0"/>
      <w:marRight w:val="0"/>
      <w:marTop w:val="0"/>
      <w:marBottom w:val="0"/>
      <w:divBdr>
        <w:top w:val="none" w:sz="0" w:space="0" w:color="auto"/>
        <w:left w:val="none" w:sz="0" w:space="0" w:color="auto"/>
        <w:bottom w:val="none" w:sz="0" w:space="0" w:color="auto"/>
        <w:right w:val="none" w:sz="0" w:space="0" w:color="auto"/>
      </w:divBdr>
    </w:div>
    <w:div w:id="1494297756">
      <w:bodyDiv w:val="1"/>
      <w:marLeft w:val="0"/>
      <w:marRight w:val="0"/>
      <w:marTop w:val="0"/>
      <w:marBottom w:val="0"/>
      <w:divBdr>
        <w:top w:val="none" w:sz="0" w:space="0" w:color="auto"/>
        <w:left w:val="none" w:sz="0" w:space="0" w:color="auto"/>
        <w:bottom w:val="none" w:sz="0" w:space="0" w:color="auto"/>
        <w:right w:val="none" w:sz="0" w:space="0" w:color="auto"/>
      </w:divBdr>
    </w:div>
    <w:div w:id="1518885456">
      <w:bodyDiv w:val="1"/>
      <w:marLeft w:val="0"/>
      <w:marRight w:val="0"/>
      <w:marTop w:val="0"/>
      <w:marBottom w:val="0"/>
      <w:divBdr>
        <w:top w:val="none" w:sz="0" w:space="0" w:color="auto"/>
        <w:left w:val="none" w:sz="0" w:space="0" w:color="auto"/>
        <w:bottom w:val="none" w:sz="0" w:space="0" w:color="auto"/>
        <w:right w:val="none" w:sz="0" w:space="0" w:color="auto"/>
      </w:divBdr>
    </w:div>
    <w:div w:id="1519807523">
      <w:bodyDiv w:val="1"/>
      <w:marLeft w:val="0"/>
      <w:marRight w:val="0"/>
      <w:marTop w:val="0"/>
      <w:marBottom w:val="0"/>
      <w:divBdr>
        <w:top w:val="none" w:sz="0" w:space="0" w:color="auto"/>
        <w:left w:val="none" w:sz="0" w:space="0" w:color="auto"/>
        <w:bottom w:val="none" w:sz="0" w:space="0" w:color="auto"/>
        <w:right w:val="none" w:sz="0" w:space="0" w:color="auto"/>
      </w:divBdr>
    </w:div>
    <w:div w:id="1520386159">
      <w:bodyDiv w:val="1"/>
      <w:marLeft w:val="0"/>
      <w:marRight w:val="0"/>
      <w:marTop w:val="0"/>
      <w:marBottom w:val="0"/>
      <w:divBdr>
        <w:top w:val="none" w:sz="0" w:space="0" w:color="auto"/>
        <w:left w:val="none" w:sz="0" w:space="0" w:color="auto"/>
        <w:bottom w:val="none" w:sz="0" w:space="0" w:color="auto"/>
        <w:right w:val="none" w:sz="0" w:space="0" w:color="auto"/>
      </w:divBdr>
      <w:divsChild>
        <w:div w:id="2037349437">
          <w:marLeft w:val="0"/>
          <w:marRight w:val="0"/>
          <w:marTop w:val="0"/>
          <w:marBottom w:val="0"/>
          <w:divBdr>
            <w:top w:val="none" w:sz="0" w:space="0" w:color="auto"/>
            <w:left w:val="none" w:sz="0" w:space="0" w:color="auto"/>
            <w:bottom w:val="none" w:sz="0" w:space="0" w:color="auto"/>
            <w:right w:val="none" w:sz="0" w:space="0" w:color="auto"/>
          </w:divBdr>
          <w:divsChild>
            <w:div w:id="179928850">
              <w:marLeft w:val="0"/>
              <w:marRight w:val="0"/>
              <w:marTop w:val="0"/>
              <w:marBottom w:val="0"/>
              <w:divBdr>
                <w:top w:val="none" w:sz="0" w:space="0" w:color="auto"/>
                <w:left w:val="none" w:sz="0" w:space="0" w:color="auto"/>
                <w:bottom w:val="none" w:sz="0" w:space="0" w:color="auto"/>
                <w:right w:val="none" w:sz="0" w:space="0" w:color="auto"/>
              </w:divBdr>
              <w:divsChild>
                <w:div w:id="674234465">
                  <w:marLeft w:val="0"/>
                  <w:marRight w:val="0"/>
                  <w:marTop w:val="0"/>
                  <w:marBottom w:val="0"/>
                  <w:divBdr>
                    <w:top w:val="none" w:sz="0" w:space="0" w:color="auto"/>
                    <w:left w:val="none" w:sz="0" w:space="0" w:color="auto"/>
                    <w:bottom w:val="none" w:sz="0" w:space="0" w:color="auto"/>
                    <w:right w:val="none" w:sz="0" w:space="0" w:color="auto"/>
                  </w:divBdr>
                  <w:divsChild>
                    <w:div w:id="1019770546">
                      <w:marLeft w:val="0"/>
                      <w:marRight w:val="0"/>
                      <w:marTop w:val="0"/>
                      <w:marBottom w:val="0"/>
                      <w:divBdr>
                        <w:top w:val="none" w:sz="0" w:space="0" w:color="auto"/>
                        <w:left w:val="none" w:sz="0" w:space="0" w:color="auto"/>
                        <w:bottom w:val="none" w:sz="0" w:space="0" w:color="auto"/>
                        <w:right w:val="none" w:sz="0" w:space="0" w:color="auto"/>
                      </w:divBdr>
                      <w:divsChild>
                        <w:div w:id="215092840">
                          <w:marLeft w:val="0"/>
                          <w:marRight w:val="0"/>
                          <w:marTop w:val="45"/>
                          <w:marBottom w:val="0"/>
                          <w:divBdr>
                            <w:top w:val="none" w:sz="0" w:space="0" w:color="auto"/>
                            <w:left w:val="none" w:sz="0" w:space="0" w:color="auto"/>
                            <w:bottom w:val="none" w:sz="0" w:space="0" w:color="auto"/>
                            <w:right w:val="none" w:sz="0" w:space="0" w:color="auto"/>
                          </w:divBdr>
                          <w:divsChild>
                            <w:div w:id="2089232721">
                              <w:marLeft w:val="1800"/>
                              <w:marRight w:val="3810"/>
                              <w:marTop w:val="0"/>
                              <w:marBottom w:val="0"/>
                              <w:divBdr>
                                <w:top w:val="none" w:sz="0" w:space="0" w:color="auto"/>
                                <w:left w:val="none" w:sz="0" w:space="0" w:color="auto"/>
                                <w:bottom w:val="none" w:sz="0" w:space="0" w:color="auto"/>
                                <w:right w:val="none" w:sz="0" w:space="0" w:color="auto"/>
                              </w:divBdr>
                              <w:divsChild>
                                <w:div w:id="1958903273">
                                  <w:marLeft w:val="0"/>
                                  <w:marRight w:val="0"/>
                                  <w:marTop w:val="0"/>
                                  <w:marBottom w:val="0"/>
                                  <w:divBdr>
                                    <w:top w:val="none" w:sz="0" w:space="0" w:color="auto"/>
                                    <w:left w:val="none" w:sz="0" w:space="0" w:color="auto"/>
                                    <w:bottom w:val="none" w:sz="0" w:space="0" w:color="auto"/>
                                    <w:right w:val="none" w:sz="0" w:space="0" w:color="auto"/>
                                  </w:divBdr>
                                  <w:divsChild>
                                    <w:div w:id="1932279322">
                                      <w:marLeft w:val="0"/>
                                      <w:marRight w:val="0"/>
                                      <w:marTop w:val="0"/>
                                      <w:marBottom w:val="0"/>
                                      <w:divBdr>
                                        <w:top w:val="none" w:sz="0" w:space="0" w:color="auto"/>
                                        <w:left w:val="none" w:sz="0" w:space="0" w:color="auto"/>
                                        <w:bottom w:val="none" w:sz="0" w:space="0" w:color="auto"/>
                                        <w:right w:val="none" w:sz="0" w:space="0" w:color="auto"/>
                                      </w:divBdr>
                                      <w:divsChild>
                                        <w:div w:id="2076508757">
                                          <w:marLeft w:val="0"/>
                                          <w:marRight w:val="0"/>
                                          <w:marTop w:val="0"/>
                                          <w:marBottom w:val="0"/>
                                          <w:divBdr>
                                            <w:top w:val="none" w:sz="0" w:space="0" w:color="auto"/>
                                            <w:left w:val="none" w:sz="0" w:space="0" w:color="auto"/>
                                            <w:bottom w:val="none" w:sz="0" w:space="0" w:color="auto"/>
                                            <w:right w:val="none" w:sz="0" w:space="0" w:color="auto"/>
                                          </w:divBdr>
                                          <w:divsChild>
                                            <w:div w:id="840049146">
                                              <w:marLeft w:val="0"/>
                                              <w:marRight w:val="0"/>
                                              <w:marTop w:val="0"/>
                                              <w:marBottom w:val="0"/>
                                              <w:divBdr>
                                                <w:top w:val="none" w:sz="0" w:space="0" w:color="auto"/>
                                                <w:left w:val="none" w:sz="0" w:space="0" w:color="auto"/>
                                                <w:bottom w:val="none" w:sz="0" w:space="0" w:color="auto"/>
                                                <w:right w:val="none" w:sz="0" w:space="0" w:color="auto"/>
                                              </w:divBdr>
                                              <w:divsChild>
                                                <w:div w:id="726489749">
                                                  <w:marLeft w:val="0"/>
                                                  <w:marRight w:val="0"/>
                                                  <w:marTop w:val="0"/>
                                                  <w:marBottom w:val="0"/>
                                                  <w:divBdr>
                                                    <w:top w:val="none" w:sz="0" w:space="0" w:color="auto"/>
                                                    <w:left w:val="none" w:sz="0" w:space="0" w:color="auto"/>
                                                    <w:bottom w:val="none" w:sz="0" w:space="0" w:color="auto"/>
                                                    <w:right w:val="none" w:sz="0" w:space="0" w:color="auto"/>
                                                  </w:divBdr>
                                                  <w:divsChild>
                                                    <w:div w:id="583993472">
                                                      <w:marLeft w:val="0"/>
                                                      <w:marRight w:val="0"/>
                                                      <w:marTop w:val="0"/>
                                                      <w:marBottom w:val="0"/>
                                                      <w:divBdr>
                                                        <w:top w:val="none" w:sz="0" w:space="0" w:color="auto"/>
                                                        <w:left w:val="none" w:sz="0" w:space="0" w:color="auto"/>
                                                        <w:bottom w:val="none" w:sz="0" w:space="0" w:color="auto"/>
                                                        <w:right w:val="none" w:sz="0" w:space="0" w:color="auto"/>
                                                      </w:divBdr>
                                                      <w:divsChild>
                                                        <w:div w:id="13672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24588022">
      <w:bodyDiv w:val="1"/>
      <w:marLeft w:val="0"/>
      <w:marRight w:val="0"/>
      <w:marTop w:val="0"/>
      <w:marBottom w:val="0"/>
      <w:divBdr>
        <w:top w:val="none" w:sz="0" w:space="0" w:color="auto"/>
        <w:left w:val="none" w:sz="0" w:space="0" w:color="auto"/>
        <w:bottom w:val="none" w:sz="0" w:space="0" w:color="auto"/>
        <w:right w:val="none" w:sz="0" w:space="0" w:color="auto"/>
      </w:divBdr>
    </w:div>
    <w:div w:id="1546329091">
      <w:bodyDiv w:val="1"/>
      <w:marLeft w:val="0"/>
      <w:marRight w:val="0"/>
      <w:marTop w:val="0"/>
      <w:marBottom w:val="0"/>
      <w:divBdr>
        <w:top w:val="none" w:sz="0" w:space="0" w:color="auto"/>
        <w:left w:val="none" w:sz="0" w:space="0" w:color="auto"/>
        <w:bottom w:val="none" w:sz="0" w:space="0" w:color="auto"/>
        <w:right w:val="none" w:sz="0" w:space="0" w:color="auto"/>
      </w:divBdr>
    </w:div>
    <w:div w:id="1548176730">
      <w:bodyDiv w:val="1"/>
      <w:marLeft w:val="0"/>
      <w:marRight w:val="0"/>
      <w:marTop w:val="0"/>
      <w:marBottom w:val="0"/>
      <w:divBdr>
        <w:top w:val="none" w:sz="0" w:space="0" w:color="auto"/>
        <w:left w:val="none" w:sz="0" w:space="0" w:color="auto"/>
        <w:bottom w:val="none" w:sz="0" w:space="0" w:color="auto"/>
        <w:right w:val="none" w:sz="0" w:space="0" w:color="auto"/>
      </w:divBdr>
    </w:div>
    <w:div w:id="1549342020">
      <w:bodyDiv w:val="1"/>
      <w:marLeft w:val="0"/>
      <w:marRight w:val="0"/>
      <w:marTop w:val="0"/>
      <w:marBottom w:val="0"/>
      <w:divBdr>
        <w:top w:val="none" w:sz="0" w:space="0" w:color="auto"/>
        <w:left w:val="none" w:sz="0" w:space="0" w:color="auto"/>
        <w:bottom w:val="none" w:sz="0" w:space="0" w:color="auto"/>
        <w:right w:val="none" w:sz="0" w:space="0" w:color="auto"/>
      </w:divBdr>
    </w:div>
    <w:div w:id="1555921169">
      <w:bodyDiv w:val="1"/>
      <w:marLeft w:val="0"/>
      <w:marRight w:val="0"/>
      <w:marTop w:val="0"/>
      <w:marBottom w:val="0"/>
      <w:divBdr>
        <w:top w:val="none" w:sz="0" w:space="0" w:color="auto"/>
        <w:left w:val="none" w:sz="0" w:space="0" w:color="auto"/>
        <w:bottom w:val="none" w:sz="0" w:space="0" w:color="auto"/>
        <w:right w:val="none" w:sz="0" w:space="0" w:color="auto"/>
      </w:divBdr>
    </w:div>
    <w:div w:id="1570922626">
      <w:bodyDiv w:val="1"/>
      <w:marLeft w:val="0"/>
      <w:marRight w:val="0"/>
      <w:marTop w:val="0"/>
      <w:marBottom w:val="0"/>
      <w:divBdr>
        <w:top w:val="none" w:sz="0" w:space="0" w:color="auto"/>
        <w:left w:val="none" w:sz="0" w:space="0" w:color="auto"/>
        <w:bottom w:val="none" w:sz="0" w:space="0" w:color="auto"/>
        <w:right w:val="none" w:sz="0" w:space="0" w:color="auto"/>
      </w:divBdr>
    </w:div>
    <w:div w:id="1572891591">
      <w:bodyDiv w:val="1"/>
      <w:marLeft w:val="0"/>
      <w:marRight w:val="0"/>
      <w:marTop w:val="0"/>
      <w:marBottom w:val="0"/>
      <w:divBdr>
        <w:top w:val="none" w:sz="0" w:space="0" w:color="auto"/>
        <w:left w:val="none" w:sz="0" w:space="0" w:color="auto"/>
        <w:bottom w:val="none" w:sz="0" w:space="0" w:color="auto"/>
        <w:right w:val="none" w:sz="0" w:space="0" w:color="auto"/>
      </w:divBdr>
    </w:div>
    <w:div w:id="1580872345">
      <w:bodyDiv w:val="1"/>
      <w:marLeft w:val="0"/>
      <w:marRight w:val="0"/>
      <w:marTop w:val="0"/>
      <w:marBottom w:val="0"/>
      <w:divBdr>
        <w:top w:val="none" w:sz="0" w:space="0" w:color="auto"/>
        <w:left w:val="none" w:sz="0" w:space="0" w:color="auto"/>
        <w:bottom w:val="none" w:sz="0" w:space="0" w:color="auto"/>
        <w:right w:val="none" w:sz="0" w:space="0" w:color="auto"/>
      </w:divBdr>
    </w:div>
    <w:div w:id="1584870469">
      <w:bodyDiv w:val="1"/>
      <w:marLeft w:val="0"/>
      <w:marRight w:val="0"/>
      <w:marTop w:val="0"/>
      <w:marBottom w:val="0"/>
      <w:divBdr>
        <w:top w:val="none" w:sz="0" w:space="0" w:color="auto"/>
        <w:left w:val="none" w:sz="0" w:space="0" w:color="auto"/>
        <w:bottom w:val="none" w:sz="0" w:space="0" w:color="auto"/>
        <w:right w:val="none" w:sz="0" w:space="0" w:color="auto"/>
      </w:divBdr>
    </w:div>
    <w:div w:id="1585450951">
      <w:bodyDiv w:val="1"/>
      <w:marLeft w:val="0"/>
      <w:marRight w:val="0"/>
      <w:marTop w:val="0"/>
      <w:marBottom w:val="0"/>
      <w:divBdr>
        <w:top w:val="none" w:sz="0" w:space="0" w:color="auto"/>
        <w:left w:val="none" w:sz="0" w:space="0" w:color="auto"/>
        <w:bottom w:val="none" w:sz="0" w:space="0" w:color="auto"/>
        <w:right w:val="none" w:sz="0" w:space="0" w:color="auto"/>
      </w:divBdr>
    </w:div>
    <w:div w:id="1585994239">
      <w:bodyDiv w:val="1"/>
      <w:marLeft w:val="0"/>
      <w:marRight w:val="0"/>
      <w:marTop w:val="0"/>
      <w:marBottom w:val="0"/>
      <w:divBdr>
        <w:top w:val="none" w:sz="0" w:space="0" w:color="auto"/>
        <w:left w:val="none" w:sz="0" w:space="0" w:color="auto"/>
        <w:bottom w:val="none" w:sz="0" w:space="0" w:color="auto"/>
        <w:right w:val="none" w:sz="0" w:space="0" w:color="auto"/>
      </w:divBdr>
    </w:div>
    <w:div w:id="1592733593">
      <w:bodyDiv w:val="1"/>
      <w:marLeft w:val="0"/>
      <w:marRight w:val="0"/>
      <w:marTop w:val="0"/>
      <w:marBottom w:val="0"/>
      <w:divBdr>
        <w:top w:val="none" w:sz="0" w:space="0" w:color="auto"/>
        <w:left w:val="none" w:sz="0" w:space="0" w:color="auto"/>
        <w:bottom w:val="none" w:sz="0" w:space="0" w:color="auto"/>
        <w:right w:val="none" w:sz="0" w:space="0" w:color="auto"/>
      </w:divBdr>
    </w:div>
    <w:div w:id="1593511329">
      <w:bodyDiv w:val="1"/>
      <w:marLeft w:val="0"/>
      <w:marRight w:val="0"/>
      <w:marTop w:val="0"/>
      <w:marBottom w:val="0"/>
      <w:divBdr>
        <w:top w:val="none" w:sz="0" w:space="0" w:color="auto"/>
        <w:left w:val="none" w:sz="0" w:space="0" w:color="auto"/>
        <w:bottom w:val="none" w:sz="0" w:space="0" w:color="auto"/>
        <w:right w:val="none" w:sz="0" w:space="0" w:color="auto"/>
      </w:divBdr>
    </w:div>
    <w:div w:id="1600601122">
      <w:bodyDiv w:val="1"/>
      <w:marLeft w:val="0"/>
      <w:marRight w:val="0"/>
      <w:marTop w:val="0"/>
      <w:marBottom w:val="0"/>
      <w:divBdr>
        <w:top w:val="none" w:sz="0" w:space="0" w:color="auto"/>
        <w:left w:val="none" w:sz="0" w:space="0" w:color="auto"/>
        <w:bottom w:val="none" w:sz="0" w:space="0" w:color="auto"/>
        <w:right w:val="none" w:sz="0" w:space="0" w:color="auto"/>
      </w:divBdr>
    </w:div>
    <w:div w:id="1601256072">
      <w:bodyDiv w:val="1"/>
      <w:marLeft w:val="0"/>
      <w:marRight w:val="0"/>
      <w:marTop w:val="0"/>
      <w:marBottom w:val="0"/>
      <w:divBdr>
        <w:top w:val="none" w:sz="0" w:space="0" w:color="auto"/>
        <w:left w:val="none" w:sz="0" w:space="0" w:color="auto"/>
        <w:bottom w:val="none" w:sz="0" w:space="0" w:color="auto"/>
        <w:right w:val="none" w:sz="0" w:space="0" w:color="auto"/>
      </w:divBdr>
    </w:div>
    <w:div w:id="1604071316">
      <w:bodyDiv w:val="1"/>
      <w:marLeft w:val="0"/>
      <w:marRight w:val="0"/>
      <w:marTop w:val="0"/>
      <w:marBottom w:val="0"/>
      <w:divBdr>
        <w:top w:val="none" w:sz="0" w:space="0" w:color="auto"/>
        <w:left w:val="none" w:sz="0" w:space="0" w:color="auto"/>
        <w:bottom w:val="none" w:sz="0" w:space="0" w:color="auto"/>
        <w:right w:val="none" w:sz="0" w:space="0" w:color="auto"/>
      </w:divBdr>
    </w:div>
    <w:div w:id="1608346726">
      <w:bodyDiv w:val="1"/>
      <w:marLeft w:val="0"/>
      <w:marRight w:val="0"/>
      <w:marTop w:val="0"/>
      <w:marBottom w:val="0"/>
      <w:divBdr>
        <w:top w:val="none" w:sz="0" w:space="0" w:color="auto"/>
        <w:left w:val="none" w:sz="0" w:space="0" w:color="auto"/>
        <w:bottom w:val="none" w:sz="0" w:space="0" w:color="auto"/>
        <w:right w:val="none" w:sz="0" w:space="0" w:color="auto"/>
      </w:divBdr>
    </w:div>
    <w:div w:id="1611621928">
      <w:bodyDiv w:val="1"/>
      <w:marLeft w:val="0"/>
      <w:marRight w:val="0"/>
      <w:marTop w:val="0"/>
      <w:marBottom w:val="0"/>
      <w:divBdr>
        <w:top w:val="none" w:sz="0" w:space="0" w:color="auto"/>
        <w:left w:val="none" w:sz="0" w:space="0" w:color="auto"/>
        <w:bottom w:val="none" w:sz="0" w:space="0" w:color="auto"/>
        <w:right w:val="none" w:sz="0" w:space="0" w:color="auto"/>
      </w:divBdr>
    </w:div>
    <w:div w:id="1613390751">
      <w:bodyDiv w:val="1"/>
      <w:marLeft w:val="0"/>
      <w:marRight w:val="0"/>
      <w:marTop w:val="0"/>
      <w:marBottom w:val="0"/>
      <w:divBdr>
        <w:top w:val="none" w:sz="0" w:space="0" w:color="auto"/>
        <w:left w:val="none" w:sz="0" w:space="0" w:color="auto"/>
        <w:bottom w:val="none" w:sz="0" w:space="0" w:color="auto"/>
        <w:right w:val="none" w:sz="0" w:space="0" w:color="auto"/>
      </w:divBdr>
    </w:div>
    <w:div w:id="1614051171">
      <w:bodyDiv w:val="1"/>
      <w:marLeft w:val="0"/>
      <w:marRight w:val="0"/>
      <w:marTop w:val="0"/>
      <w:marBottom w:val="0"/>
      <w:divBdr>
        <w:top w:val="none" w:sz="0" w:space="0" w:color="auto"/>
        <w:left w:val="none" w:sz="0" w:space="0" w:color="auto"/>
        <w:bottom w:val="none" w:sz="0" w:space="0" w:color="auto"/>
        <w:right w:val="none" w:sz="0" w:space="0" w:color="auto"/>
      </w:divBdr>
    </w:div>
    <w:div w:id="1615868225">
      <w:bodyDiv w:val="1"/>
      <w:marLeft w:val="0"/>
      <w:marRight w:val="0"/>
      <w:marTop w:val="0"/>
      <w:marBottom w:val="0"/>
      <w:divBdr>
        <w:top w:val="none" w:sz="0" w:space="0" w:color="auto"/>
        <w:left w:val="none" w:sz="0" w:space="0" w:color="auto"/>
        <w:bottom w:val="none" w:sz="0" w:space="0" w:color="auto"/>
        <w:right w:val="none" w:sz="0" w:space="0" w:color="auto"/>
      </w:divBdr>
    </w:div>
    <w:div w:id="1629242913">
      <w:bodyDiv w:val="1"/>
      <w:marLeft w:val="0"/>
      <w:marRight w:val="0"/>
      <w:marTop w:val="0"/>
      <w:marBottom w:val="0"/>
      <w:divBdr>
        <w:top w:val="none" w:sz="0" w:space="0" w:color="auto"/>
        <w:left w:val="none" w:sz="0" w:space="0" w:color="auto"/>
        <w:bottom w:val="none" w:sz="0" w:space="0" w:color="auto"/>
        <w:right w:val="none" w:sz="0" w:space="0" w:color="auto"/>
      </w:divBdr>
    </w:div>
    <w:div w:id="1637251334">
      <w:bodyDiv w:val="1"/>
      <w:marLeft w:val="0"/>
      <w:marRight w:val="0"/>
      <w:marTop w:val="0"/>
      <w:marBottom w:val="0"/>
      <w:divBdr>
        <w:top w:val="none" w:sz="0" w:space="0" w:color="auto"/>
        <w:left w:val="none" w:sz="0" w:space="0" w:color="auto"/>
        <w:bottom w:val="none" w:sz="0" w:space="0" w:color="auto"/>
        <w:right w:val="none" w:sz="0" w:space="0" w:color="auto"/>
      </w:divBdr>
      <w:divsChild>
        <w:div w:id="1399329836">
          <w:marLeft w:val="0"/>
          <w:marRight w:val="0"/>
          <w:marTop w:val="0"/>
          <w:marBottom w:val="0"/>
          <w:divBdr>
            <w:top w:val="none" w:sz="0" w:space="0" w:color="auto"/>
            <w:left w:val="none" w:sz="0" w:space="0" w:color="auto"/>
            <w:bottom w:val="none" w:sz="0" w:space="0" w:color="auto"/>
            <w:right w:val="none" w:sz="0" w:space="0" w:color="auto"/>
          </w:divBdr>
          <w:divsChild>
            <w:div w:id="689530125">
              <w:marLeft w:val="0"/>
              <w:marRight w:val="0"/>
              <w:marTop w:val="0"/>
              <w:marBottom w:val="0"/>
              <w:divBdr>
                <w:top w:val="none" w:sz="0" w:space="0" w:color="auto"/>
                <w:left w:val="none" w:sz="0" w:space="0" w:color="auto"/>
                <w:bottom w:val="none" w:sz="0" w:space="0" w:color="auto"/>
                <w:right w:val="none" w:sz="0" w:space="0" w:color="auto"/>
              </w:divBdr>
              <w:divsChild>
                <w:div w:id="1200970866">
                  <w:marLeft w:val="0"/>
                  <w:marRight w:val="0"/>
                  <w:marTop w:val="0"/>
                  <w:marBottom w:val="0"/>
                  <w:divBdr>
                    <w:top w:val="none" w:sz="0" w:space="0" w:color="auto"/>
                    <w:left w:val="none" w:sz="0" w:space="0" w:color="auto"/>
                    <w:bottom w:val="none" w:sz="0" w:space="0" w:color="auto"/>
                    <w:right w:val="none" w:sz="0" w:space="0" w:color="auto"/>
                  </w:divBdr>
                  <w:divsChild>
                    <w:div w:id="373576605">
                      <w:marLeft w:val="0"/>
                      <w:marRight w:val="0"/>
                      <w:marTop w:val="0"/>
                      <w:marBottom w:val="0"/>
                      <w:divBdr>
                        <w:top w:val="none" w:sz="0" w:space="0" w:color="auto"/>
                        <w:left w:val="none" w:sz="0" w:space="0" w:color="auto"/>
                        <w:bottom w:val="none" w:sz="0" w:space="0" w:color="auto"/>
                        <w:right w:val="none" w:sz="0" w:space="0" w:color="auto"/>
                      </w:divBdr>
                      <w:divsChild>
                        <w:div w:id="1836140162">
                          <w:marLeft w:val="0"/>
                          <w:marRight w:val="0"/>
                          <w:marTop w:val="0"/>
                          <w:marBottom w:val="0"/>
                          <w:divBdr>
                            <w:top w:val="none" w:sz="0" w:space="0" w:color="auto"/>
                            <w:left w:val="none" w:sz="0" w:space="0" w:color="auto"/>
                            <w:bottom w:val="none" w:sz="0" w:space="0" w:color="auto"/>
                            <w:right w:val="none" w:sz="0" w:space="0" w:color="auto"/>
                          </w:divBdr>
                          <w:divsChild>
                            <w:div w:id="2077623402">
                              <w:marLeft w:val="0"/>
                              <w:marRight w:val="0"/>
                              <w:marTop w:val="0"/>
                              <w:marBottom w:val="0"/>
                              <w:divBdr>
                                <w:top w:val="none" w:sz="0" w:space="0" w:color="auto"/>
                                <w:left w:val="none" w:sz="0" w:space="0" w:color="auto"/>
                                <w:bottom w:val="none" w:sz="0" w:space="0" w:color="auto"/>
                                <w:right w:val="none" w:sz="0" w:space="0" w:color="auto"/>
                              </w:divBdr>
                              <w:divsChild>
                                <w:div w:id="123234184">
                                  <w:marLeft w:val="0"/>
                                  <w:marRight w:val="0"/>
                                  <w:marTop w:val="0"/>
                                  <w:marBottom w:val="0"/>
                                  <w:divBdr>
                                    <w:top w:val="none" w:sz="0" w:space="0" w:color="auto"/>
                                    <w:left w:val="none" w:sz="0" w:space="0" w:color="auto"/>
                                    <w:bottom w:val="none" w:sz="0" w:space="0" w:color="auto"/>
                                    <w:right w:val="none" w:sz="0" w:space="0" w:color="auto"/>
                                  </w:divBdr>
                                  <w:divsChild>
                                    <w:div w:id="808017980">
                                      <w:marLeft w:val="0"/>
                                      <w:marRight w:val="0"/>
                                      <w:marTop w:val="0"/>
                                      <w:marBottom w:val="0"/>
                                      <w:divBdr>
                                        <w:top w:val="none" w:sz="0" w:space="0" w:color="auto"/>
                                        <w:left w:val="none" w:sz="0" w:space="0" w:color="auto"/>
                                        <w:bottom w:val="none" w:sz="0" w:space="0" w:color="auto"/>
                                        <w:right w:val="none" w:sz="0" w:space="0" w:color="auto"/>
                                      </w:divBdr>
                                      <w:divsChild>
                                        <w:div w:id="1611819984">
                                          <w:marLeft w:val="0"/>
                                          <w:marRight w:val="0"/>
                                          <w:marTop w:val="75"/>
                                          <w:marBottom w:val="0"/>
                                          <w:divBdr>
                                            <w:top w:val="none" w:sz="0" w:space="0" w:color="auto"/>
                                            <w:left w:val="none" w:sz="0" w:space="0" w:color="auto"/>
                                            <w:bottom w:val="none" w:sz="0" w:space="0" w:color="auto"/>
                                            <w:right w:val="none" w:sz="0" w:space="0" w:color="auto"/>
                                          </w:divBdr>
                                          <w:divsChild>
                                            <w:div w:id="22237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0402077">
      <w:bodyDiv w:val="1"/>
      <w:marLeft w:val="0"/>
      <w:marRight w:val="0"/>
      <w:marTop w:val="0"/>
      <w:marBottom w:val="0"/>
      <w:divBdr>
        <w:top w:val="none" w:sz="0" w:space="0" w:color="auto"/>
        <w:left w:val="none" w:sz="0" w:space="0" w:color="auto"/>
        <w:bottom w:val="none" w:sz="0" w:space="0" w:color="auto"/>
        <w:right w:val="none" w:sz="0" w:space="0" w:color="auto"/>
      </w:divBdr>
    </w:div>
    <w:div w:id="1650665972">
      <w:bodyDiv w:val="1"/>
      <w:marLeft w:val="0"/>
      <w:marRight w:val="0"/>
      <w:marTop w:val="0"/>
      <w:marBottom w:val="0"/>
      <w:divBdr>
        <w:top w:val="none" w:sz="0" w:space="0" w:color="auto"/>
        <w:left w:val="none" w:sz="0" w:space="0" w:color="auto"/>
        <w:bottom w:val="none" w:sz="0" w:space="0" w:color="auto"/>
        <w:right w:val="none" w:sz="0" w:space="0" w:color="auto"/>
      </w:divBdr>
    </w:div>
    <w:div w:id="1654526779">
      <w:bodyDiv w:val="1"/>
      <w:marLeft w:val="0"/>
      <w:marRight w:val="0"/>
      <w:marTop w:val="0"/>
      <w:marBottom w:val="0"/>
      <w:divBdr>
        <w:top w:val="none" w:sz="0" w:space="0" w:color="auto"/>
        <w:left w:val="none" w:sz="0" w:space="0" w:color="auto"/>
        <w:bottom w:val="none" w:sz="0" w:space="0" w:color="auto"/>
        <w:right w:val="none" w:sz="0" w:space="0" w:color="auto"/>
      </w:divBdr>
    </w:div>
    <w:div w:id="1665695154">
      <w:bodyDiv w:val="1"/>
      <w:marLeft w:val="0"/>
      <w:marRight w:val="0"/>
      <w:marTop w:val="0"/>
      <w:marBottom w:val="0"/>
      <w:divBdr>
        <w:top w:val="none" w:sz="0" w:space="0" w:color="auto"/>
        <w:left w:val="none" w:sz="0" w:space="0" w:color="auto"/>
        <w:bottom w:val="none" w:sz="0" w:space="0" w:color="auto"/>
        <w:right w:val="none" w:sz="0" w:space="0" w:color="auto"/>
      </w:divBdr>
    </w:div>
    <w:div w:id="1673994393">
      <w:bodyDiv w:val="1"/>
      <w:marLeft w:val="0"/>
      <w:marRight w:val="0"/>
      <w:marTop w:val="0"/>
      <w:marBottom w:val="0"/>
      <w:divBdr>
        <w:top w:val="none" w:sz="0" w:space="0" w:color="auto"/>
        <w:left w:val="none" w:sz="0" w:space="0" w:color="auto"/>
        <w:bottom w:val="none" w:sz="0" w:space="0" w:color="auto"/>
        <w:right w:val="none" w:sz="0" w:space="0" w:color="auto"/>
      </w:divBdr>
    </w:div>
    <w:div w:id="1677460154">
      <w:bodyDiv w:val="1"/>
      <w:marLeft w:val="0"/>
      <w:marRight w:val="0"/>
      <w:marTop w:val="0"/>
      <w:marBottom w:val="0"/>
      <w:divBdr>
        <w:top w:val="none" w:sz="0" w:space="0" w:color="auto"/>
        <w:left w:val="none" w:sz="0" w:space="0" w:color="auto"/>
        <w:bottom w:val="none" w:sz="0" w:space="0" w:color="auto"/>
        <w:right w:val="none" w:sz="0" w:space="0" w:color="auto"/>
      </w:divBdr>
      <w:divsChild>
        <w:div w:id="1749693102">
          <w:marLeft w:val="0"/>
          <w:marRight w:val="0"/>
          <w:marTop w:val="0"/>
          <w:marBottom w:val="0"/>
          <w:divBdr>
            <w:top w:val="none" w:sz="0" w:space="0" w:color="auto"/>
            <w:left w:val="none" w:sz="0" w:space="0" w:color="auto"/>
            <w:bottom w:val="none" w:sz="0" w:space="0" w:color="auto"/>
            <w:right w:val="none" w:sz="0" w:space="0" w:color="auto"/>
          </w:divBdr>
          <w:divsChild>
            <w:div w:id="36781970">
              <w:marLeft w:val="0"/>
              <w:marRight w:val="0"/>
              <w:marTop w:val="0"/>
              <w:marBottom w:val="0"/>
              <w:divBdr>
                <w:top w:val="none" w:sz="0" w:space="0" w:color="auto"/>
                <w:left w:val="none" w:sz="0" w:space="0" w:color="auto"/>
                <w:bottom w:val="none" w:sz="0" w:space="0" w:color="auto"/>
                <w:right w:val="none" w:sz="0" w:space="0" w:color="auto"/>
              </w:divBdr>
              <w:divsChild>
                <w:div w:id="1322463419">
                  <w:marLeft w:val="0"/>
                  <w:marRight w:val="0"/>
                  <w:marTop w:val="0"/>
                  <w:marBottom w:val="0"/>
                  <w:divBdr>
                    <w:top w:val="none" w:sz="0" w:space="0" w:color="auto"/>
                    <w:left w:val="none" w:sz="0" w:space="0" w:color="auto"/>
                    <w:bottom w:val="none" w:sz="0" w:space="0" w:color="auto"/>
                    <w:right w:val="none" w:sz="0" w:space="0" w:color="auto"/>
                  </w:divBdr>
                  <w:divsChild>
                    <w:div w:id="575943639">
                      <w:marLeft w:val="0"/>
                      <w:marRight w:val="0"/>
                      <w:marTop w:val="0"/>
                      <w:marBottom w:val="0"/>
                      <w:divBdr>
                        <w:top w:val="none" w:sz="0" w:space="0" w:color="auto"/>
                        <w:left w:val="none" w:sz="0" w:space="0" w:color="auto"/>
                        <w:bottom w:val="none" w:sz="0" w:space="0" w:color="auto"/>
                        <w:right w:val="none" w:sz="0" w:space="0" w:color="auto"/>
                      </w:divBdr>
                      <w:divsChild>
                        <w:div w:id="1708289506">
                          <w:marLeft w:val="0"/>
                          <w:marRight w:val="0"/>
                          <w:marTop w:val="100"/>
                          <w:marBottom w:val="100"/>
                          <w:divBdr>
                            <w:top w:val="none" w:sz="0" w:space="0" w:color="auto"/>
                            <w:left w:val="none" w:sz="0" w:space="0" w:color="auto"/>
                            <w:bottom w:val="none" w:sz="0" w:space="0" w:color="auto"/>
                            <w:right w:val="none" w:sz="0" w:space="0" w:color="auto"/>
                          </w:divBdr>
                          <w:divsChild>
                            <w:div w:id="1021928941">
                              <w:marLeft w:val="0"/>
                              <w:marRight w:val="0"/>
                              <w:marTop w:val="0"/>
                              <w:marBottom w:val="0"/>
                              <w:divBdr>
                                <w:top w:val="none" w:sz="0" w:space="0" w:color="auto"/>
                                <w:left w:val="none" w:sz="0" w:space="0" w:color="auto"/>
                                <w:bottom w:val="none" w:sz="0" w:space="0" w:color="auto"/>
                                <w:right w:val="none" w:sz="0" w:space="0" w:color="auto"/>
                              </w:divBdr>
                              <w:divsChild>
                                <w:div w:id="1804424510">
                                  <w:marLeft w:val="0"/>
                                  <w:marRight w:val="0"/>
                                  <w:marTop w:val="0"/>
                                  <w:marBottom w:val="0"/>
                                  <w:divBdr>
                                    <w:top w:val="none" w:sz="0" w:space="0" w:color="auto"/>
                                    <w:left w:val="none" w:sz="0" w:space="0" w:color="auto"/>
                                    <w:bottom w:val="none" w:sz="0" w:space="0" w:color="auto"/>
                                    <w:right w:val="none" w:sz="0" w:space="0" w:color="auto"/>
                                  </w:divBdr>
                                  <w:divsChild>
                                    <w:div w:id="1390112935">
                                      <w:marLeft w:val="0"/>
                                      <w:marRight w:val="0"/>
                                      <w:marTop w:val="75"/>
                                      <w:marBottom w:val="0"/>
                                      <w:divBdr>
                                        <w:top w:val="none" w:sz="0" w:space="0" w:color="auto"/>
                                        <w:left w:val="none" w:sz="0" w:space="0" w:color="auto"/>
                                        <w:bottom w:val="none" w:sz="0" w:space="0" w:color="auto"/>
                                        <w:right w:val="none" w:sz="0" w:space="0" w:color="auto"/>
                                      </w:divBdr>
                                      <w:divsChild>
                                        <w:div w:id="1219903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5522354">
      <w:bodyDiv w:val="1"/>
      <w:marLeft w:val="0"/>
      <w:marRight w:val="0"/>
      <w:marTop w:val="0"/>
      <w:marBottom w:val="0"/>
      <w:divBdr>
        <w:top w:val="none" w:sz="0" w:space="0" w:color="auto"/>
        <w:left w:val="none" w:sz="0" w:space="0" w:color="auto"/>
        <w:bottom w:val="none" w:sz="0" w:space="0" w:color="auto"/>
        <w:right w:val="none" w:sz="0" w:space="0" w:color="auto"/>
      </w:divBdr>
    </w:div>
    <w:div w:id="1698313626">
      <w:bodyDiv w:val="1"/>
      <w:marLeft w:val="0"/>
      <w:marRight w:val="0"/>
      <w:marTop w:val="0"/>
      <w:marBottom w:val="0"/>
      <w:divBdr>
        <w:top w:val="none" w:sz="0" w:space="0" w:color="auto"/>
        <w:left w:val="none" w:sz="0" w:space="0" w:color="auto"/>
        <w:bottom w:val="none" w:sz="0" w:space="0" w:color="auto"/>
        <w:right w:val="none" w:sz="0" w:space="0" w:color="auto"/>
      </w:divBdr>
    </w:div>
    <w:div w:id="1701934180">
      <w:bodyDiv w:val="1"/>
      <w:marLeft w:val="0"/>
      <w:marRight w:val="0"/>
      <w:marTop w:val="0"/>
      <w:marBottom w:val="0"/>
      <w:divBdr>
        <w:top w:val="none" w:sz="0" w:space="0" w:color="auto"/>
        <w:left w:val="none" w:sz="0" w:space="0" w:color="auto"/>
        <w:bottom w:val="none" w:sz="0" w:space="0" w:color="auto"/>
        <w:right w:val="none" w:sz="0" w:space="0" w:color="auto"/>
      </w:divBdr>
    </w:div>
    <w:div w:id="1709645539">
      <w:bodyDiv w:val="1"/>
      <w:marLeft w:val="0"/>
      <w:marRight w:val="0"/>
      <w:marTop w:val="0"/>
      <w:marBottom w:val="0"/>
      <w:divBdr>
        <w:top w:val="none" w:sz="0" w:space="0" w:color="auto"/>
        <w:left w:val="none" w:sz="0" w:space="0" w:color="auto"/>
        <w:bottom w:val="none" w:sz="0" w:space="0" w:color="auto"/>
        <w:right w:val="none" w:sz="0" w:space="0" w:color="auto"/>
      </w:divBdr>
    </w:div>
    <w:div w:id="1732148159">
      <w:bodyDiv w:val="1"/>
      <w:marLeft w:val="0"/>
      <w:marRight w:val="0"/>
      <w:marTop w:val="0"/>
      <w:marBottom w:val="0"/>
      <w:divBdr>
        <w:top w:val="none" w:sz="0" w:space="0" w:color="auto"/>
        <w:left w:val="none" w:sz="0" w:space="0" w:color="auto"/>
        <w:bottom w:val="none" w:sz="0" w:space="0" w:color="auto"/>
        <w:right w:val="none" w:sz="0" w:space="0" w:color="auto"/>
      </w:divBdr>
    </w:div>
    <w:div w:id="1737698790">
      <w:bodyDiv w:val="1"/>
      <w:marLeft w:val="0"/>
      <w:marRight w:val="0"/>
      <w:marTop w:val="0"/>
      <w:marBottom w:val="0"/>
      <w:divBdr>
        <w:top w:val="none" w:sz="0" w:space="0" w:color="auto"/>
        <w:left w:val="none" w:sz="0" w:space="0" w:color="auto"/>
        <w:bottom w:val="none" w:sz="0" w:space="0" w:color="auto"/>
        <w:right w:val="none" w:sz="0" w:space="0" w:color="auto"/>
      </w:divBdr>
    </w:div>
    <w:div w:id="1740784283">
      <w:bodyDiv w:val="1"/>
      <w:marLeft w:val="0"/>
      <w:marRight w:val="0"/>
      <w:marTop w:val="0"/>
      <w:marBottom w:val="0"/>
      <w:divBdr>
        <w:top w:val="none" w:sz="0" w:space="0" w:color="auto"/>
        <w:left w:val="none" w:sz="0" w:space="0" w:color="auto"/>
        <w:bottom w:val="none" w:sz="0" w:space="0" w:color="auto"/>
        <w:right w:val="none" w:sz="0" w:space="0" w:color="auto"/>
      </w:divBdr>
    </w:div>
    <w:div w:id="1745027756">
      <w:bodyDiv w:val="1"/>
      <w:marLeft w:val="0"/>
      <w:marRight w:val="0"/>
      <w:marTop w:val="0"/>
      <w:marBottom w:val="0"/>
      <w:divBdr>
        <w:top w:val="none" w:sz="0" w:space="0" w:color="auto"/>
        <w:left w:val="none" w:sz="0" w:space="0" w:color="auto"/>
        <w:bottom w:val="none" w:sz="0" w:space="0" w:color="auto"/>
        <w:right w:val="none" w:sz="0" w:space="0" w:color="auto"/>
      </w:divBdr>
    </w:div>
    <w:div w:id="1749959889">
      <w:bodyDiv w:val="1"/>
      <w:marLeft w:val="0"/>
      <w:marRight w:val="0"/>
      <w:marTop w:val="0"/>
      <w:marBottom w:val="0"/>
      <w:divBdr>
        <w:top w:val="none" w:sz="0" w:space="0" w:color="auto"/>
        <w:left w:val="none" w:sz="0" w:space="0" w:color="auto"/>
        <w:bottom w:val="none" w:sz="0" w:space="0" w:color="auto"/>
        <w:right w:val="none" w:sz="0" w:space="0" w:color="auto"/>
      </w:divBdr>
      <w:divsChild>
        <w:div w:id="322247741">
          <w:marLeft w:val="0"/>
          <w:marRight w:val="0"/>
          <w:marTop w:val="0"/>
          <w:marBottom w:val="0"/>
          <w:divBdr>
            <w:top w:val="none" w:sz="0" w:space="0" w:color="auto"/>
            <w:left w:val="none" w:sz="0" w:space="0" w:color="auto"/>
            <w:bottom w:val="none" w:sz="0" w:space="0" w:color="auto"/>
            <w:right w:val="none" w:sz="0" w:space="0" w:color="auto"/>
          </w:divBdr>
          <w:divsChild>
            <w:div w:id="608901679">
              <w:marLeft w:val="0"/>
              <w:marRight w:val="0"/>
              <w:marTop w:val="0"/>
              <w:marBottom w:val="0"/>
              <w:divBdr>
                <w:top w:val="none" w:sz="0" w:space="0" w:color="auto"/>
                <w:left w:val="none" w:sz="0" w:space="0" w:color="auto"/>
                <w:bottom w:val="none" w:sz="0" w:space="0" w:color="auto"/>
                <w:right w:val="none" w:sz="0" w:space="0" w:color="auto"/>
              </w:divBdr>
              <w:divsChild>
                <w:div w:id="861014668">
                  <w:marLeft w:val="0"/>
                  <w:marRight w:val="0"/>
                  <w:marTop w:val="0"/>
                  <w:marBottom w:val="0"/>
                  <w:divBdr>
                    <w:top w:val="none" w:sz="0" w:space="0" w:color="auto"/>
                    <w:left w:val="none" w:sz="0" w:space="0" w:color="auto"/>
                    <w:bottom w:val="none" w:sz="0" w:space="0" w:color="auto"/>
                    <w:right w:val="none" w:sz="0" w:space="0" w:color="auto"/>
                  </w:divBdr>
                  <w:divsChild>
                    <w:div w:id="71199799">
                      <w:marLeft w:val="0"/>
                      <w:marRight w:val="0"/>
                      <w:marTop w:val="0"/>
                      <w:marBottom w:val="0"/>
                      <w:divBdr>
                        <w:top w:val="none" w:sz="0" w:space="0" w:color="auto"/>
                        <w:left w:val="none" w:sz="0" w:space="0" w:color="auto"/>
                        <w:bottom w:val="none" w:sz="0" w:space="0" w:color="auto"/>
                        <w:right w:val="none" w:sz="0" w:space="0" w:color="auto"/>
                      </w:divBdr>
                      <w:divsChild>
                        <w:div w:id="1082414806">
                          <w:marLeft w:val="0"/>
                          <w:marRight w:val="0"/>
                          <w:marTop w:val="100"/>
                          <w:marBottom w:val="100"/>
                          <w:divBdr>
                            <w:top w:val="none" w:sz="0" w:space="0" w:color="auto"/>
                            <w:left w:val="none" w:sz="0" w:space="0" w:color="auto"/>
                            <w:bottom w:val="none" w:sz="0" w:space="0" w:color="auto"/>
                            <w:right w:val="none" w:sz="0" w:space="0" w:color="auto"/>
                          </w:divBdr>
                          <w:divsChild>
                            <w:div w:id="223876980">
                              <w:marLeft w:val="0"/>
                              <w:marRight w:val="0"/>
                              <w:marTop w:val="0"/>
                              <w:marBottom w:val="0"/>
                              <w:divBdr>
                                <w:top w:val="none" w:sz="0" w:space="0" w:color="auto"/>
                                <w:left w:val="none" w:sz="0" w:space="0" w:color="auto"/>
                                <w:bottom w:val="none" w:sz="0" w:space="0" w:color="auto"/>
                                <w:right w:val="none" w:sz="0" w:space="0" w:color="auto"/>
                              </w:divBdr>
                              <w:divsChild>
                                <w:div w:id="1786461369">
                                  <w:marLeft w:val="0"/>
                                  <w:marRight w:val="0"/>
                                  <w:marTop w:val="0"/>
                                  <w:marBottom w:val="0"/>
                                  <w:divBdr>
                                    <w:top w:val="none" w:sz="0" w:space="0" w:color="auto"/>
                                    <w:left w:val="none" w:sz="0" w:space="0" w:color="auto"/>
                                    <w:bottom w:val="none" w:sz="0" w:space="0" w:color="auto"/>
                                    <w:right w:val="none" w:sz="0" w:space="0" w:color="auto"/>
                                  </w:divBdr>
                                  <w:divsChild>
                                    <w:div w:id="1711177256">
                                      <w:marLeft w:val="0"/>
                                      <w:marRight w:val="0"/>
                                      <w:marTop w:val="75"/>
                                      <w:marBottom w:val="0"/>
                                      <w:divBdr>
                                        <w:top w:val="none" w:sz="0" w:space="0" w:color="auto"/>
                                        <w:left w:val="none" w:sz="0" w:space="0" w:color="auto"/>
                                        <w:bottom w:val="none" w:sz="0" w:space="0" w:color="auto"/>
                                        <w:right w:val="none" w:sz="0" w:space="0" w:color="auto"/>
                                      </w:divBdr>
                                      <w:divsChild>
                                        <w:div w:id="158757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2850198">
      <w:bodyDiv w:val="1"/>
      <w:marLeft w:val="0"/>
      <w:marRight w:val="0"/>
      <w:marTop w:val="0"/>
      <w:marBottom w:val="0"/>
      <w:divBdr>
        <w:top w:val="none" w:sz="0" w:space="0" w:color="auto"/>
        <w:left w:val="none" w:sz="0" w:space="0" w:color="auto"/>
        <w:bottom w:val="none" w:sz="0" w:space="0" w:color="auto"/>
        <w:right w:val="none" w:sz="0" w:space="0" w:color="auto"/>
      </w:divBdr>
    </w:div>
    <w:div w:id="1753308492">
      <w:bodyDiv w:val="1"/>
      <w:marLeft w:val="0"/>
      <w:marRight w:val="0"/>
      <w:marTop w:val="0"/>
      <w:marBottom w:val="0"/>
      <w:divBdr>
        <w:top w:val="none" w:sz="0" w:space="0" w:color="auto"/>
        <w:left w:val="none" w:sz="0" w:space="0" w:color="auto"/>
        <w:bottom w:val="none" w:sz="0" w:space="0" w:color="auto"/>
        <w:right w:val="none" w:sz="0" w:space="0" w:color="auto"/>
      </w:divBdr>
    </w:div>
    <w:div w:id="1754474547">
      <w:bodyDiv w:val="1"/>
      <w:marLeft w:val="0"/>
      <w:marRight w:val="0"/>
      <w:marTop w:val="0"/>
      <w:marBottom w:val="0"/>
      <w:divBdr>
        <w:top w:val="none" w:sz="0" w:space="0" w:color="auto"/>
        <w:left w:val="none" w:sz="0" w:space="0" w:color="auto"/>
        <w:bottom w:val="none" w:sz="0" w:space="0" w:color="auto"/>
        <w:right w:val="none" w:sz="0" w:space="0" w:color="auto"/>
      </w:divBdr>
    </w:div>
    <w:div w:id="1756585930">
      <w:bodyDiv w:val="1"/>
      <w:marLeft w:val="0"/>
      <w:marRight w:val="0"/>
      <w:marTop w:val="0"/>
      <w:marBottom w:val="0"/>
      <w:divBdr>
        <w:top w:val="none" w:sz="0" w:space="0" w:color="auto"/>
        <w:left w:val="none" w:sz="0" w:space="0" w:color="auto"/>
        <w:bottom w:val="none" w:sz="0" w:space="0" w:color="auto"/>
        <w:right w:val="none" w:sz="0" w:space="0" w:color="auto"/>
      </w:divBdr>
    </w:div>
    <w:div w:id="1762068419">
      <w:bodyDiv w:val="1"/>
      <w:marLeft w:val="0"/>
      <w:marRight w:val="0"/>
      <w:marTop w:val="0"/>
      <w:marBottom w:val="0"/>
      <w:divBdr>
        <w:top w:val="none" w:sz="0" w:space="0" w:color="auto"/>
        <w:left w:val="none" w:sz="0" w:space="0" w:color="auto"/>
        <w:bottom w:val="none" w:sz="0" w:space="0" w:color="auto"/>
        <w:right w:val="none" w:sz="0" w:space="0" w:color="auto"/>
      </w:divBdr>
    </w:div>
    <w:div w:id="1766488702">
      <w:bodyDiv w:val="1"/>
      <w:marLeft w:val="0"/>
      <w:marRight w:val="0"/>
      <w:marTop w:val="0"/>
      <w:marBottom w:val="0"/>
      <w:divBdr>
        <w:top w:val="none" w:sz="0" w:space="0" w:color="auto"/>
        <w:left w:val="none" w:sz="0" w:space="0" w:color="auto"/>
        <w:bottom w:val="none" w:sz="0" w:space="0" w:color="auto"/>
        <w:right w:val="none" w:sz="0" w:space="0" w:color="auto"/>
      </w:divBdr>
    </w:div>
    <w:div w:id="1790278219">
      <w:bodyDiv w:val="1"/>
      <w:marLeft w:val="0"/>
      <w:marRight w:val="0"/>
      <w:marTop w:val="0"/>
      <w:marBottom w:val="0"/>
      <w:divBdr>
        <w:top w:val="none" w:sz="0" w:space="0" w:color="auto"/>
        <w:left w:val="none" w:sz="0" w:space="0" w:color="auto"/>
        <w:bottom w:val="none" w:sz="0" w:space="0" w:color="auto"/>
        <w:right w:val="none" w:sz="0" w:space="0" w:color="auto"/>
      </w:divBdr>
    </w:div>
    <w:div w:id="1793672960">
      <w:bodyDiv w:val="1"/>
      <w:marLeft w:val="0"/>
      <w:marRight w:val="0"/>
      <w:marTop w:val="0"/>
      <w:marBottom w:val="0"/>
      <w:divBdr>
        <w:top w:val="none" w:sz="0" w:space="0" w:color="auto"/>
        <w:left w:val="none" w:sz="0" w:space="0" w:color="auto"/>
        <w:bottom w:val="none" w:sz="0" w:space="0" w:color="auto"/>
        <w:right w:val="none" w:sz="0" w:space="0" w:color="auto"/>
      </w:divBdr>
    </w:div>
    <w:div w:id="1804225228">
      <w:bodyDiv w:val="1"/>
      <w:marLeft w:val="0"/>
      <w:marRight w:val="0"/>
      <w:marTop w:val="0"/>
      <w:marBottom w:val="0"/>
      <w:divBdr>
        <w:top w:val="none" w:sz="0" w:space="0" w:color="auto"/>
        <w:left w:val="none" w:sz="0" w:space="0" w:color="auto"/>
        <w:bottom w:val="none" w:sz="0" w:space="0" w:color="auto"/>
        <w:right w:val="none" w:sz="0" w:space="0" w:color="auto"/>
      </w:divBdr>
    </w:div>
    <w:div w:id="1822039529">
      <w:bodyDiv w:val="1"/>
      <w:marLeft w:val="0"/>
      <w:marRight w:val="0"/>
      <w:marTop w:val="0"/>
      <w:marBottom w:val="0"/>
      <w:divBdr>
        <w:top w:val="none" w:sz="0" w:space="0" w:color="auto"/>
        <w:left w:val="none" w:sz="0" w:space="0" w:color="auto"/>
        <w:bottom w:val="none" w:sz="0" w:space="0" w:color="auto"/>
        <w:right w:val="none" w:sz="0" w:space="0" w:color="auto"/>
      </w:divBdr>
    </w:div>
    <w:div w:id="1828590293">
      <w:bodyDiv w:val="1"/>
      <w:marLeft w:val="0"/>
      <w:marRight w:val="0"/>
      <w:marTop w:val="0"/>
      <w:marBottom w:val="0"/>
      <w:divBdr>
        <w:top w:val="none" w:sz="0" w:space="0" w:color="auto"/>
        <w:left w:val="none" w:sz="0" w:space="0" w:color="auto"/>
        <w:bottom w:val="none" w:sz="0" w:space="0" w:color="auto"/>
        <w:right w:val="none" w:sz="0" w:space="0" w:color="auto"/>
      </w:divBdr>
    </w:div>
    <w:div w:id="1836414369">
      <w:bodyDiv w:val="1"/>
      <w:marLeft w:val="0"/>
      <w:marRight w:val="0"/>
      <w:marTop w:val="0"/>
      <w:marBottom w:val="0"/>
      <w:divBdr>
        <w:top w:val="none" w:sz="0" w:space="0" w:color="auto"/>
        <w:left w:val="none" w:sz="0" w:space="0" w:color="auto"/>
        <w:bottom w:val="none" w:sz="0" w:space="0" w:color="auto"/>
        <w:right w:val="none" w:sz="0" w:space="0" w:color="auto"/>
      </w:divBdr>
    </w:div>
    <w:div w:id="1838227127">
      <w:bodyDiv w:val="1"/>
      <w:marLeft w:val="0"/>
      <w:marRight w:val="0"/>
      <w:marTop w:val="0"/>
      <w:marBottom w:val="0"/>
      <w:divBdr>
        <w:top w:val="none" w:sz="0" w:space="0" w:color="auto"/>
        <w:left w:val="none" w:sz="0" w:space="0" w:color="auto"/>
        <w:bottom w:val="none" w:sz="0" w:space="0" w:color="auto"/>
        <w:right w:val="none" w:sz="0" w:space="0" w:color="auto"/>
      </w:divBdr>
    </w:div>
    <w:div w:id="1845973166">
      <w:bodyDiv w:val="1"/>
      <w:marLeft w:val="0"/>
      <w:marRight w:val="0"/>
      <w:marTop w:val="0"/>
      <w:marBottom w:val="0"/>
      <w:divBdr>
        <w:top w:val="none" w:sz="0" w:space="0" w:color="auto"/>
        <w:left w:val="none" w:sz="0" w:space="0" w:color="auto"/>
        <w:bottom w:val="none" w:sz="0" w:space="0" w:color="auto"/>
        <w:right w:val="none" w:sz="0" w:space="0" w:color="auto"/>
      </w:divBdr>
    </w:div>
    <w:div w:id="1848934199">
      <w:bodyDiv w:val="1"/>
      <w:marLeft w:val="0"/>
      <w:marRight w:val="0"/>
      <w:marTop w:val="0"/>
      <w:marBottom w:val="0"/>
      <w:divBdr>
        <w:top w:val="none" w:sz="0" w:space="0" w:color="auto"/>
        <w:left w:val="none" w:sz="0" w:space="0" w:color="auto"/>
        <w:bottom w:val="none" w:sz="0" w:space="0" w:color="auto"/>
        <w:right w:val="none" w:sz="0" w:space="0" w:color="auto"/>
      </w:divBdr>
    </w:div>
    <w:div w:id="1854607738">
      <w:bodyDiv w:val="1"/>
      <w:marLeft w:val="0"/>
      <w:marRight w:val="0"/>
      <w:marTop w:val="0"/>
      <w:marBottom w:val="0"/>
      <w:divBdr>
        <w:top w:val="none" w:sz="0" w:space="0" w:color="auto"/>
        <w:left w:val="none" w:sz="0" w:space="0" w:color="auto"/>
        <w:bottom w:val="none" w:sz="0" w:space="0" w:color="auto"/>
        <w:right w:val="none" w:sz="0" w:space="0" w:color="auto"/>
      </w:divBdr>
    </w:div>
    <w:div w:id="1861964403">
      <w:bodyDiv w:val="1"/>
      <w:marLeft w:val="0"/>
      <w:marRight w:val="0"/>
      <w:marTop w:val="0"/>
      <w:marBottom w:val="0"/>
      <w:divBdr>
        <w:top w:val="none" w:sz="0" w:space="0" w:color="auto"/>
        <w:left w:val="none" w:sz="0" w:space="0" w:color="auto"/>
        <w:bottom w:val="none" w:sz="0" w:space="0" w:color="auto"/>
        <w:right w:val="none" w:sz="0" w:space="0" w:color="auto"/>
      </w:divBdr>
    </w:div>
    <w:div w:id="1870600202">
      <w:bodyDiv w:val="1"/>
      <w:marLeft w:val="0"/>
      <w:marRight w:val="0"/>
      <w:marTop w:val="0"/>
      <w:marBottom w:val="0"/>
      <w:divBdr>
        <w:top w:val="none" w:sz="0" w:space="0" w:color="auto"/>
        <w:left w:val="none" w:sz="0" w:space="0" w:color="auto"/>
        <w:bottom w:val="none" w:sz="0" w:space="0" w:color="auto"/>
        <w:right w:val="none" w:sz="0" w:space="0" w:color="auto"/>
      </w:divBdr>
    </w:div>
    <w:div w:id="1870869600">
      <w:bodyDiv w:val="1"/>
      <w:marLeft w:val="0"/>
      <w:marRight w:val="0"/>
      <w:marTop w:val="0"/>
      <w:marBottom w:val="0"/>
      <w:divBdr>
        <w:top w:val="none" w:sz="0" w:space="0" w:color="auto"/>
        <w:left w:val="none" w:sz="0" w:space="0" w:color="auto"/>
        <w:bottom w:val="none" w:sz="0" w:space="0" w:color="auto"/>
        <w:right w:val="none" w:sz="0" w:space="0" w:color="auto"/>
      </w:divBdr>
    </w:div>
    <w:div w:id="1875774173">
      <w:bodyDiv w:val="1"/>
      <w:marLeft w:val="0"/>
      <w:marRight w:val="0"/>
      <w:marTop w:val="0"/>
      <w:marBottom w:val="0"/>
      <w:divBdr>
        <w:top w:val="none" w:sz="0" w:space="0" w:color="auto"/>
        <w:left w:val="none" w:sz="0" w:space="0" w:color="auto"/>
        <w:bottom w:val="none" w:sz="0" w:space="0" w:color="auto"/>
        <w:right w:val="none" w:sz="0" w:space="0" w:color="auto"/>
      </w:divBdr>
    </w:div>
    <w:div w:id="1880320016">
      <w:bodyDiv w:val="1"/>
      <w:marLeft w:val="0"/>
      <w:marRight w:val="0"/>
      <w:marTop w:val="0"/>
      <w:marBottom w:val="0"/>
      <w:divBdr>
        <w:top w:val="none" w:sz="0" w:space="0" w:color="auto"/>
        <w:left w:val="none" w:sz="0" w:space="0" w:color="auto"/>
        <w:bottom w:val="none" w:sz="0" w:space="0" w:color="auto"/>
        <w:right w:val="none" w:sz="0" w:space="0" w:color="auto"/>
      </w:divBdr>
    </w:div>
    <w:div w:id="1894076271">
      <w:bodyDiv w:val="1"/>
      <w:marLeft w:val="0"/>
      <w:marRight w:val="0"/>
      <w:marTop w:val="0"/>
      <w:marBottom w:val="0"/>
      <w:divBdr>
        <w:top w:val="none" w:sz="0" w:space="0" w:color="auto"/>
        <w:left w:val="none" w:sz="0" w:space="0" w:color="auto"/>
        <w:bottom w:val="none" w:sz="0" w:space="0" w:color="auto"/>
        <w:right w:val="none" w:sz="0" w:space="0" w:color="auto"/>
      </w:divBdr>
    </w:div>
    <w:div w:id="1900045176">
      <w:bodyDiv w:val="1"/>
      <w:marLeft w:val="0"/>
      <w:marRight w:val="0"/>
      <w:marTop w:val="0"/>
      <w:marBottom w:val="0"/>
      <w:divBdr>
        <w:top w:val="none" w:sz="0" w:space="0" w:color="auto"/>
        <w:left w:val="none" w:sz="0" w:space="0" w:color="auto"/>
        <w:bottom w:val="none" w:sz="0" w:space="0" w:color="auto"/>
        <w:right w:val="none" w:sz="0" w:space="0" w:color="auto"/>
      </w:divBdr>
    </w:div>
    <w:div w:id="1900246658">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01935634">
      <w:bodyDiv w:val="1"/>
      <w:marLeft w:val="0"/>
      <w:marRight w:val="0"/>
      <w:marTop w:val="0"/>
      <w:marBottom w:val="0"/>
      <w:divBdr>
        <w:top w:val="none" w:sz="0" w:space="0" w:color="auto"/>
        <w:left w:val="none" w:sz="0" w:space="0" w:color="auto"/>
        <w:bottom w:val="none" w:sz="0" w:space="0" w:color="auto"/>
        <w:right w:val="none" w:sz="0" w:space="0" w:color="auto"/>
      </w:divBdr>
    </w:div>
    <w:div w:id="1920746033">
      <w:bodyDiv w:val="1"/>
      <w:marLeft w:val="0"/>
      <w:marRight w:val="0"/>
      <w:marTop w:val="0"/>
      <w:marBottom w:val="0"/>
      <w:divBdr>
        <w:top w:val="none" w:sz="0" w:space="0" w:color="auto"/>
        <w:left w:val="none" w:sz="0" w:space="0" w:color="auto"/>
        <w:bottom w:val="none" w:sz="0" w:space="0" w:color="auto"/>
        <w:right w:val="none" w:sz="0" w:space="0" w:color="auto"/>
      </w:divBdr>
    </w:div>
    <w:div w:id="1923172892">
      <w:bodyDiv w:val="1"/>
      <w:marLeft w:val="0"/>
      <w:marRight w:val="0"/>
      <w:marTop w:val="0"/>
      <w:marBottom w:val="0"/>
      <w:divBdr>
        <w:top w:val="none" w:sz="0" w:space="0" w:color="auto"/>
        <w:left w:val="none" w:sz="0" w:space="0" w:color="auto"/>
        <w:bottom w:val="none" w:sz="0" w:space="0" w:color="auto"/>
        <w:right w:val="none" w:sz="0" w:space="0" w:color="auto"/>
      </w:divBdr>
    </w:div>
    <w:div w:id="1926761313">
      <w:bodyDiv w:val="1"/>
      <w:marLeft w:val="0"/>
      <w:marRight w:val="0"/>
      <w:marTop w:val="0"/>
      <w:marBottom w:val="0"/>
      <w:divBdr>
        <w:top w:val="none" w:sz="0" w:space="0" w:color="auto"/>
        <w:left w:val="none" w:sz="0" w:space="0" w:color="auto"/>
        <w:bottom w:val="none" w:sz="0" w:space="0" w:color="auto"/>
        <w:right w:val="none" w:sz="0" w:space="0" w:color="auto"/>
      </w:divBdr>
    </w:div>
    <w:div w:id="1944652306">
      <w:bodyDiv w:val="1"/>
      <w:marLeft w:val="0"/>
      <w:marRight w:val="0"/>
      <w:marTop w:val="0"/>
      <w:marBottom w:val="0"/>
      <w:divBdr>
        <w:top w:val="none" w:sz="0" w:space="0" w:color="auto"/>
        <w:left w:val="none" w:sz="0" w:space="0" w:color="auto"/>
        <w:bottom w:val="none" w:sz="0" w:space="0" w:color="auto"/>
        <w:right w:val="none" w:sz="0" w:space="0" w:color="auto"/>
      </w:divBdr>
    </w:div>
    <w:div w:id="1945067655">
      <w:bodyDiv w:val="1"/>
      <w:marLeft w:val="0"/>
      <w:marRight w:val="0"/>
      <w:marTop w:val="0"/>
      <w:marBottom w:val="0"/>
      <w:divBdr>
        <w:top w:val="none" w:sz="0" w:space="0" w:color="auto"/>
        <w:left w:val="none" w:sz="0" w:space="0" w:color="auto"/>
        <w:bottom w:val="none" w:sz="0" w:space="0" w:color="auto"/>
        <w:right w:val="none" w:sz="0" w:space="0" w:color="auto"/>
      </w:divBdr>
      <w:divsChild>
        <w:div w:id="1434127497">
          <w:marLeft w:val="0"/>
          <w:marRight w:val="0"/>
          <w:marTop w:val="0"/>
          <w:marBottom w:val="0"/>
          <w:divBdr>
            <w:top w:val="none" w:sz="0" w:space="0" w:color="auto"/>
            <w:left w:val="none" w:sz="0" w:space="0" w:color="auto"/>
            <w:bottom w:val="none" w:sz="0" w:space="0" w:color="auto"/>
            <w:right w:val="none" w:sz="0" w:space="0" w:color="auto"/>
          </w:divBdr>
          <w:divsChild>
            <w:div w:id="1918126915">
              <w:marLeft w:val="0"/>
              <w:marRight w:val="0"/>
              <w:marTop w:val="0"/>
              <w:marBottom w:val="0"/>
              <w:divBdr>
                <w:top w:val="none" w:sz="0" w:space="0" w:color="auto"/>
                <w:left w:val="none" w:sz="0" w:space="0" w:color="auto"/>
                <w:bottom w:val="none" w:sz="0" w:space="0" w:color="auto"/>
                <w:right w:val="none" w:sz="0" w:space="0" w:color="auto"/>
              </w:divBdr>
              <w:divsChild>
                <w:div w:id="118478891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4626645">
      <w:bodyDiv w:val="1"/>
      <w:marLeft w:val="0"/>
      <w:marRight w:val="0"/>
      <w:marTop w:val="0"/>
      <w:marBottom w:val="0"/>
      <w:divBdr>
        <w:top w:val="none" w:sz="0" w:space="0" w:color="auto"/>
        <w:left w:val="none" w:sz="0" w:space="0" w:color="auto"/>
        <w:bottom w:val="none" w:sz="0" w:space="0" w:color="auto"/>
        <w:right w:val="none" w:sz="0" w:space="0" w:color="auto"/>
      </w:divBdr>
    </w:div>
    <w:div w:id="1958681374">
      <w:bodyDiv w:val="1"/>
      <w:marLeft w:val="0"/>
      <w:marRight w:val="0"/>
      <w:marTop w:val="0"/>
      <w:marBottom w:val="0"/>
      <w:divBdr>
        <w:top w:val="none" w:sz="0" w:space="0" w:color="auto"/>
        <w:left w:val="none" w:sz="0" w:space="0" w:color="auto"/>
        <w:bottom w:val="none" w:sz="0" w:space="0" w:color="auto"/>
        <w:right w:val="none" w:sz="0" w:space="0" w:color="auto"/>
      </w:divBdr>
    </w:div>
    <w:div w:id="1959489026">
      <w:bodyDiv w:val="1"/>
      <w:marLeft w:val="0"/>
      <w:marRight w:val="0"/>
      <w:marTop w:val="0"/>
      <w:marBottom w:val="0"/>
      <w:divBdr>
        <w:top w:val="none" w:sz="0" w:space="0" w:color="auto"/>
        <w:left w:val="none" w:sz="0" w:space="0" w:color="auto"/>
        <w:bottom w:val="none" w:sz="0" w:space="0" w:color="auto"/>
        <w:right w:val="none" w:sz="0" w:space="0" w:color="auto"/>
      </w:divBdr>
    </w:div>
    <w:div w:id="1959604933">
      <w:bodyDiv w:val="1"/>
      <w:marLeft w:val="0"/>
      <w:marRight w:val="0"/>
      <w:marTop w:val="0"/>
      <w:marBottom w:val="0"/>
      <w:divBdr>
        <w:top w:val="none" w:sz="0" w:space="0" w:color="auto"/>
        <w:left w:val="none" w:sz="0" w:space="0" w:color="auto"/>
        <w:bottom w:val="none" w:sz="0" w:space="0" w:color="auto"/>
        <w:right w:val="none" w:sz="0" w:space="0" w:color="auto"/>
      </w:divBdr>
    </w:div>
    <w:div w:id="1963224261">
      <w:bodyDiv w:val="1"/>
      <w:marLeft w:val="0"/>
      <w:marRight w:val="0"/>
      <w:marTop w:val="0"/>
      <w:marBottom w:val="0"/>
      <w:divBdr>
        <w:top w:val="none" w:sz="0" w:space="0" w:color="auto"/>
        <w:left w:val="none" w:sz="0" w:space="0" w:color="auto"/>
        <w:bottom w:val="none" w:sz="0" w:space="0" w:color="auto"/>
        <w:right w:val="none" w:sz="0" w:space="0" w:color="auto"/>
      </w:divBdr>
    </w:div>
    <w:div w:id="1967159264">
      <w:bodyDiv w:val="1"/>
      <w:marLeft w:val="0"/>
      <w:marRight w:val="0"/>
      <w:marTop w:val="0"/>
      <w:marBottom w:val="0"/>
      <w:divBdr>
        <w:top w:val="none" w:sz="0" w:space="0" w:color="auto"/>
        <w:left w:val="none" w:sz="0" w:space="0" w:color="auto"/>
        <w:bottom w:val="none" w:sz="0" w:space="0" w:color="auto"/>
        <w:right w:val="none" w:sz="0" w:space="0" w:color="auto"/>
      </w:divBdr>
    </w:div>
    <w:div w:id="1979845799">
      <w:bodyDiv w:val="1"/>
      <w:marLeft w:val="0"/>
      <w:marRight w:val="0"/>
      <w:marTop w:val="0"/>
      <w:marBottom w:val="0"/>
      <w:divBdr>
        <w:top w:val="none" w:sz="0" w:space="0" w:color="auto"/>
        <w:left w:val="none" w:sz="0" w:space="0" w:color="auto"/>
        <w:bottom w:val="none" w:sz="0" w:space="0" w:color="auto"/>
        <w:right w:val="none" w:sz="0" w:space="0" w:color="auto"/>
      </w:divBdr>
    </w:div>
    <w:div w:id="1981422941">
      <w:bodyDiv w:val="1"/>
      <w:marLeft w:val="0"/>
      <w:marRight w:val="0"/>
      <w:marTop w:val="0"/>
      <w:marBottom w:val="0"/>
      <w:divBdr>
        <w:top w:val="none" w:sz="0" w:space="0" w:color="auto"/>
        <w:left w:val="none" w:sz="0" w:space="0" w:color="auto"/>
        <w:bottom w:val="none" w:sz="0" w:space="0" w:color="auto"/>
        <w:right w:val="none" w:sz="0" w:space="0" w:color="auto"/>
      </w:divBdr>
    </w:div>
    <w:div w:id="1996489142">
      <w:bodyDiv w:val="1"/>
      <w:marLeft w:val="0"/>
      <w:marRight w:val="0"/>
      <w:marTop w:val="0"/>
      <w:marBottom w:val="0"/>
      <w:divBdr>
        <w:top w:val="none" w:sz="0" w:space="0" w:color="auto"/>
        <w:left w:val="none" w:sz="0" w:space="0" w:color="auto"/>
        <w:bottom w:val="none" w:sz="0" w:space="0" w:color="auto"/>
        <w:right w:val="none" w:sz="0" w:space="0" w:color="auto"/>
      </w:divBdr>
    </w:div>
    <w:div w:id="2001226746">
      <w:bodyDiv w:val="1"/>
      <w:marLeft w:val="0"/>
      <w:marRight w:val="0"/>
      <w:marTop w:val="0"/>
      <w:marBottom w:val="0"/>
      <w:divBdr>
        <w:top w:val="none" w:sz="0" w:space="0" w:color="auto"/>
        <w:left w:val="none" w:sz="0" w:space="0" w:color="auto"/>
        <w:bottom w:val="none" w:sz="0" w:space="0" w:color="auto"/>
        <w:right w:val="none" w:sz="0" w:space="0" w:color="auto"/>
      </w:divBdr>
    </w:div>
    <w:div w:id="2014068059">
      <w:bodyDiv w:val="1"/>
      <w:marLeft w:val="0"/>
      <w:marRight w:val="0"/>
      <w:marTop w:val="0"/>
      <w:marBottom w:val="0"/>
      <w:divBdr>
        <w:top w:val="none" w:sz="0" w:space="0" w:color="auto"/>
        <w:left w:val="none" w:sz="0" w:space="0" w:color="auto"/>
        <w:bottom w:val="none" w:sz="0" w:space="0" w:color="auto"/>
        <w:right w:val="none" w:sz="0" w:space="0" w:color="auto"/>
      </w:divBdr>
    </w:div>
    <w:div w:id="2016490532">
      <w:bodyDiv w:val="1"/>
      <w:marLeft w:val="0"/>
      <w:marRight w:val="0"/>
      <w:marTop w:val="0"/>
      <w:marBottom w:val="0"/>
      <w:divBdr>
        <w:top w:val="none" w:sz="0" w:space="0" w:color="auto"/>
        <w:left w:val="none" w:sz="0" w:space="0" w:color="auto"/>
        <w:bottom w:val="none" w:sz="0" w:space="0" w:color="auto"/>
        <w:right w:val="none" w:sz="0" w:space="0" w:color="auto"/>
      </w:divBdr>
    </w:div>
    <w:div w:id="2020279182">
      <w:bodyDiv w:val="1"/>
      <w:marLeft w:val="0"/>
      <w:marRight w:val="0"/>
      <w:marTop w:val="0"/>
      <w:marBottom w:val="0"/>
      <w:divBdr>
        <w:top w:val="none" w:sz="0" w:space="0" w:color="auto"/>
        <w:left w:val="none" w:sz="0" w:space="0" w:color="auto"/>
        <w:bottom w:val="none" w:sz="0" w:space="0" w:color="auto"/>
        <w:right w:val="none" w:sz="0" w:space="0" w:color="auto"/>
      </w:divBdr>
    </w:div>
    <w:div w:id="2021227706">
      <w:bodyDiv w:val="1"/>
      <w:marLeft w:val="0"/>
      <w:marRight w:val="0"/>
      <w:marTop w:val="0"/>
      <w:marBottom w:val="0"/>
      <w:divBdr>
        <w:top w:val="none" w:sz="0" w:space="0" w:color="auto"/>
        <w:left w:val="none" w:sz="0" w:space="0" w:color="auto"/>
        <w:bottom w:val="none" w:sz="0" w:space="0" w:color="auto"/>
        <w:right w:val="none" w:sz="0" w:space="0" w:color="auto"/>
      </w:divBdr>
    </w:div>
    <w:div w:id="2026900660">
      <w:bodyDiv w:val="1"/>
      <w:marLeft w:val="0"/>
      <w:marRight w:val="0"/>
      <w:marTop w:val="0"/>
      <w:marBottom w:val="0"/>
      <w:divBdr>
        <w:top w:val="none" w:sz="0" w:space="0" w:color="auto"/>
        <w:left w:val="none" w:sz="0" w:space="0" w:color="auto"/>
        <w:bottom w:val="none" w:sz="0" w:space="0" w:color="auto"/>
        <w:right w:val="none" w:sz="0" w:space="0" w:color="auto"/>
      </w:divBdr>
    </w:div>
    <w:div w:id="2040281403">
      <w:bodyDiv w:val="1"/>
      <w:marLeft w:val="0"/>
      <w:marRight w:val="0"/>
      <w:marTop w:val="0"/>
      <w:marBottom w:val="0"/>
      <w:divBdr>
        <w:top w:val="none" w:sz="0" w:space="0" w:color="auto"/>
        <w:left w:val="none" w:sz="0" w:space="0" w:color="auto"/>
        <w:bottom w:val="none" w:sz="0" w:space="0" w:color="auto"/>
        <w:right w:val="none" w:sz="0" w:space="0" w:color="auto"/>
      </w:divBdr>
    </w:div>
    <w:div w:id="2051565765">
      <w:bodyDiv w:val="1"/>
      <w:marLeft w:val="0"/>
      <w:marRight w:val="0"/>
      <w:marTop w:val="0"/>
      <w:marBottom w:val="0"/>
      <w:divBdr>
        <w:top w:val="none" w:sz="0" w:space="0" w:color="auto"/>
        <w:left w:val="none" w:sz="0" w:space="0" w:color="auto"/>
        <w:bottom w:val="none" w:sz="0" w:space="0" w:color="auto"/>
        <w:right w:val="none" w:sz="0" w:space="0" w:color="auto"/>
      </w:divBdr>
    </w:div>
    <w:div w:id="2064862255">
      <w:bodyDiv w:val="1"/>
      <w:marLeft w:val="0"/>
      <w:marRight w:val="0"/>
      <w:marTop w:val="0"/>
      <w:marBottom w:val="0"/>
      <w:divBdr>
        <w:top w:val="none" w:sz="0" w:space="0" w:color="auto"/>
        <w:left w:val="none" w:sz="0" w:space="0" w:color="auto"/>
        <w:bottom w:val="none" w:sz="0" w:space="0" w:color="auto"/>
        <w:right w:val="none" w:sz="0" w:space="0" w:color="auto"/>
      </w:divBdr>
    </w:div>
    <w:div w:id="2069375779">
      <w:bodyDiv w:val="1"/>
      <w:marLeft w:val="0"/>
      <w:marRight w:val="0"/>
      <w:marTop w:val="0"/>
      <w:marBottom w:val="0"/>
      <w:divBdr>
        <w:top w:val="none" w:sz="0" w:space="0" w:color="auto"/>
        <w:left w:val="none" w:sz="0" w:space="0" w:color="auto"/>
        <w:bottom w:val="none" w:sz="0" w:space="0" w:color="auto"/>
        <w:right w:val="none" w:sz="0" w:space="0" w:color="auto"/>
      </w:divBdr>
    </w:div>
    <w:div w:id="2071297353">
      <w:bodyDiv w:val="1"/>
      <w:marLeft w:val="0"/>
      <w:marRight w:val="0"/>
      <w:marTop w:val="0"/>
      <w:marBottom w:val="0"/>
      <w:divBdr>
        <w:top w:val="none" w:sz="0" w:space="0" w:color="auto"/>
        <w:left w:val="none" w:sz="0" w:space="0" w:color="auto"/>
        <w:bottom w:val="none" w:sz="0" w:space="0" w:color="auto"/>
        <w:right w:val="none" w:sz="0" w:space="0" w:color="auto"/>
      </w:divBdr>
    </w:div>
    <w:div w:id="2087798730">
      <w:bodyDiv w:val="1"/>
      <w:marLeft w:val="0"/>
      <w:marRight w:val="0"/>
      <w:marTop w:val="0"/>
      <w:marBottom w:val="0"/>
      <w:divBdr>
        <w:top w:val="none" w:sz="0" w:space="0" w:color="auto"/>
        <w:left w:val="none" w:sz="0" w:space="0" w:color="auto"/>
        <w:bottom w:val="none" w:sz="0" w:space="0" w:color="auto"/>
        <w:right w:val="none" w:sz="0" w:space="0" w:color="auto"/>
      </w:divBdr>
    </w:div>
    <w:div w:id="2093887162">
      <w:bodyDiv w:val="1"/>
      <w:marLeft w:val="0"/>
      <w:marRight w:val="0"/>
      <w:marTop w:val="0"/>
      <w:marBottom w:val="0"/>
      <w:divBdr>
        <w:top w:val="none" w:sz="0" w:space="0" w:color="auto"/>
        <w:left w:val="none" w:sz="0" w:space="0" w:color="auto"/>
        <w:bottom w:val="none" w:sz="0" w:space="0" w:color="auto"/>
        <w:right w:val="none" w:sz="0" w:space="0" w:color="auto"/>
      </w:divBdr>
    </w:div>
    <w:div w:id="2104644877">
      <w:bodyDiv w:val="1"/>
      <w:marLeft w:val="0"/>
      <w:marRight w:val="0"/>
      <w:marTop w:val="0"/>
      <w:marBottom w:val="0"/>
      <w:divBdr>
        <w:top w:val="none" w:sz="0" w:space="0" w:color="auto"/>
        <w:left w:val="none" w:sz="0" w:space="0" w:color="auto"/>
        <w:bottom w:val="none" w:sz="0" w:space="0" w:color="auto"/>
        <w:right w:val="none" w:sz="0" w:space="0" w:color="auto"/>
      </w:divBdr>
    </w:div>
    <w:div w:id="2110349201">
      <w:bodyDiv w:val="1"/>
      <w:marLeft w:val="0"/>
      <w:marRight w:val="0"/>
      <w:marTop w:val="0"/>
      <w:marBottom w:val="0"/>
      <w:divBdr>
        <w:top w:val="none" w:sz="0" w:space="0" w:color="auto"/>
        <w:left w:val="none" w:sz="0" w:space="0" w:color="auto"/>
        <w:bottom w:val="none" w:sz="0" w:space="0" w:color="auto"/>
        <w:right w:val="none" w:sz="0" w:space="0" w:color="auto"/>
      </w:divBdr>
    </w:div>
    <w:div w:id="2112697233">
      <w:bodyDiv w:val="1"/>
      <w:marLeft w:val="0"/>
      <w:marRight w:val="0"/>
      <w:marTop w:val="0"/>
      <w:marBottom w:val="0"/>
      <w:divBdr>
        <w:top w:val="none" w:sz="0" w:space="0" w:color="auto"/>
        <w:left w:val="none" w:sz="0" w:space="0" w:color="auto"/>
        <w:bottom w:val="none" w:sz="0" w:space="0" w:color="auto"/>
        <w:right w:val="none" w:sz="0" w:space="0" w:color="auto"/>
      </w:divBdr>
    </w:div>
    <w:div w:id="2112699715">
      <w:bodyDiv w:val="1"/>
      <w:marLeft w:val="0"/>
      <w:marRight w:val="0"/>
      <w:marTop w:val="0"/>
      <w:marBottom w:val="0"/>
      <w:divBdr>
        <w:top w:val="none" w:sz="0" w:space="0" w:color="auto"/>
        <w:left w:val="none" w:sz="0" w:space="0" w:color="auto"/>
        <w:bottom w:val="none" w:sz="0" w:space="0" w:color="auto"/>
        <w:right w:val="none" w:sz="0" w:space="0" w:color="auto"/>
      </w:divBdr>
    </w:div>
    <w:div w:id="2135976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0A5E58-87C2-44A4-B051-31682DD96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2052</TotalTime>
  <Pages>59</Pages>
  <Words>53032</Words>
  <Characters>302287</Characters>
  <Application>Microsoft Office Word</Application>
  <DocSecurity>0</DocSecurity>
  <Lines>2519</Lines>
  <Paragraphs>709</Paragraphs>
  <ScaleCrop>false</ScaleCrop>
  <HeadingPairs>
    <vt:vector size="2" baseType="variant">
      <vt:variant>
        <vt:lpstr>Title</vt:lpstr>
      </vt:variant>
      <vt:variant>
        <vt:i4>1</vt:i4>
      </vt:variant>
    </vt:vector>
  </HeadingPairs>
  <TitlesOfParts>
    <vt:vector size="1" baseType="lpstr">
      <vt:lpstr>Budgetray assistance programs</vt:lpstr>
    </vt:vector>
  </TitlesOfParts>
  <Company>Productivity Commission</Company>
  <LinksUpToDate>false</LinksUpToDate>
  <CharactersWithSpaces>354610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Budgetray assistance programs</dc:title>
  <dc:subject>Trade &amp; Assistance Review 2011‑12 Methodological Annex</dc:subject>
  <dc:creator/>
  <cp:keywords/>
  <dc:description>A.</dc:description>
  <cp:lastModifiedBy>Productivity Commission</cp:lastModifiedBy>
  <cp:revision>623</cp:revision>
  <cp:lastPrinted>2013-11-24T23:18:00Z</cp:lastPrinted>
  <dcterms:created xsi:type="dcterms:W3CDTF">2013-11-18T04:21:00Z</dcterms:created>
  <dcterms:modified xsi:type="dcterms:W3CDTF">2014-02-10T00:18:00Z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-831151738</vt:i4>
  </property>
  <property fmtid="{D5CDD505-2E9C-101B-9397-08002B2CF9AE}" pid="3" name="_NewReviewCycle">
    <vt:lpwstr/>
  </property>
  <property fmtid="{D5CDD505-2E9C-101B-9397-08002B2CF9AE}" pid="4" name="_EmailSubject">
    <vt:lpwstr>web files - TAR annex 2011-12</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